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9762B" w:rsidR="00075A03" w:rsidRDefault="00075A03" w14:paraId="58BF382B" w14:textId="77777777">
      <w:pPr>
        <w:jc w:val="center"/>
        <w:rPr>
          <w:rFonts w:ascii="Times New Roman" w:hAnsi="Times New Roman"/>
          <w:b/>
          <w:bCs/>
          <w:sz w:val="32"/>
          <w:szCs w:val="32"/>
        </w:rPr>
      </w:pPr>
      <w:r w:rsidRPr="0029762B">
        <w:rPr>
          <w:rFonts w:ascii="Times New Roman" w:hAnsi="Times New Roman"/>
          <w:b/>
          <w:bCs/>
          <w:sz w:val="32"/>
          <w:szCs w:val="32"/>
        </w:rPr>
        <w:t>Supporting Statement</w:t>
      </w:r>
    </w:p>
    <w:p w:rsidRPr="0029762B" w:rsidR="00075A03" w:rsidRDefault="00DA0D05" w14:paraId="3ADAC0D5" w14:textId="77777777">
      <w:pPr>
        <w:jc w:val="center"/>
        <w:outlineLvl w:val="0"/>
        <w:rPr>
          <w:rFonts w:ascii="Times New Roman" w:hAnsi="Times New Roman"/>
          <w:b/>
          <w:bCs/>
          <w:sz w:val="32"/>
          <w:szCs w:val="32"/>
        </w:rPr>
      </w:pPr>
      <w:r>
        <w:rPr>
          <w:rFonts w:ascii="Times New Roman" w:hAnsi="Times New Roman"/>
          <w:b/>
          <w:bCs/>
          <w:sz w:val="32"/>
          <w:szCs w:val="32"/>
        </w:rPr>
        <w:t>Qualified Financial Contracts</w:t>
      </w:r>
    </w:p>
    <w:p w:rsidRPr="0029762B" w:rsidR="00075A03" w:rsidRDefault="00075A03" w14:paraId="752484D7" w14:textId="77777777">
      <w:pPr>
        <w:jc w:val="center"/>
        <w:outlineLvl w:val="0"/>
        <w:rPr>
          <w:rFonts w:ascii="Times New Roman" w:hAnsi="Times New Roman"/>
          <w:b/>
          <w:bCs/>
          <w:sz w:val="32"/>
          <w:szCs w:val="32"/>
        </w:rPr>
      </w:pPr>
      <w:r w:rsidRPr="0029762B">
        <w:rPr>
          <w:rFonts w:ascii="Times New Roman" w:hAnsi="Times New Roman"/>
          <w:b/>
          <w:bCs/>
          <w:sz w:val="32"/>
          <w:szCs w:val="32"/>
        </w:rPr>
        <w:t>OMB Control No. 3064-</w:t>
      </w:r>
      <w:r w:rsidR="0029762B">
        <w:rPr>
          <w:rFonts w:ascii="Times New Roman" w:hAnsi="Times New Roman"/>
          <w:b/>
          <w:bCs/>
          <w:sz w:val="32"/>
          <w:szCs w:val="32"/>
        </w:rPr>
        <w:t>01</w:t>
      </w:r>
      <w:r w:rsidR="00DA0D05">
        <w:rPr>
          <w:rFonts w:ascii="Times New Roman" w:hAnsi="Times New Roman"/>
          <w:b/>
          <w:bCs/>
          <w:sz w:val="32"/>
          <w:szCs w:val="32"/>
        </w:rPr>
        <w:t>63</w:t>
      </w:r>
    </w:p>
    <w:p w:rsidR="00075A03" w:rsidRDefault="00075A03" w14:paraId="150927AA" w14:textId="77777777">
      <w:pPr>
        <w:jc w:val="center"/>
        <w:outlineLvl w:val="0"/>
        <w:rPr>
          <w:rFonts w:ascii="Times New Roman" w:hAnsi="Times New Roman"/>
          <w:b/>
          <w:bCs/>
          <w:szCs w:val="24"/>
        </w:rPr>
      </w:pPr>
    </w:p>
    <w:p w:rsidR="00075A03" w:rsidRDefault="00075A03" w14:paraId="1B436C77" w14:textId="77777777">
      <w:pPr>
        <w:rPr>
          <w:rFonts w:ascii="Times New Roman" w:hAnsi="Times New Roman"/>
          <w:szCs w:val="24"/>
        </w:rPr>
      </w:pPr>
    </w:p>
    <w:p w:rsidR="00075A03" w:rsidRDefault="00075A03" w14:paraId="04A4E48E" w14:textId="77777777">
      <w:pPr>
        <w:tabs>
          <w:tab w:val="left" w:pos="-1440"/>
        </w:tabs>
        <w:ind w:left="720" w:hanging="720"/>
        <w:outlineLvl w:val="0"/>
        <w:rPr>
          <w:rFonts w:ascii="Times New Roman" w:hAnsi="Times New Roman"/>
          <w:szCs w:val="24"/>
          <w:u w:val="single"/>
        </w:rPr>
      </w:pPr>
      <w:r>
        <w:rPr>
          <w:rFonts w:ascii="Times New Roman" w:hAnsi="Times New Roman"/>
          <w:szCs w:val="24"/>
          <w:u w:val="single"/>
        </w:rPr>
        <w:t>Introduction</w:t>
      </w:r>
    </w:p>
    <w:p w:rsidR="00075A03" w:rsidRDefault="00075A03" w14:paraId="44E0CE76" w14:textId="77777777">
      <w:pPr>
        <w:tabs>
          <w:tab w:val="left" w:pos="-1440"/>
        </w:tabs>
        <w:ind w:left="720" w:hanging="720"/>
        <w:outlineLvl w:val="0"/>
        <w:rPr>
          <w:rFonts w:ascii="Times New Roman" w:hAnsi="Times New Roman"/>
          <w:szCs w:val="24"/>
          <w:u w:val="single"/>
        </w:rPr>
      </w:pPr>
    </w:p>
    <w:p w:rsidR="00075A03" w:rsidRDefault="00075A03" w14:paraId="7F5D6B84" w14:textId="77777777">
      <w:pPr>
        <w:tabs>
          <w:tab w:val="left" w:pos="-1440"/>
        </w:tabs>
        <w:outlineLvl w:val="0"/>
        <w:rPr>
          <w:rFonts w:ascii="Times New Roman" w:hAnsi="Times New Roman"/>
          <w:szCs w:val="24"/>
        </w:rPr>
      </w:pPr>
      <w:r>
        <w:rPr>
          <w:rFonts w:ascii="Times New Roman" w:hAnsi="Times New Roman"/>
          <w:szCs w:val="24"/>
        </w:rPr>
        <w:t xml:space="preserve">The FDIC is requesting OMB approval </w:t>
      </w:r>
      <w:r w:rsidR="00D52AF3">
        <w:rPr>
          <w:rFonts w:ascii="Times New Roman" w:hAnsi="Times New Roman"/>
          <w:szCs w:val="24"/>
        </w:rPr>
        <w:t xml:space="preserve">of an extension, </w:t>
      </w:r>
      <w:r w:rsidR="00C66C49">
        <w:rPr>
          <w:rFonts w:ascii="Times New Roman" w:hAnsi="Times New Roman"/>
          <w:szCs w:val="24"/>
        </w:rPr>
        <w:t>with revision</w:t>
      </w:r>
      <w:r w:rsidR="00D52AF3">
        <w:rPr>
          <w:rFonts w:ascii="Times New Roman" w:hAnsi="Times New Roman"/>
          <w:szCs w:val="24"/>
        </w:rPr>
        <w:t>, of</w:t>
      </w:r>
      <w:r w:rsidR="00E91C26">
        <w:rPr>
          <w:rFonts w:ascii="Times New Roman" w:hAnsi="Times New Roman"/>
          <w:szCs w:val="24"/>
        </w:rPr>
        <w:t xml:space="preserve"> an existing </w:t>
      </w:r>
      <w:r>
        <w:rPr>
          <w:rFonts w:ascii="Times New Roman" w:hAnsi="Times New Roman"/>
          <w:szCs w:val="24"/>
        </w:rPr>
        <w:t>information collection.  The collection of information is comprised of reporting</w:t>
      </w:r>
      <w:r w:rsidR="00D52AF3">
        <w:rPr>
          <w:rFonts w:ascii="Times New Roman" w:hAnsi="Times New Roman"/>
          <w:szCs w:val="24"/>
        </w:rPr>
        <w:t xml:space="preserve"> </w:t>
      </w:r>
      <w:r w:rsidR="00DA0D05">
        <w:rPr>
          <w:rFonts w:ascii="Times New Roman" w:hAnsi="Times New Roman"/>
          <w:szCs w:val="24"/>
        </w:rPr>
        <w:t xml:space="preserve">and recordkeeping </w:t>
      </w:r>
      <w:r>
        <w:rPr>
          <w:rFonts w:ascii="Times New Roman" w:hAnsi="Times New Roman"/>
          <w:szCs w:val="24"/>
        </w:rPr>
        <w:t xml:space="preserve">requirements </w:t>
      </w:r>
      <w:r w:rsidRPr="00D52AF3" w:rsidR="00D52AF3">
        <w:rPr>
          <w:rFonts w:ascii="Times New Roman" w:hAnsi="Times New Roman"/>
        </w:rPr>
        <w:t xml:space="preserve">contained in FDIC regulations </w:t>
      </w:r>
      <w:r w:rsidR="00CF4999">
        <w:rPr>
          <w:rFonts w:ascii="Times New Roman" w:hAnsi="Times New Roman"/>
          <w:bCs/>
          <w:szCs w:val="24"/>
        </w:rPr>
        <w:t>12 CFR Part 371 (“Part 371”)</w:t>
      </w:r>
      <w:r w:rsidRPr="00D52AF3" w:rsidR="00D52AF3">
        <w:rPr>
          <w:rFonts w:ascii="Times New Roman" w:hAnsi="Times New Roman"/>
        </w:rPr>
        <w:t xml:space="preserve">.  </w:t>
      </w:r>
      <w:r w:rsidR="00D52AF3">
        <w:rPr>
          <w:rFonts w:ascii="Times New Roman" w:hAnsi="Times New Roman"/>
        </w:rPr>
        <w:t>The current clearance for this collection of information</w:t>
      </w:r>
      <w:r w:rsidRPr="00D52AF3" w:rsidR="00D52AF3">
        <w:rPr>
          <w:rFonts w:ascii="Times New Roman" w:hAnsi="Times New Roman"/>
        </w:rPr>
        <w:t xml:space="preserve"> expires on </w:t>
      </w:r>
      <w:r w:rsidR="00D52AF3">
        <w:rPr>
          <w:rFonts w:ascii="Times New Roman" w:hAnsi="Times New Roman"/>
        </w:rPr>
        <w:t>April 30, 2021</w:t>
      </w:r>
      <w:r w:rsidRPr="00D52AF3" w:rsidR="00D52AF3">
        <w:rPr>
          <w:rFonts w:ascii="Times New Roman" w:hAnsi="Times New Roman"/>
        </w:rPr>
        <w:t>.</w:t>
      </w:r>
    </w:p>
    <w:p w:rsidR="00075A03" w:rsidRDefault="00075A03" w14:paraId="3DF2A150" w14:textId="77777777">
      <w:pPr>
        <w:tabs>
          <w:tab w:val="left" w:pos="-1440"/>
        </w:tabs>
        <w:ind w:left="720" w:hanging="720"/>
        <w:outlineLvl w:val="0"/>
        <w:rPr>
          <w:rFonts w:ascii="Times New Roman" w:hAnsi="Times New Roman"/>
          <w:szCs w:val="24"/>
          <w:u w:val="single"/>
        </w:rPr>
      </w:pPr>
    </w:p>
    <w:p w:rsidR="00075A03" w:rsidRDefault="00075A03" w14:paraId="2023455E" w14:textId="77777777">
      <w:pPr>
        <w:tabs>
          <w:tab w:val="left" w:pos="-1440"/>
        </w:tabs>
        <w:ind w:left="720" w:hanging="720"/>
        <w:outlineLvl w:val="0"/>
        <w:rPr>
          <w:rFonts w:ascii="Times New Roman" w:hAnsi="Times New Roman"/>
          <w:szCs w:val="24"/>
        </w:rPr>
      </w:pPr>
      <w:r>
        <w:rPr>
          <w:rFonts w:ascii="Times New Roman" w:hAnsi="Times New Roman"/>
          <w:szCs w:val="24"/>
        </w:rPr>
        <w:t>A. Justification.</w:t>
      </w:r>
    </w:p>
    <w:p w:rsidR="00075A03" w:rsidRDefault="00075A03" w14:paraId="0428EFAF" w14:textId="77777777">
      <w:pPr>
        <w:rPr>
          <w:rFonts w:ascii="Times New Roman" w:hAnsi="Times New Roman"/>
          <w:szCs w:val="24"/>
        </w:rPr>
      </w:pPr>
    </w:p>
    <w:p w:rsidR="00075A03" w:rsidRDefault="00075A03" w14:paraId="317FB975" w14:textId="77777777">
      <w:pPr>
        <w:tabs>
          <w:tab w:val="left" w:pos="-1440"/>
        </w:tabs>
        <w:ind w:left="720" w:hanging="720"/>
        <w:outlineLvl w:val="0"/>
        <w:rPr>
          <w:rFonts w:ascii="Times New Roman" w:hAnsi="Times New Roman"/>
          <w:szCs w:val="24"/>
          <w:u w:val="single"/>
        </w:rPr>
      </w:pPr>
      <w:r>
        <w:rPr>
          <w:rFonts w:ascii="Times New Roman" w:hAnsi="Times New Roman"/>
          <w:szCs w:val="24"/>
        </w:rPr>
        <w:t xml:space="preserve">1. </w:t>
      </w:r>
      <w:r>
        <w:rPr>
          <w:rFonts w:ascii="Times New Roman" w:hAnsi="Times New Roman"/>
          <w:szCs w:val="24"/>
          <w:u w:val="single"/>
        </w:rPr>
        <w:t>Circumstances that make the collection necessary:</w:t>
      </w:r>
    </w:p>
    <w:p w:rsidR="00075A03" w:rsidRDefault="00075A03" w14:paraId="0BFA8FC7" w14:textId="77777777">
      <w:pPr>
        <w:ind w:firstLine="720"/>
        <w:rPr>
          <w:rFonts w:ascii="Times New Roman" w:hAnsi="Times New Roman"/>
          <w:szCs w:val="24"/>
        </w:rPr>
      </w:pPr>
    </w:p>
    <w:p w:rsidR="00CF4999" w:rsidP="00CF4999" w:rsidRDefault="00CF4999" w14:paraId="266A89B4" w14:textId="77777777">
      <w:pPr>
        <w:ind w:left="270"/>
        <w:rPr>
          <w:rFonts w:ascii="Times New Roman" w:hAnsi="Times New Roman"/>
          <w:szCs w:val="24"/>
        </w:rPr>
      </w:pPr>
      <w:r>
        <w:rPr>
          <w:rFonts w:ascii="Times New Roman" w:hAnsi="Times New Roman"/>
          <w:szCs w:val="24"/>
        </w:rPr>
        <w:t>Under the Federal Deposit Insurance Act (FDIA), Qualified Financial Contract (“QFCs”) have been designated for special treatment by the FDIC in the event of the failure of an insured depository institution.  As codified in FDIA as part of the Financial Institutions Reform, Recovery, and Enforcement Act of 1989 (FIRREA), certain timing restrictions are effectively placed on the FDIC for making decisions whether to transfer QFCs to another financial institution, repudiate the QFCs, or retain the QFCs in the receivership in the event of an insured institution’s failure.  To make an informed decision about QFCs in such situations, the FDIC needs timely information pertaining to the types and amounts of QFC contracts held, the counterparties to these contracts and their affiliates, the purpose of these contracts, their maturity dates, the current value of these contracts, and whether these contracts are collateralized.</w:t>
      </w:r>
    </w:p>
    <w:p w:rsidR="00CF4999" w:rsidP="00CF4999" w:rsidRDefault="00CF4999" w14:paraId="60319202" w14:textId="77777777">
      <w:pPr>
        <w:widowControl/>
        <w:tabs>
          <w:tab w:val="left" w:pos="-1440"/>
          <w:tab w:val="left" w:pos="-720"/>
          <w:tab w:val="left" w:pos="720"/>
          <w:tab w:val="left" w:pos="1008"/>
          <w:tab w:val="left" w:pos="1440"/>
        </w:tabs>
        <w:suppressAutoHyphens/>
        <w:ind w:left="540"/>
        <w:rPr>
          <w:rFonts w:ascii="Times New Roman" w:hAnsi="Times New Roman"/>
          <w:szCs w:val="24"/>
        </w:rPr>
      </w:pPr>
    </w:p>
    <w:p w:rsidR="00CF4999" w:rsidP="00CF4999" w:rsidRDefault="00CF4999" w14:paraId="68BB4BD6" w14:textId="77777777">
      <w:pPr>
        <w:ind w:left="270"/>
        <w:rPr>
          <w:rFonts w:ascii="Times New Roman" w:hAnsi="Times New Roman"/>
          <w:szCs w:val="24"/>
        </w:rPr>
      </w:pPr>
      <w:r>
        <w:rPr>
          <w:rFonts w:ascii="Times New Roman" w:hAnsi="Times New Roman"/>
          <w:szCs w:val="24"/>
        </w:rPr>
        <w:t>Because of the large volume of QFC information that a receiver must process in a limited timeframe, in Part 371, the FDIC established QFC recordkeeping requirements for institutions in a “troubled condition” as that term is defined in the rule.  The FDIC does not believe these recordkeeping requirements are overly burdensome.  Rather, the FDIC believes these requirements are consistent with safe and sound risk management practices for institutions that hold QFCs.</w:t>
      </w:r>
    </w:p>
    <w:p w:rsidR="00075A03" w:rsidP="00852CF8" w:rsidRDefault="00075A03" w14:paraId="74594D45" w14:textId="77777777">
      <w:pPr>
        <w:widowControl/>
        <w:rPr>
          <w:rFonts w:ascii="Times New Roman" w:hAnsi="Times New Roman"/>
          <w:color w:val="000000"/>
          <w:szCs w:val="24"/>
        </w:rPr>
      </w:pPr>
    </w:p>
    <w:p w:rsidR="00075A03" w:rsidRDefault="00075A03" w14:paraId="20F64BED" w14:textId="77777777">
      <w:pPr>
        <w:tabs>
          <w:tab w:val="left" w:pos="-1440"/>
        </w:tabs>
        <w:ind w:left="4320" w:hanging="4320"/>
        <w:outlineLvl w:val="0"/>
        <w:rPr>
          <w:rFonts w:ascii="Times New Roman" w:hAnsi="Times New Roman"/>
          <w:szCs w:val="24"/>
        </w:rPr>
      </w:pPr>
      <w:r>
        <w:rPr>
          <w:rFonts w:ascii="Times New Roman" w:hAnsi="Times New Roman"/>
          <w:szCs w:val="24"/>
        </w:rPr>
        <w:t xml:space="preserve">2. </w:t>
      </w:r>
      <w:r>
        <w:rPr>
          <w:rFonts w:ascii="Times New Roman" w:hAnsi="Times New Roman"/>
          <w:szCs w:val="24"/>
          <w:u w:val="single"/>
        </w:rPr>
        <w:t>Use of the information</w:t>
      </w:r>
      <w:r w:rsidR="00852CF8">
        <w:rPr>
          <w:rFonts w:ascii="Times New Roman" w:hAnsi="Times New Roman"/>
          <w:szCs w:val="24"/>
        </w:rPr>
        <w:t>:</w:t>
      </w:r>
    </w:p>
    <w:p w:rsidR="00852CF8" w:rsidP="00852CF8" w:rsidRDefault="00852CF8" w14:paraId="23CB8051" w14:textId="77777777">
      <w:pPr>
        <w:rPr>
          <w:rFonts w:ascii="Times New Roman" w:hAnsi="Times New Roman"/>
          <w:szCs w:val="24"/>
        </w:rPr>
      </w:pPr>
      <w:r>
        <w:rPr>
          <w:rFonts w:ascii="Times New Roman" w:hAnsi="Times New Roman"/>
          <w:szCs w:val="24"/>
        </w:rPr>
        <w:t xml:space="preserve"> </w:t>
      </w:r>
    </w:p>
    <w:p w:rsidR="0093247E" w:rsidP="0093247E" w:rsidRDefault="0093247E" w14:paraId="51066643" w14:textId="77777777">
      <w:pPr>
        <w:ind w:left="270"/>
        <w:rPr>
          <w:rFonts w:ascii="Times New Roman" w:hAnsi="Times New Roman"/>
        </w:rPr>
      </w:pPr>
      <w:r w:rsidRPr="00887EEA">
        <w:rPr>
          <w:rFonts w:ascii="Times New Roman" w:hAnsi="Times New Roman"/>
        </w:rPr>
        <w:t xml:space="preserve">When the FDIC is appointed receiver of a failed institution, the FDIC has one business day to determine whether to transfer QFCs to which a failed IDI is a party.  The FDIC adopted Part 371 because it became evident that making a timely and informed decision as to whether to transfer the QFCs of a failed institution in the course of one business day required having access to and processing detailed information.  If that data was not easily available in an accessible format, making such a decision was difficult.  Consequently, Part 371 enabled the FDIC to more efficiently act as the receiver for failed institutions with QFCs, particularly if </w:t>
      </w:r>
      <w:r w:rsidRPr="00887EEA">
        <w:rPr>
          <w:rFonts w:ascii="Times New Roman" w:hAnsi="Times New Roman"/>
        </w:rPr>
        <w:lastRenderedPageBreak/>
        <w:t>the failed institution had a substantial QFC portfolio</w:t>
      </w:r>
    </w:p>
    <w:p w:rsidR="0093247E" w:rsidP="0093247E" w:rsidRDefault="0093247E" w14:paraId="7D8DF313" w14:textId="77777777">
      <w:pPr>
        <w:ind w:firstLine="720"/>
        <w:contextualSpacing/>
        <w:rPr>
          <w:rFonts w:ascii="Times New Roman" w:hAnsi="Times New Roman"/>
        </w:rPr>
      </w:pPr>
    </w:p>
    <w:p w:rsidRPr="00852CF8" w:rsidR="00075A03" w:rsidP="0093247E" w:rsidRDefault="0093247E" w14:paraId="49B31ED5" w14:textId="77777777">
      <w:pPr>
        <w:ind w:left="270"/>
        <w:rPr>
          <w:rFonts w:ascii="Times New Roman" w:hAnsi="Times New Roman"/>
          <w:snapToGrid/>
          <w:szCs w:val="24"/>
        </w:rPr>
      </w:pPr>
      <w:r>
        <w:rPr>
          <w:rFonts w:ascii="Times New Roman" w:hAnsi="Times New Roman"/>
        </w:rPr>
        <w:t xml:space="preserve">Part 371 is a recordkeeping regulation. The records that are required to be maintained are not required to be reported </w:t>
      </w:r>
      <w:r w:rsidRPr="0093247E">
        <w:rPr>
          <w:rFonts w:ascii="Times New Roman" w:hAnsi="Times New Roman"/>
          <w:szCs w:val="24"/>
        </w:rPr>
        <w:t>to</w:t>
      </w:r>
      <w:r>
        <w:rPr>
          <w:rFonts w:ascii="Times New Roman" w:hAnsi="Times New Roman"/>
        </w:rPr>
        <w:t xml:space="preserve"> the FDIC unless specific request for the records is made by the FDIC. If the records are requested from an </w:t>
      </w:r>
      <w:r w:rsidR="00480AA1">
        <w:rPr>
          <w:rFonts w:ascii="Times New Roman" w:hAnsi="Times New Roman"/>
        </w:rPr>
        <w:t>insured depository institution (“</w:t>
      </w:r>
      <w:r>
        <w:rPr>
          <w:rFonts w:ascii="Times New Roman" w:hAnsi="Times New Roman"/>
        </w:rPr>
        <w:t>IDI</w:t>
      </w:r>
      <w:r w:rsidR="00480AA1">
        <w:rPr>
          <w:rFonts w:ascii="Times New Roman" w:hAnsi="Times New Roman"/>
        </w:rPr>
        <w:t>”)</w:t>
      </w:r>
      <w:r>
        <w:rPr>
          <w:rFonts w:ascii="Times New Roman" w:hAnsi="Times New Roman"/>
        </w:rPr>
        <w:t>, they would be used to help the FDIC, when it is appointed receiver, determine whether to transfer the QFCs during the one-business-day stay period applicable to QFCs of an IDI for which a receiver is appointed</w:t>
      </w:r>
    </w:p>
    <w:p w:rsidR="00075A03" w:rsidRDefault="00075A03" w14:paraId="77B29FD3" w14:textId="77777777">
      <w:pPr>
        <w:rPr>
          <w:rFonts w:ascii="Times New Roman" w:hAnsi="Times New Roman"/>
          <w:szCs w:val="24"/>
        </w:rPr>
      </w:pPr>
    </w:p>
    <w:p w:rsidR="00075A03" w:rsidRDefault="00075A03" w14:paraId="1AAA68AD" w14:textId="77777777">
      <w:pPr>
        <w:tabs>
          <w:tab w:val="left" w:pos="-1440"/>
        </w:tabs>
        <w:ind w:left="720" w:hanging="720"/>
        <w:outlineLvl w:val="0"/>
        <w:rPr>
          <w:rFonts w:ascii="Times New Roman" w:hAnsi="Times New Roman"/>
          <w:szCs w:val="24"/>
          <w:u w:val="single"/>
        </w:rPr>
      </w:pPr>
      <w:r>
        <w:rPr>
          <w:rFonts w:ascii="Times New Roman" w:hAnsi="Times New Roman"/>
          <w:szCs w:val="24"/>
        </w:rPr>
        <w:t xml:space="preserve">3. </w:t>
      </w:r>
      <w:r>
        <w:rPr>
          <w:rFonts w:ascii="Times New Roman" w:hAnsi="Times New Roman"/>
          <w:szCs w:val="24"/>
          <w:u w:val="single"/>
        </w:rPr>
        <w:t>Consideration of the use of improved information technology:</w:t>
      </w:r>
    </w:p>
    <w:p w:rsidR="00075A03" w:rsidRDefault="00075A03" w14:paraId="167E749D" w14:textId="77777777">
      <w:pPr>
        <w:autoSpaceDE w:val="0"/>
        <w:autoSpaceDN w:val="0"/>
        <w:adjustRightInd w:val="0"/>
        <w:rPr>
          <w:rFonts w:ascii="Times New Roman" w:hAnsi="Times New Roman"/>
          <w:szCs w:val="24"/>
        </w:rPr>
      </w:pPr>
    </w:p>
    <w:p w:rsidRPr="00480AA1" w:rsidR="00480AA1" w:rsidP="00480AA1" w:rsidRDefault="00480AA1" w14:paraId="0C4C749E" w14:textId="77777777">
      <w:pPr>
        <w:ind w:left="270"/>
        <w:rPr>
          <w:rFonts w:ascii="Times New Roman" w:hAnsi="Times New Roman"/>
        </w:rPr>
      </w:pPr>
      <w:r>
        <w:rPr>
          <w:rFonts w:ascii="Times New Roman" w:hAnsi="Times New Roman"/>
        </w:rPr>
        <w:t>Part 371</w:t>
      </w:r>
      <w:r w:rsidRPr="00480AA1">
        <w:rPr>
          <w:rFonts w:ascii="Times New Roman" w:hAnsi="Times New Roman"/>
        </w:rPr>
        <w:t xml:space="preserve"> prescribes a specific format for the maintenance of these records that is compatible with currently available information technology.</w:t>
      </w:r>
    </w:p>
    <w:p w:rsidR="00075A03" w:rsidP="00714F75" w:rsidRDefault="00075A03" w14:paraId="6C22931C" w14:textId="77777777">
      <w:pPr>
        <w:ind w:left="270"/>
        <w:rPr>
          <w:rFonts w:ascii="Times New Roman" w:hAnsi="Times New Roman"/>
        </w:rPr>
      </w:pPr>
    </w:p>
    <w:p w:rsidR="00732394" w:rsidP="00732394" w:rsidRDefault="00732394" w14:paraId="05727E7B" w14:textId="77777777">
      <w:pPr>
        <w:rPr>
          <w:rFonts w:ascii="Times New Roman" w:hAnsi="Times New Roman"/>
          <w:szCs w:val="24"/>
        </w:rPr>
      </w:pPr>
    </w:p>
    <w:p w:rsidR="00075A03" w:rsidRDefault="00480AA1" w14:paraId="146AD7FA" w14:textId="77777777">
      <w:pPr>
        <w:tabs>
          <w:tab w:val="left" w:pos="-1440"/>
        </w:tabs>
        <w:ind w:left="720" w:hanging="720"/>
        <w:outlineLvl w:val="0"/>
        <w:rPr>
          <w:rFonts w:ascii="Times New Roman" w:hAnsi="Times New Roman"/>
          <w:szCs w:val="24"/>
        </w:rPr>
      </w:pPr>
      <w:r>
        <w:rPr>
          <w:rFonts w:ascii="Times New Roman" w:hAnsi="Times New Roman"/>
          <w:szCs w:val="24"/>
        </w:rPr>
        <w:t>4.</w:t>
      </w:r>
      <w:r>
        <w:rPr>
          <w:rFonts w:ascii="Times New Roman" w:hAnsi="Times New Roman"/>
          <w:szCs w:val="24"/>
          <w:u w:val="single"/>
        </w:rPr>
        <w:t xml:space="preserve"> Efforts</w:t>
      </w:r>
      <w:r w:rsidR="00075A03">
        <w:rPr>
          <w:rFonts w:ascii="Times New Roman" w:hAnsi="Times New Roman"/>
          <w:szCs w:val="24"/>
          <w:u w:val="single"/>
        </w:rPr>
        <w:t xml:space="preserve"> to identify duplication</w:t>
      </w:r>
      <w:r w:rsidR="00075A03">
        <w:rPr>
          <w:rFonts w:ascii="Times New Roman" w:hAnsi="Times New Roman"/>
          <w:szCs w:val="24"/>
        </w:rPr>
        <w:t>:</w:t>
      </w:r>
    </w:p>
    <w:p w:rsidR="00075A03" w:rsidRDefault="00075A03" w14:paraId="61EC5A80" w14:textId="77777777">
      <w:pPr>
        <w:rPr>
          <w:rFonts w:ascii="Times New Roman" w:hAnsi="Times New Roman"/>
          <w:szCs w:val="24"/>
        </w:rPr>
      </w:pPr>
    </w:p>
    <w:p w:rsidRPr="00480AA1" w:rsidR="00480AA1" w:rsidP="00480AA1" w:rsidRDefault="00480AA1" w14:paraId="4358C1AF" w14:textId="77777777">
      <w:pPr>
        <w:ind w:left="270"/>
        <w:rPr>
          <w:rFonts w:ascii="Times New Roman" w:hAnsi="Times New Roman"/>
          <w:szCs w:val="24"/>
        </w:rPr>
      </w:pPr>
      <w:r w:rsidRPr="00480AA1">
        <w:rPr>
          <w:rFonts w:ascii="Times New Roman" w:hAnsi="Times New Roman"/>
          <w:szCs w:val="24"/>
        </w:rPr>
        <w:t xml:space="preserve">The </w:t>
      </w:r>
      <w:r w:rsidRPr="00480AA1">
        <w:rPr>
          <w:rFonts w:ascii="Times New Roman" w:hAnsi="Times New Roman"/>
        </w:rPr>
        <w:t>information</w:t>
      </w:r>
      <w:r w:rsidRPr="00480AA1">
        <w:rPr>
          <w:rFonts w:ascii="Times New Roman" w:hAnsi="Times New Roman"/>
          <w:szCs w:val="24"/>
        </w:rPr>
        <w:t xml:space="preserve"> required is unique.  It is not duplicated by other information collected by the FDIC.</w:t>
      </w:r>
    </w:p>
    <w:p w:rsidR="00075A03" w:rsidRDefault="00075A03" w14:paraId="3F0B209B" w14:textId="77777777">
      <w:pPr>
        <w:rPr>
          <w:rFonts w:ascii="Times New Roman" w:hAnsi="Times New Roman"/>
          <w:szCs w:val="24"/>
        </w:rPr>
      </w:pPr>
    </w:p>
    <w:p w:rsidR="00075A03" w:rsidRDefault="00075A03" w14:paraId="28EE9F78" w14:textId="77777777">
      <w:pPr>
        <w:tabs>
          <w:tab w:val="left" w:pos="-1440"/>
        </w:tabs>
        <w:outlineLvl w:val="0"/>
        <w:rPr>
          <w:rFonts w:ascii="Times New Roman" w:hAnsi="Times New Roman"/>
          <w:szCs w:val="24"/>
        </w:rPr>
      </w:pPr>
      <w:r>
        <w:rPr>
          <w:rFonts w:ascii="Times New Roman" w:hAnsi="Times New Roman"/>
          <w:szCs w:val="24"/>
        </w:rPr>
        <w:t xml:space="preserve">5. </w:t>
      </w:r>
      <w:r>
        <w:rPr>
          <w:rFonts w:ascii="Times New Roman" w:hAnsi="Times New Roman"/>
          <w:szCs w:val="24"/>
          <w:u w:val="single"/>
        </w:rPr>
        <w:t>Methods used to minimize burden if the collection has an impact on a substantial number of    small entities</w:t>
      </w:r>
      <w:r>
        <w:rPr>
          <w:rFonts w:ascii="Times New Roman" w:hAnsi="Times New Roman"/>
          <w:szCs w:val="24"/>
        </w:rPr>
        <w:t>:</w:t>
      </w:r>
    </w:p>
    <w:p w:rsidR="00075A03" w:rsidRDefault="00075A03" w14:paraId="65688B2B" w14:textId="77777777">
      <w:pPr>
        <w:rPr>
          <w:rFonts w:ascii="Times New Roman" w:hAnsi="Times New Roman"/>
          <w:szCs w:val="24"/>
        </w:rPr>
      </w:pPr>
    </w:p>
    <w:p w:rsidR="00075A03" w:rsidP="00714F75" w:rsidRDefault="00480AA1" w14:paraId="76AFE2E2" w14:textId="77777777">
      <w:pPr>
        <w:ind w:left="270"/>
        <w:rPr>
          <w:rFonts w:ascii="Times New Roman" w:hAnsi="Times New Roman"/>
          <w:szCs w:val="24"/>
        </w:rPr>
      </w:pPr>
      <w:r w:rsidRPr="00480AA1">
        <w:rPr>
          <w:rFonts w:ascii="Times New Roman" w:hAnsi="Times New Roman"/>
        </w:rPr>
        <w:t xml:space="preserve">The collection applies only to IDIs in a troubled condition. The recordkeeping required for small entities (other than the limited number of small entities that are members of corporate groups subject to the </w:t>
      </w:r>
      <w:r>
        <w:rPr>
          <w:rFonts w:ascii="Times New Roman" w:hAnsi="Times New Roman"/>
        </w:rPr>
        <w:t>special requirements</w:t>
      </w:r>
      <w:r w:rsidRPr="00480AA1">
        <w:rPr>
          <w:rFonts w:ascii="Times New Roman" w:hAnsi="Times New Roman"/>
        </w:rPr>
        <w:t>) are quite limited and, because most small entities are not parties to QFCs, will no</w:t>
      </w:r>
      <w:r>
        <w:rPr>
          <w:rFonts w:ascii="Times New Roman" w:hAnsi="Times New Roman"/>
        </w:rPr>
        <w:t>t apply to most small entities.</w:t>
      </w:r>
      <w:r w:rsidR="00075A03">
        <w:rPr>
          <w:rFonts w:ascii="Times New Roman" w:hAnsi="Times New Roman"/>
          <w:szCs w:val="24"/>
        </w:rPr>
        <w:t xml:space="preserve"> </w:t>
      </w:r>
    </w:p>
    <w:p w:rsidR="00075A03" w:rsidRDefault="00075A03" w14:paraId="549FF861" w14:textId="77777777">
      <w:pPr>
        <w:tabs>
          <w:tab w:val="left" w:pos="-1440"/>
        </w:tabs>
        <w:ind w:left="720" w:hanging="720"/>
        <w:outlineLvl w:val="0"/>
        <w:rPr>
          <w:rFonts w:ascii="Times New Roman" w:hAnsi="Times New Roman"/>
          <w:szCs w:val="24"/>
        </w:rPr>
      </w:pPr>
    </w:p>
    <w:p w:rsidR="00075A03" w:rsidRDefault="00075A03" w14:paraId="180879E2" w14:textId="77777777">
      <w:pPr>
        <w:tabs>
          <w:tab w:val="left" w:pos="-1440"/>
        </w:tabs>
        <w:ind w:left="720" w:hanging="720"/>
        <w:outlineLvl w:val="0"/>
        <w:rPr>
          <w:rFonts w:ascii="Times New Roman" w:hAnsi="Times New Roman"/>
          <w:szCs w:val="24"/>
        </w:rPr>
      </w:pPr>
      <w:r>
        <w:rPr>
          <w:rFonts w:ascii="Times New Roman" w:hAnsi="Times New Roman"/>
          <w:szCs w:val="24"/>
        </w:rPr>
        <w:t xml:space="preserve">6. </w:t>
      </w:r>
      <w:r>
        <w:rPr>
          <w:rFonts w:ascii="Times New Roman" w:hAnsi="Times New Roman"/>
          <w:szCs w:val="24"/>
          <w:u w:val="single"/>
        </w:rPr>
        <w:t>Consequences to the Federal program if the collection were conducted less frequently</w:t>
      </w:r>
      <w:r>
        <w:rPr>
          <w:rFonts w:ascii="Times New Roman" w:hAnsi="Times New Roman"/>
          <w:szCs w:val="24"/>
        </w:rPr>
        <w:t>:</w:t>
      </w:r>
    </w:p>
    <w:p w:rsidR="00075A03" w:rsidRDefault="00075A03" w14:paraId="18388202" w14:textId="77777777">
      <w:pPr>
        <w:rPr>
          <w:rFonts w:ascii="Times New Roman" w:hAnsi="Times New Roman"/>
          <w:szCs w:val="24"/>
        </w:rPr>
      </w:pPr>
    </w:p>
    <w:p w:rsidR="00075A03" w:rsidP="00714F75" w:rsidRDefault="00480AA1" w14:paraId="4AE05553" w14:textId="77777777">
      <w:pPr>
        <w:ind w:left="270"/>
        <w:rPr>
          <w:rFonts w:ascii="Times New Roman" w:hAnsi="Times New Roman"/>
          <w:szCs w:val="24"/>
        </w:rPr>
      </w:pPr>
      <w:r w:rsidRPr="00480AA1">
        <w:rPr>
          <w:rFonts w:ascii="Times New Roman" w:hAnsi="Times New Roman"/>
          <w:szCs w:val="24"/>
        </w:rPr>
        <w:t xml:space="preserve">The </w:t>
      </w:r>
      <w:r w:rsidRPr="00480AA1">
        <w:rPr>
          <w:rFonts w:ascii="Times New Roman" w:hAnsi="Times New Roman"/>
        </w:rPr>
        <w:t>collection</w:t>
      </w:r>
      <w:r w:rsidRPr="00480AA1">
        <w:rPr>
          <w:rFonts w:ascii="Times New Roman" w:hAnsi="Times New Roman"/>
          <w:szCs w:val="24"/>
        </w:rPr>
        <w:t xml:space="preserve"> is event-generated, that is, it </w:t>
      </w:r>
      <w:r>
        <w:rPr>
          <w:rFonts w:ascii="Times New Roman" w:hAnsi="Times New Roman"/>
          <w:szCs w:val="24"/>
        </w:rPr>
        <w:t>comes into play when</w:t>
      </w:r>
      <w:r w:rsidRPr="00480AA1">
        <w:rPr>
          <w:rFonts w:ascii="Times New Roman" w:hAnsi="Times New Roman"/>
          <w:szCs w:val="24"/>
        </w:rPr>
        <w:t xml:space="preserve"> </w:t>
      </w:r>
      <w:r>
        <w:rPr>
          <w:rFonts w:ascii="Times New Roman" w:hAnsi="Times New Roman"/>
          <w:szCs w:val="24"/>
        </w:rPr>
        <w:t>an IDI becomes</w:t>
      </w:r>
      <w:r w:rsidRPr="00480AA1">
        <w:rPr>
          <w:rFonts w:ascii="Times New Roman" w:hAnsi="Times New Roman"/>
          <w:szCs w:val="24"/>
        </w:rPr>
        <w:t xml:space="preserve"> in a troubled condition and</w:t>
      </w:r>
      <w:r>
        <w:rPr>
          <w:rFonts w:ascii="Times New Roman" w:hAnsi="Times New Roman"/>
          <w:szCs w:val="24"/>
        </w:rPr>
        <w:t xml:space="preserve">, therefore, </w:t>
      </w:r>
      <w:r w:rsidRPr="00480AA1">
        <w:rPr>
          <w:rFonts w:ascii="Times New Roman" w:hAnsi="Times New Roman"/>
          <w:szCs w:val="24"/>
        </w:rPr>
        <w:t>subject to Part 371. Conducting the collection less frequently would be at odds with the goals of the regulation of requiring maintenance of current records as to QFCs</w:t>
      </w:r>
      <w:r>
        <w:rPr>
          <w:rFonts w:ascii="Times New Roman" w:hAnsi="Times New Roman"/>
          <w:szCs w:val="24"/>
        </w:rPr>
        <w:t xml:space="preserve"> and would pose a significant risk to the Deposit Insurance Fund.</w:t>
      </w:r>
      <w:r w:rsidR="00732394">
        <w:rPr>
          <w:rFonts w:ascii="Times New Roman" w:hAnsi="Times New Roman"/>
          <w:szCs w:val="24"/>
        </w:rPr>
        <w:t xml:space="preserve"> </w:t>
      </w:r>
    </w:p>
    <w:p w:rsidR="00075A03" w:rsidRDefault="00075A03" w14:paraId="1B363FC0" w14:textId="77777777">
      <w:pPr>
        <w:rPr>
          <w:rFonts w:ascii="Times New Roman" w:hAnsi="Times New Roman"/>
          <w:szCs w:val="24"/>
        </w:rPr>
      </w:pPr>
    </w:p>
    <w:p w:rsidR="00075A03" w:rsidRDefault="00075A03" w14:paraId="0B386020" w14:textId="77777777">
      <w:pPr>
        <w:tabs>
          <w:tab w:val="left" w:pos="-1440"/>
        </w:tabs>
        <w:ind w:left="720" w:hanging="720"/>
        <w:outlineLvl w:val="0"/>
        <w:rPr>
          <w:rFonts w:ascii="Times New Roman" w:hAnsi="Times New Roman"/>
          <w:szCs w:val="24"/>
        </w:rPr>
      </w:pPr>
      <w:r>
        <w:rPr>
          <w:rFonts w:ascii="Times New Roman" w:hAnsi="Times New Roman"/>
          <w:szCs w:val="24"/>
        </w:rPr>
        <w:t xml:space="preserve">7. </w:t>
      </w:r>
      <w:r>
        <w:rPr>
          <w:rFonts w:ascii="Times New Roman" w:hAnsi="Times New Roman"/>
          <w:szCs w:val="24"/>
          <w:u w:val="single"/>
        </w:rPr>
        <w:t>Special circumstances necessitating collection inconsistent with 5 CFR Part 1320</w:t>
      </w:r>
      <w:r>
        <w:rPr>
          <w:rFonts w:ascii="Times New Roman" w:hAnsi="Times New Roman"/>
          <w:szCs w:val="24"/>
        </w:rPr>
        <w:t>:</w:t>
      </w:r>
    </w:p>
    <w:p w:rsidR="00075A03" w:rsidRDefault="00075A03" w14:paraId="0CCC6805" w14:textId="77777777">
      <w:pPr>
        <w:rPr>
          <w:rFonts w:ascii="Times New Roman" w:hAnsi="Times New Roman"/>
          <w:szCs w:val="24"/>
        </w:rPr>
      </w:pPr>
    </w:p>
    <w:p w:rsidRPr="00600EF6" w:rsidR="00600EF6" w:rsidP="00714F75" w:rsidRDefault="00075A03" w14:paraId="18BF4ABB" w14:textId="77777777">
      <w:pPr>
        <w:ind w:left="270"/>
        <w:rPr>
          <w:rFonts w:ascii="Times New Roman TUR" w:hAnsi="Times New Roman TUR" w:cs="Times New Roman TUR"/>
          <w:snapToGrid/>
        </w:rPr>
      </w:pPr>
      <w:r>
        <w:rPr>
          <w:rFonts w:ascii="Times New Roman" w:hAnsi="Times New Roman"/>
          <w:szCs w:val="24"/>
        </w:rPr>
        <w:t>None.</w:t>
      </w:r>
      <w:r w:rsidR="00600EF6">
        <w:rPr>
          <w:rFonts w:ascii="Times New Roman" w:hAnsi="Times New Roman"/>
          <w:szCs w:val="24"/>
        </w:rPr>
        <w:t xml:space="preserve">  </w:t>
      </w:r>
      <w:r w:rsidRPr="00714F75" w:rsidR="00600EF6">
        <w:rPr>
          <w:rFonts w:ascii="Times New Roman" w:hAnsi="Times New Roman"/>
        </w:rPr>
        <w:t>This</w:t>
      </w:r>
      <w:r w:rsidRPr="00600EF6" w:rsidR="00600EF6">
        <w:rPr>
          <w:rFonts w:ascii="Times New Roman TUR" w:hAnsi="Times New Roman TUR" w:cs="Times New Roman TUR"/>
          <w:snapToGrid/>
        </w:rPr>
        <w:t xml:space="preserve"> information collection is conducted in a manner consistent with the </w:t>
      </w:r>
      <w:r w:rsidRPr="00600EF6" w:rsidR="00600EF6">
        <w:rPr>
          <w:rFonts w:ascii="Times New Roman" w:hAnsi="Times New Roman"/>
          <w:szCs w:val="24"/>
        </w:rPr>
        <w:t>guidelines</w:t>
      </w:r>
      <w:r w:rsidRPr="00600EF6" w:rsidR="00600EF6">
        <w:rPr>
          <w:rFonts w:ascii="Times New Roman TUR" w:hAnsi="Times New Roman TUR" w:cs="Times New Roman TUR"/>
          <w:snapToGrid/>
        </w:rPr>
        <w:t xml:space="preserve"> in 5 CFR 1320.</w:t>
      </w:r>
    </w:p>
    <w:p w:rsidR="00075A03" w:rsidRDefault="00075A03" w14:paraId="7DA2A346" w14:textId="77777777">
      <w:pPr>
        <w:rPr>
          <w:rFonts w:ascii="Times New Roman" w:hAnsi="Times New Roman"/>
          <w:szCs w:val="24"/>
        </w:rPr>
      </w:pPr>
    </w:p>
    <w:p w:rsidR="00075A03" w:rsidRDefault="00075A03" w14:paraId="635EAF3C" w14:textId="77777777">
      <w:pPr>
        <w:tabs>
          <w:tab w:val="left" w:pos="-1440"/>
        </w:tabs>
        <w:ind w:left="720" w:hanging="720"/>
        <w:outlineLvl w:val="0"/>
        <w:rPr>
          <w:rFonts w:ascii="Times New Roman" w:hAnsi="Times New Roman"/>
          <w:szCs w:val="24"/>
        </w:rPr>
      </w:pPr>
      <w:r>
        <w:rPr>
          <w:rFonts w:ascii="Times New Roman" w:hAnsi="Times New Roman"/>
          <w:szCs w:val="24"/>
        </w:rPr>
        <w:t xml:space="preserve">8. </w:t>
      </w:r>
      <w:r>
        <w:rPr>
          <w:rFonts w:ascii="Times New Roman" w:hAnsi="Times New Roman"/>
          <w:szCs w:val="24"/>
          <w:u w:val="single"/>
        </w:rPr>
        <w:t>Efforts to consult with persons outside the agency</w:t>
      </w:r>
      <w:r>
        <w:rPr>
          <w:rFonts w:ascii="Times New Roman" w:hAnsi="Times New Roman"/>
          <w:szCs w:val="24"/>
        </w:rPr>
        <w:t>:</w:t>
      </w:r>
    </w:p>
    <w:p w:rsidR="00075A03" w:rsidRDefault="00075A03" w14:paraId="427585E9" w14:textId="77777777">
      <w:pPr>
        <w:rPr>
          <w:rFonts w:ascii="Times New Roman" w:hAnsi="Times New Roman"/>
          <w:szCs w:val="24"/>
        </w:rPr>
      </w:pPr>
    </w:p>
    <w:p w:rsidR="00075A03" w:rsidP="00714F75" w:rsidRDefault="00480AA1" w14:paraId="319F11D0" w14:textId="77777777">
      <w:pPr>
        <w:ind w:left="270"/>
        <w:rPr>
          <w:rFonts w:ascii="Times New Roman" w:hAnsi="Times New Roman"/>
          <w:szCs w:val="24"/>
        </w:rPr>
      </w:pPr>
      <w:r>
        <w:rPr>
          <w:rFonts w:ascii="Times New Roman" w:hAnsi="Times New Roman"/>
          <w:szCs w:val="24"/>
        </w:rPr>
        <w:t>In developing Part 371</w:t>
      </w:r>
      <w:r w:rsidRPr="00480AA1">
        <w:rPr>
          <w:rFonts w:ascii="Times New Roman" w:hAnsi="Times New Roman"/>
          <w:szCs w:val="24"/>
        </w:rPr>
        <w:t>, the FDIC consulted with the F</w:t>
      </w:r>
      <w:r>
        <w:rPr>
          <w:rFonts w:ascii="Times New Roman" w:hAnsi="Times New Roman"/>
          <w:szCs w:val="24"/>
        </w:rPr>
        <w:t>ederal Reserve Board and the Office of the Comptroller of the Currency</w:t>
      </w:r>
      <w:r w:rsidRPr="00480AA1">
        <w:rPr>
          <w:rFonts w:ascii="Times New Roman" w:hAnsi="Times New Roman"/>
          <w:szCs w:val="24"/>
        </w:rPr>
        <w:t xml:space="preserve">.  </w:t>
      </w:r>
      <w:r w:rsidR="000247CE">
        <w:rPr>
          <w:rFonts w:ascii="Times New Roman" w:hAnsi="Times New Roman"/>
          <w:szCs w:val="24"/>
        </w:rPr>
        <w:t>With respect to the renewal of this information collection, a</w:t>
      </w:r>
      <w:r w:rsidRPr="00600EF6" w:rsidR="00600EF6">
        <w:rPr>
          <w:rFonts w:ascii="Times New Roman" w:hAnsi="Times New Roman"/>
          <w:szCs w:val="24"/>
        </w:rPr>
        <w:t xml:space="preserve"> notice </w:t>
      </w:r>
      <w:r w:rsidRPr="00714F75" w:rsidR="00600EF6">
        <w:rPr>
          <w:rFonts w:ascii="Times New Roman" w:hAnsi="Times New Roman"/>
        </w:rPr>
        <w:t>seeking</w:t>
      </w:r>
      <w:r w:rsidRPr="00600EF6" w:rsidR="00600EF6">
        <w:rPr>
          <w:rFonts w:ascii="Times New Roman" w:hAnsi="Times New Roman"/>
          <w:szCs w:val="24"/>
        </w:rPr>
        <w:t xml:space="preserve"> public comment for a 60-day period was published in the </w:t>
      </w:r>
      <w:r w:rsidRPr="00600EF6" w:rsidR="00600EF6">
        <w:rPr>
          <w:rFonts w:ascii="Times New Roman" w:hAnsi="Times New Roman"/>
          <w:i/>
          <w:szCs w:val="24"/>
        </w:rPr>
        <w:t>Federal</w:t>
      </w:r>
      <w:r w:rsidRPr="00600EF6" w:rsidR="00600EF6">
        <w:rPr>
          <w:rFonts w:ascii="Times New Roman" w:hAnsi="Times New Roman"/>
          <w:szCs w:val="24"/>
        </w:rPr>
        <w:t xml:space="preserve"> </w:t>
      </w:r>
      <w:r w:rsidRPr="00600EF6" w:rsidR="00600EF6">
        <w:rPr>
          <w:rFonts w:ascii="Times New Roman" w:hAnsi="Times New Roman"/>
          <w:i/>
          <w:szCs w:val="24"/>
        </w:rPr>
        <w:t>Register</w:t>
      </w:r>
      <w:r w:rsidRPr="00600EF6" w:rsidR="00600EF6">
        <w:rPr>
          <w:rFonts w:ascii="Times New Roman" w:hAnsi="Times New Roman"/>
          <w:szCs w:val="24"/>
        </w:rPr>
        <w:t xml:space="preserve"> on </w:t>
      </w:r>
      <w:r w:rsidR="00600EF6">
        <w:rPr>
          <w:rFonts w:ascii="Times New Roman" w:hAnsi="Times New Roman"/>
          <w:szCs w:val="24"/>
        </w:rPr>
        <w:lastRenderedPageBreak/>
        <w:t>February 17, 2021 (86</w:t>
      </w:r>
      <w:r w:rsidRPr="00600EF6" w:rsidR="00600EF6">
        <w:rPr>
          <w:rFonts w:ascii="Times New Roman" w:hAnsi="Times New Roman"/>
          <w:szCs w:val="24"/>
        </w:rPr>
        <w:t xml:space="preserve"> FR </w:t>
      </w:r>
      <w:r w:rsidR="00E0181A">
        <w:rPr>
          <w:rFonts w:ascii="Times New Roman" w:hAnsi="Times New Roman"/>
          <w:szCs w:val="24"/>
        </w:rPr>
        <w:t>9935</w:t>
      </w:r>
      <w:r w:rsidRPr="00600EF6" w:rsidR="00600EF6">
        <w:rPr>
          <w:rFonts w:ascii="Times New Roman" w:hAnsi="Times New Roman"/>
          <w:szCs w:val="24"/>
        </w:rPr>
        <w:t xml:space="preserve">).  </w:t>
      </w:r>
      <w:r w:rsidR="0070148F">
        <w:rPr>
          <w:rFonts w:ascii="Times New Roman" w:hAnsi="Times New Roman"/>
          <w:szCs w:val="24"/>
        </w:rPr>
        <w:t xml:space="preserve">No comments were </w:t>
      </w:r>
      <w:r w:rsidR="00075A03">
        <w:rPr>
          <w:rFonts w:ascii="Times New Roman" w:hAnsi="Times New Roman"/>
          <w:szCs w:val="24"/>
        </w:rPr>
        <w:t>received.</w:t>
      </w:r>
    </w:p>
    <w:p w:rsidR="00075A03" w:rsidRDefault="00075A03" w14:paraId="3E7B2E0E" w14:textId="77777777">
      <w:pPr>
        <w:rPr>
          <w:rFonts w:ascii="Times New Roman" w:hAnsi="Times New Roman"/>
          <w:szCs w:val="24"/>
        </w:rPr>
      </w:pPr>
    </w:p>
    <w:p w:rsidR="00075A03" w:rsidRDefault="00075A03" w14:paraId="16A2B298" w14:textId="77777777">
      <w:pPr>
        <w:outlineLvl w:val="0"/>
        <w:rPr>
          <w:rFonts w:ascii="Times New Roman" w:hAnsi="Times New Roman"/>
          <w:szCs w:val="24"/>
        </w:rPr>
      </w:pPr>
      <w:r>
        <w:rPr>
          <w:rFonts w:ascii="Times New Roman" w:hAnsi="Times New Roman"/>
          <w:szCs w:val="24"/>
        </w:rPr>
        <w:t xml:space="preserve">9. </w:t>
      </w:r>
      <w:r>
        <w:rPr>
          <w:rFonts w:ascii="Times New Roman" w:hAnsi="Times New Roman"/>
          <w:szCs w:val="24"/>
          <w:u w:val="single"/>
        </w:rPr>
        <w:t>Payment to respondents</w:t>
      </w:r>
      <w:r>
        <w:rPr>
          <w:rFonts w:ascii="Times New Roman" w:hAnsi="Times New Roman"/>
          <w:szCs w:val="24"/>
        </w:rPr>
        <w:t>:</w:t>
      </w:r>
    </w:p>
    <w:p w:rsidR="00075A03" w:rsidRDefault="00075A03" w14:paraId="7AAA2D15" w14:textId="77777777">
      <w:pPr>
        <w:rPr>
          <w:rFonts w:ascii="Times New Roman" w:hAnsi="Times New Roman"/>
          <w:szCs w:val="24"/>
        </w:rPr>
      </w:pPr>
    </w:p>
    <w:p w:rsidR="00714F75" w:rsidP="00480AA1" w:rsidRDefault="00075A03" w14:paraId="6D9083D9" w14:textId="77777777">
      <w:pPr>
        <w:ind w:left="270"/>
        <w:rPr>
          <w:rFonts w:ascii="Times New Roman" w:hAnsi="Times New Roman"/>
          <w:szCs w:val="24"/>
        </w:rPr>
      </w:pPr>
      <w:r w:rsidRPr="00714F75">
        <w:rPr>
          <w:rFonts w:ascii="Times New Roman" w:hAnsi="Times New Roman"/>
        </w:rPr>
        <w:t>None</w:t>
      </w:r>
      <w:r>
        <w:rPr>
          <w:rFonts w:ascii="Times New Roman" w:hAnsi="Times New Roman"/>
          <w:szCs w:val="24"/>
        </w:rPr>
        <w:t>.</w:t>
      </w:r>
    </w:p>
    <w:p w:rsidR="00075A03" w:rsidRDefault="00075A03" w14:paraId="5C1F1A89" w14:textId="77777777">
      <w:pPr>
        <w:rPr>
          <w:rFonts w:ascii="Times New Roman" w:hAnsi="Times New Roman"/>
          <w:szCs w:val="24"/>
        </w:rPr>
      </w:pPr>
    </w:p>
    <w:p w:rsidR="00075A03" w:rsidRDefault="00075A03" w14:paraId="3049D99B" w14:textId="77777777">
      <w:pPr>
        <w:tabs>
          <w:tab w:val="left" w:pos="-1440"/>
        </w:tabs>
        <w:ind w:left="720" w:hanging="720"/>
        <w:outlineLvl w:val="0"/>
        <w:rPr>
          <w:rFonts w:ascii="Times New Roman" w:hAnsi="Times New Roman"/>
          <w:szCs w:val="24"/>
        </w:rPr>
      </w:pPr>
      <w:r>
        <w:rPr>
          <w:rFonts w:ascii="Times New Roman" w:hAnsi="Times New Roman"/>
          <w:szCs w:val="24"/>
        </w:rPr>
        <w:t xml:space="preserve">10. </w:t>
      </w:r>
      <w:r>
        <w:rPr>
          <w:rFonts w:ascii="Times New Roman" w:hAnsi="Times New Roman"/>
          <w:szCs w:val="24"/>
          <w:u w:val="single"/>
        </w:rPr>
        <w:t>Any assurance of confidentiality</w:t>
      </w:r>
      <w:r>
        <w:rPr>
          <w:rFonts w:ascii="Times New Roman" w:hAnsi="Times New Roman"/>
          <w:szCs w:val="24"/>
        </w:rPr>
        <w:t>:</w:t>
      </w:r>
    </w:p>
    <w:p w:rsidR="00075A03" w:rsidRDefault="00075A03" w14:paraId="1C2DCF00" w14:textId="77777777">
      <w:pPr>
        <w:rPr>
          <w:rFonts w:ascii="Times New Roman" w:hAnsi="Times New Roman"/>
          <w:szCs w:val="24"/>
        </w:rPr>
      </w:pPr>
    </w:p>
    <w:p w:rsidR="00075A03" w:rsidP="0086580D" w:rsidRDefault="0086580D" w14:paraId="246AF59D" w14:textId="77777777">
      <w:pPr>
        <w:ind w:left="270"/>
        <w:rPr>
          <w:rFonts w:ascii="Times New Roman" w:hAnsi="Times New Roman"/>
          <w:szCs w:val="24"/>
        </w:rPr>
      </w:pPr>
      <w:r w:rsidRPr="0086580D">
        <w:rPr>
          <w:rFonts w:ascii="Times New Roman" w:hAnsi="Times New Roman"/>
          <w:szCs w:val="24"/>
        </w:rPr>
        <w:t>The information will be kept private to the extent permitted by law.</w:t>
      </w:r>
    </w:p>
    <w:p w:rsidR="00075A03" w:rsidRDefault="00075A03" w14:paraId="365D4DDF" w14:textId="77777777">
      <w:pPr>
        <w:rPr>
          <w:rFonts w:ascii="Times New Roman" w:hAnsi="Times New Roman"/>
          <w:szCs w:val="24"/>
        </w:rPr>
      </w:pPr>
    </w:p>
    <w:p w:rsidR="00075A03" w:rsidRDefault="00075A03" w14:paraId="34812294" w14:textId="77777777">
      <w:pPr>
        <w:tabs>
          <w:tab w:val="left" w:pos="-1440"/>
        </w:tabs>
        <w:ind w:left="720" w:hanging="720"/>
        <w:outlineLvl w:val="0"/>
        <w:rPr>
          <w:rFonts w:ascii="Times New Roman" w:hAnsi="Times New Roman"/>
          <w:szCs w:val="24"/>
        </w:rPr>
      </w:pPr>
      <w:r>
        <w:rPr>
          <w:rFonts w:ascii="Times New Roman" w:hAnsi="Times New Roman"/>
          <w:szCs w:val="24"/>
        </w:rPr>
        <w:t xml:space="preserve">11. </w:t>
      </w:r>
      <w:r>
        <w:rPr>
          <w:rFonts w:ascii="Times New Roman" w:hAnsi="Times New Roman"/>
          <w:szCs w:val="24"/>
          <w:u w:val="single"/>
        </w:rPr>
        <w:t>Justification for questions of a sensitive nature</w:t>
      </w:r>
      <w:r>
        <w:rPr>
          <w:rFonts w:ascii="Times New Roman" w:hAnsi="Times New Roman"/>
          <w:szCs w:val="24"/>
        </w:rPr>
        <w:t>:</w:t>
      </w:r>
    </w:p>
    <w:p w:rsidR="00075A03" w:rsidRDefault="00075A03" w14:paraId="591854F1" w14:textId="77777777">
      <w:pPr>
        <w:rPr>
          <w:rFonts w:ascii="Times New Roman" w:hAnsi="Times New Roman"/>
          <w:szCs w:val="24"/>
        </w:rPr>
      </w:pPr>
    </w:p>
    <w:p w:rsidR="00075A03" w:rsidP="00714F75" w:rsidRDefault="00714F75" w14:paraId="157F7ED7" w14:textId="77777777">
      <w:pPr>
        <w:ind w:left="270"/>
        <w:rPr>
          <w:rFonts w:ascii="Times New Roman" w:hAnsi="Times New Roman"/>
          <w:szCs w:val="24"/>
        </w:rPr>
      </w:pPr>
      <w:r w:rsidRPr="00714F75">
        <w:rPr>
          <w:rFonts w:ascii="Times New Roman" w:hAnsi="Times New Roman"/>
          <w:szCs w:val="24"/>
        </w:rPr>
        <w:t xml:space="preserve">This </w:t>
      </w:r>
      <w:r w:rsidRPr="00714F75">
        <w:rPr>
          <w:rFonts w:ascii="Times New Roman" w:hAnsi="Times New Roman"/>
        </w:rPr>
        <w:t>collection</w:t>
      </w:r>
      <w:r w:rsidRPr="00714F75">
        <w:rPr>
          <w:rFonts w:ascii="Times New Roman" w:hAnsi="Times New Roman"/>
          <w:szCs w:val="24"/>
        </w:rPr>
        <w:t xml:space="preserve"> contains no sensitive information.</w:t>
      </w:r>
    </w:p>
    <w:p w:rsidR="00714F75" w:rsidRDefault="00714F75" w14:paraId="5731B70D" w14:textId="77777777">
      <w:pPr>
        <w:rPr>
          <w:rFonts w:ascii="Times New Roman" w:hAnsi="Times New Roman"/>
          <w:szCs w:val="24"/>
        </w:rPr>
      </w:pPr>
    </w:p>
    <w:p w:rsidRPr="00714F75" w:rsidR="00075A03" w:rsidP="00714F75" w:rsidRDefault="00075A03" w14:paraId="2948495D" w14:textId="77777777">
      <w:pPr>
        <w:autoSpaceDE w:val="0"/>
        <w:autoSpaceDN w:val="0"/>
        <w:adjustRightInd w:val="0"/>
        <w:rPr>
          <w:rFonts w:ascii="Times New Roman" w:hAnsi="Times New Roman"/>
          <w:snapToGrid/>
          <w:spacing w:val="-3"/>
          <w:szCs w:val="24"/>
        </w:rPr>
      </w:pPr>
      <w:r>
        <w:rPr>
          <w:rFonts w:ascii="Times New Roman" w:hAnsi="Times New Roman"/>
          <w:szCs w:val="24"/>
        </w:rPr>
        <w:t xml:space="preserve">12. </w:t>
      </w:r>
      <w:r w:rsidRPr="00714F75" w:rsidR="00714F75">
        <w:rPr>
          <w:rFonts w:ascii="Times New Roman" w:hAnsi="Times New Roman"/>
          <w:snapToGrid/>
          <w:spacing w:val="-3"/>
          <w:szCs w:val="24"/>
          <w:u w:val="single"/>
        </w:rPr>
        <w:t>Estimates o</w:t>
      </w:r>
      <w:r w:rsidR="00714F75">
        <w:rPr>
          <w:rFonts w:ascii="Times New Roman" w:hAnsi="Times New Roman"/>
          <w:snapToGrid/>
          <w:spacing w:val="-3"/>
          <w:szCs w:val="24"/>
          <w:u w:val="single"/>
        </w:rPr>
        <w:t>f Hour Burden and Annualized Cos</w:t>
      </w:r>
      <w:r w:rsidRPr="00714F75" w:rsidR="00714F75">
        <w:rPr>
          <w:rFonts w:ascii="Times New Roman" w:hAnsi="Times New Roman"/>
          <w:snapToGrid/>
          <w:spacing w:val="-3"/>
          <w:szCs w:val="24"/>
          <w:u w:val="single"/>
        </w:rPr>
        <w:t>t</w:t>
      </w:r>
      <w:r w:rsidR="00714F75">
        <w:rPr>
          <w:rFonts w:ascii="Times New Roman" w:hAnsi="Times New Roman"/>
          <w:snapToGrid/>
          <w:spacing w:val="-3"/>
          <w:szCs w:val="24"/>
        </w:rPr>
        <w:t>:</w:t>
      </w:r>
    </w:p>
    <w:p w:rsidR="00075A03" w:rsidRDefault="00075A03" w14:paraId="55332DE1" w14:textId="77777777">
      <w:pPr>
        <w:rPr>
          <w:rFonts w:ascii="Times New Roman" w:hAnsi="Times New Roman"/>
        </w:rPr>
      </w:pPr>
      <w:r>
        <w:rPr>
          <w:rFonts w:ascii="Times New Roman" w:hAnsi="Times New Roman"/>
        </w:rPr>
        <w:t xml:space="preserve"> </w:t>
      </w:r>
    </w:p>
    <w:p w:rsidRPr="00AB19B9" w:rsidR="00AB19B9" w:rsidP="00AB19B9" w:rsidRDefault="00AB19B9" w14:paraId="2773FA50" w14:textId="1E884702">
      <w:pPr>
        <w:ind w:left="270"/>
        <w:rPr>
          <w:rFonts w:ascii="Times New Roman" w:hAnsi="Times New Roman"/>
          <w:lang w:bidi="en-US"/>
        </w:rPr>
      </w:pPr>
      <w:r w:rsidRPr="00AB19B9">
        <w:rPr>
          <w:rFonts w:ascii="Times New Roman" w:hAnsi="Times New Roman"/>
          <w:u w:val="single"/>
          <w:lang w:bidi="en-US"/>
        </w:rPr>
        <w:t>Revisions</w:t>
      </w:r>
      <w:r w:rsidRPr="00AB19B9">
        <w:rPr>
          <w:rFonts w:ascii="Times New Roman" w:hAnsi="Times New Roman"/>
          <w:lang w:bidi="en-US"/>
        </w:rPr>
        <w:t xml:space="preserve"> </w:t>
      </w:r>
      <w:r w:rsidRPr="00AB19B9" w:rsidR="001E24ED">
        <w:rPr>
          <w:rFonts w:ascii="Times New Roman" w:hAnsi="Times New Roman"/>
          <w:lang w:bidi="en-US"/>
        </w:rPr>
        <w:t>-</w:t>
      </w:r>
      <w:r w:rsidR="001E24ED">
        <w:rPr>
          <w:rFonts w:ascii="Times New Roman" w:hAnsi="Times New Roman"/>
          <w:lang w:bidi="en-US"/>
        </w:rPr>
        <w:t xml:space="preserve"> For</w:t>
      </w:r>
      <w:r w:rsidRPr="00AB19B9">
        <w:rPr>
          <w:rFonts w:ascii="Times New Roman" w:hAnsi="Times New Roman"/>
          <w:lang w:bidi="en-US"/>
        </w:rPr>
        <w:t xml:space="preserve"> </w:t>
      </w:r>
      <w:r>
        <w:rPr>
          <w:rFonts w:ascii="Times New Roman" w:hAnsi="Times New Roman"/>
          <w:lang w:bidi="en-US"/>
        </w:rPr>
        <w:t xml:space="preserve">the renewal of </w:t>
      </w:r>
      <w:r w:rsidRPr="00AB19B9">
        <w:rPr>
          <w:rFonts w:ascii="Times New Roman" w:hAnsi="Times New Roman"/>
          <w:lang w:bidi="en-US"/>
        </w:rPr>
        <w:t xml:space="preserve">this </w:t>
      </w:r>
      <w:r>
        <w:rPr>
          <w:rFonts w:ascii="Times New Roman" w:hAnsi="Times New Roman"/>
          <w:lang w:bidi="en-US"/>
        </w:rPr>
        <w:t>information collection</w:t>
      </w:r>
      <w:r w:rsidRPr="00AB19B9">
        <w:rPr>
          <w:rFonts w:ascii="Times New Roman" w:hAnsi="Times New Roman"/>
          <w:lang w:bidi="en-US"/>
        </w:rPr>
        <w:t xml:space="preserve">, </w:t>
      </w:r>
      <w:r>
        <w:rPr>
          <w:rFonts w:ascii="Times New Roman" w:hAnsi="Times New Roman"/>
          <w:lang w:bidi="en-US"/>
        </w:rPr>
        <w:t>the FDIC</w:t>
      </w:r>
      <w:r w:rsidRPr="00AB19B9">
        <w:rPr>
          <w:rFonts w:ascii="Times New Roman" w:hAnsi="Times New Roman"/>
          <w:lang w:bidi="en-US"/>
        </w:rPr>
        <w:t xml:space="preserve"> determined that the </w:t>
      </w:r>
      <w:r w:rsidR="001E24ED">
        <w:rPr>
          <w:rFonts w:ascii="Times New Roman" w:hAnsi="Times New Roman"/>
          <w:lang w:bidi="en-US"/>
        </w:rPr>
        <w:t xml:space="preserve">burden estimation </w:t>
      </w:r>
      <w:r w:rsidRPr="00AB19B9">
        <w:rPr>
          <w:rFonts w:ascii="Times New Roman" w:hAnsi="Times New Roman"/>
          <w:lang w:bidi="en-US"/>
        </w:rPr>
        <w:t xml:space="preserve">methodology should be </w:t>
      </w:r>
      <w:r w:rsidR="001E24ED">
        <w:rPr>
          <w:rFonts w:ascii="Times New Roman" w:hAnsi="Times New Roman"/>
          <w:lang w:bidi="en-US"/>
        </w:rPr>
        <w:t>revised</w:t>
      </w:r>
      <w:r w:rsidRPr="00AB19B9">
        <w:rPr>
          <w:rFonts w:ascii="Times New Roman" w:hAnsi="Times New Roman"/>
          <w:lang w:bidi="en-US"/>
        </w:rPr>
        <w:t xml:space="preserve"> to separate the</w:t>
      </w:r>
      <w:r w:rsidR="00735F23">
        <w:rPr>
          <w:rFonts w:ascii="Times New Roman" w:hAnsi="Times New Roman"/>
          <w:lang w:bidi="en-US"/>
        </w:rPr>
        <w:t xml:space="preserve"> implementation</w:t>
      </w:r>
      <w:r w:rsidRPr="00AB19B9">
        <w:rPr>
          <w:rFonts w:ascii="Times New Roman" w:hAnsi="Times New Roman"/>
          <w:lang w:bidi="en-US"/>
        </w:rPr>
        <w:t xml:space="preserve"> burden estimates for those entities that are newly subject to Part 371’s recordkeeping </w:t>
      </w:r>
      <w:r w:rsidRPr="00AB19B9">
        <w:rPr>
          <w:rFonts w:ascii="Times New Roman" w:hAnsi="Times New Roman"/>
          <w:szCs w:val="24"/>
        </w:rPr>
        <w:t>requirements</w:t>
      </w:r>
      <w:r w:rsidRPr="00AB19B9">
        <w:rPr>
          <w:rFonts w:ascii="Times New Roman" w:hAnsi="Times New Roman"/>
          <w:lang w:bidi="en-US"/>
        </w:rPr>
        <w:t xml:space="preserve"> and </w:t>
      </w:r>
      <w:r w:rsidR="00735F23">
        <w:rPr>
          <w:rFonts w:ascii="Times New Roman" w:hAnsi="Times New Roman"/>
          <w:lang w:bidi="en-US"/>
        </w:rPr>
        <w:t xml:space="preserve">the lesser ongoing burden </w:t>
      </w:r>
      <w:r w:rsidRPr="00AB19B9">
        <w:rPr>
          <w:rFonts w:ascii="Times New Roman" w:hAnsi="Times New Roman"/>
          <w:lang w:bidi="en-US"/>
        </w:rPr>
        <w:t>for those entities that only need to maintain their existing compliance</w:t>
      </w:r>
      <w:r w:rsidR="00735F23">
        <w:rPr>
          <w:rFonts w:ascii="Times New Roman" w:hAnsi="Times New Roman"/>
          <w:lang w:bidi="en-US"/>
        </w:rPr>
        <w:t xml:space="preserve"> with Part 371</w:t>
      </w:r>
      <w:r w:rsidRPr="00AB19B9">
        <w:rPr>
          <w:rFonts w:ascii="Times New Roman" w:hAnsi="Times New Roman"/>
          <w:lang w:bidi="en-US"/>
        </w:rPr>
        <w:t>.</w:t>
      </w:r>
      <w:r>
        <w:rPr>
          <w:rFonts w:ascii="Times New Roman" w:hAnsi="Times New Roman"/>
          <w:lang w:bidi="en-US"/>
        </w:rPr>
        <w:t xml:space="preserve"> </w:t>
      </w:r>
      <w:r w:rsidRPr="00AB19B9">
        <w:rPr>
          <w:rFonts w:ascii="Times New Roman" w:hAnsi="Times New Roman"/>
          <w:lang w:bidi="en-US"/>
        </w:rPr>
        <w:t xml:space="preserve"> This split applies to both the set of Full Scope Entities and th</w:t>
      </w:r>
      <w:r w:rsidR="00735F23">
        <w:rPr>
          <w:rFonts w:ascii="Times New Roman" w:hAnsi="Times New Roman"/>
          <w:lang w:bidi="en-US"/>
        </w:rPr>
        <w:t xml:space="preserve">e set of Limited Scope Entities. The implementation burden estimates continue to include reporting burden for the application for extension of time to comply with Part 371 requirements.  </w:t>
      </w:r>
      <w:r w:rsidR="003436A1">
        <w:rPr>
          <w:rFonts w:ascii="Times New Roman" w:hAnsi="Times New Roman"/>
          <w:lang w:bidi="en-US"/>
        </w:rPr>
        <w:t>FD</w:t>
      </w:r>
      <w:r w:rsidR="00735F23">
        <w:rPr>
          <w:rFonts w:ascii="Times New Roman" w:hAnsi="Times New Roman"/>
          <w:lang w:bidi="en-US"/>
        </w:rPr>
        <w:t xml:space="preserve">IC records indicate that FDIC has never received a request for an extension of time under Part 371 and is showing one respondent for this IC to preserve the </w:t>
      </w:r>
      <w:r w:rsidR="003436A1">
        <w:rPr>
          <w:rFonts w:ascii="Times New Roman" w:hAnsi="Times New Roman"/>
          <w:lang w:bidi="en-US"/>
        </w:rPr>
        <w:t xml:space="preserve">reporting </w:t>
      </w:r>
      <w:r w:rsidR="00735F23">
        <w:rPr>
          <w:rFonts w:ascii="Times New Roman" w:hAnsi="Times New Roman"/>
          <w:lang w:bidi="en-US"/>
        </w:rPr>
        <w:t xml:space="preserve">burden estimate in the event an institution elects to submit such </w:t>
      </w:r>
      <w:r w:rsidR="00ED0D67">
        <w:rPr>
          <w:rFonts w:ascii="Times New Roman" w:hAnsi="Times New Roman"/>
          <w:lang w:bidi="en-US"/>
        </w:rPr>
        <w:t xml:space="preserve">a </w:t>
      </w:r>
      <w:r w:rsidR="00735F23">
        <w:rPr>
          <w:rFonts w:ascii="Times New Roman" w:hAnsi="Times New Roman"/>
          <w:lang w:bidi="en-US"/>
        </w:rPr>
        <w:t xml:space="preserve">request in the future. </w:t>
      </w:r>
    </w:p>
    <w:p w:rsidRPr="001E24ED" w:rsidR="001E24ED" w:rsidP="001E24ED" w:rsidRDefault="001E24ED" w14:paraId="2756A648" w14:textId="77777777">
      <w:pPr>
        <w:rPr>
          <w:rFonts w:ascii="Times New Roman" w:hAnsi="Times New Roman"/>
          <w:b/>
          <w:lang w:bidi="en-US"/>
        </w:rPr>
      </w:pPr>
    </w:p>
    <w:p w:rsidRPr="001E24ED" w:rsidR="001E24ED" w:rsidP="001E24ED" w:rsidRDefault="001E24ED" w14:paraId="4235DC1E" w14:textId="77777777">
      <w:pPr>
        <w:ind w:left="270"/>
        <w:rPr>
          <w:rFonts w:ascii="Times New Roman" w:hAnsi="Times New Roman"/>
          <w:lang w:bidi="en-US"/>
        </w:rPr>
      </w:pPr>
      <w:r>
        <w:rPr>
          <w:rFonts w:ascii="Times New Roman" w:hAnsi="Times New Roman"/>
          <w:u w:val="single"/>
          <w:lang w:bidi="en-US"/>
        </w:rPr>
        <w:t xml:space="preserve">Estimated Number of Respondents and </w:t>
      </w:r>
      <w:r w:rsidRPr="001E24ED">
        <w:rPr>
          <w:rFonts w:ascii="Times New Roman" w:hAnsi="Times New Roman"/>
          <w:u w:val="single"/>
          <w:lang w:bidi="en-US"/>
        </w:rPr>
        <w:t>Responses</w:t>
      </w:r>
      <w:r>
        <w:rPr>
          <w:rFonts w:ascii="Times New Roman" w:hAnsi="Times New Roman"/>
          <w:lang w:bidi="en-US"/>
        </w:rPr>
        <w:t xml:space="preserve"> - </w:t>
      </w:r>
      <w:r w:rsidRPr="001E24ED">
        <w:rPr>
          <w:rFonts w:ascii="Times New Roman" w:hAnsi="Times New Roman"/>
          <w:lang w:bidi="en-US"/>
        </w:rPr>
        <w:t>Potential</w:t>
      </w:r>
      <w:r>
        <w:rPr>
          <w:rFonts w:ascii="Times New Roman" w:hAnsi="Times New Roman"/>
          <w:lang w:bidi="en-US"/>
        </w:rPr>
        <w:t xml:space="preserve"> respondents to this information collection</w:t>
      </w:r>
      <w:r w:rsidRPr="001E24ED">
        <w:rPr>
          <w:rFonts w:ascii="Times New Roman" w:hAnsi="Times New Roman"/>
          <w:lang w:bidi="en-US"/>
        </w:rPr>
        <w:t xml:space="preserve"> are all </w:t>
      </w:r>
      <w:r>
        <w:rPr>
          <w:rFonts w:ascii="Times New Roman" w:hAnsi="Times New Roman"/>
          <w:lang w:bidi="en-US"/>
        </w:rPr>
        <w:t>FDIC-insured depository institutions (IDIs)</w:t>
      </w:r>
      <w:r w:rsidRPr="001E24ED">
        <w:rPr>
          <w:rFonts w:ascii="Times New Roman" w:hAnsi="Times New Roman"/>
          <w:lang w:bidi="en-US"/>
        </w:rPr>
        <w:t>. As of December 31, 2020, there are 5,010 IDIs.</w:t>
      </w:r>
      <w:r w:rsidRPr="001E24ED">
        <w:rPr>
          <w:rFonts w:ascii="Times New Roman" w:hAnsi="Times New Roman"/>
          <w:vertAlign w:val="superscript"/>
          <w:lang w:bidi="en-US"/>
        </w:rPr>
        <w:footnoteReference w:id="1"/>
      </w:r>
      <w:r w:rsidRPr="001E24ED">
        <w:rPr>
          <w:rFonts w:ascii="Times New Roman" w:hAnsi="Times New Roman"/>
          <w:lang w:bidi="en-US"/>
        </w:rPr>
        <w:t xml:space="preserve"> Of these </w:t>
      </w:r>
      <w:r>
        <w:rPr>
          <w:rFonts w:ascii="Times New Roman" w:hAnsi="Times New Roman"/>
          <w:lang w:bidi="en-US"/>
        </w:rPr>
        <w:t>institutions</w:t>
      </w:r>
      <w:r w:rsidRPr="001E24ED">
        <w:rPr>
          <w:rFonts w:ascii="Times New Roman" w:hAnsi="Times New Roman"/>
          <w:lang w:bidi="en-US"/>
        </w:rPr>
        <w:t>, 3,500 are considered “small” for purposes of the Regulatory Flexibility Act (RFA).</w:t>
      </w:r>
      <w:r w:rsidRPr="001E24ED">
        <w:rPr>
          <w:rFonts w:ascii="Times New Roman" w:hAnsi="Times New Roman"/>
          <w:vertAlign w:val="superscript"/>
          <w:lang w:bidi="en-US"/>
        </w:rPr>
        <w:footnoteReference w:id="2"/>
      </w:r>
      <w:r w:rsidRPr="001E24ED">
        <w:rPr>
          <w:rFonts w:ascii="Times New Roman" w:hAnsi="Times New Roman"/>
          <w:lang w:bidi="en-US"/>
        </w:rPr>
        <w:t xml:space="preserve">  </w:t>
      </w:r>
      <w:r>
        <w:rPr>
          <w:rFonts w:ascii="Times New Roman" w:hAnsi="Times New Roman"/>
          <w:lang w:bidi="en-US"/>
        </w:rPr>
        <w:t>An IDI is subject to this information collection</w:t>
      </w:r>
      <w:r w:rsidR="00580A1F">
        <w:rPr>
          <w:rFonts w:ascii="Times New Roman" w:hAnsi="Times New Roman"/>
          <w:lang w:bidi="en-US"/>
        </w:rPr>
        <w:t xml:space="preserve"> </w:t>
      </w:r>
      <w:r w:rsidRPr="001E24ED">
        <w:rPr>
          <w:rFonts w:ascii="Times New Roman" w:hAnsi="Times New Roman"/>
          <w:lang w:bidi="en-US"/>
        </w:rPr>
        <w:t xml:space="preserve">if it has received written notice from the IDI’s appropriate Federal banking agency or the FDIC that it is in a troubled condition and written notice from the FDIC that it is subject to the </w:t>
      </w:r>
      <w:r>
        <w:rPr>
          <w:rFonts w:ascii="Times New Roman" w:hAnsi="Times New Roman"/>
          <w:lang w:bidi="en-US"/>
        </w:rPr>
        <w:t xml:space="preserve">reporting and </w:t>
      </w:r>
      <w:r w:rsidRPr="001E24ED">
        <w:rPr>
          <w:rFonts w:ascii="Times New Roman" w:hAnsi="Times New Roman"/>
          <w:lang w:bidi="en-US"/>
        </w:rPr>
        <w:t xml:space="preserve">recordkeeping requirements of </w:t>
      </w:r>
      <w:r>
        <w:rPr>
          <w:rFonts w:ascii="Times New Roman" w:hAnsi="Times New Roman"/>
          <w:lang w:bidi="en-US"/>
        </w:rPr>
        <w:t>Part 371</w:t>
      </w:r>
      <w:r w:rsidRPr="001E24ED">
        <w:rPr>
          <w:rFonts w:ascii="Times New Roman" w:hAnsi="Times New Roman"/>
          <w:lang w:bidi="en-US"/>
        </w:rPr>
        <w:t xml:space="preserve"> (together, a “QFC Notification”).</w:t>
      </w:r>
      <w:r w:rsidRPr="001E24ED">
        <w:rPr>
          <w:rFonts w:ascii="Times New Roman" w:hAnsi="Times New Roman"/>
          <w:vertAlign w:val="superscript"/>
          <w:lang w:bidi="en-US"/>
        </w:rPr>
        <w:footnoteReference w:id="3"/>
      </w:r>
      <w:r w:rsidRPr="001E24ED">
        <w:rPr>
          <w:rFonts w:ascii="Times New Roman" w:hAnsi="Times New Roman"/>
          <w:lang w:bidi="en-US"/>
        </w:rPr>
        <w:t xml:space="preserve">  </w:t>
      </w:r>
      <w:r w:rsidR="00580A1F">
        <w:rPr>
          <w:rFonts w:ascii="Times New Roman" w:hAnsi="Times New Roman"/>
          <w:lang w:bidi="en-US"/>
        </w:rPr>
        <w:t>The FDIC has</w:t>
      </w:r>
      <w:r w:rsidRPr="001E24ED">
        <w:rPr>
          <w:rFonts w:ascii="Times New Roman" w:hAnsi="Times New Roman"/>
          <w:lang w:bidi="en-US"/>
        </w:rPr>
        <w:t xml:space="preserve"> identified 621 IDIs that were issued QFC Notifications between December 2008 and July </w:t>
      </w:r>
      <w:r w:rsidRPr="001E24ED">
        <w:rPr>
          <w:rFonts w:ascii="Times New Roman" w:hAnsi="Times New Roman"/>
          <w:lang w:bidi="en-US"/>
        </w:rPr>
        <w:lastRenderedPageBreak/>
        <w:t>2020,</w:t>
      </w:r>
      <w:r w:rsidRPr="001E24ED">
        <w:rPr>
          <w:rFonts w:ascii="Times New Roman" w:hAnsi="Times New Roman"/>
          <w:vertAlign w:val="superscript"/>
          <w:lang w:bidi="en-US"/>
        </w:rPr>
        <w:footnoteReference w:id="4"/>
      </w:r>
      <w:r w:rsidRPr="001E24ED">
        <w:rPr>
          <w:rFonts w:ascii="Times New Roman" w:hAnsi="Times New Roman"/>
          <w:lang w:bidi="en-US"/>
        </w:rPr>
        <w:t xml:space="preserve"> for an average of 52 QFC Notifications per year.  Of these, 51 notifications would have been to Limited Scope Entities and 1 would have been to a Full Scope Entity under </w:t>
      </w:r>
      <w:r w:rsidR="00580A1F">
        <w:rPr>
          <w:rFonts w:ascii="Times New Roman" w:hAnsi="Times New Roman"/>
          <w:lang w:bidi="en-US"/>
        </w:rPr>
        <w:t>Part 371</w:t>
      </w:r>
      <w:r w:rsidRPr="001E24ED">
        <w:rPr>
          <w:rFonts w:ascii="Times New Roman" w:hAnsi="Times New Roman"/>
          <w:lang w:bidi="en-US"/>
        </w:rPr>
        <w:t>.</w:t>
      </w:r>
      <w:r w:rsidRPr="001E24ED">
        <w:rPr>
          <w:rFonts w:ascii="Times New Roman" w:hAnsi="Times New Roman"/>
          <w:vertAlign w:val="superscript"/>
          <w:lang w:bidi="en-US"/>
        </w:rPr>
        <w:footnoteReference w:id="5"/>
      </w:r>
      <w:r w:rsidRPr="001E24ED">
        <w:rPr>
          <w:rFonts w:ascii="Times New Roman" w:hAnsi="Times New Roman"/>
          <w:lang w:bidi="en-US"/>
        </w:rPr>
        <w:t xml:space="preserve"> Approximately 361 notifications, or 30 notifications per year, would be to IDIs considered “small” for purposes of the RFA.</w:t>
      </w:r>
      <w:r w:rsidRPr="001E24ED">
        <w:rPr>
          <w:rFonts w:ascii="Times New Roman" w:hAnsi="Times New Roman"/>
          <w:vertAlign w:val="superscript"/>
          <w:lang w:bidi="en-US"/>
        </w:rPr>
        <w:footnoteReference w:id="6"/>
      </w:r>
    </w:p>
    <w:p w:rsidR="00580A1F" w:rsidP="001E24ED" w:rsidRDefault="00580A1F" w14:paraId="274A3B13" w14:textId="77777777">
      <w:pPr>
        <w:rPr>
          <w:rFonts w:ascii="Times New Roman" w:hAnsi="Times New Roman"/>
          <w:lang w:bidi="en-US"/>
        </w:rPr>
      </w:pPr>
    </w:p>
    <w:p w:rsidRPr="001E24ED" w:rsidR="001E24ED" w:rsidP="00580A1F" w:rsidRDefault="001E24ED" w14:paraId="65C90903" w14:textId="123D9A70">
      <w:pPr>
        <w:ind w:left="270"/>
        <w:rPr>
          <w:rFonts w:ascii="Times New Roman" w:hAnsi="Times New Roman"/>
          <w:lang w:bidi="en-US"/>
        </w:rPr>
      </w:pPr>
      <w:r w:rsidRPr="001E24ED">
        <w:rPr>
          <w:rFonts w:ascii="Times New Roman" w:hAnsi="Times New Roman"/>
          <w:lang w:bidi="en-US"/>
        </w:rPr>
        <w:t xml:space="preserve">Based on the average annual number of IDIs that were issued QFC Notifications over the twelve year period, the </w:t>
      </w:r>
      <w:r w:rsidR="00580A1F">
        <w:rPr>
          <w:rFonts w:ascii="Times New Roman" w:hAnsi="Times New Roman"/>
          <w:lang w:bidi="en-US"/>
        </w:rPr>
        <w:t>FDIC</w:t>
      </w:r>
      <w:r w:rsidRPr="001E24ED">
        <w:rPr>
          <w:rFonts w:ascii="Times New Roman" w:hAnsi="Times New Roman"/>
          <w:lang w:bidi="en-US"/>
        </w:rPr>
        <w:t xml:space="preserve"> estimate</w:t>
      </w:r>
      <w:r w:rsidR="00580A1F">
        <w:rPr>
          <w:rFonts w:ascii="Times New Roman" w:hAnsi="Times New Roman"/>
          <w:lang w:bidi="en-US"/>
        </w:rPr>
        <w:t>s</w:t>
      </w:r>
      <w:r w:rsidRPr="001E24ED">
        <w:rPr>
          <w:rFonts w:ascii="Times New Roman" w:hAnsi="Times New Roman"/>
          <w:lang w:bidi="en-US"/>
        </w:rPr>
        <w:t xml:space="preserve"> </w:t>
      </w:r>
      <w:r w:rsidR="00580A1F">
        <w:rPr>
          <w:rFonts w:ascii="Times New Roman" w:hAnsi="Times New Roman"/>
          <w:lang w:bidi="en-US"/>
        </w:rPr>
        <w:t>that</w:t>
      </w:r>
      <w:r w:rsidRPr="001E24ED">
        <w:rPr>
          <w:rFonts w:ascii="Times New Roman" w:hAnsi="Times New Roman"/>
          <w:lang w:bidi="en-US"/>
        </w:rPr>
        <w:t xml:space="preserve"> 51 Limited Scope Entities and 1 Full Scope Entity would receive a QFC notification and be subject to </w:t>
      </w:r>
      <w:r w:rsidR="004510A8">
        <w:rPr>
          <w:rFonts w:ascii="Times New Roman" w:hAnsi="Times New Roman"/>
          <w:lang w:bidi="en-US"/>
        </w:rPr>
        <w:t>implementation burden</w:t>
      </w:r>
      <w:r w:rsidRPr="001E24ED">
        <w:rPr>
          <w:rFonts w:ascii="Times New Roman" w:hAnsi="Times New Roman"/>
          <w:lang w:bidi="en-US"/>
        </w:rPr>
        <w:t>.</w:t>
      </w:r>
    </w:p>
    <w:p w:rsidR="00580A1F" w:rsidP="001E24ED" w:rsidRDefault="00580A1F" w14:paraId="6C6BB25F" w14:textId="77777777">
      <w:pPr>
        <w:rPr>
          <w:rFonts w:ascii="Times New Roman" w:hAnsi="Times New Roman"/>
          <w:lang w:bidi="en-US"/>
        </w:rPr>
      </w:pPr>
    </w:p>
    <w:p w:rsidRPr="001E24ED" w:rsidR="001E24ED" w:rsidP="00580A1F" w:rsidRDefault="00580A1F" w14:paraId="7AA6D122" w14:textId="77777777">
      <w:pPr>
        <w:ind w:left="270"/>
        <w:rPr>
          <w:rFonts w:ascii="Times New Roman" w:hAnsi="Times New Roman"/>
          <w:lang w:bidi="en-US"/>
        </w:rPr>
      </w:pPr>
      <w:r>
        <w:rPr>
          <w:rFonts w:ascii="Times New Roman" w:hAnsi="Times New Roman"/>
          <w:lang w:bidi="en-US"/>
        </w:rPr>
        <w:t>T</w:t>
      </w:r>
      <w:r w:rsidRPr="001E24ED" w:rsidR="001E24ED">
        <w:rPr>
          <w:rFonts w:ascii="Times New Roman" w:hAnsi="Times New Roman"/>
          <w:lang w:bidi="en-US"/>
        </w:rPr>
        <w:t xml:space="preserve">o estimate the number of IDIs that </w:t>
      </w:r>
      <w:r>
        <w:rPr>
          <w:rFonts w:ascii="Times New Roman" w:hAnsi="Times New Roman"/>
          <w:lang w:bidi="en-US"/>
        </w:rPr>
        <w:t xml:space="preserve">will </w:t>
      </w:r>
      <w:r w:rsidRPr="001E24ED" w:rsidR="001E24ED">
        <w:rPr>
          <w:rFonts w:ascii="Times New Roman" w:hAnsi="Times New Roman"/>
          <w:lang w:bidi="en-US"/>
        </w:rPr>
        <w:t>be subject to Part 371</w:t>
      </w:r>
      <w:r>
        <w:rPr>
          <w:rFonts w:ascii="Times New Roman" w:hAnsi="Times New Roman"/>
          <w:lang w:bidi="en-US"/>
        </w:rPr>
        <w:t xml:space="preserve"> on an ongoing basis</w:t>
      </w:r>
      <w:r w:rsidRPr="001E24ED" w:rsidR="001E24ED">
        <w:rPr>
          <w:rFonts w:ascii="Times New Roman" w:hAnsi="Times New Roman"/>
          <w:lang w:bidi="en-US"/>
        </w:rPr>
        <w:t xml:space="preserve">, the </w:t>
      </w:r>
      <w:r>
        <w:rPr>
          <w:rFonts w:ascii="Times New Roman" w:hAnsi="Times New Roman"/>
          <w:lang w:bidi="en-US"/>
        </w:rPr>
        <w:t xml:space="preserve">FDIC </w:t>
      </w:r>
      <w:r w:rsidRPr="001E24ED" w:rsidR="001E24ED">
        <w:rPr>
          <w:rFonts w:ascii="Times New Roman" w:hAnsi="Times New Roman"/>
          <w:lang w:bidi="en-US"/>
        </w:rPr>
        <w:t xml:space="preserve">identified those IDIs that have been issued QFC Notifications and </w:t>
      </w:r>
      <w:r w:rsidR="00E65725">
        <w:rPr>
          <w:rFonts w:ascii="Times New Roman" w:hAnsi="Times New Roman"/>
          <w:lang w:bidi="en-US"/>
        </w:rPr>
        <w:t>deducted</w:t>
      </w:r>
      <w:r w:rsidRPr="001E24ED" w:rsidR="001E24ED">
        <w:rPr>
          <w:rFonts w:ascii="Times New Roman" w:hAnsi="Times New Roman"/>
          <w:lang w:bidi="en-US"/>
        </w:rPr>
        <w:t xml:space="preserve"> IDIs that failed subsequent to receiving </w:t>
      </w:r>
      <w:r w:rsidR="00E65725">
        <w:rPr>
          <w:rFonts w:ascii="Times New Roman" w:hAnsi="Times New Roman"/>
          <w:lang w:bidi="en-US"/>
        </w:rPr>
        <w:t xml:space="preserve">such </w:t>
      </w:r>
      <w:r w:rsidRPr="001E24ED" w:rsidR="001E24ED">
        <w:rPr>
          <w:rFonts w:ascii="Times New Roman" w:hAnsi="Times New Roman"/>
          <w:lang w:bidi="en-US"/>
        </w:rPr>
        <w:t xml:space="preserve">notification. The </w:t>
      </w:r>
      <w:r w:rsidR="00E65725">
        <w:rPr>
          <w:rFonts w:ascii="Times New Roman" w:hAnsi="Times New Roman"/>
          <w:lang w:bidi="en-US"/>
        </w:rPr>
        <w:t>FDIC</w:t>
      </w:r>
      <w:r w:rsidRPr="001E24ED" w:rsidR="001E24ED">
        <w:rPr>
          <w:rFonts w:ascii="Times New Roman" w:hAnsi="Times New Roman"/>
          <w:lang w:bidi="en-US"/>
        </w:rPr>
        <w:t xml:space="preserve"> determined that 185 of the 621 IDIs notified between 2008 and 2020 had not failed, as of February 2021. Of these, 173 IDIs would be defined as Limited Scope Entities under the final rule,</w:t>
      </w:r>
      <w:r w:rsidRPr="001E24ED" w:rsidR="001E24ED">
        <w:rPr>
          <w:rFonts w:ascii="Times New Roman" w:hAnsi="Times New Roman"/>
          <w:vertAlign w:val="superscript"/>
          <w:lang w:bidi="en-US"/>
        </w:rPr>
        <w:footnoteReference w:id="7"/>
      </w:r>
      <w:r w:rsidRPr="001E24ED" w:rsidR="001E24ED">
        <w:rPr>
          <w:rFonts w:ascii="Times New Roman" w:hAnsi="Times New Roman"/>
          <w:lang w:bidi="en-US"/>
        </w:rPr>
        <w:t xml:space="preserve"> including 98 IDIs that would be considered “small” for purposes of the RFA.</w:t>
      </w:r>
      <w:r w:rsidRPr="001E24ED" w:rsidR="001E24ED">
        <w:rPr>
          <w:rFonts w:ascii="Times New Roman" w:hAnsi="Times New Roman"/>
          <w:vertAlign w:val="superscript"/>
          <w:lang w:bidi="en-US"/>
        </w:rPr>
        <w:footnoteReference w:id="8"/>
      </w:r>
      <w:r w:rsidRPr="001E24ED" w:rsidR="001E24ED">
        <w:rPr>
          <w:rFonts w:ascii="Times New Roman" w:hAnsi="Times New Roman"/>
          <w:lang w:bidi="en-US"/>
        </w:rPr>
        <w:t xml:space="preserve">   The </w:t>
      </w:r>
      <w:r w:rsidR="00590F1E">
        <w:rPr>
          <w:rFonts w:ascii="Times New Roman" w:hAnsi="Times New Roman"/>
          <w:lang w:bidi="en-US"/>
        </w:rPr>
        <w:t>FDIC</w:t>
      </w:r>
      <w:r w:rsidRPr="001E24ED" w:rsidR="001E24ED">
        <w:rPr>
          <w:rFonts w:ascii="Times New Roman" w:hAnsi="Times New Roman"/>
          <w:lang w:bidi="en-US"/>
        </w:rPr>
        <w:t xml:space="preserve"> thus estimate</w:t>
      </w:r>
      <w:r w:rsidR="00590F1E">
        <w:rPr>
          <w:rFonts w:ascii="Times New Roman" w:hAnsi="Times New Roman"/>
          <w:lang w:bidi="en-US"/>
        </w:rPr>
        <w:t>s</w:t>
      </w:r>
      <w:r w:rsidRPr="001E24ED" w:rsidR="001E24ED">
        <w:rPr>
          <w:rFonts w:ascii="Times New Roman" w:hAnsi="Times New Roman"/>
          <w:lang w:bidi="en-US"/>
        </w:rPr>
        <w:t xml:space="preserve"> </w:t>
      </w:r>
      <w:r w:rsidR="00590F1E">
        <w:rPr>
          <w:rFonts w:ascii="Times New Roman" w:hAnsi="Times New Roman"/>
          <w:lang w:bidi="en-US"/>
        </w:rPr>
        <w:t>that 173 Limited Scope Entities will</w:t>
      </w:r>
      <w:r w:rsidRPr="001E24ED" w:rsidR="001E24ED">
        <w:rPr>
          <w:rFonts w:ascii="Times New Roman" w:hAnsi="Times New Roman"/>
          <w:lang w:bidi="en-US"/>
        </w:rPr>
        <w:t xml:space="preserve"> incur </w:t>
      </w:r>
      <w:r w:rsidR="00590F1E">
        <w:rPr>
          <w:rFonts w:ascii="Times New Roman" w:hAnsi="Times New Roman"/>
          <w:lang w:bidi="en-US"/>
        </w:rPr>
        <w:t>ongoing r</w:t>
      </w:r>
      <w:r w:rsidRPr="001E24ED" w:rsidR="001E24ED">
        <w:rPr>
          <w:rFonts w:ascii="Times New Roman" w:hAnsi="Times New Roman"/>
          <w:lang w:bidi="en-US"/>
        </w:rPr>
        <w:t>ecordkeeping burden associated with maintaining their existing compliance with Part 371.</w:t>
      </w:r>
    </w:p>
    <w:p w:rsidR="00E65725" w:rsidP="001E24ED" w:rsidRDefault="00E65725" w14:paraId="6CB1F178" w14:textId="77777777">
      <w:pPr>
        <w:rPr>
          <w:rFonts w:ascii="Times New Roman" w:hAnsi="Times New Roman"/>
          <w:lang w:bidi="en-US"/>
        </w:rPr>
      </w:pPr>
    </w:p>
    <w:p w:rsidRPr="001E24ED" w:rsidR="001E24ED" w:rsidP="00E65725" w:rsidRDefault="001E24ED" w14:paraId="01898CFF" w14:textId="77777777">
      <w:pPr>
        <w:ind w:left="270"/>
        <w:rPr>
          <w:rFonts w:ascii="Times New Roman" w:hAnsi="Times New Roman"/>
          <w:lang w:bidi="en-US"/>
        </w:rPr>
      </w:pPr>
      <w:r w:rsidRPr="001E24ED">
        <w:rPr>
          <w:rFonts w:ascii="Times New Roman" w:hAnsi="Times New Roman"/>
          <w:lang w:bidi="en-US"/>
        </w:rPr>
        <w:t xml:space="preserve">The </w:t>
      </w:r>
      <w:r w:rsidR="00590F1E">
        <w:rPr>
          <w:rFonts w:ascii="Times New Roman" w:hAnsi="Times New Roman"/>
          <w:lang w:bidi="en-US"/>
        </w:rPr>
        <w:t>FDIC</w:t>
      </w:r>
      <w:r w:rsidRPr="001E24ED">
        <w:rPr>
          <w:rFonts w:ascii="Times New Roman" w:hAnsi="Times New Roman"/>
          <w:lang w:bidi="en-US"/>
        </w:rPr>
        <w:t xml:space="preserve"> also identified twelve</w:t>
      </w:r>
      <w:r w:rsidR="00590F1E">
        <w:rPr>
          <w:rFonts w:ascii="Times New Roman" w:hAnsi="Times New Roman"/>
          <w:lang w:bidi="en-US"/>
        </w:rPr>
        <w:t xml:space="preserve"> (12)</w:t>
      </w:r>
      <w:r w:rsidRPr="001E24ED">
        <w:rPr>
          <w:rFonts w:ascii="Times New Roman" w:hAnsi="Times New Roman"/>
          <w:lang w:bidi="en-US"/>
        </w:rPr>
        <w:t xml:space="preserve"> </w:t>
      </w:r>
      <w:r w:rsidRPr="001E24ED" w:rsidR="00590F1E">
        <w:rPr>
          <w:rFonts w:ascii="Times New Roman" w:hAnsi="Times New Roman"/>
          <w:lang w:bidi="en-US"/>
        </w:rPr>
        <w:t xml:space="preserve">Full Scope Entities under </w:t>
      </w:r>
      <w:r w:rsidR="00590F1E">
        <w:rPr>
          <w:rFonts w:ascii="Times New Roman" w:hAnsi="Times New Roman"/>
          <w:lang w:bidi="en-US"/>
        </w:rPr>
        <w:t>Part 371, which were issued QFC Notifications</w:t>
      </w:r>
      <w:r w:rsidRPr="001E24ED">
        <w:rPr>
          <w:rFonts w:ascii="Times New Roman" w:hAnsi="Times New Roman"/>
          <w:lang w:bidi="en-US"/>
        </w:rPr>
        <w:t xml:space="preserve"> between 2008 and 2020, and had not failed, as of February 2021. Six</w:t>
      </w:r>
      <w:r w:rsidR="00590F1E">
        <w:rPr>
          <w:rFonts w:ascii="Times New Roman" w:hAnsi="Times New Roman"/>
          <w:lang w:bidi="en-US"/>
        </w:rPr>
        <w:t xml:space="preserve"> (6)</w:t>
      </w:r>
      <w:r w:rsidRPr="001E24ED">
        <w:rPr>
          <w:rFonts w:ascii="Times New Roman" w:hAnsi="Times New Roman"/>
          <w:lang w:bidi="en-US"/>
        </w:rPr>
        <w:t xml:space="preserve"> of these entities have since been upgraded and are no longer subject to Part 371. Two </w:t>
      </w:r>
      <w:r w:rsidR="00590F1E">
        <w:rPr>
          <w:rFonts w:ascii="Times New Roman" w:hAnsi="Times New Roman"/>
          <w:lang w:bidi="en-US"/>
        </w:rPr>
        <w:t xml:space="preserve">(2) </w:t>
      </w:r>
      <w:r w:rsidRPr="001E24ED">
        <w:rPr>
          <w:rFonts w:ascii="Times New Roman" w:hAnsi="Times New Roman"/>
          <w:lang w:bidi="en-US"/>
        </w:rPr>
        <w:t>of the remaining entities are either working towards or will begin to work towards initial compliance with this ICR. The remaining four</w:t>
      </w:r>
      <w:r w:rsidR="00590F1E">
        <w:rPr>
          <w:rFonts w:ascii="Times New Roman" w:hAnsi="Times New Roman"/>
          <w:lang w:bidi="en-US"/>
        </w:rPr>
        <w:t xml:space="preserve"> (4)</w:t>
      </w:r>
      <w:r w:rsidRPr="001E24ED">
        <w:rPr>
          <w:rFonts w:ascii="Times New Roman" w:hAnsi="Times New Roman"/>
          <w:lang w:bidi="en-US"/>
        </w:rPr>
        <w:t xml:space="preserve"> Full Scope Entities have already completed their initial compliance efforts (or are well along in initial compliance efforts and thus treated as </w:t>
      </w:r>
      <w:r w:rsidR="00590F1E">
        <w:rPr>
          <w:rFonts w:ascii="Times New Roman" w:hAnsi="Times New Roman"/>
          <w:lang w:bidi="en-US"/>
        </w:rPr>
        <w:t>facing ongoing compliance burden</w:t>
      </w:r>
      <w:r w:rsidRPr="001E24ED">
        <w:rPr>
          <w:rFonts w:ascii="Times New Roman" w:hAnsi="Times New Roman"/>
          <w:lang w:bidi="en-US"/>
        </w:rPr>
        <w:t xml:space="preserve">). Thus, the </w:t>
      </w:r>
      <w:r w:rsidR="00590F1E">
        <w:rPr>
          <w:rFonts w:ascii="Times New Roman" w:hAnsi="Times New Roman"/>
          <w:lang w:bidi="en-US"/>
        </w:rPr>
        <w:t>FDIC</w:t>
      </w:r>
      <w:r w:rsidRPr="001E24ED">
        <w:rPr>
          <w:rFonts w:ascii="Times New Roman" w:hAnsi="Times New Roman"/>
          <w:lang w:bidi="en-US"/>
        </w:rPr>
        <w:t xml:space="preserve"> estimate</w:t>
      </w:r>
      <w:r w:rsidR="00590F1E">
        <w:rPr>
          <w:rFonts w:ascii="Times New Roman" w:hAnsi="Times New Roman"/>
          <w:lang w:bidi="en-US"/>
        </w:rPr>
        <w:t>s</w:t>
      </w:r>
      <w:r w:rsidRPr="001E24ED">
        <w:rPr>
          <w:rFonts w:ascii="Times New Roman" w:hAnsi="Times New Roman"/>
          <w:lang w:bidi="en-US"/>
        </w:rPr>
        <w:t xml:space="preserve"> </w:t>
      </w:r>
      <w:r w:rsidR="00590F1E">
        <w:rPr>
          <w:rFonts w:ascii="Times New Roman" w:hAnsi="Times New Roman"/>
          <w:lang w:bidi="en-US"/>
        </w:rPr>
        <w:t>that</w:t>
      </w:r>
      <w:r w:rsidRPr="001E24ED">
        <w:rPr>
          <w:rFonts w:ascii="Times New Roman" w:hAnsi="Times New Roman"/>
          <w:lang w:bidi="en-US"/>
        </w:rPr>
        <w:t xml:space="preserve"> four</w:t>
      </w:r>
      <w:r w:rsidR="00590F1E">
        <w:rPr>
          <w:rFonts w:ascii="Times New Roman" w:hAnsi="Times New Roman"/>
          <w:lang w:bidi="en-US"/>
        </w:rPr>
        <w:t xml:space="preserve"> (4)</w:t>
      </w:r>
      <w:r w:rsidRPr="001E24ED">
        <w:rPr>
          <w:rFonts w:ascii="Times New Roman" w:hAnsi="Times New Roman"/>
          <w:lang w:bidi="en-US"/>
        </w:rPr>
        <w:t xml:space="preserve"> Full Scope Entities will incur recordkeeping burden associated with maintaining their ex</w:t>
      </w:r>
      <w:r w:rsidR="00590F1E">
        <w:rPr>
          <w:rFonts w:ascii="Times New Roman" w:hAnsi="Times New Roman"/>
          <w:lang w:bidi="en-US"/>
        </w:rPr>
        <w:t>isting compliance with Part 371</w:t>
      </w:r>
      <w:r w:rsidRPr="001E24ED">
        <w:rPr>
          <w:rFonts w:ascii="Times New Roman" w:hAnsi="Times New Roman"/>
          <w:lang w:bidi="en-US"/>
        </w:rPr>
        <w:t>.</w:t>
      </w:r>
    </w:p>
    <w:p w:rsidR="001E24ED" w:rsidRDefault="001E24ED" w14:paraId="14F2C49E" w14:textId="77777777">
      <w:pPr>
        <w:rPr>
          <w:rFonts w:ascii="Times New Roman" w:hAnsi="Times New Roman"/>
        </w:rPr>
      </w:pPr>
    </w:p>
    <w:p w:rsidRPr="00563D54" w:rsidR="00563D54" w:rsidP="003F1BEB" w:rsidRDefault="003F1BEB" w14:paraId="406D9ACC" w14:textId="68A8A005">
      <w:pPr>
        <w:ind w:left="270"/>
        <w:rPr>
          <w:rFonts w:ascii="Times New Roman" w:hAnsi="Times New Roman"/>
          <w:lang w:bidi="en-US"/>
        </w:rPr>
      </w:pPr>
      <w:r>
        <w:rPr>
          <w:rFonts w:ascii="Times New Roman" w:hAnsi="Times New Roman"/>
          <w:u w:val="single"/>
          <w:lang w:bidi="en-US"/>
        </w:rPr>
        <w:t>Estimated Hourly Burden</w:t>
      </w:r>
      <w:r>
        <w:rPr>
          <w:rFonts w:ascii="Times New Roman" w:hAnsi="Times New Roman"/>
          <w:lang w:bidi="en-US"/>
        </w:rPr>
        <w:t xml:space="preserve"> - </w:t>
      </w:r>
      <w:r w:rsidRPr="00563D54" w:rsidR="00563D54">
        <w:rPr>
          <w:rFonts w:ascii="Times New Roman" w:hAnsi="Times New Roman"/>
          <w:lang w:bidi="en-US"/>
        </w:rPr>
        <w:t xml:space="preserve">The </w:t>
      </w:r>
      <w:r w:rsidR="0052652C">
        <w:rPr>
          <w:rFonts w:ascii="Times New Roman" w:hAnsi="Times New Roman"/>
          <w:lang w:bidi="en-US"/>
        </w:rPr>
        <w:t>FDIC</w:t>
      </w:r>
      <w:r w:rsidRPr="00563D54" w:rsidR="00563D54">
        <w:rPr>
          <w:rFonts w:ascii="Times New Roman" w:hAnsi="Times New Roman"/>
          <w:lang w:bidi="en-US"/>
        </w:rPr>
        <w:t xml:space="preserve"> estimate</w:t>
      </w:r>
      <w:r w:rsidR="0052652C">
        <w:rPr>
          <w:rFonts w:ascii="Times New Roman" w:hAnsi="Times New Roman"/>
          <w:lang w:bidi="en-US"/>
        </w:rPr>
        <w:t>s</w:t>
      </w:r>
      <w:r w:rsidRPr="00563D54" w:rsidR="00563D54">
        <w:rPr>
          <w:rFonts w:ascii="Times New Roman" w:hAnsi="Times New Roman"/>
          <w:lang w:bidi="en-US"/>
        </w:rPr>
        <w:t xml:space="preserve"> the </w:t>
      </w:r>
      <w:r w:rsidR="0052652C">
        <w:rPr>
          <w:rFonts w:ascii="Times New Roman" w:hAnsi="Times New Roman"/>
          <w:lang w:bidi="en-US"/>
        </w:rPr>
        <w:t>information collection</w:t>
      </w:r>
      <w:r w:rsidRPr="00563D54" w:rsidR="00563D54">
        <w:rPr>
          <w:rFonts w:ascii="Times New Roman" w:hAnsi="Times New Roman"/>
          <w:lang w:bidi="en-US"/>
        </w:rPr>
        <w:t xml:space="preserve"> burdens for affected institutions based on their classifications as either Full- or Limited Scope Entities</w:t>
      </w:r>
      <w:r w:rsidR="0052652C">
        <w:rPr>
          <w:rFonts w:ascii="Times New Roman" w:hAnsi="Times New Roman"/>
          <w:lang w:bidi="en-US"/>
        </w:rPr>
        <w:t xml:space="preserve"> under Part 371;</w:t>
      </w:r>
      <w:r w:rsidRPr="00563D54" w:rsidR="00563D54">
        <w:rPr>
          <w:rFonts w:ascii="Times New Roman" w:hAnsi="Times New Roman"/>
          <w:lang w:bidi="en-US"/>
        </w:rPr>
        <w:t xml:space="preserve"> and based on whether they are newly subject to the requirements</w:t>
      </w:r>
      <w:r w:rsidR="0052652C">
        <w:rPr>
          <w:rFonts w:ascii="Times New Roman" w:hAnsi="Times New Roman"/>
          <w:lang w:bidi="en-US"/>
        </w:rPr>
        <w:t xml:space="preserve"> (implementation burden) or whether they are responding to the information collection on an ongoing basis</w:t>
      </w:r>
      <w:r w:rsidRPr="00563D54" w:rsidR="00563D54">
        <w:rPr>
          <w:rFonts w:ascii="Times New Roman" w:hAnsi="Times New Roman"/>
          <w:lang w:bidi="en-US"/>
        </w:rPr>
        <w:t>.  Full Scope Entities must complete the eight QFC Tables contained in Appendix B of the rule; limited-scope firms must complete the four QFC Tables contained in Appendix A</w:t>
      </w:r>
      <w:r w:rsidR="0052652C">
        <w:rPr>
          <w:rFonts w:ascii="Times New Roman" w:hAnsi="Times New Roman"/>
          <w:lang w:bidi="en-US"/>
        </w:rPr>
        <w:t xml:space="preserve"> of the rule</w:t>
      </w:r>
      <w:r w:rsidRPr="00563D54" w:rsidR="00563D54">
        <w:rPr>
          <w:rFonts w:ascii="Times New Roman" w:hAnsi="Times New Roman"/>
          <w:lang w:bidi="en-US"/>
        </w:rPr>
        <w:t xml:space="preserve">.  The </w:t>
      </w:r>
      <w:r w:rsidR="0052652C">
        <w:rPr>
          <w:rFonts w:ascii="Times New Roman" w:hAnsi="Times New Roman"/>
          <w:lang w:bidi="en-US"/>
        </w:rPr>
        <w:t>FDIC</w:t>
      </w:r>
      <w:r w:rsidRPr="00563D54" w:rsidR="00563D54">
        <w:rPr>
          <w:rFonts w:ascii="Times New Roman" w:hAnsi="Times New Roman"/>
          <w:lang w:bidi="en-US"/>
        </w:rPr>
        <w:t xml:space="preserve"> estimate</w:t>
      </w:r>
      <w:r w:rsidR="0052652C">
        <w:rPr>
          <w:rFonts w:ascii="Times New Roman" w:hAnsi="Times New Roman"/>
          <w:lang w:bidi="en-US"/>
        </w:rPr>
        <w:t>s</w:t>
      </w:r>
      <w:r w:rsidRPr="00563D54" w:rsidR="00563D54">
        <w:rPr>
          <w:rFonts w:ascii="Times New Roman" w:hAnsi="Times New Roman"/>
          <w:lang w:bidi="en-US"/>
        </w:rPr>
        <w:t xml:space="preserve"> that new Full Scope Entities will incur, on average, approximately 6,000 hours to initially complete the required QFC Tables for all of the QFCs in their portfolio.</w:t>
      </w:r>
      <w:r w:rsidR="00C96466">
        <w:rPr>
          <w:rStyle w:val="CommentReference"/>
          <w:rFonts w:ascii="Times New Roman" w:hAnsi="Times New Roman" w:eastAsia="Calibri"/>
          <w:snapToGrid/>
        </w:rPr>
        <w:t xml:space="preserve"> </w:t>
      </w:r>
      <w:r w:rsidRPr="00563D54" w:rsidR="00563D54">
        <w:rPr>
          <w:rFonts w:ascii="Times New Roman" w:hAnsi="Times New Roman"/>
          <w:lang w:bidi="en-US"/>
        </w:rPr>
        <w:t xml:space="preserve"> </w:t>
      </w:r>
      <w:r w:rsidR="00C96466">
        <w:rPr>
          <w:rFonts w:ascii="Times New Roman" w:hAnsi="Times New Roman"/>
          <w:lang w:bidi="en-US"/>
        </w:rPr>
        <w:t>FDIC estimates that</w:t>
      </w:r>
      <w:r w:rsidRPr="00563D54" w:rsidR="00563D54">
        <w:rPr>
          <w:rFonts w:ascii="Times New Roman" w:hAnsi="Times New Roman"/>
          <w:lang w:bidi="en-US"/>
        </w:rPr>
        <w:t xml:space="preserve"> Full Scope Entities that already complied </w:t>
      </w:r>
      <w:r w:rsidRPr="00563D54" w:rsidR="00563D54">
        <w:rPr>
          <w:rFonts w:ascii="Times New Roman" w:hAnsi="Times New Roman"/>
          <w:lang w:bidi="en-US"/>
        </w:rPr>
        <w:lastRenderedPageBreak/>
        <w:t xml:space="preserve">with the final rule in any previous year will incur, on average, 250 hours </w:t>
      </w:r>
      <w:r w:rsidR="0052652C">
        <w:rPr>
          <w:rFonts w:ascii="Times New Roman" w:hAnsi="Times New Roman"/>
          <w:lang w:bidi="en-US"/>
        </w:rPr>
        <w:t xml:space="preserve">ongoing burden </w:t>
      </w:r>
      <w:r w:rsidRPr="00563D54" w:rsidR="00563D54">
        <w:rPr>
          <w:rFonts w:ascii="Times New Roman" w:hAnsi="Times New Roman"/>
          <w:lang w:bidi="en-US"/>
        </w:rPr>
        <w:t>to maintain their QFC Tables.</w:t>
      </w:r>
    </w:p>
    <w:p w:rsidR="003F1BEB" w:rsidP="003F1BEB" w:rsidRDefault="003F1BEB" w14:paraId="47D84855" w14:textId="77777777">
      <w:pPr>
        <w:ind w:left="270"/>
        <w:rPr>
          <w:rFonts w:ascii="Times New Roman" w:hAnsi="Times New Roman"/>
          <w:lang w:bidi="en-US"/>
        </w:rPr>
      </w:pPr>
    </w:p>
    <w:p w:rsidR="00563D54" w:rsidP="003F1BEB" w:rsidRDefault="00563D54" w14:paraId="4F5BBA4C" w14:textId="38F066E1">
      <w:pPr>
        <w:ind w:left="270"/>
        <w:rPr>
          <w:rFonts w:ascii="Times New Roman" w:hAnsi="Times New Roman"/>
          <w:lang w:bidi="en-US"/>
        </w:rPr>
      </w:pPr>
      <w:r w:rsidRPr="00563D54">
        <w:rPr>
          <w:rFonts w:ascii="Times New Roman" w:hAnsi="Times New Roman"/>
          <w:lang w:bidi="en-US"/>
        </w:rPr>
        <w:t xml:space="preserve">For the hourly </w:t>
      </w:r>
      <w:r w:rsidR="00C96466">
        <w:rPr>
          <w:rFonts w:ascii="Times New Roman" w:hAnsi="Times New Roman"/>
          <w:lang w:bidi="en-US"/>
        </w:rPr>
        <w:t>implementation burden</w:t>
      </w:r>
      <w:r w:rsidRPr="00563D54">
        <w:rPr>
          <w:rFonts w:ascii="Times New Roman" w:hAnsi="Times New Roman"/>
          <w:lang w:bidi="en-US"/>
        </w:rPr>
        <w:t xml:space="preserve"> incurred by Limited Scope Entities, the </w:t>
      </w:r>
      <w:r w:rsidR="0052652C">
        <w:rPr>
          <w:rFonts w:ascii="Times New Roman" w:hAnsi="Times New Roman"/>
          <w:lang w:bidi="en-US"/>
        </w:rPr>
        <w:t>FDIC</w:t>
      </w:r>
      <w:r w:rsidR="00C96466">
        <w:rPr>
          <w:rFonts w:ascii="Times New Roman" w:hAnsi="Times New Roman"/>
          <w:lang w:bidi="en-US"/>
        </w:rPr>
        <w:t xml:space="preserve"> assumes</w:t>
      </w:r>
      <w:r w:rsidRPr="00563D54">
        <w:rPr>
          <w:rFonts w:ascii="Times New Roman" w:hAnsi="Times New Roman"/>
          <w:lang w:bidi="en-US"/>
        </w:rPr>
        <w:t xml:space="preserve"> that burden will be based on the number of QFCs in the entity’s portfolio. The </w:t>
      </w:r>
      <w:r w:rsidR="00A36991">
        <w:rPr>
          <w:rFonts w:ascii="Times New Roman" w:hAnsi="Times New Roman"/>
          <w:lang w:bidi="en-US"/>
        </w:rPr>
        <w:t>FDIC</w:t>
      </w:r>
      <w:r w:rsidRPr="00563D54">
        <w:rPr>
          <w:rFonts w:ascii="Times New Roman" w:hAnsi="Times New Roman"/>
          <w:lang w:bidi="en-US"/>
        </w:rPr>
        <w:t xml:space="preserve"> assume</w:t>
      </w:r>
      <w:r w:rsidR="00A36991">
        <w:rPr>
          <w:rFonts w:ascii="Times New Roman" w:hAnsi="Times New Roman"/>
          <w:lang w:bidi="en-US"/>
        </w:rPr>
        <w:t>s</w:t>
      </w:r>
      <w:r w:rsidRPr="00563D54">
        <w:rPr>
          <w:rFonts w:ascii="Times New Roman" w:hAnsi="Times New Roman"/>
          <w:lang w:bidi="en-US"/>
        </w:rPr>
        <w:t xml:space="preserve"> that 90 percent of New Limited Scope Entities, or 46 entities per year, hold 50 or fewer QFCs in their portfolio. These entities are expected in incur, on average, 15 hours of </w:t>
      </w:r>
      <w:r w:rsidR="0052652C">
        <w:rPr>
          <w:rFonts w:ascii="Times New Roman" w:hAnsi="Times New Roman"/>
          <w:lang w:bidi="en-US"/>
        </w:rPr>
        <w:t>implementation</w:t>
      </w:r>
      <w:r w:rsidRPr="00563D54">
        <w:rPr>
          <w:rFonts w:ascii="Times New Roman" w:hAnsi="Times New Roman"/>
          <w:lang w:bidi="en-US"/>
        </w:rPr>
        <w:t xml:space="preserve"> burden in the first year in which they must comply with the final rule</w:t>
      </w:r>
      <w:r w:rsidR="00E40C97">
        <w:rPr>
          <w:rFonts w:ascii="Times New Roman" w:hAnsi="Times New Roman"/>
          <w:lang w:bidi="en-US"/>
        </w:rPr>
        <w:t>.</w:t>
      </w:r>
      <w:r w:rsidR="00297C0A">
        <w:rPr>
          <w:rFonts w:ascii="Times New Roman" w:hAnsi="Times New Roman"/>
          <w:lang w:bidi="en-US"/>
        </w:rPr>
        <w:t xml:space="preserve"> </w:t>
      </w:r>
      <w:r w:rsidR="00E40C97">
        <w:rPr>
          <w:rFonts w:ascii="Times New Roman" w:hAnsi="Times New Roman"/>
          <w:lang w:bidi="en-US"/>
        </w:rPr>
        <w:t xml:space="preserve"> </w:t>
      </w:r>
      <w:r w:rsidRPr="00563D54">
        <w:rPr>
          <w:rFonts w:ascii="Times New Roman" w:hAnsi="Times New Roman"/>
          <w:lang w:bidi="en-US"/>
        </w:rPr>
        <w:t xml:space="preserve">The remaining 10 percent of New Limited Scope Entities, or 5 entities a year, are assumed to hold more than 50 QFCs in their portfolio and are expected to incur, on average, 100 hours of </w:t>
      </w:r>
      <w:r w:rsidR="00297C0A">
        <w:rPr>
          <w:rFonts w:ascii="Times New Roman" w:hAnsi="Times New Roman"/>
          <w:lang w:bidi="en-US"/>
        </w:rPr>
        <w:t>implementation</w:t>
      </w:r>
      <w:r w:rsidRPr="00563D54">
        <w:rPr>
          <w:rFonts w:ascii="Times New Roman" w:hAnsi="Times New Roman"/>
          <w:lang w:bidi="en-US"/>
        </w:rPr>
        <w:t xml:space="preserve"> burden</w:t>
      </w:r>
      <w:r w:rsidR="00297C0A">
        <w:rPr>
          <w:rFonts w:ascii="Times New Roman" w:hAnsi="Times New Roman"/>
          <w:lang w:bidi="en-US"/>
        </w:rPr>
        <w:t>.</w:t>
      </w:r>
      <w:r w:rsidR="00ED435D">
        <w:rPr>
          <w:rFonts w:ascii="Times New Roman" w:hAnsi="Times New Roman"/>
          <w:lang w:bidi="en-US"/>
        </w:rPr>
        <w:t xml:space="preserve"> </w:t>
      </w:r>
      <w:r w:rsidRPr="00563D54">
        <w:rPr>
          <w:rFonts w:ascii="Times New Roman" w:hAnsi="Times New Roman"/>
          <w:lang w:bidi="en-US"/>
        </w:rPr>
        <w:t xml:space="preserve"> The average hourly </w:t>
      </w:r>
      <w:r w:rsidR="00E40C97">
        <w:rPr>
          <w:rFonts w:ascii="Times New Roman" w:hAnsi="Times New Roman"/>
          <w:lang w:bidi="en-US"/>
        </w:rPr>
        <w:t xml:space="preserve">implementation </w:t>
      </w:r>
      <w:r w:rsidRPr="00563D54">
        <w:rPr>
          <w:rFonts w:ascii="Times New Roman" w:hAnsi="Times New Roman"/>
          <w:lang w:bidi="en-US"/>
        </w:rPr>
        <w:t>burden across all New Limited Scope Enti</w:t>
      </w:r>
      <w:r w:rsidR="00E40C97">
        <w:rPr>
          <w:rFonts w:ascii="Times New Roman" w:hAnsi="Times New Roman"/>
          <w:lang w:bidi="en-US"/>
        </w:rPr>
        <w:t>ties is thus approximately 23</w:t>
      </w:r>
      <w:r w:rsidRPr="00563D54">
        <w:rPr>
          <w:rFonts w:ascii="Times New Roman" w:hAnsi="Times New Roman"/>
          <w:lang w:bidi="en-US"/>
        </w:rPr>
        <w:t xml:space="preserve"> hours per respondent.</w:t>
      </w:r>
      <w:r w:rsidRPr="00563D54">
        <w:rPr>
          <w:rFonts w:ascii="Times New Roman" w:hAnsi="Times New Roman"/>
          <w:vertAlign w:val="superscript"/>
          <w:lang w:bidi="en-US"/>
        </w:rPr>
        <w:footnoteReference w:id="9"/>
      </w:r>
      <w:r w:rsidRPr="00563D54">
        <w:rPr>
          <w:rFonts w:ascii="Times New Roman" w:hAnsi="Times New Roman"/>
          <w:lang w:bidi="en-US"/>
        </w:rPr>
        <w:t xml:space="preserve"> These burdens estimates incorporate the expected time to prepare an extension request, if needed.</w:t>
      </w:r>
    </w:p>
    <w:p w:rsidRPr="00563D54" w:rsidR="00A36991" w:rsidP="003F1BEB" w:rsidRDefault="00A36991" w14:paraId="698D0800" w14:textId="77777777">
      <w:pPr>
        <w:ind w:left="270"/>
        <w:rPr>
          <w:rFonts w:ascii="Times New Roman" w:hAnsi="Times New Roman"/>
          <w:lang w:bidi="en-US"/>
        </w:rPr>
      </w:pPr>
    </w:p>
    <w:p w:rsidRPr="00563D54" w:rsidR="00563D54" w:rsidP="003F1BEB" w:rsidRDefault="00563D54" w14:paraId="0D06D226" w14:textId="1EE0D176">
      <w:pPr>
        <w:ind w:left="270"/>
        <w:rPr>
          <w:rFonts w:ascii="Times New Roman" w:hAnsi="Times New Roman"/>
          <w:lang w:bidi="en-US"/>
        </w:rPr>
      </w:pPr>
      <w:r w:rsidRPr="00563D54">
        <w:rPr>
          <w:rFonts w:ascii="Times New Roman" w:hAnsi="Times New Roman"/>
          <w:lang w:bidi="en-US"/>
        </w:rPr>
        <w:t xml:space="preserve">The </w:t>
      </w:r>
      <w:r w:rsidR="00A36991">
        <w:rPr>
          <w:rFonts w:ascii="Times New Roman" w:hAnsi="Times New Roman"/>
          <w:lang w:bidi="en-US"/>
        </w:rPr>
        <w:t>FDIC uses</w:t>
      </w:r>
      <w:r w:rsidRPr="00563D54">
        <w:rPr>
          <w:rFonts w:ascii="Times New Roman" w:hAnsi="Times New Roman"/>
          <w:lang w:bidi="en-US"/>
        </w:rPr>
        <w:t xml:space="preserve"> the same methodology to estimate the hourly </w:t>
      </w:r>
      <w:r w:rsidR="00DB1DE8">
        <w:rPr>
          <w:rFonts w:ascii="Times New Roman" w:hAnsi="Times New Roman"/>
          <w:lang w:bidi="en-US"/>
        </w:rPr>
        <w:t xml:space="preserve">ongoing </w:t>
      </w:r>
      <w:r w:rsidRPr="00563D54">
        <w:rPr>
          <w:rFonts w:ascii="Times New Roman" w:hAnsi="Times New Roman"/>
          <w:lang w:bidi="en-US"/>
        </w:rPr>
        <w:t xml:space="preserve">burden for Limited Scope Entities. </w:t>
      </w:r>
      <w:r w:rsidR="00A36991">
        <w:rPr>
          <w:rFonts w:ascii="Times New Roman" w:hAnsi="Times New Roman"/>
          <w:lang w:bidi="en-US"/>
        </w:rPr>
        <w:t>It assumes</w:t>
      </w:r>
      <w:r w:rsidRPr="00563D54">
        <w:rPr>
          <w:rFonts w:ascii="Times New Roman" w:hAnsi="Times New Roman"/>
          <w:lang w:bidi="en-US"/>
        </w:rPr>
        <w:t xml:space="preserve"> that 90 percent of Limited Scope Entities</w:t>
      </w:r>
      <w:r w:rsidR="00DB1DE8">
        <w:rPr>
          <w:rFonts w:ascii="Times New Roman" w:hAnsi="Times New Roman"/>
          <w:lang w:bidi="en-US"/>
        </w:rPr>
        <w:t xml:space="preserve"> that continue to be subject to Part 371 after one year</w:t>
      </w:r>
      <w:r w:rsidRPr="00563D54">
        <w:rPr>
          <w:rFonts w:ascii="Times New Roman" w:hAnsi="Times New Roman"/>
          <w:lang w:bidi="en-US"/>
        </w:rPr>
        <w:t>, or 155 entities per year, hold 50 or fewer QFCs in their portfolio and are expected to incur, on average, 10 hours to mainta</w:t>
      </w:r>
      <w:r w:rsidR="00DB1DE8">
        <w:rPr>
          <w:rFonts w:ascii="Times New Roman" w:hAnsi="Times New Roman"/>
          <w:lang w:bidi="en-US"/>
        </w:rPr>
        <w:t>in their compliance with the</w:t>
      </w:r>
      <w:r w:rsidRPr="00563D54">
        <w:rPr>
          <w:rFonts w:ascii="Times New Roman" w:hAnsi="Times New Roman"/>
          <w:lang w:bidi="en-US"/>
        </w:rPr>
        <w:t xml:space="preserve"> requirements of Part 371. The remaining 10 percent of Existing Limited Scope Entities, or 18 entities per year, are assumed to hold more than 50 QFCs in their portfolio and are expected to incur, on average, 25 hours of </w:t>
      </w:r>
      <w:r w:rsidR="00DB1DE8">
        <w:rPr>
          <w:rFonts w:ascii="Times New Roman" w:hAnsi="Times New Roman"/>
          <w:lang w:bidi="en-US"/>
        </w:rPr>
        <w:t>ongoing</w:t>
      </w:r>
      <w:r w:rsidRPr="00563D54">
        <w:rPr>
          <w:rFonts w:ascii="Times New Roman" w:hAnsi="Times New Roman"/>
          <w:lang w:bidi="en-US"/>
        </w:rPr>
        <w:t xml:space="preserve"> burden per year.  The average hourly burden across all New Limited Scope Enti</w:t>
      </w:r>
      <w:r w:rsidR="00DB1DE8">
        <w:rPr>
          <w:rFonts w:ascii="Times New Roman" w:hAnsi="Times New Roman"/>
          <w:lang w:bidi="en-US"/>
        </w:rPr>
        <w:t>ties is thus approximately 12</w:t>
      </w:r>
      <w:r w:rsidRPr="00563D54">
        <w:rPr>
          <w:rFonts w:ascii="Times New Roman" w:hAnsi="Times New Roman"/>
          <w:lang w:bidi="en-US"/>
        </w:rPr>
        <w:t xml:space="preserve"> hours per respondent.</w:t>
      </w:r>
      <w:r w:rsidRPr="00563D54">
        <w:rPr>
          <w:rFonts w:ascii="Times New Roman" w:hAnsi="Times New Roman"/>
          <w:vertAlign w:val="superscript"/>
          <w:lang w:bidi="en-US"/>
        </w:rPr>
        <w:footnoteReference w:id="10"/>
      </w:r>
      <w:r w:rsidRPr="00563D54">
        <w:rPr>
          <w:rFonts w:ascii="Times New Roman" w:hAnsi="Times New Roman"/>
          <w:lang w:bidi="en-US"/>
        </w:rPr>
        <w:t xml:space="preserve"> </w:t>
      </w:r>
    </w:p>
    <w:p w:rsidR="003F1BEB" w:rsidP="003F1BEB" w:rsidRDefault="003F1BEB" w14:paraId="59B8BBCB" w14:textId="77777777">
      <w:pPr>
        <w:ind w:left="270"/>
        <w:rPr>
          <w:rFonts w:ascii="Times New Roman" w:hAnsi="Times New Roman"/>
          <w:lang w:bidi="en-US"/>
        </w:rPr>
      </w:pPr>
    </w:p>
    <w:p w:rsidR="00AB4DF7" w:rsidP="00A32A94" w:rsidRDefault="00563D54" w14:paraId="25ADC937" w14:textId="73DA8849">
      <w:pPr>
        <w:ind w:left="270"/>
        <w:rPr>
          <w:rFonts w:ascii="Times New Roman" w:hAnsi="Times New Roman"/>
          <w:lang w:bidi="en-US"/>
        </w:rPr>
      </w:pPr>
      <w:r w:rsidRPr="00563D54">
        <w:rPr>
          <w:rFonts w:ascii="Times New Roman" w:hAnsi="Times New Roman"/>
          <w:lang w:bidi="en-US"/>
        </w:rPr>
        <w:t xml:space="preserve">These burden estimates, along with the annual estimated number of entities, are delineated by burden type in </w:t>
      </w:r>
      <w:r w:rsidR="00DB1DE8">
        <w:rPr>
          <w:rFonts w:ascii="Times New Roman" w:hAnsi="Times New Roman"/>
          <w:lang w:bidi="en-US"/>
        </w:rPr>
        <w:t>Summary of Estimated Annual Burden table</w:t>
      </w:r>
      <w:r w:rsidRPr="00563D54">
        <w:rPr>
          <w:rFonts w:ascii="Times New Roman" w:hAnsi="Times New Roman"/>
          <w:lang w:bidi="en-US"/>
        </w:rPr>
        <w:t xml:space="preserve">. </w:t>
      </w:r>
      <w:r w:rsidR="00DB1DE8">
        <w:rPr>
          <w:rFonts w:ascii="Times New Roman" w:hAnsi="Times New Roman"/>
          <w:lang w:bidi="en-US"/>
        </w:rPr>
        <w:t>The</w:t>
      </w:r>
      <w:r w:rsidRPr="00563D54">
        <w:rPr>
          <w:rFonts w:ascii="Times New Roman" w:hAnsi="Times New Roman"/>
          <w:lang w:bidi="en-US"/>
        </w:rPr>
        <w:t xml:space="preserve"> recordkeeping burden</w:t>
      </w:r>
      <w:r w:rsidR="00DB1DE8">
        <w:rPr>
          <w:rFonts w:ascii="Times New Roman" w:hAnsi="Times New Roman"/>
          <w:lang w:bidi="en-US"/>
        </w:rPr>
        <w:t>s</w:t>
      </w:r>
      <w:r w:rsidRPr="00563D54">
        <w:rPr>
          <w:rFonts w:ascii="Times New Roman" w:hAnsi="Times New Roman"/>
          <w:lang w:bidi="en-US"/>
        </w:rPr>
        <w:t xml:space="preserve"> </w:t>
      </w:r>
      <w:r w:rsidR="00DB1DE8">
        <w:rPr>
          <w:rFonts w:ascii="Times New Roman" w:hAnsi="Times New Roman"/>
          <w:lang w:bidi="en-US"/>
        </w:rPr>
        <w:t>are assumed to be one tine for the implementation phase and one time annually for the ongoing phase. Accordingly</w:t>
      </w:r>
      <w:r w:rsidRPr="00563D54">
        <w:rPr>
          <w:rFonts w:ascii="Times New Roman" w:hAnsi="Times New Roman"/>
          <w:lang w:bidi="en-US"/>
        </w:rPr>
        <w:t xml:space="preserve">, the response rate is one response per respondent per year. </w:t>
      </w:r>
      <w:r w:rsidR="00DB1DE8">
        <w:rPr>
          <w:rFonts w:ascii="Times New Roman" w:hAnsi="Times New Roman"/>
          <w:lang w:bidi="en-US"/>
        </w:rPr>
        <w:t>The Summary of Estimated Annual Burden table</w:t>
      </w:r>
      <w:r w:rsidRPr="00563D54" w:rsidR="00DB1DE8">
        <w:rPr>
          <w:rFonts w:ascii="Times New Roman" w:hAnsi="Times New Roman"/>
          <w:lang w:bidi="en-US"/>
        </w:rPr>
        <w:t xml:space="preserve"> </w:t>
      </w:r>
      <w:r w:rsidRPr="00563D54">
        <w:rPr>
          <w:rFonts w:ascii="Times New Roman" w:hAnsi="Times New Roman"/>
          <w:lang w:bidi="en-US"/>
        </w:rPr>
        <w:t>also shows the estimated annual burden of each IC line item, which is equal to the product of the estimated number of respondents, the number of responses per respondent per year, and the time per response for each line item. The total estimated annual burden for this</w:t>
      </w:r>
      <w:r w:rsidR="00A32A94">
        <w:rPr>
          <w:rFonts w:ascii="Times New Roman" w:hAnsi="Times New Roman"/>
          <w:lang w:bidi="en-US"/>
        </w:rPr>
        <w:t xml:space="preserve"> information collection is 10,25</w:t>
      </w:r>
      <w:r w:rsidRPr="00563D54">
        <w:rPr>
          <w:rFonts w:ascii="Times New Roman" w:hAnsi="Times New Roman"/>
          <w:lang w:bidi="en-US"/>
        </w:rPr>
        <w:t>0 hours, a decreas</w:t>
      </w:r>
      <w:r w:rsidR="00A32A94">
        <w:rPr>
          <w:rFonts w:ascii="Times New Roman" w:hAnsi="Times New Roman"/>
          <w:lang w:bidi="en-US"/>
        </w:rPr>
        <w:t>e of 8,470 hours from the 18,720 estimated annual burden hours in the currently-approved information collection request</w:t>
      </w:r>
      <w:r w:rsidRPr="00563D54">
        <w:rPr>
          <w:rFonts w:ascii="Times New Roman" w:hAnsi="Times New Roman"/>
          <w:lang w:bidi="en-US"/>
        </w:rPr>
        <w:t xml:space="preserve">. The decrease </w:t>
      </w:r>
      <w:r w:rsidR="00A32A94">
        <w:rPr>
          <w:rFonts w:ascii="Times New Roman" w:hAnsi="Times New Roman"/>
          <w:lang w:bidi="en-US"/>
        </w:rPr>
        <w:t>in burden is due to the change in the methodology used by the FDIC in estimating annual burden as discussed above,</w:t>
      </w:r>
    </w:p>
    <w:p w:rsidR="004510A8" w:rsidP="003F1BEB" w:rsidRDefault="004510A8" w14:paraId="78C25B60" w14:textId="62877D5A">
      <w:pPr>
        <w:ind w:left="270"/>
        <w:rPr>
          <w:rFonts w:ascii="Times New Roman" w:hAnsi="Times New Roman"/>
          <w:lang w:bidi="en-US"/>
        </w:rPr>
      </w:pPr>
    </w:p>
    <w:p w:rsidR="004510A8" w:rsidP="00FE4208" w:rsidRDefault="00FE4208" w14:paraId="02E0BF9D" w14:textId="1F97306F">
      <w:pPr>
        <w:ind w:left="270"/>
        <w:jc w:val="center"/>
        <w:rPr>
          <w:rFonts w:ascii="Times New Roman" w:hAnsi="Times New Roman"/>
          <w:b/>
          <w:lang w:bidi="en-US"/>
        </w:rPr>
      </w:pPr>
      <w:r>
        <w:rPr>
          <w:rFonts w:ascii="Times New Roman" w:hAnsi="Times New Roman"/>
          <w:b/>
          <w:lang w:bidi="en-US"/>
        </w:rPr>
        <w:t>Summary of Estimated Annual Burden</w:t>
      </w:r>
    </w:p>
    <w:p w:rsidRPr="00FE4208" w:rsidR="00FE4208" w:rsidP="00FE4208" w:rsidRDefault="00FE4208" w14:paraId="0629CBF3" w14:textId="77777777">
      <w:pPr>
        <w:ind w:left="270"/>
        <w:jc w:val="center"/>
        <w:rPr>
          <w:rFonts w:ascii="Times New Roman" w:hAnsi="Times New Roman"/>
          <w:b/>
          <w:lang w:bidi="en-US"/>
        </w:rPr>
      </w:pPr>
    </w:p>
    <w:tbl>
      <w:tblPr>
        <w:tblW w:w="9805" w:type="dxa"/>
        <w:tblLayout w:type="fixed"/>
        <w:tblLook w:val="04A0" w:firstRow="1" w:lastRow="0" w:firstColumn="1" w:lastColumn="0" w:noHBand="0" w:noVBand="1"/>
      </w:tblPr>
      <w:tblGrid>
        <w:gridCol w:w="3055"/>
        <w:gridCol w:w="1778"/>
        <w:gridCol w:w="1192"/>
        <w:gridCol w:w="1260"/>
        <w:gridCol w:w="1170"/>
        <w:gridCol w:w="1350"/>
      </w:tblGrid>
      <w:tr w:rsidRPr="004510A8" w:rsidR="00FE4208" w:rsidTr="00AB4DF7" w14:paraId="34924870" w14:textId="77777777">
        <w:trPr>
          <w:trHeight w:val="1056"/>
        </w:trPr>
        <w:tc>
          <w:tcPr>
            <w:tcW w:w="30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10A8" w:rsidR="004510A8" w:rsidP="004510A8" w:rsidRDefault="004510A8" w14:paraId="1652F56E" w14:textId="77777777">
            <w:pPr>
              <w:widowControl/>
              <w:jc w:val="center"/>
              <w:rPr>
                <w:rFonts w:ascii="Source Sans Pro" w:hAnsi="Source Sans Pro"/>
                <w:b/>
                <w:snapToGrid/>
                <w:color w:val="000000"/>
                <w:sz w:val="18"/>
              </w:rPr>
            </w:pPr>
            <w:r w:rsidRPr="004510A8">
              <w:rPr>
                <w:rFonts w:ascii="Source Sans Pro" w:hAnsi="Source Sans Pro"/>
                <w:b/>
                <w:snapToGrid/>
                <w:color w:val="000000"/>
                <w:sz w:val="18"/>
              </w:rPr>
              <w:t>IC Description</w:t>
            </w:r>
          </w:p>
        </w:tc>
        <w:tc>
          <w:tcPr>
            <w:tcW w:w="1778" w:type="dxa"/>
            <w:tcBorders>
              <w:top w:val="single" w:color="auto" w:sz="4" w:space="0"/>
              <w:left w:val="nil"/>
              <w:bottom w:val="single" w:color="auto" w:sz="4" w:space="0"/>
              <w:right w:val="single" w:color="auto" w:sz="4" w:space="0"/>
            </w:tcBorders>
            <w:shd w:val="clear" w:color="auto" w:fill="auto"/>
            <w:vAlign w:val="center"/>
            <w:hideMark/>
          </w:tcPr>
          <w:p w:rsidRPr="004510A8" w:rsidR="004510A8" w:rsidP="004510A8" w:rsidRDefault="004510A8" w14:paraId="079E32FD" w14:textId="77777777">
            <w:pPr>
              <w:widowControl/>
              <w:jc w:val="center"/>
              <w:rPr>
                <w:rFonts w:ascii="Source Sans Pro" w:hAnsi="Source Sans Pro"/>
                <w:b/>
                <w:snapToGrid/>
                <w:color w:val="000000"/>
                <w:sz w:val="18"/>
              </w:rPr>
            </w:pPr>
            <w:r w:rsidRPr="004510A8">
              <w:rPr>
                <w:rFonts w:ascii="Source Sans Pro" w:hAnsi="Source Sans Pro"/>
                <w:b/>
                <w:snapToGrid/>
                <w:color w:val="000000"/>
                <w:sz w:val="18"/>
              </w:rPr>
              <w:t>Type of Burden (Obligation to Respond)</w:t>
            </w:r>
          </w:p>
        </w:tc>
        <w:tc>
          <w:tcPr>
            <w:tcW w:w="1192" w:type="dxa"/>
            <w:tcBorders>
              <w:top w:val="single" w:color="auto" w:sz="4" w:space="0"/>
              <w:left w:val="nil"/>
              <w:bottom w:val="single" w:color="auto" w:sz="4" w:space="0"/>
              <w:right w:val="single" w:color="auto" w:sz="4" w:space="0"/>
            </w:tcBorders>
            <w:vAlign w:val="center"/>
          </w:tcPr>
          <w:p w:rsidRPr="004510A8" w:rsidR="004510A8" w:rsidP="004510A8" w:rsidRDefault="004510A8" w14:paraId="5B16C5F6" w14:textId="77777777">
            <w:pPr>
              <w:widowControl/>
              <w:jc w:val="center"/>
              <w:rPr>
                <w:rFonts w:ascii="Source Sans Pro" w:hAnsi="Source Sans Pro"/>
                <w:b/>
                <w:snapToGrid/>
                <w:color w:val="000000"/>
                <w:sz w:val="18"/>
              </w:rPr>
            </w:pPr>
            <w:r w:rsidRPr="004510A8">
              <w:rPr>
                <w:rFonts w:ascii="Source Sans Pro" w:hAnsi="Source Sans Pro"/>
                <w:b/>
                <w:snapToGrid/>
                <w:color w:val="000000"/>
                <w:sz w:val="18"/>
              </w:rPr>
              <w:t>Frequency of Response</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10A8" w:rsidR="004510A8" w:rsidP="004510A8" w:rsidRDefault="004510A8" w14:paraId="13B55519" w14:textId="24302542">
            <w:pPr>
              <w:widowControl/>
              <w:jc w:val="center"/>
              <w:rPr>
                <w:rFonts w:ascii="Source Sans Pro" w:hAnsi="Source Sans Pro"/>
                <w:b/>
                <w:snapToGrid/>
                <w:color w:val="000000"/>
                <w:sz w:val="18"/>
              </w:rPr>
            </w:pPr>
            <w:r w:rsidRPr="004510A8">
              <w:rPr>
                <w:rFonts w:ascii="Source Sans Pro" w:hAnsi="Source Sans Pro"/>
                <w:b/>
                <w:snapToGrid/>
                <w:color w:val="000000"/>
                <w:sz w:val="18"/>
              </w:rPr>
              <w:t>Estimated Number of Respondents</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4510A8" w:rsidR="004510A8" w:rsidP="004510A8" w:rsidRDefault="004510A8" w14:paraId="255384AF" w14:textId="34755358">
            <w:pPr>
              <w:widowControl/>
              <w:jc w:val="center"/>
              <w:rPr>
                <w:rFonts w:ascii="Source Sans Pro" w:hAnsi="Source Sans Pro"/>
                <w:b/>
                <w:snapToGrid/>
                <w:color w:val="000000"/>
                <w:sz w:val="18"/>
              </w:rPr>
            </w:pPr>
            <w:r>
              <w:rPr>
                <w:rFonts w:ascii="Source Sans Pro" w:hAnsi="Source Sans Pro"/>
                <w:b/>
                <w:snapToGrid/>
                <w:color w:val="000000"/>
                <w:sz w:val="18"/>
              </w:rPr>
              <w:t xml:space="preserve">Estimated Average </w:t>
            </w:r>
            <w:r w:rsidRPr="004510A8">
              <w:rPr>
                <w:rFonts w:ascii="Source Sans Pro" w:hAnsi="Source Sans Pro"/>
                <w:b/>
                <w:snapToGrid/>
                <w:color w:val="000000"/>
                <w:sz w:val="18"/>
              </w:rPr>
              <w:t>Time per Response</w:t>
            </w:r>
            <w:r w:rsidR="00FE4208">
              <w:rPr>
                <w:rFonts w:ascii="Source Sans Pro" w:hAnsi="Source Sans Pro"/>
                <w:b/>
                <w:snapToGrid/>
                <w:color w:val="000000"/>
                <w:sz w:val="18"/>
              </w:rPr>
              <w:t xml:space="preserve"> (Hours)</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4510A8" w:rsidR="004510A8" w:rsidP="004510A8" w:rsidRDefault="004510A8" w14:paraId="1015EF84" w14:textId="66A9D439">
            <w:pPr>
              <w:widowControl/>
              <w:jc w:val="center"/>
              <w:rPr>
                <w:rFonts w:ascii="Source Sans Pro" w:hAnsi="Source Sans Pro"/>
                <w:b/>
                <w:snapToGrid/>
                <w:color w:val="000000"/>
                <w:sz w:val="18"/>
              </w:rPr>
            </w:pPr>
            <w:r>
              <w:rPr>
                <w:rFonts w:ascii="Source Sans Pro" w:hAnsi="Source Sans Pro"/>
                <w:b/>
                <w:snapToGrid/>
                <w:color w:val="000000"/>
                <w:sz w:val="18"/>
              </w:rPr>
              <w:t xml:space="preserve">Estimated </w:t>
            </w:r>
            <w:r w:rsidRPr="004510A8">
              <w:rPr>
                <w:rFonts w:ascii="Source Sans Pro" w:hAnsi="Source Sans Pro"/>
                <w:b/>
                <w:snapToGrid/>
                <w:color w:val="000000"/>
                <w:sz w:val="18"/>
              </w:rPr>
              <w:t>Annual Burden (Hours)</w:t>
            </w:r>
          </w:p>
        </w:tc>
      </w:tr>
      <w:tr w:rsidRPr="00444438" w:rsidR="00FE4208" w:rsidTr="00FE4208" w14:paraId="458BCE85" w14:textId="77777777">
        <w:trPr>
          <w:trHeight w:val="288"/>
        </w:trPr>
        <w:tc>
          <w:tcPr>
            <w:tcW w:w="9805" w:type="dxa"/>
            <w:gridSpan w:val="6"/>
            <w:tcBorders>
              <w:top w:val="nil"/>
              <w:left w:val="single" w:color="auto" w:sz="4" w:space="0"/>
              <w:bottom w:val="single" w:color="auto" w:sz="4" w:space="0"/>
              <w:right w:val="single" w:color="auto" w:sz="4" w:space="0"/>
            </w:tcBorders>
            <w:shd w:val="clear" w:color="auto" w:fill="auto"/>
            <w:vAlign w:val="center"/>
          </w:tcPr>
          <w:p w:rsidRPr="00444438" w:rsidR="00FE4208" w:rsidP="00FE4208" w:rsidRDefault="00FE4208" w14:paraId="5D3140B2" w14:textId="034A95FD">
            <w:pPr>
              <w:widowControl/>
              <w:rPr>
                <w:rFonts w:ascii="Source Sans Pro" w:hAnsi="Source Sans Pro" w:eastAsia="Source Sans Pro" w:cs="Arial"/>
                <w:b/>
                <w:i/>
                <w:snapToGrid/>
                <w:color w:val="000000"/>
                <w:sz w:val="20"/>
                <w:lang w:bidi="en-US"/>
              </w:rPr>
            </w:pPr>
            <w:r w:rsidRPr="00444438">
              <w:rPr>
                <w:rFonts w:ascii="Source Sans Pro" w:hAnsi="Source Sans Pro" w:eastAsia="Source Sans Pro" w:cs="Arial"/>
                <w:b/>
                <w:i/>
                <w:snapToGrid/>
                <w:color w:val="000000"/>
                <w:sz w:val="22"/>
                <w:lang w:bidi="en-US"/>
              </w:rPr>
              <w:t>Implementation Burden</w:t>
            </w:r>
          </w:p>
        </w:tc>
      </w:tr>
      <w:tr w:rsidRPr="004510A8" w:rsidR="00FE4208" w:rsidTr="00AB4DF7" w14:paraId="31D75AAF" w14:textId="77777777">
        <w:trPr>
          <w:trHeight w:val="288"/>
        </w:trPr>
        <w:tc>
          <w:tcPr>
            <w:tcW w:w="3055" w:type="dxa"/>
            <w:tcBorders>
              <w:top w:val="nil"/>
              <w:left w:val="single" w:color="auto" w:sz="4" w:space="0"/>
              <w:bottom w:val="single" w:color="auto" w:sz="4" w:space="0"/>
              <w:right w:val="single" w:color="auto" w:sz="4" w:space="0"/>
            </w:tcBorders>
            <w:shd w:val="clear" w:color="auto" w:fill="auto"/>
            <w:vAlign w:val="center"/>
            <w:hideMark/>
          </w:tcPr>
          <w:p w:rsidRPr="004510A8" w:rsidR="004510A8" w:rsidP="004510A8" w:rsidRDefault="00FE4208" w14:paraId="6AF1ADFA" w14:textId="3795358D">
            <w:pPr>
              <w:widowControl/>
              <w:rPr>
                <w:rFonts w:ascii="Source Sans Pro" w:hAnsi="Source Sans Pro" w:eastAsia="Source Sans Pro" w:cs="Arial"/>
                <w:snapToGrid/>
                <w:color w:val="000000"/>
                <w:sz w:val="20"/>
                <w:lang w:bidi="en-US"/>
              </w:rPr>
            </w:pPr>
            <w:r>
              <w:rPr>
                <w:rFonts w:ascii="Source Sans Pro" w:hAnsi="Source Sans Pro" w:eastAsia="Source Sans Pro" w:cs="Arial"/>
                <w:snapToGrid/>
                <w:color w:val="000000"/>
                <w:sz w:val="20"/>
                <w:lang w:bidi="en-US"/>
              </w:rPr>
              <w:lastRenderedPageBreak/>
              <w:t>Full Scope Entities</w:t>
            </w:r>
          </w:p>
        </w:tc>
        <w:tc>
          <w:tcPr>
            <w:tcW w:w="1778" w:type="dxa"/>
            <w:tcBorders>
              <w:top w:val="nil"/>
              <w:left w:val="nil"/>
              <w:bottom w:val="single" w:color="auto" w:sz="4" w:space="0"/>
              <w:right w:val="single" w:color="auto" w:sz="4" w:space="0"/>
            </w:tcBorders>
            <w:shd w:val="clear" w:color="auto" w:fill="auto"/>
            <w:noWrap/>
            <w:vAlign w:val="center"/>
            <w:hideMark/>
          </w:tcPr>
          <w:p w:rsidRPr="004510A8" w:rsidR="004510A8" w:rsidP="004510A8" w:rsidRDefault="004510A8" w14:paraId="54AC3FFD" w14:textId="77777777">
            <w:pPr>
              <w:widowControl/>
              <w:jc w:val="center"/>
              <w:rPr>
                <w:rFonts w:ascii="Source Sans Pro" w:hAnsi="Source Sans Pro"/>
                <w:snapToGrid/>
                <w:color w:val="000000"/>
                <w:sz w:val="20"/>
              </w:rPr>
            </w:pPr>
            <w:r w:rsidRPr="004510A8">
              <w:rPr>
                <w:rFonts w:ascii="Source Sans Pro" w:hAnsi="Source Sans Pro" w:eastAsia="Source Sans Pro" w:cs="Arial"/>
                <w:snapToGrid/>
                <w:color w:val="000000"/>
                <w:sz w:val="20"/>
                <w:lang w:bidi="en-US"/>
              </w:rPr>
              <w:t>Recordkeeping (Mandatory)</w:t>
            </w:r>
          </w:p>
        </w:tc>
        <w:tc>
          <w:tcPr>
            <w:tcW w:w="1192" w:type="dxa"/>
            <w:tcBorders>
              <w:top w:val="single" w:color="auto" w:sz="4" w:space="0"/>
              <w:left w:val="nil"/>
              <w:bottom w:val="single" w:color="auto" w:sz="4" w:space="0"/>
              <w:right w:val="single" w:color="auto" w:sz="4" w:space="0"/>
            </w:tcBorders>
            <w:vAlign w:val="center"/>
          </w:tcPr>
          <w:p w:rsidRPr="004510A8" w:rsidR="004510A8" w:rsidP="004510A8" w:rsidRDefault="00FE4208" w14:paraId="6F1FA39A" w14:textId="725FACC8">
            <w:pPr>
              <w:widowControl/>
              <w:jc w:val="center"/>
              <w:rPr>
                <w:rFonts w:ascii="Source Sans Pro" w:hAnsi="Source Sans Pro" w:eastAsia="Source Sans Pro" w:cs="Arial"/>
                <w:snapToGrid/>
                <w:color w:val="000000"/>
                <w:sz w:val="20"/>
                <w:lang w:bidi="en-US"/>
              </w:rPr>
            </w:pPr>
            <w:r>
              <w:rPr>
                <w:rFonts w:ascii="Source Sans Pro" w:hAnsi="Source Sans Pro" w:eastAsia="Source Sans Pro" w:cs="Arial"/>
                <w:snapToGrid/>
                <w:color w:val="000000"/>
                <w:sz w:val="20"/>
                <w:lang w:bidi="en-US"/>
              </w:rPr>
              <w:t>One time</w:t>
            </w:r>
          </w:p>
        </w:tc>
        <w:tc>
          <w:tcPr>
            <w:tcW w:w="1260" w:type="dxa"/>
            <w:tcBorders>
              <w:top w:val="nil"/>
              <w:left w:val="single" w:color="auto" w:sz="4" w:space="0"/>
              <w:bottom w:val="single" w:color="auto" w:sz="4" w:space="0"/>
              <w:right w:val="single" w:color="auto" w:sz="4" w:space="0"/>
            </w:tcBorders>
            <w:shd w:val="clear" w:color="auto" w:fill="auto"/>
            <w:noWrap/>
            <w:vAlign w:val="center"/>
            <w:hideMark/>
          </w:tcPr>
          <w:p w:rsidRPr="004510A8" w:rsidR="004510A8" w:rsidP="004510A8" w:rsidRDefault="004510A8" w14:paraId="2BD42ADB" w14:textId="77777777">
            <w:pPr>
              <w:widowControl/>
              <w:jc w:val="center"/>
              <w:rPr>
                <w:rFonts w:ascii="Source Sans Pro" w:hAnsi="Source Sans Pro"/>
                <w:snapToGrid/>
                <w:color w:val="000000"/>
                <w:sz w:val="20"/>
              </w:rPr>
            </w:pPr>
            <w:r w:rsidRPr="004510A8">
              <w:rPr>
                <w:rFonts w:ascii="Source Sans Pro" w:hAnsi="Source Sans Pro" w:eastAsia="Source Sans Pro" w:cs="Arial"/>
                <w:snapToGrid/>
                <w:color w:val="000000"/>
                <w:sz w:val="20"/>
                <w:lang w:bidi="en-US"/>
              </w:rPr>
              <w:t>1</w:t>
            </w:r>
          </w:p>
        </w:tc>
        <w:tc>
          <w:tcPr>
            <w:tcW w:w="1170" w:type="dxa"/>
            <w:tcBorders>
              <w:top w:val="nil"/>
              <w:left w:val="nil"/>
              <w:bottom w:val="single" w:color="auto" w:sz="4" w:space="0"/>
              <w:right w:val="single" w:color="auto" w:sz="4" w:space="0"/>
            </w:tcBorders>
            <w:shd w:val="clear" w:color="auto" w:fill="auto"/>
            <w:noWrap/>
            <w:vAlign w:val="center"/>
            <w:hideMark/>
          </w:tcPr>
          <w:p w:rsidRPr="004510A8" w:rsidR="004510A8" w:rsidP="004510A8" w:rsidRDefault="004510A8" w14:paraId="21CC54D6" w14:textId="77777777">
            <w:pPr>
              <w:widowControl/>
              <w:jc w:val="center"/>
              <w:rPr>
                <w:rFonts w:ascii="Source Sans Pro" w:hAnsi="Source Sans Pro"/>
                <w:snapToGrid/>
                <w:color w:val="000000"/>
                <w:sz w:val="20"/>
              </w:rPr>
            </w:pPr>
            <w:r w:rsidRPr="004510A8">
              <w:rPr>
                <w:rFonts w:ascii="Source Sans Pro" w:hAnsi="Source Sans Pro" w:eastAsia="Source Sans Pro" w:cs="Arial"/>
                <w:snapToGrid/>
                <w:color w:val="000000"/>
                <w:sz w:val="20"/>
                <w:lang w:bidi="en-US"/>
              </w:rPr>
              <w:t>6,000</w:t>
            </w:r>
          </w:p>
        </w:tc>
        <w:tc>
          <w:tcPr>
            <w:tcW w:w="1350" w:type="dxa"/>
            <w:tcBorders>
              <w:top w:val="nil"/>
              <w:left w:val="nil"/>
              <w:bottom w:val="single" w:color="auto" w:sz="4" w:space="0"/>
              <w:right w:val="single" w:color="auto" w:sz="4" w:space="0"/>
            </w:tcBorders>
            <w:shd w:val="clear" w:color="auto" w:fill="auto"/>
            <w:noWrap/>
            <w:vAlign w:val="center"/>
            <w:hideMark/>
          </w:tcPr>
          <w:p w:rsidRPr="004510A8" w:rsidR="004510A8" w:rsidP="00AB4DF7" w:rsidRDefault="004510A8" w14:paraId="36DF5BF3" w14:textId="77777777">
            <w:pPr>
              <w:widowControl/>
              <w:jc w:val="right"/>
              <w:rPr>
                <w:rFonts w:ascii="Source Sans Pro" w:hAnsi="Source Sans Pro"/>
                <w:snapToGrid/>
                <w:color w:val="000000"/>
                <w:sz w:val="20"/>
              </w:rPr>
            </w:pPr>
            <w:r w:rsidRPr="004510A8">
              <w:rPr>
                <w:rFonts w:ascii="Source Sans Pro" w:hAnsi="Source Sans Pro" w:eastAsia="Source Sans Pro" w:cs="Arial"/>
                <w:snapToGrid/>
                <w:color w:val="000000"/>
                <w:sz w:val="20"/>
                <w:lang w:bidi="en-US"/>
              </w:rPr>
              <w:t>6,000</w:t>
            </w:r>
          </w:p>
        </w:tc>
      </w:tr>
      <w:tr w:rsidRPr="004510A8" w:rsidR="00FE4208" w:rsidTr="00AB4DF7" w14:paraId="00094598" w14:textId="77777777">
        <w:trPr>
          <w:trHeight w:val="288"/>
        </w:trPr>
        <w:tc>
          <w:tcPr>
            <w:tcW w:w="3055" w:type="dxa"/>
            <w:tcBorders>
              <w:top w:val="nil"/>
              <w:left w:val="single" w:color="auto" w:sz="4" w:space="0"/>
              <w:bottom w:val="single" w:color="auto" w:sz="4" w:space="0"/>
              <w:right w:val="single" w:color="auto" w:sz="4" w:space="0"/>
            </w:tcBorders>
            <w:shd w:val="clear" w:color="auto" w:fill="auto"/>
            <w:vAlign w:val="center"/>
          </w:tcPr>
          <w:p w:rsidRPr="004510A8" w:rsidR="00FE4208" w:rsidP="004510A8" w:rsidRDefault="00FE4208" w14:paraId="746DB995" w14:textId="327ADDD2">
            <w:pPr>
              <w:widowControl/>
              <w:rPr>
                <w:rFonts w:ascii="Source Sans Pro" w:hAnsi="Source Sans Pro" w:eastAsia="Source Sans Pro" w:cs="Arial"/>
                <w:snapToGrid/>
                <w:color w:val="000000"/>
                <w:sz w:val="20"/>
                <w:lang w:bidi="en-US"/>
              </w:rPr>
            </w:pPr>
            <w:r>
              <w:rPr>
                <w:rFonts w:ascii="Source Sans Pro" w:hAnsi="Source Sans Pro" w:eastAsia="Source Sans Pro" w:cs="Arial"/>
                <w:snapToGrid/>
                <w:color w:val="000000"/>
                <w:sz w:val="20"/>
                <w:lang w:bidi="en-US"/>
              </w:rPr>
              <w:t>Limited Scope Entities</w:t>
            </w:r>
          </w:p>
        </w:tc>
        <w:tc>
          <w:tcPr>
            <w:tcW w:w="1778" w:type="dxa"/>
            <w:tcBorders>
              <w:top w:val="nil"/>
              <w:left w:val="nil"/>
              <w:bottom w:val="single" w:color="auto" w:sz="4" w:space="0"/>
              <w:right w:val="single" w:color="auto" w:sz="4" w:space="0"/>
            </w:tcBorders>
            <w:shd w:val="clear" w:color="auto" w:fill="auto"/>
            <w:noWrap/>
            <w:vAlign w:val="center"/>
          </w:tcPr>
          <w:p w:rsidRPr="004510A8" w:rsidR="00FE4208" w:rsidP="004510A8" w:rsidRDefault="00FE4208" w14:paraId="307571E1" w14:textId="46DA38AE">
            <w:pPr>
              <w:widowControl/>
              <w:jc w:val="center"/>
              <w:rPr>
                <w:rFonts w:ascii="Source Sans Pro" w:hAnsi="Source Sans Pro" w:eastAsia="Source Sans Pro" w:cs="Arial"/>
                <w:snapToGrid/>
                <w:color w:val="000000"/>
                <w:sz w:val="20"/>
                <w:lang w:bidi="en-US"/>
              </w:rPr>
            </w:pPr>
            <w:r>
              <w:rPr>
                <w:rFonts w:ascii="Source Sans Pro" w:hAnsi="Source Sans Pro" w:eastAsia="Source Sans Pro" w:cs="Arial"/>
                <w:snapToGrid/>
                <w:color w:val="000000"/>
                <w:sz w:val="20"/>
                <w:lang w:bidi="en-US"/>
              </w:rPr>
              <w:t>Recordkeeping (Mandatory)</w:t>
            </w:r>
          </w:p>
        </w:tc>
        <w:tc>
          <w:tcPr>
            <w:tcW w:w="1192" w:type="dxa"/>
            <w:tcBorders>
              <w:top w:val="single" w:color="auto" w:sz="4" w:space="0"/>
              <w:left w:val="nil"/>
              <w:bottom w:val="single" w:color="auto" w:sz="4" w:space="0"/>
              <w:right w:val="single" w:color="auto" w:sz="4" w:space="0"/>
            </w:tcBorders>
            <w:vAlign w:val="center"/>
          </w:tcPr>
          <w:p w:rsidRPr="004510A8" w:rsidR="00FE4208" w:rsidP="004510A8" w:rsidRDefault="00FE4208" w14:paraId="249E9C2E" w14:textId="7CA5A41D">
            <w:pPr>
              <w:widowControl/>
              <w:jc w:val="center"/>
              <w:rPr>
                <w:rFonts w:ascii="Source Sans Pro" w:hAnsi="Source Sans Pro" w:eastAsia="Source Sans Pro" w:cs="Arial"/>
                <w:snapToGrid/>
                <w:color w:val="000000"/>
                <w:sz w:val="20"/>
                <w:lang w:bidi="en-US"/>
              </w:rPr>
            </w:pPr>
            <w:r>
              <w:rPr>
                <w:rFonts w:ascii="Source Sans Pro" w:hAnsi="Source Sans Pro" w:eastAsia="Source Sans Pro" w:cs="Arial"/>
                <w:snapToGrid/>
                <w:color w:val="000000"/>
                <w:sz w:val="20"/>
                <w:lang w:bidi="en-US"/>
              </w:rPr>
              <w:t>One Time</w:t>
            </w:r>
          </w:p>
        </w:tc>
        <w:tc>
          <w:tcPr>
            <w:tcW w:w="1260" w:type="dxa"/>
            <w:tcBorders>
              <w:top w:val="nil"/>
              <w:left w:val="single" w:color="auto" w:sz="4" w:space="0"/>
              <w:bottom w:val="single" w:color="auto" w:sz="4" w:space="0"/>
              <w:right w:val="single" w:color="auto" w:sz="4" w:space="0"/>
            </w:tcBorders>
            <w:shd w:val="clear" w:color="auto" w:fill="auto"/>
            <w:noWrap/>
            <w:vAlign w:val="center"/>
          </w:tcPr>
          <w:p w:rsidRPr="004510A8" w:rsidR="00FE4208" w:rsidP="004510A8" w:rsidRDefault="00FE4208" w14:paraId="73DA6993" w14:textId="26F51A5C">
            <w:pPr>
              <w:widowControl/>
              <w:jc w:val="center"/>
              <w:rPr>
                <w:rFonts w:ascii="Source Sans Pro" w:hAnsi="Source Sans Pro" w:eastAsia="Source Sans Pro" w:cs="Arial"/>
                <w:snapToGrid/>
                <w:color w:val="000000"/>
                <w:sz w:val="20"/>
                <w:lang w:bidi="en-US"/>
              </w:rPr>
            </w:pPr>
            <w:r>
              <w:rPr>
                <w:rFonts w:ascii="Source Sans Pro" w:hAnsi="Source Sans Pro" w:eastAsia="Source Sans Pro" w:cs="Arial"/>
                <w:snapToGrid/>
                <w:color w:val="000000"/>
                <w:sz w:val="20"/>
                <w:lang w:bidi="en-US"/>
              </w:rPr>
              <w:t>51</w:t>
            </w:r>
          </w:p>
        </w:tc>
        <w:tc>
          <w:tcPr>
            <w:tcW w:w="1170" w:type="dxa"/>
            <w:tcBorders>
              <w:top w:val="nil"/>
              <w:left w:val="nil"/>
              <w:bottom w:val="single" w:color="auto" w:sz="4" w:space="0"/>
              <w:right w:val="single" w:color="auto" w:sz="4" w:space="0"/>
            </w:tcBorders>
            <w:shd w:val="clear" w:color="auto" w:fill="auto"/>
            <w:noWrap/>
            <w:vAlign w:val="center"/>
          </w:tcPr>
          <w:p w:rsidRPr="004510A8" w:rsidR="00FE4208" w:rsidP="004510A8" w:rsidRDefault="00FE4208" w14:paraId="1D111694" w14:textId="35C2B4F4">
            <w:pPr>
              <w:widowControl/>
              <w:jc w:val="center"/>
              <w:rPr>
                <w:rFonts w:ascii="Source Sans Pro" w:hAnsi="Source Sans Pro" w:eastAsia="Source Sans Pro" w:cs="Arial"/>
                <w:snapToGrid/>
                <w:color w:val="000000"/>
                <w:sz w:val="20"/>
                <w:lang w:bidi="en-US"/>
              </w:rPr>
            </w:pPr>
            <w:r>
              <w:rPr>
                <w:rFonts w:ascii="Source Sans Pro" w:hAnsi="Source Sans Pro" w:eastAsia="Source Sans Pro" w:cs="Arial"/>
                <w:snapToGrid/>
                <w:color w:val="000000"/>
                <w:sz w:val="20"/>
                <w:lang w:bidi="en-US"/>
              </w:rPr>
              <w:t>23</w:t>
            </w:r>
          </w:p>
        </w:tc>
        <w:tc>
          <w:tcPr>
            <w:tcW w:w="1350" w:type="dxa"/>
            <w:tcBorders>
              <w:top w:val="nil"/>
              <w:left w:val="nil"/>
              <w:bottom w:val="single" w:color="auto" w:sz="4" w:space="0"/>
              <w:right w:val="single" w:color="auto" w:sz="4" w:space="0"/>
            </w:tcBorders>
            <w:shd w:val="clear" w:color="auto" w:fill="auto"/>
            <w:noWrap/>
            <w:vAlign w:val="center"/>
          </w:tcPr>
          <w:p w:rsidRPr="004510A8" w:rsidR="00FE4208" w:rsidP="00AB4DF7" w:rsidRDefault="00FE4208" w14:paraId="339BEE14" w14:textId="61C1E6E9">
            <w:pPr>
              <w:widowControl/>
              <w:jc w:val="right"/>
              <w:rPr>
                <w:rFonts w:ascii="Source Sans Pro" w:hAnsi="Source Sans Pro" w:eastAsia="Source Sans Pro" w:cs="Arial"/>
                <w:snapToGrid/>
                <w:color w:val="000000"/>
                <w:sz w:val="20"/>
                <w:lang w:bidi="en-US"/>
              </w:rPr>
            </w:pPr>
            <w:r>
              <w:rPr>
                <w:rFonts w:ascii="Source Sans Pro" w:hAnsi="Source Sans Pro" w:eastAsia="Source Sans Pro" w:cs="Arial"/>
                <w:snapToGrid/>
                <w:color w:val="000000"/>
                <w:sz w:val="20"/>
                <w:lang w:bidi="en-US"/>
              </w:rPr>
              <w:t>1,173</w:t>
            </w:r>
          </w:p>
        </w:tc>
      </w:tr>
      <w:tr w:rsidRPr="004510A8" w:rsidR="00FE4208" w:rsidTr="00AB4DF7" w14:paraId="4C3851D7" w14:textId="77777777">
        <w:trPr>
          <w:trHeight w:val="288"/>
        </w:trPr>
        <w:tc>
          <w:tcPr>
            <w:tcW w:w="3055" w:type="dxa"/>
            <w:tcBorders>
              <w:top w:val="nil"/>
              <w:left w:val="single" w:color="auto" w:sz="4" w:space="0"/>
              <w:bottom w:val="single" w:color="auto" w:sz="4" w:space="0"/>
              <w:right w:val="single" w:color="auto" w:sz="4" w:space="0"/>
            </w:tcBorders>
            <w:shd w:val="clear" w:color="auto" w:fill="auto"/>
            <w:vAlign w:val="center"/>
          </w:tcPr>
          <w:p w:rsidR="00FE4208" w:rsidP="004510A8" w:rsidRDefault="00FE4208" w14:paraId="670E5819" w14:textId="66636533">
            <w:pPr>
              <w:widowControl/>
              <w:rPr>
                <w:rFonts w:ascii="Source Sans Pro" w:hAnsi="Source Sans Pro" w:eastAsia="Source Sans Pro" w:cs="Arial"/>
                <w:snapToGrid/>
                <w:color w:val="000000"/>
                <w:sz w:val="20"/>
                <w:lang w:bidi="en-US"/>
              </w:rPr>
            </w:pPr>
            <w:r>
              <w:rPr>
                <w:rFonts w:ascii="Source Sans Pro" w:hAnsi="Source Sans Pro" w:eastAsia="Source Sans Pro" w:cs="Arial"/>
                <w:snapToGrid/>
                <w:color w:val="000000"/>
                <w:sz w:val="20"/>
                <w:lang w:bidi="en-US"/>
              </w:rPr>
              <w:t>Application for Extension of Time</w:t>
            </w:r>
          </w:p>
        </w:tc>
        <w:tc>
          <w:tcPr>
            <w:tcW w:w="1778" w:type="dxa"/>
            <w:tcBorders>
              <w:top w:val="nil"/>
              <w:left w:val="nil"/>
              <w:bottom w:val="single" w:color="auto" w:sz="4" w:space="0"/>
              <w:right w:val="single" w:color="auto" w:sz="4" w:space="0"/>
            </w:tcBorders>
            <w:shd w:val="clear" w:color="auto" w:fill="auto"/>
            <w:noWrap/>
            <w:vAlign w:val="center"/>
          </w:tcPr>
          <w:p w:rsidR="00FE4208" w:rsidP="004510A8" w:rsidRDefault="00AB4DF7" w14:paraId="2C56A0A8" w14:textId="27E3B119">
            <w:pPr>
              <w:widowControl/>
              <w:jc w:val="center"/>
              <w:rPr>
                <w:rFonts w:ascii="Source Sans Pro" w:hAnsi="Source Sans Pro" w:eastAsia="Source Sans Pro" w:cs="Arial"/>
                <w:snapToGrid/>
                <w:color w:val="000000"/>
                <w:sz w:val="20"/>
                <w:lang w:bidi="en-US"/>
              </w:rPr>
            </w:pPr>
            <w:r>
              <w:rPr>
                <w:rFonts w:ascii="Source Sans Pro" w:hAnsi="Source Sans Pro" w:eastAsia="Source Sans Pro" w:cs="Arial"/>
                <w:snapToGrid/>
                <w:color w:val="000000"/>
                <w:sz w:val="20"/>
                <w:lang w:bidi="en-US"/>
              </w:rPr>
              <w:t>Reporting (Required to Obtain a Benefit)</w:t>
            </w:r>
          </w:p>
        </w:tc>
        <w:tc>
          <w:tcPr>
            <w:tcW w:w="1192" w:type="dxa"/>
            <w:tcBorders>
              <w:top w:val="single" w:color="auto" w:sz="4" w:space="0"/>
              <w:left w:val="nil"/>
              <w:bottom w:val="single" w:color="auto" w:sz="4" w:space="0"/>
              <w:right w:val="single" w:color="auto" w:sz="4" w:space="0"/>
            </w:tcBorders>
            <w:vAlign w:val="center"/>
          </w:tcPr>
          <w:p w:rsidR="00FE4208" w:rsidP="004510A8" w:rsidRDefault="00AB4DF7" w14:paraId="125E2440" w14:textId="47FE0B5E">
            <w:pPr>
              <w:widowControl/>
              <w:jc w:val="center"/>
              <w:rPr>
                <w:rFonts w:ascii="Source Sans Pro" w:hAnsi="Source Sans Pro" w:eastAsia="Source Sans Pro" w:cs="Arial"/>
                <w:snapToGrid/>
                <w:color w:val="000000"/>
                <w:sz w:val="20"/>
                <w:lang w:bidi="en-US"/>
              </w:rPr>
            </w:pPr>
            <w:r>
              <w:rPr>
                <w:rFonts w:ascii="Source Sans Pro" w:hAnsi="Source Sans Pro" w:eastAsia="Source Sans Pro" w:cs="Arial"/>
                <w:snapToGrid/>
                <w:color w:val="000000"/>
                <w:sz w:val="20"/>
                <w:lang w:bidi="en-US"/>
              </w:rPr>
              <w:t>On Occasion</w:t>
            </w:r>
          </w:p>
        </w:tc>
        <w:tc>
          <w:tcPr>
            <w:tcW w:w="1260" w:type="dxa"/>
            <w:tcBorders>
              <w:top w:val="nil"/>
              <w:left w:val="single" w:color="auto" w:sz="4" w:space="0"/>
              <w:bottom w:val="single" w:color="auto" w:sz="4" w:space="0"/>
              <w:right w:val="single" w:color="auto" w:sz="4" w:space="0"/>
            </w:tcBorders>
            <w:shd w:val="clear" w:color="auto" w:fill="auto"/>
            <w:noWrap/>
            <w:vAlign w:val="center"/>
          </w:tcPr>
          <w:p w:rsidR="00FE4208" w:rsidP="00AB4DF7" w:rsidRDefault="00AB4DF7" w14:paraId="40A16F36" w14:textId="67279342">
            <w:pPr>
              <w:widowControl/>
              <w:jc w:val="center"/>
              <w:rPr>
                <w:rFonts w:ascii="Source Sans Pro" w:hAnsi="Source Sans Pro" w:eastAsia="Source Sans Pro" w:cs="Arial"/>
                <w:snapToGrid/>
                <w:color w:val="000000"/>
                <w:sz w:val="20"/>
                <w:lang w:bidi="en-US"/>
              </w:rPr>
            </w:pPr>
            <w:r>
              <w:rPr>
                <w:rFonts w:ascii="Source Sans Pro" w:hAnsi="Source Sans Pro" w:eastAsia="Source Sans Pro" w:cs="Arial"/>
                <w:snapToGrid/>
                <w:color w:val="000000"/>
                <w:sz w:val="20"/>
                <w:lang w:bidi="en-US"/>
              </w:rPr>
              <w:t>1</w:t>
            </w:r>
          </w:p>
        </w:tc>
        <w:tc>
          <w:tcPr>
            <w:tcW w:w="1170" w:type="dxa"/>
            <w:tcBorders>
              <w:top w:val="nil"/>
              <w:left w:val="nil"/>
              <w:bottom w:val="single" w:color="auto" w:sz="4" w:space="0"/>
              <w:right w:val="single" w:color="auto" w:sz="4" w:space="0"/>
            </w:tcBorders>
            <w:shd w:val="clear" w:color="auto" w:fill="auto"/>
            <w:noWrap/>
            <w:vAlign w:val="center"/>
          </w:tcPr>
          <w:p w:rsidR="00FE4208" w:rsidP="004510A8" w:rsidRDefault="00AB4DF7" w14:paraId="0C343ACB" w14:textId="2629FCC1">
            <w:pPr>
              <w:widowControl/>
              <w:jc w:val="center"/>
              <w:rPr>
                <w:rFonts w:ascii="Source Sans Pro" w:hAnsi="Source Sans Pro" w:eastAsia="Source Sans Pro" w:cs="Arial"/>
                <w:snapToGrid/>
                <w:color w:val="000000"/>
                <w:sz w:val="20"/>
                <w:lang w:bidi="en-US"/>
              </w:rPr>
            </w:pPr>
            <w:r>
              <w:rPr>
                <w:rFonts w:ascii="Source Sans Pro" w:hAnsi="Source Sans Pro" w:eastAsia="Source Sans Pro" w:cs="Arial"/>
                <w:snapToGrid/>
                <w:color w:val="000000"/>
                <w:sz w:val="20"/>
                <w:lang w:bidi="en-US"/>
              </w:rPr>
              <w:t>1</w:t>
            </w:r>
          </w:p>
        </w:tc>
        <w:tc>
          <w:tcPr>
            <w:tcW w:w="1350" w:type="dxa"/>
            <w:tcBorders>
              <w:top w:val="nil"/>
              <w:left w:val="nil"/>
              <w:bottom w:val="single" w:color="auto" w:sz="4" w:space="0"/>
              <w:right w:val="single" w:color="auto" w:sz="4" w:space="0"/>
            </w:tcBorders>
            <w:shd w:val="clear" w:color="auto" w:fill="auto"/>
            <w:noWrap/>
            <w:vAlign w:val="center"/>
          </w:tcPr>
          <w:p w:rsidR="00FE4208" w:rsidP="00AB4DF7" w:rsidRDefault="00AB4DF7" w14:paraId="4AC03EDC" w14:textId="0328F962">
            <w:pPr>
              <w:widowControl/>
              <w:jc w:val="right"/>
              <w:rPr>
                <w:rFonts w:ascii="Source Sans Pro" w:hAnsi="Source Sans Pro" w:eastAsia="Source Sans Pro" w:cs="Arial"/>
                <w:snapToGrid/>
                <w:color w:val="000000"/>
                <w:sz w:val="20"/>
                <w:lang w:bidi="en-US"/>
              </w:rPr>
            </w:pPr>
            <w:r>
              <w:rPr>
                <w:rFonts w:ascii="Source Sans Pro" w:hAnsi="Source Sans Pro" w:eastAsia="Source Sans Pro" w:cs="Arial"/>
                <w:snapToGrid/>
                <w:color w:val="000000"/>
                <w:sz w:val="20"/>
                <w:lang w:bidi="en-US"/>
              </w:rPr>
              <w:t>1</w:t>
            </w:r>
          </w:p>
        </w:tc>
      </w:tr>
      <w:tr w:rsidRPr="00444438" w:rsidR="00AB4DF7" w:rsidTr="00447FB6" w14:paraId="3F26AF1D" w14:textId="77777777">
        <w:trPr>
          <w:trHeight w:val="288"/>
        </w:trPr>
        <w:tc>
          <w:tcPr>
            <w:tcW w:w="8455" w:type="dxa"/>
            <w:gridSpan w:val="5"/>
            <w:tcBorders>
              <w:top w:val="nil"/>
              <w:left w:val="single" w:color="auto" w:sz="4" w:space="0"/>
              <w:bottom w:val="single" w:color="auto" w:sz="4" w:space="0"/>
              <w:right w:val="single" w:color="auto" w:sz="4" w:space="0"/>
            </w:tcBorders>
            <w:shd w:val="clear" w:color="auto" w:fill="auto"/>
            <w:vAlign w:val="center"/>
          </w:tcPr>
          <w:p w:rsidRPr="00444438" w:rsidR="00AB4DF7" w:rsidP="00AB4DF7" w:rsidRDefault="00AB4DF7" w14:paraId="3F9493E4" w14:textId="67357867">
            <w:pPr>
              <w:widowControl/>
              <w:rPr>
                <w:rFonts w:ascii="Source Sans Pro" w:hAnsi="Source Sans Pro" w:eastAsia="Source Sans Pro" w:cs="Arial"/>
                <w:b/>
                <w:i/>
                <w:snapToGrid/>
                <w:color w:val="000000"/>
                <w:sz w:val="20"/>
                <w:lang w:bidi="en-US"/>
              </w:rPr>
            </w:pPr>
            <w:r w:rsidRPr="00444438">
              <w:rPr>
                <w:rFonts w:ascii="Source Sans Pro" w:hAnsi="Source Sans Pro" w:eastAsia="Source Sans Pro" w:cs="Arial"/>
                <w:b/>
                <w:i/>
                <w:snapToGrid/>
                <w:color w:val="000000"/>
                <w:sz w:val="20"/>
                <w:lang w:bidi="en-US"/>
              </w:rPr>
              <w:t>Total Estimated Annual Implementation Burden</w:t>
            </w:r>
          </w:p>
        </w:tc>
        <w:tc>
          <w:tcPr>
            <w:tcW w:w="1350" w:type="dxa"/>
            <w:tcBorders>
              <w:top w:val="nil"/>
              <w:left w:val="nil"/>
              <w:bottom w:val="single" w:color="auto" w:sz="4" w:space="0"/>
              <w:right w:val="single" w:color="auto" w:sz="4" w:space="0"/>
            </w:tcBorders>
            <w:shd w:val="clear" w:color="auto" w:fill="auto"/>
            <w:noWrap/>
            <w:vAlign w:val="center"/>
          </w:tcPr>
          <w:p w:rsidRPr="00444438" w:rsidR="00AB4DF7" w:rsidP="00AB4DF7" w:rsidRDefault="00AB4DF7" w14:paraId="41FA6CA4" w14:textId="16F54583">
            <w:pPr>
              <w:widowControl/>
              <w:jc w:val="right"/>
              <w:rPr>
                <w:rFonts w:ascii="Source Sans Pro" w:hAnsi="Source Sans Pro" w:eastAsia="Source Sans Pro" w:cs="Arial"/>
                <w:b/>
                <w:i/>
                <w:snapToGrid/>
                <w:color w:val="000000"/>
                <w:sz w:val="20"/>
                <w:lang w:bidi="en-US"/>
              </w:rPr>
            </w:pPr>
            <w:r w:rsidRPr="00444438">
              <w:rPr>
                <w:rFonts w:ascii="Source Sans Pro" w:hAnsi="Source Sans Pro" w:eastAsia="Source Sans Pro" w:cs="Arial"/>
                <w:b/>
                <w:i/>
                <w:snapToGrid/>
                <w:color w:val="000000"/>
                <w:sz w:val="20"/>
                <w:lang w:bidi="en-US"/>
              </w:rPr>
              <w:t>7,174</w:t>
            </w:r>
          </w:p>
        </w:tc>
      </w:tr>
      <w:tr w:rsidRPr="004510A8" w:rsidR="00AB4DF7" w:rsidTr="00F16E23" w14:paraId="59328C3D" w14:textId="77777777">
        <w:trPr>
          <w:trHeight w:val="288"/>
        </w:trPr>
        <w:tc>
          <w:tcPr>
            <w:tcW w:w="9805" w:type="dxa"/>
            <w:gridSpan w:val="6"/>
            <w:tcBorders>
              <w:top w:val="nil"/>
              <w:left w:val="single" w:color="auto" w:sz="4" w:space="0"/>
              <w:bottom w:val="single" w:color="auto" w:sz="4" w:space="0"/>
              <w:right w:val="single" w:color="auto" w:sz="4" w:space="0"/>
            </w:tcBorders>
            <w:shd w:val="clear" w:color="auto" w:fill="auto"/>
            <w:vAlign w:val="center"/>
          </w:tcPr>
          <w:p w:rsidRPr="00444438" w:rsidR="00AB4DF7" w:rsidP="00AB4DF7" w:rsidRDefault="00AB4DF7" w14:paraId="55FCAAD5" w14:textId="569D52AA">
            <w:pPr>
              <w:widowControl/>
              <w:rPr>
                <w:rFonts w:ascii="Source Sans Pro" w:hAnsi="Source Sans Pro" w:eastAsia="Source Sans Pro" w:cs="Arial"/>
                <w:b/>
                <w:i/>
                <w:snapToGrid/>
                <w:color w:val="000000"/>
                <w:sz w:val="20"/>
                <w:lang w:bidi="en-US"/>
              </w:rPr>
            </w:pPr>
            <w:r w:rsidRPr="00444438">
              <w:rPr>
                <w:rFonts w:ascii="Source Sans Pro" w:hAnsi="Source Sans Pro" w:eastAsia="Source Sans Pro" w:cs="Arial"/>
                <w:b/>
                <w:i/>
                <w:snapToGrid/>
                <w:color w:val="000000"/>
                <w:sz w:val="22"/>
                <w:lang w:bidi="en-US"/>
              </w:rPr>
              <w:t>Ongoing Burden</w:t>
            </w:r>
          </w:p>
        </w:tc>
      </w:tr>
      <w:tr w:rsidRPr="004510A8" w:rsidR="00FE4208" w:rsidTr="00AB4DF7" w14:paraId="18AC03E0" w14:textId="77777777">
        <w:trPr>
          <w:trHeight w:val="288"/>
        </w:trPr>
        <w:tc>
          <w:tcPr>
            <w:tcW w:w="3055" w:type="dxa"/>
            <w:tcBorders>
              <w:top w:val="nil"/>
              <w:left w:val="single" w:color="auto" w:sz="4" w:space="0"/>
              <w:bottom w:val="single" w:color="auto" w:sz="4" w:space="0"/>
              <w:right w:val="single" w:color="auto" w:sz="4" w:space="0"/>
            </w:tcBorders>
            <w:shd w:val="clear" w:color="auto" w:fill="auto"/>
            <w:vAlign w:val="center"/>
          </w:tcPr>
          <w:p w:rsidRPr="004510A8" w:rsidR="004510A8" w:rsidP="00444438" w:rsidRDefault="004510A8" w14:paraId="2DBECA83" w14:textId="491423E7">
            <w:pPr>
              <w:widowControl/>
              <w:rPr>
                <w:rFonts w:ascii="Source Sans Pro" w:hAnsi="Source Sans Pro" w:eastAsia="Source Sans Pro" w:cs="Arial"/>
                <w:snapToGrid/>
                <w:color w:val="000000"/>
                <w:sz w:val="20"/>
                <w:lang w:bidi="en-US"/>
              </w:rPr>
            </w:pPr>
            <w:r w:rsidRPr="004510A8">
              <w:rPr>
                <w:rFonts w:ascii="Source Sans Pro" w:hAnsi="Source Sans Pro" w:eastAsia="Source Sans Pro" w:cs="Arial"/>
                <w:snapToGrid/>
                <w:color w:val="000000"/>
                <w:sz w:val="20"/>
                <w:lang w:bidi="en-US"/>
              </w:rPr>
              <w:t>Full Scope Entities</w:t>
            </w:r>
          </w:p>
        </w:tc>
        <w:tc>
          <w:tcPr>
            <w:tcW w:w="1778" w:type="dxa"/>
            <w:tcBorders>
              <w:top w:val="nil"/>
              <w:left w:val="nil"/>
              <w:bottom w:val="single" w:color="auto" w:sz="4" w:space="0"/>
              <w:right w:val="single" w:color="auto" w:sz="4" w:space="0"/>
            </w:tcBorders>
            <w:shd w:val="clear" w:color="auto" w:fill="auto"/>
            <w:noWrap/>
            <w:vAlign w:val="center"/>
          </w:tcPr>
          <w:p w:rsidRPr="004510A8" w:rsidR="004510A8" w:rsidP="004510A8" w:rsidRDefault="004510A8" w14:paraId="0B6BBC64" w14:textId="77777777">
            <w:pPr>
              <w:widowControl/>
              <w:jc w:val="center"/>
              <w:rPr>
                <w:rFonts w:ascii="Source Sans Pro" w:hAnsi="Source Sans Pro" w:eastAsia="Source Sans Pro" w:cs="Arial"/>
                <w:snapToGrid/>
                <w:color w:val="000000"/>
                <w:sz w:val="20"/>
                <w:lang w:bidi="en-US"/>
              </w:rPr>
            </w:pPr>
            <w:r w:rsidRPr="004510A8">
              <w:rPr>
                <w:rFonts w:ascii="Source Sans Pro" w:hAnsi="Source Sans Pro" w:eastAsia="Source Sans Pro" w:cs="Arial"/>
                <w:snapToGrid/>
                <w:color w:val="000000"/>
                <w:sz w:val="20"/>
                <w:lang w:bidi="en-US"/>
              </w:rPr>
              <w:t>Recordkeeping (Mandatory)</w:t>
            </w:r>
          </w:p>
        </w:tc>
        <w:tc>
          <w:tcPr>
            <w:tcW w:w="1192" w:type="dxa"/>
            <w:tcBorders>
              <w:top w:val="single" w:color="auto" w:sz="4" w:space="0"/>
              <w:left w:val="nil"/>
              <w:bottom w:val="single" w:color="auto" w:sz="4" w:space="0"/>
              <w:right w:val="single" w:color="auto" w:sz="4" w:space="0"/>
            </w:tcBorders>
            <w:vAlign w:val="center"/>
          </w:tcPr>
          <w:p w:rsidRPr="004510A8" w:rsidR="004510A8" w:rsidP="004510A8" w:rsidRDefault="004510A8" w14:paraId="3F26EFAA" w14:textId="77777777">
            <w:pPr>
              <w:widowControl/>
              <w:jc w:val="center"/>
              <w:rPr>
                <w:rFonts w:ascii="Source Sans Pro" w:hAnsi="Source Sans Pro" w:eastAsia="Source Sans Pro" w:cs="Arial"/>
                <w:snapToGrid/>
                <w:color w:val="000000"/>
                <w:sz w:val="20"/>
                <w:lang w:bidi="en-US"/>
              </w:rPr>
            </w:pPr>
            <w:r w:rsidRPr="004510A8">
              <w:rPr>
                <w:rFonts w:ascii="Source Sans Pro" w:hAnsi="Source Sans Pro" w:eastAsia="Source Sans Pro" w:cs="Arial"/>
                <w:snapToGrid/>
                <w:color w:val="000000"/>
                <w:sz w:val="20"/>
                <w:lang w:bidi="en-US"/>
              </w:rPr>
              <w:t>Annual</w:t>
            </w:r>
          </w:p>
        </w:tc>
        <w:tc>
          <w:tcPr>
            <w:tcW w:w="1260" w:type="dxa"/>
            <w:tcBorders>
              <w:top w:val="nil"/>
              <w:left w:val="single" w:color="auto" w:sz="4" w:space="0"/>
              <w:bottom w:val="single" w:color="auto" w:sz="4" w:space="0"/>
              <w:right w:val="single" w:color="auto" w:sz="4" w:space="0"/>
            </w:tcBorders>
            <w:shd w:val="clear" w:color="auto" w:fill="auto"/>
            <w:noWrap/>
            <w:vAlign w:val="center"/>
          </w:tcPr>
          <w:p w:rsidRPr="004510A8" w:rsidR="004510A8" w:rsidP="004510A8" w:rsidRDefault="004510A8" w14:paraId="53C53475" w14:textId="77777777">
            <w:pPr>
              <w:widowControl/>
              <w:jc w:val="center"/>
              <w:rPr>
                <w:rFonts w:ascii="Source Sans Pro" w:hAnsi="Source Sans Pro" w:eastAsia="Source Sans Pro" w:cs="Arial"/>
                <w:snapToGrid/>
                <w:color w:val="000000"/>
                <w:sz w:val="20"/>
                <w:lang w:bidi="en-US"/>
              </w:rPr>
            </w:pPr>
            <w:r w:rsidRPr="004510A8">
              <w:rPr>
                <w:rFonts w:ascii="Source Sans Pro" w:hAnsi="Source Sans Pro" w:eastAsia="Source Sans Pro" w:cs="Arial"/>
                <w:snapToGrid/>
                <w:color w:val="000000"/>
                <w:sz w:val="20"/>
                <w:lang w:bidi="en-US"/>
              </w:rPr>
              <w:t>4</w:t>
            </w:r>
          </w:p>
        </w:tc>
        <w:tc>
          <w:tcPr>
            <w:tcW w:w="1170" w:type="dxa"/>
            <w:tcBorders>
              <w:top w:val="nil"/>
              <w:left w:val="nil"/>
              <w:bottom w:val="single" w:color="auto" w:sz="4" w:space="0"/>
              <w:right w:val="single" w:color="auto" w:sz="4" w:space="0"/>
            </w:tcBorders>
            <w:shd w:val="clear" w:color="auto" w:fill="auto"/>
            <w:noWrap/>
            <w:vAlign w:val="center"/>
          </w:tcPr>
          <w:p w:rsidRPr="004510A8" w:rsidR="004510A8" w:rsidP="004510A8" w:rsidRDefault="004510A8" w14:paraId="232855C7" w14:textId="77777777">
            <w:pPr>
              <w:widowControl/>
              <w:jc w:val="center"/>
              <w:rPr>
                <w:rFonts w:ascii="Source Sans Pro" w:hAnsi="Source Sans Pro" w:eastAsia="Source Sans Pro" w:cs="Arial"/>
                <w:snapToGrid/>
                <w:color w:val="000000"/>
                <w:sz w:val="20"/>
                <w:lang w:bidi="en-US"/>
              </w:rPr>
            </w:pPr>
            <w:r w:rsidRPr="004510A8">
              <w:rPr>
                <w:rFonts w:ascii="Source Sans Pro" w:hAnsi="Source Sans Pro" w:eastAsia="Source Sans Pro" w:cs="Arial"/>
                <w:snapToGrid/>
                <w:color w:val="000000"/>
                <w:sz w:val="20"/>
                <w:lang w:bidi="en-US"/>
              </w:rPr>
              <w:t>250</w:t>
            </w:r>
          </w:p>
        </w:tc>
        <w:tc>
          <w:tcPr>
            <w:tcW w:w="1350" w:type="dxa"/>
            <w:tcBorders>
              <w:top w:val="nil"/>
              <w:left w:val="nil"/>
              <w:bottom w:val="single" w:color="auto" w:sz="4" w:space="0"/>
              <w:right w:val="single" w:color="auto" w:sz="4" w:space="0"/>
            </w:tcBorders>
            <w:shd w:val="clear" w:color="auto" w:fill="auto"/>
            <w:noWrap/>
            <w:vAlign w:val="center"/>
          </w:tcPr>
          <w:p w:rsidRPr="004510A8" w:rsidR="004510A8" w:rsidP="00AB4DF7" w:rsidRDefault="004510A8" w14:paraId="5D6F7A19" w14:textId="77777777">
            <w:pPr>
              <w:widowControl/>
              <w:jc w:val="right"/>
              <w:rPr>
                <w:rFonts w:ascii="Source Sans Pro" w:hAnsi="Source Sans Pro" w:eastAsia="Source Sans Pro" w:cs="Arial"/>
                <w:snapToGrid/>
                <w:color w:val="000000"/>
                <w:sz w:val="20"/>
                <w:lang w:bidi="en-US"/>
              </w:rPr>
            </w:pPr>
            <w:r w:rsidRPr="004510A8">
              <w:rPr>
                <w:rFonts w:ascii="Source Sans Pro" w:hAnsi="Source Sans Pro" w:eastAsia="Source Sans Pro" w:cs="Arial"/>
                <w:snapToGrid/>
                <w:color w:val="000000"/>
                <w:sz w:val="20"/>
                <w:lang w:bidi="en-US"/>
              </w:rPr>
              <w:t>1,000</w:t>
            </w:r>
          </w:p>
        </w:tc>
      </w:tr>
      <w:tr w:rsidRPr="004510A8" w:rsidR="00FE4208" w:rsidTr="00444438" w14:paraId="32D126AA" w14:textId="77777777">
        <w:trPr>
          <w:trHeight w:val="288"/>
        </w:trPr>
        <w:tc>
          <w:tcPr>
            <w:tcW w:w="3055" w:type="dxa"/>
            <w:tcBorders>
              <w:top w:val="single" w:color="auto" w:sz="4" w:space="0"/>
              <w:left w:val="single" w:color="auto" w:sz="4" w:space="0"/>
              <w:bottom w:val="single" w:color="auto" w:sz="4" w:space="0"/>
              <w:right w:val="single" w:color="auto" w:sz="4" w:space="0"/>
            </w:tcBorders>
            <w:shd w:val="clear" w:color="auto" w:fill="auto"/>
            <w:vAlign w:val="center"/>
          </w:tcPr>
          <w:p w:rsidRPr="004510A8" w:rsidR="004510A8" w:rsidP="00444438" w:rsidRDefault="004510A8" w14:paraId="4E706390" w14:textId="46F41B39">
            <w:pPr>
              <w:widowControl/>
              <w:rPr>
                <w:rFonts w:ascii="Source Sans Pro" w:hAnsi="Source Sans Pro" w:eastAsia="Source Sans Pro" w:cs="Arial"/>
                <w:snapToGrid/>
                <w:color w:val="000000"/>
                <w:sz w:val="20"/>
                <w:lang w:bidi="en-US"/>
              </w:rPr>
            </w:pPr>
            <w:r w:rsidRPr="004510A8">
              <w:rPr>
                <w:rFonts w:ascii="Source Sans Pro" w:hAnsi="Source Sans Pro" w:eastAsia="Source Sans Pro" w:cs="Arial"/>
                <w:snapToGrid/>
                <w:color w:val="000000"/>
                <w:sz w:val="20"/>
                <w:lang w:bidi="en-US"/>
              </w:rPr>
              <w:t>Limited Scope Entities</w:t>
            </w:r>
          </w:p>
        </w:tc>
        <w:tc>
          <w:tcPr>
            <w:tcW w:w="1778" w:type="dxa"/>
            <w:tcBorders>
              <w:top w:val="single" w:color="auto" w:sz="4" w:space="0"/>
              <w:left w:val="nil"/>
              <w:bottom w:val="single" w:color="auto" w:sz="4" w:space="0"/>
              <w:right w:val="single" w:color="auto" w:sz="4" w:space="0"/>
            </w:tcBorders>
            <w:shd w:val="clear" w:color="auto" w:fill="auto"/>
            <w:noWrap/>
            <w:vAlign w:val="center"/>
          </w:tcPr>
          <w:p w:rsidRPr="004510A8" w:rsidR="004510A8" w:rsidP="004510A8" w:rsidRDefault="004510A8" w14:paraId="48A85F28" w14:textId="77777777">
            <w:pPr>
              <w:widowControl/>
              <w:jc w:val="center"/>
              <w:rPr>
                <w:rFonts w:ascii="Source Sans Pro" w:hAnsi="Source Sans Pro" w:eastAsia="Source Sans Pro" w:cs="Arial"/>
                <w:snapToGrid/>
                <w:color w:val="000000"/>
                <w:sz w:val="20"/>
                <w:lang w:bidi="en-US"/>
              </w:rPr>
            </w:pPr>
            <w:r w:rsidRPr="004510A8">
              <w:rPr>
                <w:rFonts w:ascii="Source Sans Pro" w:hAnsi="Source Sans Pro" w:eastAsia="Source Sans Pro" w:cs="Arial"/>
                <w:snapToGrid/>
                <w:color w:val="000000"/>
                <w:sz w:val="20"/>
                <w:lang w:bidi="en-US"/>
              </w:rPr>
              <w:t>Recordkeeping (Mandatory)</w:t>
            </w:r>
          </w:p>
        </w:tc>
        <w:tc>
          <w:tcPr>
            <w:tcW w:w="1192" w:type="dxa"/>
            <w:tcBorders>
              <w:top w:val="single" w:color="auto" w:sz="4" w:space="0"/>
              <w:left w:val="nil"/>
              <w:bottom w:val="single" w:color="auto" w:sz="4" w:space="0"/>
              <w:right w:val="single" w:color="auto" w:sz="4" w:space="0"/>
            </w:tcBorders>
            <w:vAlign w:val="center"/>
          </w:tcPr>
          <w:p w:rsidRPr="004510A8" w:rsidR="004510A8" w:rsidP="004510A8" w:rsidRDefault="004510A8" w14:paraId="7E57652F" w14:textId="77777777">
            <w:pPr>
              <w:widowControl/>
              <w:jc w:val="center"/>
              <w:rPr>
                <w:rFonts w:ascii="Source Sans Pro" w:hAnsi="Source Sans Pro" w:eastAsia="Source Sans Pro" w:cs="Arial"/>
                <w:snapToGrid/>
                <w:color w:val="000000"/>
                <w:sz w:val="20"/>
                <w:lang w:bidi="en-US"/>
              </w:rPr>
            </w:pPr>
            <w:r w:rsidRPr="004510A8">
              <w:rPr>
                <w:rFonts w:ascii="Source Sans Pro" w:hAnsi="Source Sans Pro" w:eastAsia="Source Sans Pro" w:cs="Arial"/>
                <w:snapToGrid/>
                <w:color w:val="000000"/>
                <w:sz w:val="20"/>
                <w:lang w:bidi="en-US"/>
              </w:rPr>
              <w:t>Annual</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510A8" w:rsidR="004510A8" w:rsidP="004510A8" w:rsidRDefault="004510A8" w14:paraId="79D1AC3D" w14:textId="77777777">
            <w:pPr>
              <w:widowControl/>
              <w:jc w:val="center"/>
              <w:rPr>
                <w:rFonts w:ascii="Source Sans Pro" w:hAnsi="Source Sans Pro" w:eastAsia="Source Sans Pro" w:cs="Arial"/>
                <w:snapToGrid/>
                <w:color w:val="000000"/>
                <w:sz w:val="20"/>
                <w:lang w:bidi="en-US"/>
              </w:rPr>
            </w:pPr>
            <w:r w:rsidRPr="004510A8">
              <w:rPr>
                <w:rFonts w:ascii="Source Sans Pro" w:hAnsi="Source Sans Pro" w:eastAsia="Source Sans Pro" w:cs="Arial"/>
                <w:snapToGrid/>
                <w:color w:val="000000"/>
                <w:sz w:val="20"/>
                <w:lang w:bidi="en-US"/>
              </w:rPr>
              <w:t>173</w:t>
            </w:r>
          </w:p>
        </w:tc>
        <w:tc>
          <w:tcPr>
            <w:tcW w:w="1170" w:type="dxa"/>
            <w:tcBorders>
              <w:top w:val="single" w:color="auto" w:sz="4" w:space="0"/>
              <w:left w:val="nil"/>
              <w:bottom w:val="single" w:color="auto" w:sz="4" w:space="0"/>
              <w:right w:val="single" w:color="auto" w:sz="4" w:space="0"/>
            </w:tcBorders>
            <w:shd w:val="clear" w:color="auto" w:fill="auto"/>
            <w:noWrap/>
            <w:vAlign w:val="center"/>
          </w:tcPr>
          <w:p w:rsidRPr="004510A8" w:rsidR="004510A8" w:rsidP="004510A8" w:rsidRDefault="00444438" w14:paraId="00A126F8" w14:textId="3D990799">
            <w:pPr>
              <w:widowControl/>
              <w:jc w:val="center"/>
              <w:rPr>
                <w:rFonts w:ascii="Source Sans Pro" w:hAnsi="Source Sans Pro" w:eastAsia="Source Sans Pro" w:cs="Arial"/>
                <w:snapToGrid/>
                <w:color w:val="000000"/>
                <w:sz w:val="20"/>
                <w:lang w:bidi="en-US"/>
              </w:rPr>
            </w:pPr>
            <w:r>
              <w:rPr>
                <w:rFonts w:ascii="Source Sans Pro" w:hAnsi="Source Sans Pro" w:eastAsia="Source Sans Pro" w:cs="Arial"/>
                <w:snapToGrid/>
                <w:color w:val="000000"/>
                <w:sz w:val="20"/>
                <w:lang w:bidi="en-US"/>
              </w:rPr>
              <w:t>12</w:t>
            </w:r>
          </w:p>
        </w:tc>
        <w:tc>
          <w:tcPr>
            <w:tcW w:w="1350" w:type="dxa"/>
            <w:tcBorders>
              <w:top w:val="nil"/>
              <w:left w:val="nil"/>
              <w:bottom w:val="single" w:color="auto" w:sz="4" w:space="0"/>
              <w:right w:val="single" w:color="auto" w:sz="4" w:space="0"/>
            </w:tcBorders>
            <w:shd w:val="clear" w:color="auto" w:fill="auto"/>
            <w:noWrap/>
            <w:vAlign w:val="center"/>
          </w:tcPr>
          <w:p w:rsidRPr="004510A8" w:rsidR="004510A8" w:rsidP="00AB4DF7" w:rsidRDefault="004510A8" w14:paraId="41609F6E" w14:textId="3F244AAA">
            <w:pPr>
              <w:widowControl/>
              <w:jc w:val="right"/>
              <w:rPr>
                <w:rFonts w:ascii="Source Sans Pro" w:hAnsi="Source Sans Pro" w:eastAsia="Source Sans Pro" w:cs="Arial"/>
                <w:snapToGrid/>
                <w:color w:val="000000"/>
                <w:sz w:val="20"/>
                <w:lang w:bidi="en-US"/>
              </w:rPr>
            </w:pPr>
            <w:r w:rsidRPr="004510A8">
              <w:rPr>
                <w:rFonts w:ascii="Source Sans Pro" w:hAnsi="Source Sans Pro" w:eastAsia="Source Sans Pro" w:cs="Arial"/>
                <w:snapToGrid/>
                <w:color w:val="000000"/>
                <w:sz w:val="20"/>
                <w:lang w:bidi="en-US"/>
              </w:rPr>
              <w:t>2,0</w:t>
            </w:r>
            <w:r w:rsidR="00444438">
              <w:rPr>
                <w:rFonts w:ascii="Source Sans Pro" w:hAnsi="Source Sans Pro" w:eastAsia="Source Sans Pro" w:cs="Arial"/>
                <w:snapToGrid/>
                <w:color w:val="000000"/>
                <w:sz w:val="20"/>
                <w:lang w:bidi="en-US"/>
              </w:rPr>
              <w:t>76</w:t>
            </w:r>
          </w:p>
        </w:tc>
      </w:tr>
      <w:tr w:rsidRPr="00444438" w:rsidR="00444438" w:rsidTr="00D74AEF" w14:paraId="0A51B7B6" w14:textId="77777777">
        <w:trPr>
          <w:trHeight w:val="288"/>
        </w:trPr>
        <w:tc>
          <w:tcPr>
            <w:tcW w:w="84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444438" w:rsidR="00444438" w:rsidP="00444438" w:rsidRDefault="00444438" w14:paraId="68F21328" w14:textId="24BFF48D">
            <w:pPr>
              <w:widowControl/>
              <w:rPr>
                <w:rFonts w:ascii="Source Sans Pro" w:hAnsi="Source Sans Pro" w:eastAsia="Source Sans Pro" w:cs="Arial"/>
                <w:i/>
                <w:snapToGrid/>
                <w:color w:val="000000"/>
                <w:sz w:val="20"/>
                <w:lang w:bidi="en-US"/>
              </w:rPr>
            </w:pPr>
            <w:r w:rsidRPr="00444438">
              <w:rPr>
                <w:rFonts w:ascii="Source Sans Pro" w:hAnsi="Source Sans Pro" w:eastAsia="Source Sans Pro" w:cs="Arial"/>
                <w:b/>
                <w:i/>
                <w:snapToGrid/>
                <w:color w:val="000000"/>
                <w:sz w:val="20"/>
                <w:lang w:bidi="en-US"/>
              </w:rPr>
              <w:t>Total Estimated Annual Ongoing Burden</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444438" w:rsidR="00444438" w:rsidP="00444438" w:rsidRDefault="00444438" w14:paraId="29D5CE22" w14:textId="6BF66E94">
            <w:pPr>
              <w:widowControl/>
              <w:jc w:val="right"/>
              <w:rPr>
                <w:rFonts w:ascii="Source Sans Pro" w:hAnsi="Source Sans Pro" w:eastAsia="Source Sans Pro" w:cs="Arial"/>
                <w:b/>
                <w:i/>
                <w:snapToGrid/>
                <w:color w:val="000000"/>
                <w:sz w:val="20"/>
                <w:lang w:bidi="en-US"/>
              </w:rPr>
            </w:pPr>
            <w:r w:rsidRPr="00444438">
              <w:rPr>
                <w:rFonts w:ascii="Source Sans Pro" w:hAnsi="Source Sans Pro" w:eastAsia="Source Sans Pro" w:cs="Arial"/>
                <w:b/>
                <w:i/>
                <w:snapToGrid/>
                <w:color w:val="000000"/>
                <w:sz w:val="20"/>
                <w:lang w:bidi="en-US"/>
              </w:rPr>
              <w:t>3.076</w:t>
            </w:r>
          </w:p>
        </w:tc>
      </w:tr>
      <w:tr w:rsidRPr="00444438" w:rsidR="00444438" w:rsidTr="00D74AEF" w14:paraId="6B97BC78" w14:textId="77777777">
        <w:trPr>
          <w:trHeight w:val="288"/>
        </w:trPr>
        <w:tc>
          <w:tcPr>
            <w:tcW w:w="84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444438" w:rsidR="00444438" w:rsidP="00444438" w:rsidRDefault="00444438" w14:paraId="2E73A63E" w14:textId="57A471EC">
            <w:pPr>
              <w:widowControl/>
              <w:rPr>
                <w:rFonts w:ascii="Source Sans Pro" w:hAnsi="Source Sans Pro" w:eastAsia="Source Sans Pro" w:cs="Arial"/>
                <w:b/>
                <w:snapToGrid/>
                <w:color w:val="000000"/>
                <w:sz w:val="22"/>
                <w:lang w:bidi="en-US"/>
              </w:rPr>
            </w:pPr>
            <w:r w:rsidRPr="00444438">
              <w:rPr>
                <w:rFonts w:ascii="Source Sans Pro" w:hAnsi="Source Sans Pro" w:eastAsia="Source Sans Pro" w:cs="Arial"/>
                <w:b/>
                <w:snapToGrid/>
                <w:color w:val="000000"/>
                <w:sz w:val="22"/>
                <w:lang w:bidi="en-US"/>
              </w:rPr>
              <w:t>Total Estimated Annual Burden</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444438" w:rsidR="00444438" w:rsidP="00444438" w:rsidRDefault="00444438" w14:paraId="25BD55F7" w14:textId="69504A6E">
            <w:pPr>
              <w:widowControl/>
              <w:jc w:val="right"/>
              <w:rPr>
                <w:rFonts w:ascii="Source Sans Pro" w:hAnsi="Source Sans Pro" w:eastAsia="Source Sans Pro" w:cs="Arial"/>
                <w:b/>
                <w:snapToGrid/>
                <w:color w:val="000000"/>
                <w:sz w:val="22"/>
                <w:lang w:bidi="en-US"/>
              </w:rPr>
            </w:pPr>
            <w:r>
              <w:rPr>
                <w:rFonts w:ascii="Source Sans Pro" w:hAnsi="Source Sans Pro" w:eastAsia="Source Sans Pro" w:cs="Arial"/>
                <w:b/>
                <w:snapToGrid/>
                <w:color w:val="000000"/>
                <w:sz w:val="22"/>
                <w:lang w:bidi="en-US"/>
              </w:rPr>
              <w:t>10,250</w:t>
            </w:r>
          </w:p>
        </w:tc>
      </w:tr>
    </w:tbl>
    <w:p w:rsidRPr="00F11177" w:rsidR="00F11177" w:rsidP="00F11177" w:rsidRDefault="00F11177" w14:paraId="3F5EB9F9" w14:textId="53BD4F11">
      <w:pPr>
        <w:tabs>
          <w:tab w:val="left" w:pos="1440"/>
          <w:tab w:val="left" w:pos="5040"/>
        </w:tabs>
        <w:suppressAutoHyphens/>
        <w:autoSpaceDE w:val="0"/>
        <w:autoSpaceDN w:val="0"/>
        <w:ind w:right="-86"/>
        <w:rPr>
          <w:rFonts w:ascii="Source Sans Pro" w:hAnsi="Source Sans Pro" w:eastAsia="Source Sans Pro" w:cs="Source Sans Pro"/>
          <w:b/>
          <w:snapToGrid/>
          <w:sz w:val="20"/>
          <w:lang w:bidi="en-US"/>
        </w:rPr>
      </w:pPr>
    </w:p>
    <w:p w:rsidRPr="00F11177" w:rsidR="00F11177" w:rsidP="00F11177" w:rsidRDefault="00F11177" w14:paraId="30115316" w14:textId="77777777">
      <w:pPr>
        <w:tabs>
          <w:tab w:val="left" w:pos="1440"/>
          <w:tab w:val="left" w:pos="5040"/>
        </w:tabs>
        <w:suppressAutoHyphens/>
        <w:autoSpaceDE w:val="0"/>
        <w:autoSpaceDN w:val="0"/>
        <w:ind w:right="-86" w:firstLine="720"/>
        <w:rPr>
          <w:rFonts w:ascii="Source Sans Pro" w:hAnsi="Source Sans Pro" w:eastAsia="Source Sans Pro" w:cs="Source Sans Pro"/>
          <w:b/>
          <w:snapToGrid/>
          <w:sz w:val="20"/>
          <w:lang w:bidi="en-US"/>
        </w:rPr>
      </w:pPr>
    </w:p>
    <w:p w:rsidRPr="00F11177" w:rsidR="00F11177" w:rsidP="00F11177" w:rsidRDefault="00F11177" w14:paraId="23AD2D5D" w14:textId="79F794A4">
      <w:pPr>
        <w:ind w:left="270"/>
        <w:rPr>
          <w:rFonts w:ascii="Times New Roman" w:hAnsi="Times New Roman"/>
          <w:snapToGrid/>
          <w:szCs w:val="24"/>
        </w:rPr>
      </w:pPr>
      <w:r>
        <w:rPr>
          <w:rFonts w:ascii="Times New Roman" w:hAnsi="Times New Roman"/>
          <w:u w:val="single"/>
          <w:lang w:bidi="en-US"/>
        </w:rPr>
        <w:t>Estimated Hourly Labor Compensation Rates</w:t>
      </w:r>
      <w:r>
        <w:rPr>
          <w:rFonts w:ascii="Times New Roman" w:hAnsi="Times New Roman"/>
          <w:lang w:bidi="en-US"/>
        </w:rPr>
        <w:t xml:space="preserve"> -</w:t>
      </w:r>
      <w:r w:rsidRPr="00F11177">
        <w:rPr>
          <w:rFonts w:ascii="Times New Roman" w:hAnsi="Times New Roman"/>
          <w:snapToGrid/>
          <w:szCs w:val="24"/>
        </w:rPr>
        <w:t xml:space="preserve">To estimate the weighted average hourly compensation cost of the burdens described above, </w:t>
      </w:r>
      <w:r>
        <w:rPr>
          <w:rFonts w:ascii="Times New Roman" w:hAnsi="Times New Roman"/>
          <w:snapToGrid/>
          <w:szCs w:val="24"/>
        </w:rPr>
        <w:t>FDIC</w:t>
      </w:r>
      <w:r w:rsidRPr="00F11177">
        <w:rPr>
          <w:rFonts w:ascii="Times New Roman" w:hAnsi="Times New Roman"/>
          <w:snapToGrid/>
          <w:szCs w:val="24"/>
        </w:rPr>
        <w:t xml:space="preserve"> use</w:t>
      </w:r>
      <w:r>
        <w:rPr>
          <w:rFonts w:ascii="Times New Roman" w:hAnsi="Times New Roman"/>
          <w:snapToGrid/>
          <w:szCs w:val="24"/>
        </w:rPr>
        <w:t>s</w:t>
      </w:r>
      <w:r w:rsidRPr="00F11177">
        <w:rPr>
          <w:rFonts w:ascii="Times New Roman" w:hAnsi="Times New Roman"/>
          <w:snapToGrid/>
          <w:szCs w:val="24"/>
        </w:rPr>
        <w:t xml:space="preserve"> the 75th percentile hourly wages reported by the Bureau of Labor Statistics (BLS) National Industry-Specific Occupational Employment and Wage Estimates for the relevant occupations in the Depository Credit Intermediation sector, as of December 2020.  </w:t>
      </w:r>
    </w:p>
    <w:p w:rsidRPr="00F11177" w:rsidR="00F11177" w:rsidP="00F11177" w:rsidRDefault="00F11177" w14:paraId="45B20F5E" w14:textId="77777777">
      <w:pPr>
        <w:widowControl/>
        <w:textAlignment w:val="baseline"/>
        <w:rPr>
          <w:rFonts w:ascii="Times New Roman" w:hAnsi="Times New Roman"/>
          <w:snapToGrid/>
          <w:szCs w:val="24"/>
        </w:rPr>
      </w:pPr>
    </w:p>
    <w:p w:rsidRPr="00F11177" w:rsidR="00F11177" w:rsidP="00F11177" w:rsidRDefault="00F11177" w14:paraId="5B046708" w14:textId="5F058A0D">
      <w:pPr>
        <w:ind w:left="270"/>
        <w:rPr>
          <w:rFonts w:ascii="Times New Roman" w:hAnsi="Times New Roman"/>
          <w:snapToGrid/>
          <w:szCs w:val="24"/>
        </w:rPr>
      </w:pPr>
      <w:r w:rsidRPr="00F11177">
        <w:rPr>
          <w:rFonts w:ascii="Times New Roman" w:hAnsi="Times New Roman"/>
          <w:lang w:bidi="en-US"/>
        </w:rPr>
        <w:t>The</w:t>
      </w:r>
      <w:r w:rsidRPr="00F11177">
        <w:rPr>
          <w:rFonts w:ascii="Times New Roman" w:hAnsi="Times New Roman"/>
          <w:snapToGrid/>
          <w:szCs w:val="24"/>
        </w:rPr>
        <w:t xml:space="preserve"> hourly wage rates reported do not include non-monetary compensation.  According to the December 2020 Employer Cost of Employee Compensation data, compensation rates for health and other benefits are 34 percent of total compensation. To account </w:t>
      </w:r>
      <w:r>
        <w:rPr>
          <w:rFonts w:ascii="Times New Roman" w:hAnsi="Times New Roman"/>
          <w:snapToGrid/>
          <w:szCs w:val="24"/>
        </w:rPr>
        <w:t>for non-monetary compensation, FDIC</w:t>
      </w:r>
      <w:r w:rsidRPr="00F11177">
        <w:rPr>
          <w:rFonts w:ascii="Times New Roman" w:hAnsi="Times New Roman"/>
          <w:snapToGrid/>
          <w:szCs w:val="24"/>
        </w:rPr>
        <w:t xml:space="preserve"> adjust</w:t>
      </w:r>
      <w:r>
        <w:rPr>
          <w:rFonts w:ascii="Times New Roman" w:hAnsi="Times New Roman"/>
          <w:snapToGrid/>
          <w:szCs w:val="24"/>
        </w:rPr>
        <w:t>s</w:t>
      </w:r>
      <w:r w:rsidRPr="00F11177">
        <w:rPr>
          <w:rFonts w:ascii="Times New Roman" w:hAnsi="Times New Roman"/>
          <w:snapToGrid/>
          <w:szCs w:val="24"/>
        </w:rPr>
        <w:t xml:space="preserve"> the hourly wage rates repor</w:t>
      </w:r>
      <w:r>
        <w:rPr>
          <w:rFonts w:ascii="Times New Roman" w:hAnsi="Times New Roman"/>
          <w:snapToGrid/>
          <w:szCs w:val="24"/>
        </w:rPr>
        <w:t>ted by BLS by that percentage. FDIC</w:t>
      </w:r>
      <w:r w:rsidRPr="00F11177">
        <w:rPr>
          <w:rFonts w:ascii="Times New Roman" w:hAnsi="Times New Roman"/>
          <w:snapToGrid/>
          <w:szCs w:val="24"/>
        </w:rPr>
        <w:t xml:space="preserve"> also adjust</w:t>
      </w:r>
      <w:r>
        <w:rPr>
          <w:rFonts w:ascii="Times New Roman" w:hAnsi="Times New Roman"/>
          <w:snapToGrid/>
          <w:szCs w:val="24"/>
        </w:rPr>
        <w:t>s</w:t>
      </w:r>
      <w:r w:rsidRPr="00F11177">
        <w:rPr>
          <w:rFonts w:ascii="Times New Roman" w:hAnsi="Times New Roman"/>
          <w:snapToGrid/>
          <w:szCs w:val="24"/>
        </w:rPr>
        <w:t xml:space="preserve"> the hourly wage by 1.71 percent based on changes in the Consumer Price Index for Urban Consumers (CPI-U) from May 2019 to December 2020 to account for inflation and ensure that the wage information is contemporaneous with the non-monetary compensation statistic.</w:t>
      </w:r>
    </w:p>
    <w:p w:rsidRPr="00F11177" w:rsidR="00F11177" w:rsidP="00F11177" w:rsidRDefault="00F11177" w14:paraId="52F18E99" w14:textId="77777777">
      <w:pPr>
        <w:widowControl/>
        <w:textAlignment w:val="baseline"/>
        <w:rPr>
          <w:rFonts w:ascii="Times New Roman" w:hAnsi="Times New Roman"/>
          <w:snapToGrid/>
          <w:szCs w:val="24"/>
        </w:rPr>
      </w:pPr>
    </w:p>
    <w:p w:rsidRPr="00F11177" w:rsidR="00F11177" w:rsidP="00F11177" w:rsidRDefault="00F11177" w14:paraId="17F8649E" w14:textId="0A3FC1BB">
      <w:pPr>
        <w:ind w:left="270"/>
        <w:rPr>
          <w:rFonts w:ascii="Times New Roman" w:hAnsi="Times New Roman"/>
          <w:snapToGrid/>
          <w:szCs w:val="24"/>
        </w:rPr>
      </w:pPr>
      <w:r w:rsidRPr="00F11177">
        <w:rPr>
          <w:rFonts w:ascii="Times New Roman" w:hAnsi="Times New Roman"/>
          <w:snapToGrid/>
          <w:szCs w:val="24"/>
        </w:rPr>
        <w:t>After calculating these adju</w:t>
      </w:r>
      <w:r>
        <w:rPr>
          <w:rFonts w:ascii="Times New Roman" w:hAnsi="Times New Roman"/>
          <w:snapToGrid/>
          <w:szCs w:val="24"/>
        </w:rPr>
        <w:t>stments, FDIC</w:t>
      </w:r>
      <w:r w:rsidRPr="00F11177">
        <w:rPr>
          <w:rFonts w:ascii="Times New Roman" w:hAnsi="Times New Roman"/>
          <w:snapToGrid/>
          <w:szCs w:val="24"/>
        </w:rPr>
        <w:t xml:space="preserve"> then weight</w:t>
      </w:r>
      <w:r>
        <w:rPr>
          <w:rFonts w:ascii="Times New Roman" w:hAnsi="Times New Roman"/>
          <w:snapToGrid/>
          <w:szCs w:val="24"/>
        </w:rPr>
        <w:t>s</w:t>
      </w:r>
      <w:r w:rsidRPr="00F11177">
        <w:rPr>
          <w:rFonts w:ascii="Times New Roman" w:hAnsi="Times New Roman"/>
          <w:snapToGrid/>
          <w:szCs w:val="24"/>
        </w:rPr>
        <w:t xml:space="preserve"> the total hourly compensation for the six occupations (Executives and Managers, Lawyers, Compliance Officers, IT Specialists, Financial Analysts, and Clerical), using the </w:t>
      </w:r>
      <w:r>
        <w:rPr>
          <w:rFonts w:ascii="Times New Roman" w:hAnsi="Times New Roman"/>
          <w:snapToGrid/>
          <w:szCs w:val="24"/>
        </w:rPr>
        <w:t>agency’s</w:t>
      </w:r>
      <w:r w:rsidRPr="00F11177">
        <w:rPr>
          <w:rFonts w:ascii="Times New Roman" w:hAnsi="Times New Roman"/>
          <w:snapToGrid/>
          <w:szCs w:val="24"/>
        </w:rPr>
        <w:t xml:space="preserve"> estimated allocation of labor to find the estimated hourly cost of complying with this IC.</w:t>
      </w:r>
      <w:r w:rsidRPr="00F11177">
        <w:rPr>
          <w:rFonts w:ascii="Times New Roman" w:hAnsi="Times New Roman"/>
          <w:snapToGrid/>
          <w:szCs w:val="24"/>
          <w:vertAlign w:val="superscript"/>
        </w:rPr>
        <w:footnoteReference w:id="11"/>
      </w:r>
      <w:r w:rsidRPr="00F11177">
        <w:rPr>
          <w:rFonts w:ascii="Times New Roman" w:hAnsi="Times New Roman"/>
          <w:snapToGrid/>
          <w:szCs w:val="24"/>
        </w:rPr>
        <w:t xml:space="preserve">  The estimated hourly compensation rates are as follows: </w:t>
      </w:r>
    </w:p>
    <w:p w:rsidRPr="00F11177" w:rsidR="00F11177" w:rsidP="00F11177" w:rsidRDefault="00F11177" w14:paraId="2F38BD7E" w14:textId="77777777">
      <w:pPr>
        <w:widowControl/>
        <w:textAlignment w:val="baseline"/>
        <w:rPr>
          <w:rFonts w:ascii="Times New Roman" w:hAnsi="Times New Roman"/>
          <w:snapToGrid/>
          <w:szCs w:val="24"/>
        </w:rPr>
      </w:pPr>
    </w:p>
    <w:p w:rsidRPr="00F11177" w:rsidR="00F11177" w:rsidP="00F11177" w:rsidRDefault="00F11177" w14:paraId="2ECA582D" w14:textId="77777777">
      <w:pPr>
        <w:suppressAutoHyphens/>
        <w:autoSpaceDE w:val="0"/>
        <w:autoSpaceDN w:val="0"/>
        <w:spacing w:after="240" w:line="260" w:lineRule="exact"/>
        <w:ind w:right="-86"/>
        <w:jc w:val="center"/>
        <w:rPr>
          <w:rFonts w:ascii="Times New Roman" w:hAnsi="Times New Roman"/>
          <w:b/>
          <w:bCs/>
          <w:snapToGrid/>
          <w:color w:val="000000"/>
          <w:szCs w:val="24"/>
        </w:rPr>
      </w:pPr>
    </w:p>
    <w:tbl>
      <w:tblPr>
        <w:tblStyle w:val="TableGrid1"/>
        <w:tblW w:w="0" w:type="auto"/>
        <w:tblLook w:val="04A0" w:firstRow="1" w:lastRow="0" w:firstColumn="1" w:lastColumn="0" w:noHBand="0" w:noVBand="1"/>
      </w:tblPr>
      <w:tblGrid>
        <w:gridCol w:w="4135"/>
        <w:gridCol w:w="1980"/>
        <w:gridCol w:w="1260"/>
        <w:gridCol w:w="1890"/>
      </w:tblGrid>
      <w:tr w:rsidRPr="00F11177" w:rsidR="00F11177" w:rsidTr="00AC0717" w14:paraId="1F7FCB4C" w14:textId="77777777">
        <w:trPr>
          <w:trHeight w:val="432"/>
        </w:trPr>
        <w:tc>
          <w:tcPr>
            <w:tcW w:w="9265" w:type="dxa"/>
            <w:gridSpan w:val="4"/>
            <w:tcBorders>
              <w:top w:val="single" w:color="auto" w:sz="4" w:space="0"/>
              <w:left w:val="single" w:color="auto" w:sz="4" w:space="0"/>
              <w:bottom w:val="single" w:color="auto" w:sz="4" w:space="0"/>
              <w:right w:val="single" w:color="auto" w:sz="4" w:space="0"/>
            </w:tcBorders>
            <w:vAlign w:val="center"/>
          </w:tcPr>
          <w:p w:rsidRPr="00F11177" w:rsidR="00F11177" w:rsidP="00F11177" w:rsidRDefault="00F11177" w14:paraId="23A5822D" w14:textId="656B1A47">
            <w:pPr>
              <w:keepNext/>
              <w:keepLines/>
              <w:suppressAutoHyphens/>
              <w:spacing w:line="260" w:lineRule="exact"/>
              <w:ind w:right="-86"/>
              <w:jc w:val="center"/>
              <w:rPr>
                <w:rFonts w:ascii="Times New Roman" w:hAnsi="Times New Roman" w:eastAsia="Source Sans Pro"/>
                <w:snapToGrid/>
                <w:color w:val="000000"/>
                <w:szCs w:val="24"/>
                <w:lang w:bidi="en-US"/>
              </w:rPr>
            </w:pPr>
            <w:r w:rsidRPr="00F11177">
              <w:rPr>
                <w:rFonts w:ascii="Times New Roman" w:hAnsi="Times New Roman"/>
                <w:b/>
                <w:bCs/>
                <w:snapToGrid/>
                <w:color w:val="000000"/>
                <w:szCs w:val="24"/>
              </w:rPr>
              <w:lastRenderedPageBreak/>
              <w:t xml:space="preserve">Summary of Hourly Burden Cost Estimate (OMB No. </w:t>
            </w:r>
            <w:r>
              <w:rPr>
                <w:rFonts w:ascii="Times New Roman" w:hAnsi="Times New Roman"/>
                <w:b/>
                <w:bCs/>
                <w:snapToGrid/>
                <w:color w:val="000000"/>
                <w:szCs w:val="24"/>
              </w:rPr>
              <w:t>3064-0163</w:t>
            </w:r>
            <w:r w:rsidRPr="00F11177">
              <w:rPr>
                <w:rFonts w:ascii="Times New Roman" w:hAnsi="Times New Roman"/>
                <w:b/>
                <w:bCs/>
                <w:snapToGrid/>
                <w:color w:val="000000"/>
                <w:szCs w:val="24"/>
              </w:rPr>
              <w:t>)</w:t>
            </w:r>
          </w:p>
        </w:tc>
      </w:tr>
      <w:tr w:rsidRPr="00F11177" w:rsidR="00F11177" w:rsidTr="00AC0717" w14:paraId="6CECC00C" w14:textId="77777777">
        <w:tc>
          <w:tcPr>
            <w:tcW w:w="4135" w:type="dxa"/>
            <w:tcBorders>
              <w:top w:val="single" w:color="auto" w:sz="4" w:space="0"/>
              <w:left w:val="single" w:color="auto" w:sz="4" w:space="0"/>
              <w:bottom w:val="single" w:color="auto" w:sz="4" w:space="0"/>
              <w:right w:val="single" w:color="auto" w:sz="4" w:space="0"/>
            </w:tcBorders>
            <w:vAlign w:val="center"/>
            <w:hideMark/>
          </w:tcPr>
          <w:p w:rsidRPr="00F11177" w:rsidR="00F11177" w:rsidP="00F11177" w:rsidRDefault="00F11177" w14:paraId="04A6D903" w14:textId="77777777">
            <w:pPr>
              <w:keepNext/>
              <w:keepLines/>
              <w:suppressAutoHyphens/>
              <w:spacing w:after="240" w:line="260" w:lineRule="exact"/>
              <w:ind w:right="-86"/>
              <w:jc w:val="center"/>
              <w:rPr>
                <w:rFonts w:ascii="Times New Roman" w:hAnsi="Times New Roman" w:eastAsia="Source Sans Pro"/>
                <w:b/>
                <w:snapToGrid/>
                <w:sz w:val="20"/>
                <w:szCs w:val="20"/>
                <w:lang w:bidi="en-US"/>
              </w:rPr>
            </w:pPr>
            <w:r w:rsidRPr="00F11177">
              <w:rPr>
                <w:rFonts w:ascii="Times New Roman" w:hAnsi="Times New Roman" w:eastAsia="Source Sans Pro"/>
                <w:b/>
                <w:snapToGrid/>
                <w:color w:val="000000"/>
                <w:sz w:val="20"/>
                <w:szCs w:val="20"/>
                <w:lang w:bidi="en-US"/>
              </w:rPr>
              <w:t>Estimated Category of Personnel Responsible for Complying with the PRA Burden</w:t>
            </w:r>
          </w:p>
        </w:tc>
        <w:tc>
          <w:tcPr>
            <w:tcW w:w="1980" w:type="dxa"/>
            <w:tcBorders>
              <w:top w:val="single" w:color="auto" w:sz="4" w:space="0"/>
              <w:left w:val="single" w:color="auto" w:sz="4" w:space="0"/>
              <w:bottom w:val="single" w:color="auto" w:sz="4" w:space="0"/>
              <w:right w:val="single" w:color="auto" w:sz="4" w:space="0"/>
            </w:tcBorders>
            <w:vAlign w:val="center"/>
            <w:hideMark/>
          </w:tcPr>
          <w:p w:rsidRPr="00F11177" w:rsidR="00F11177" w:rsidP="00F11177" w:rsidRDefault="00F11177" w14:paraId="0FDFF6A0" w14:textId="77777777">
            <w:pPr>
              <w:keepNext/>
              <w:keepLines/>
              <w:suppressAutoHyphens/>
              <w:spacing w:after="240" w:line="260" w:lineRule="exact"/>
              <w:ind w:right="-86"/>
              <w:jc w:val="center"/>
              <w:rPr>
                <w:rFonts w:ascii="Times New Roman" w:hAnsi="Times New Roman" w:eastAsia="Source Sans Pro"/>
                <w:b/>
                <w:snapToGrid/>
                <w:sz w:val="20"/>
                <w:szCs w:val="20"/>
                <w:lang w:bidi="en-US"/>
              </w:rPr>
            </w:pPr>
            <w:r w:rsidRPr="00F11177">
              <w:rPr>
                <w:rFonts w:ascii="Times New Roman" w:hAnsi="Times New Roman" w:eastAsia="Source Sans Pro"/>
                <w:b/>
                <w:snapToGrid/>
                <w:color w:val="000000"/>
                <w:sz w:val="20"/>
                <w:szCs w:val="20"/>
                <w:lang w:bidi="en-US"/>
              </w:rPr>
              <w:t>Total Estimated Hourly Compensation</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F11177" w:rsidR="00F11177" w:rsidP="00F11177" w:rsidRDefault="00F11177" w14:paraId="1E0503E3" w14:textId="79AEACEE">
            <w:pPr>
              <w:keepNext/>
              <w:keepLines/>
              <w:suppressAutoHyphens/>
              <w:spacing w:after="240" w:line="260" w:lineRule="exact"/>
              <w:ind w:right="-86"/>
              <w:jc w:val="center"/>
              <w:rPr>
                <w:rFonts w:ascii="Times New Roman" w:hAnsi="Times New Roman" w:eastAsia="Source Sans Pro"/>
                <w:b/>
                <w:snapToGrid/>
                <w:sz w:val="20"/>
                <w:szCs w:val="20"/>
                <w:lang w:bidi="en-US"/>
              </w:rPr>
            </w:pPr>
            <w:r w:rsidRPr="00F11177">
              <w:rPr>
                <w:rFonts w:ascii="Times New Roman" w:hAnsi="Times New Roman" w:eastAsia="Source Sans Pro"/>
                <w:b/>
                <w:snapToGrid/>
                <w:color w:val="000000"/>
                <w:sz w:val="20"/>
                <w:szCs w:val="20"/>
                <w:lang w:bidi="en-US"/>
              </w:rPr>
              <w:t>Allocated Weights</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F11177" w:rsidR="00F11177" w:rsidP="00F11177" w:rsidRDefault="00F11177" w14:paraId="4172D1F0" w14:textId="3D2D1222">
            <w:pPr>
              <w:keepNext/>
              <w:keepLines/>
              <w:suppressAutoHyphens/>
              <w:spacing w:after="240" w:line="260" w:lineRule="exact"/>
              <w:ind w:right="-86"/>
              <w:jc w:val="center"/>
              <w:rPr>
                <w:rFonts w:ascii="Times New Roman" w:hAnsi="Times New Roman" w:eastAsia="Source Sans Pro"/>
                <w:b/>
                <w:snapToGrid/>
                <w:sz w:val="20"/>
                <w:szCs w:val="20"/>
                <w:lang w:bidi="en-US"/>
              </w:rPr>
            </w:pPr>
            <w:r w:rsidRPr="00F11177">
              <w:rPr>
                <w:rFonts w:ascii="Times New Roman" w:hAnsi="Times New Roman" w:eastAsia="Source Sans Pro"/>
                <w:b/>
                <w:snapToGrid/>
                <w:color w:val="000000"/>
                <w:sz w:val="20"/>
                <w:szCs w:val="20"/>
                <w:lang w:bidi="en-US"/>
              </w:rPr>
              <w:t>Weighted Hourly Compensation</w:t>
            </w:r>
          </w:p>
        </w:tc>
      </w:tr>
      <w:tr w:rsidRPr="00F11177" w:rsidR="00F11177" w:rsidTr="00AC0717" w14:paraId="25EC642A" w14:textId="77777777">
        <w:tc>
          <w:tcPr>
            <w:tcW w:w="4135" w:type="dxa"/>
            <w:tcBorders>
              <w:top w:val="single" w:color="auto" w:sz="4" w:space="0"/>
              <w:left w:val="single" w:color="auto" w:sz="4" w:space="0"/>
              <w:bottom w:val="single" w:color="auto" w:sz="4" w:space="0"/>
              <w:right w:val="single" w:color="auto" w:sz="4" w:space="0"/>
            </w:tcBorders>
            <w:vAlign w:val="center"/>
            <w:hideMark/>
          </w:tcPr>
          <w:p w:rsidRPr="00F11177" w:rsidR="00F11177" w:rsidP="00F11177" w:rsidRDefault="00F11177" w14:paraId="519080B9" w14:textId="77777777">
            <w:pPr>
              <w:keepNext/>
              <w:keepLines/>
              <w:suppressAutoHyphens/>
              <w:spacing w:after="240" w:line="260" w:lineRule="exact"/>
              <w:ind w:right="-86"/>
              <w:rPr>
                <w:rFonts w:ascii="Times New Roman" w:hAnsi="Times New Roman" w:eastAsia="Source Sans Pro"/>
                <w:snapToGrid/>
                <w:color w:val="000000"/>
                <w:sz w:val="20"/>
                <w:szCs w:val="20"/>
                <w:lang w:bidi="en-US"/>
              </w:rPr>
            </w:pPr>
            <w:r w:rsidRPr="00F11177">
              <w:rPr>
                <w:rFonts w:ascii="Times New Roman" w:hAnsi="Times New Roman" w:eastAsia="Source Sans Pro"/>
                <w:snapToGrid/>
                <w:color w:val="000000"/>
                <w:sz w:val="20"/>
                <w:szCs w:val="20"/>
                <w:lang w:bidi="en-US"/>
              </w:rPr>
              <w:t>Executives and Managers</w:t>
            </w:r>
            <w:r w:rsidRPr="00F11177">
              <w:rPr>
                <w:rFonts w:ascii="Times New Roman" w:hAnsi="Times New Roman" w:eastAsia="Source Sans Pro"/>
                <w:snapToGrid/>
                <w:color w:val="000000"/>
                <w:sz w:val="20"/>
                <w:szCs w:val="20"/>
                <w:vertAlign w:val="superscript"/>
                <w:lang w:bidi="en-US"/>
              </w:rPr>
              <w:footnoteReference w:id="12"/>
            </w:r>
          </w:p>
        </w:tc>
        <w:tc>
          <w:tcPr>
            <w:tcW w:w="1980" w:type="dxa"/>
            <w:tcBorders>
              <w:top w:val="single" w:color="auto" w:sz="4" w:space="0"/>
              <w:left w:val="single" w:color="auto" w:sz="4" w:space="0"/>
              <w:bottom w:val="single" w:color="auto" w:sz="4" w:space="0"/>
              <w:right w:val="single" w:color="auto" w:sz="4" w:space="0"/>
            </w:tcBorders>
            <w:vAlign w:val="center"/>
            <w:hideMark/>
          </w:tcPr>
          <w:p w:rsidRPr="00F11177" w:rsidR="00F11177" w:rsidP="00F11177" w:rsidRDefault="00F11177" w14:paraId="2FA7167E" w14:textId="77777777">
            <w:pPr>
              <w:keepNext/>
              <w:keepLines/>
              <w:suppressAutoHyphens/>
              <w:spacing w:after="240" w:line="260" w:lineRule="exact"/>
              <w:jc w:val="right"/>
              <w:rPr>
                <w:rFonts w:ascii="Times New Roman" w:hAnsi="Times New Roman" w:eastAsia="Source Sans Pro"/>
                <w:snapToGrid/>
                <w:color w:val="000000"/>
                <w:sz w:val="20"/>
                <w:szCs w:val="20"/>
                <w:lang w:bidi="en-US"/>
              </w:rPr>
            </w:pPr>
            <w:r w:rsidRPr="00F11177">
              <w:rPr>
                <w:rFonts w:ascii="Times New Roman" w:hAnsi="Times New Roman" w:eastAsia="Source Sans Pro"/>
                <w:snapToGrid/>
                <w:sz w:val="20"/>
                <w:szCs w:val="20"/>
                <w:lang w:bidi="en-US"/>
              </w:rPr>
              <w:t>$123.30</w:t>
            </w:r>
          </w:p>
        </w:tc>
        <w:tc>
          <w:tcPr>
            <w:tcW w:w="1260" w:type="dxa"/>
            <w:tcBorders>
              <w:top w:val="single" w:color="auto" w:sz="4" w:space="0"/>
              <w:left w:val="single" w:color="auto" w:sz="4" w:space="0"/>
              <w:bottom w:val="single" w:color="auto" w:sz="4" w:space="0"/>
              <w:right w:val="single" w:color="auto" w:sz="4" w:space="0"/>
            </w:tcBorders>
            <w:vAlign w:val="center"/>
          </w:tcPr>
          <w:p w:rsidRPr="00F11177" w:rsidR="00F11177" w:rsidP="00F11177" w:rsidRDefault="00F11177" w14:paraId="3816BF15" w14:textId="77777777">
            <w:pPr>
              <w:keepNext/>
              <w:keepLines/>
              <w:suppressAutoHyphens/>
              <w:spacing w:after="240" w:line="260" w:lineRule="exact"/>
              <w:jc w:val="right"/>
              <w:rPr>
                <w:rFonts w:ascii="Times New Roman" w:hAnsi="Times New Roman" w:eastAsia="Source Sans Pro"/>
                <w:snapToGrid/>
                <w:color w:val="000000"/>
                <w:sz w:val="20"/>
                <w:szCs w:val="20"/>
                <w:lang w:bidi="en-US"/>
              </w:rPr>
            </w:pPr>
            <w:r w:rsidRPr="00F11177">
              <w:rPr>
                <w:rFonts w:ascii="Times New Roman" w:hAnsi="Times New Roman" w:eastAsia="Source Sans Pro"/>
                <w:snapToGrid/>
                <w:color w:val="000000"/>
                <w:sz w:val="20"/>
                <w:szCs w:val="20"/>
                <w:lang w:bidi="en-US"/>
              </w:rPr>
              <w:t>16.7%</w:t>
            </w:r>
          </w:p>
        </w:tc>
        <w:tc>
          <w:tcPr>
            <w:tcW w:w="1890" w:type="dxa"/>
            <w:tcBorders>
              <w:top w:val="single" w:color="auto" w:sz="4" w:space="0"/>
              <w:left w:val="single" w:color="auto" w:sz="4" w:space="0"/>
              <w:bottom w:val="single" w:color="auto" w:sz="4" w:space="0"/>
              <w:right w:val="single" w:color="auto" w:sz="4" w:space="0"/>
            </w:tcBorders>
            <w:vAlign w:val="bottom"/>
          </w:tcPr>
          <w:p w:rsidRPr="00F11177" w:rsidR="00F11177" w:rsidP="00F11177" w:rsidRDefault="00F11177" w14:paraId="5BAD6444" w14:textId="77777777">
            <w:pPr>
              <w:keepNext/>
              <w:keepLines/>
              <w:suppressAutoHyphens/>
              <w:spacing w:after="240" w:line="260" w:lineRule="exact"/>
              <w:jc w:val="right"/>
              <w:rPr>
                <w:rFonts w:ascii="Times New Roman" w:hAnsi="Times New Roman" w:eastAsia="Source Sans Pro"/>
                <w:snapToGrid/>
                <w:color w:val="000000"/>
                <w:sz w:val="20"/>
                <w:szCs w:val="20"/>
                <w:lang w:bidi="en-US"/>
              </w:rPr>
            </w:pPr>
            <w:r w:rsidRPr="00F11177">
              <w:rPr>
                <w:rFonts w:ascii="Times New Roman" w:hAnsi="Times New Roman" w:eastAsia="Source Sans Pro"/>
                <w:snapToGrid/>
                <w:color w:val="000000"/>
                <w:sz w:val="20"/>
                <w:szCs w:val="20"/>
                <w:lang w:bidi="en-US"/>
              </w:rPr>
              <w:t xml:space="preserve">$20.55 </w:t>
            </w:r>
          </w:p>
        </w:tc>
      </w:tr>
      <w:tr w:rsidRPr="00F11177" w:rsidR="00F11177" w:rsidTr="00AC0717" w14:paraId="520D29AC" w14:textId="77777777">
        <w:tc>
          <w:tcPr>
            <w:tcW w:w="4135" w:type="dxa"/>
            <w:tcBorders>
              <w:top w:val="single" w:color="auto" w:sz="4" w:space="0"/>
              <w:left w:val="single" w:color="auto" w:sz="4" w:space="0"/>
              <w:bottom w:val="single" w:color="auto" w:sz="4" w:space="0"/>
              <w:right w:val="single" w:color="auto" w:sz="4" w:space="0"/>
            </w:tcBorders>
            <w:vAlign w:val="center"/>
            <w:hideMark/>
          </w:tcPr>
          <w:p w:rsidRPr="00F11177" w:rsidR="00F11177" w:rsidP="00F11177" w:rsidRDefault="00F11177" w14:paraId="78CB6277" w14:textId="77777777">
            <w:pPr>
              <w:keepNext/>
              <w:keepLines/>
              <w:suppressAutoHyphens/>
              <w:spacing w:after="240" w:line="260" w:lineRule="exact"/>
              <w:ind w:right="-86"/>
              <w:rPr>
                <w:rFonts w:ascii="Times New Roman" w:hAnsi="Times New Roman" w:eastAsia="Source Sans Pro"/>
                <w:snapToGrid/>
                <w:color w:val="000000"/>
                <w:sz w:val="20"/>
                <w:szCs w:val="20"/>
                <w:lang w:bidi="en-US"/>
              </w:rPr>
            </w:pPr>
            <w:r w:rsidRPr="00F11177">
              <w:rPr>
                <w:rFonts w:ascii="Times New Roman" w:hAnsi="Times New Roman" w:eastAsia="Source Sans Pro"/>
                <w:snapToGrid/>
                <w:sz w:val="20"/>
                <w:szCs w:val="20"/>
                <w:lang w:bidi="en-US"/>
              </w:rPr>
              <w:t>Lawyers</w:t>
            </w:r>
            <w:r w:rsidRPr="00F11177">
              <w:rPr>
                <w:rFonts w:ascii="Times New Roman" w:hAnsi="Times New Roman" w:eastAsia="Source Sans Pro"/>
                <w:snapToGrid/>
                <w:sz w:val="20"/>
                <w:szCs w:val="20"/>
                <w:vertAlign w:val="superscript"/>
                <w:lang w:bidi="en-US"/>
              </w:rPr>
              <w:footnoteReference w:id="13"/>
            </w:r>
          </w:p>
        </w:tc>
        <w:tc>
          <w:tcPr>
            <w:tcW w:w="1980" w:type="dxa"/>
            <w:tcBorders>
              <w:top w:val="single" w:color="auto" w:sz="4" w:space="0"/>
              <w:left w:val="single" w:color="auto" w:sz="4" w:space="0"/>
              <w:bottom w:val="single" w:color="auto" w:sz="4" w:space="0"/>
              <w:right w:val="single" w:color="auto" w:sz="4" w:space="0"/>
            </w:tcBorders>
            <w:vAlign w:val="center"/>
            <w:hideMark/>
          </w:tcPr>
          <w:p w:rsidRPr="00F11177" w:rsidR="00F11177" w:rsidP="00F11177" w:rsidRDefault="00F11177" w14:paraId="2D8D6CD0" w14:textId="77777777">
            <w:pPr>
              <w:keepNext/>
              <w:keepLines/>
              <w:suppressAutoHyphens/>
              <w:spacing w:after="240" w:line="260" w:lineRule="exact"/>
              <w:jc w:val="right"/>
              <w:rPr>
                <w:rFonts w:ascii="Times New Roman" w:hAnsi="Times New Roman" w:eastAsia="Source Sans Pro"/>
                <w:snapToGrid/>
                <w:color w:val="000000"/>
                <w:sz w:val="20"/>
                <w:szCs w:val="20"/>
                <w:lang w:bidi="en-US"/>
              </w:rPr>
            </w:pPr>
            <w:r w:rsidRPr="00F11177">
              <w:rPr>
                <w:rFonts w:ascii="Times New Roman" w:hAnsi="Times New Roman" w:eastAsia="Source Sans Pro"/>
                <w:snapToGrid/>
                <w:sz w:val="20"/>
                <w:szCs w:val="20"/>
                <w:lang w:bidi="en-US"/>
              </w:rPr>
              <w:t>151.44</w:t>
            </w:r>
          </w:p>
        </w:tc>
        <w:tc>
          <w:tcPr>
            <w:tcW w:w="1260" w:type="dxa"/>
            <w:tcBorders>
              <w:top w:val="single" w:color="auto" w:sz="4" w:space="0"/>
              <w:left w:val="single" w:color="auto" w:sz="4" w:space="0"/>
              <w:bottom w:val="single" w:color="auto" w:sz="4" w:space="0"/>
              <w:right w:val="single" w:color="auto" w:sz="4" w:space="0"/>
            </w:tcBorders>
          </w:tcPr>
          <w:p w:rsidRPr="00F11177" w:rsidR="00F11177" w:rsidP="00F11177" w:rsidRDefault="00F11177" w14:paraId="25942B86" w14:textId="77777777">
            <w:pPr>
              <w:keepNext/>
              <w:keepLines/>
              <w:suppressAutoHyphens/>
              <w:spacing w:after="240" w:line="260" w:lineRule="exact"/>
              <w:jc w:val="right"/>
              <w:rPr>
                <w:rFonts w:ascii="Times New Roman" w:hAnsi="Times New Roman" w:eastAsia="Source Sans Pro"/>
                <w:snapToGrid/>
                <w:color w:val="000000"/>
                <w:sz w:val="20"/>
                <w:szCs w:val="20"/>
                <w:lang w:bidi="en-US"/>
              </w:rPr>
            </w:pPr>
            <w:r w:rsidRPr="00F11177">
              <w:rPr>
                <w:rFonts w:ascii="Times New Roman" w:hAnsi="Times New Roman" w:eastAsia="Source Sans Pro"/>
                <w:snapToGrid/>
                <w:color w:val="000000"/>
                <w:sz w:val="20"/>
                <w:szCs w:val="20"/>
                <w:lang w:bidi="en-US"/>
              </w:rPr>
              <w:t>16.7%</w:t>
            </w:r>
          </w:p>
        </w:tc>
        <w:tc>
          <w:tcPr>
            <w:tcW w:w="1890" w:type="dxa"/>
            <w:tcBorders>
              <w:top w:val="single" w:color="auto" w:sz="4" w:space="0"/>
              <w:left w:val="single" w:color="auto" w:sz="4" w:space="0"/>
              <w:bottom w:val="single" w:color="auto" w:sz="4" w:space="0"/>
              <w:right w:val="single" w:color="auto" w:sz="4" w:space="0"/>
            </w:tcBorders>
            <w:vAlign w:val="bottom"/>
          </w:tcPr>
          <w:p w:rsidRPr="00F11177" w:rsidR="00F11177" w:rsidP="00F11177" w:rsidRDefault="00F11177" w14:paraId="405683DA" w14:textId="77777777">
            <w:pPr>
              <w:keepNext/>
              <w:keepLines/>
              <w:suppressAutoHyphens/>
              <w:spacing w:after="240" w:line="260" w:lineRule="exact"/>
              <w:jc w:val="right"/>
              <w:rPr>
                <w:rFonts w:ascii="Times New Roman" w:hAnsi="Times New Roman" w:eastAsia="Source Sans Pro"/>
                <w:snapToGrid/>
                <w:color w:val="000000"/>
                <w:sz w:val="20"/>
                <w:szCs w:val="20"/>
                <w:lang w:bidi="en-US"/>
              </w:rPr>
            </w:pPr>
            <w:r w:rsidRPr="00F11177">
              <w:rPr>
                <w:rFonts w:ascii="Times New Roman" w:hAnsi="Times New Roman" w:eastAsia="Source Sans Pro"/>
                <w:snapToGrid/>
                <w:color w:val="000000"/>
                <w:sz w:val="20"/>
                <w:szCs w:val="20"/>
                <w:lang w:bidi="en-US"/>
              </w:rPr>
              <w:t xml:space="preserve">$25.24 </w:t>
            </w:r>
          </w:p>
        </w:tc>
      </w:tr>
      <w:tr w:rsidRPr="00F11177" w:rsidR="00F11177" w:rsidTr="00AC0717" w14:paraId="43ECD60D" w14:textId="77777777">
        <w:tc>
          <w:tcPr>
            <w:tcW w:w="4135" w:type="dxa"/>
            <w:tcBorders>
              <w:top w:val="single" w:color="auto" w:sz="4" w:space="0"/>
              <w:left w:val="single" w:color="auto" w:sz="4" w:space="0"/>
              <w:bottom w:val="single" w:color="auto" w:sz="4" w:space="0"/>
              <w:right w:val="single" w:color="auto" w:sz="4" w:space="0"/>
            </w:tcBorders>
            <w:vAlign w:val="center"/>
            <w:hideMark/>
          </w:tcPr>
          <w:p w:rsidRPr="00F11177" w:rsidR="00F11177" w:rsidP="00F11177" w:rsidRDefault="00F11177" w14:paraId="5E047F67" w14:textId="77777777">
            <w:pPr>
              <w:keepNext/>
              <w:keepLines/>
              <w:suppressAutoHyphens/>
              <w:spacing w:after="240" w:line="260" w:lineRule="exact"/>
              <w:ind w:right="-86"/>
              <w:rPr>
                <w:rFonts w:ascii="Times New Roman" w:hAnsi="Times New Roman" w:eastAsia="Source Sans Pro"/>
                <w:snapToGrid/>
                <w:color w:val="000000"/>
                <w:sz w:val="20"/>
                <w:szCs w:val="20"/>
                <w:lang w:bidi="en-US"/>
              </w:rPr>
            </w:pPr>
            <w:r w:rsidRPr="00F11177">
              <w:rPr>
                <w:rFonts w:ascii="Times New Roman" w:hAnsi="Times New Roman" w:eastAsia="Source Sans Pro"/>
                <w:snapToGrid/>
                <w:sz w:val="20"/>
                <w:szCs w:val="20"/>
                <w:lang w:bidi="en-US"/>
              </w:rPr>
              <w:t>Compliance Officers</w:t>
            </w:r>
            <w:r w:rsidRPr="00F11177">
              <w:rPr>
                <w:rFonts w:ascii="Times New Roman" w:hAnsi="Times New Roman" w:eastAsia="Source Sans Pro"/>
                <w:snapToGrid/>
                <w:sz w:val="20"/>
                <w:szCs w:val="20"/>
                <w:vertAlign w:val="superscript"/>
                <w:lang w:bidi="en-US"/>
              </w:rPr>
              <w:footnoteReference w:id="14"/>
            </w:r>
          </w:p>
        </w:tc>
        <w:tc>
          <w:tcPr>
            <w:tcW w:w="1980" w:type="dxa"/>
            <w:tcBorders>
              <w:top w:val="single" w:color="auto" w:sz="4" w:space="0"/>
              <w:left w:val="single" w:color="auto" w:sz="4" w:space="0"/>
              <w:bottom w:val="single" w:color="auto" w:sz="4" w:space="0"/>
              <w:right w:val="single" w:color="auto" w:sz="4" w:space="0"/>
            </w:tcBorders>
            <w:vAlign w:val="center"/>
            <w:hideMark/>
          </w:tcPr>
          <w:p w:rsidRPr="00F11177" w:rsidR="00F11177" w:rsidP="00F11177" w:rsidRDefault="00F11177" w14:paraId="6D987D0A" w14:textId="77777777">
            <w:pPr>
              <w:keepNext/>
              <w:keepLines/>
              <w:suppressAutoHyphens/>
              <w:spacing w:after="240" w:line="260" w:lineRule="exact"/>
              <w:jc w:val="right"/>
              <w:rPr>
                <w:rFonts w:ascii="Times New Roman" w:hAnsi="Times New Roman" w:eastAsia="Source Sans Pro"/>
                <w:snapToGrid/>
                <w:color w:val="000000"/>
                <w:sz w:val="20"/>
                <w:szCs w:val="20"/>
                <w:lang w:bidi="en-US"/>
              </w:rPr>
            </w:pPr>
            <w:r w:rsidRPr="00F11177">
              <w:rPr>
                <w:rFonts w:ascii="Times New Roman" w:hAnsi="Times New Roman" w:eastAsia="Source Sans Pro"/>
                <w:snapToGrid/>
                <w:sz w:val="20"/>
                <w:szCs w:val="20"/>
                <w:lang w:bidi="en-US"/>
              </w:rPr>
              <w:t>67.35</w:t>
            </w:r>
          </w:p>
        </w:tc>
        <w:tc>
          <w:tcPr>
            <w:tcW w:w="1260" w:type="dxa"/>
            <w:tcBorders>
              <w:top w:val="single" w:color="auto" w:sz="4" w:space="0"/>
              <w:left w:val="single" w:color="auto" w:sz="4" w:space="0"/>
              <w:bottom w:val="single" w:color="auto" w:sz="4" w:space="0"/>
              <w:right w:val="single" w:color="auto" w:sz="4" w:space="0"/>
            </w:tcBorders>
          </w:tcPr>
          <w:p w:rsidRPr="00F11177" w:rsidR="00F11177" w:rsidP="00F11177" w:rsidRDefault="00F11177" w14:paraId="0E01D4AF" w14:textId="77777777">
            <w:pPr>
              <w:keepNext/>
              <w:keepLines/>
              <w:suppressAutoHyphens/>
              <w:spacing w:after="240" w:line="260" w:lineRule="exact"/>
              <w:jc w:val="right"/>
              <w:rPr>
                <w:rFonts w:ascii="Times New Roman" w:hAnsi="Times New Roman" w:eastAsia="Source Sans Pro"/>
                <w:snapToGrid/>
                <w:color w:val="000000"/>
                <w:sz w:val="20"/>
                <w:szCs w:val="20"/>
                <w:lang w:bidi="en-US"/>
              </w:rPr>
            </w:pPr>
            <w:r w:rsidRPr="00F11177">
              <w:rPr>
                <w:rFonts w:ascii="Times New Roman" w:hAnsi="Times New Roman" w:eastAsia="Source Sans Pro"/>
                <w:snapToGrid/>
                <w:color w:val="000000"/>
                <w:sz w:val="20"/>
                <w:szCs w:val="20"/>
                <w:lang w:bidi="en-US"/>
              </w:rPr>
              <w:t>16.7%</w:t>
            </w:r>
          </w:p>
        </w:tc>
        <w:tc>
          <w:tcPr>
            <w:tcW w:w="1890" w:type="dxa"/>
            <w:tcBorders>
              <w:top w:val="single" w:color="auto" w:sz="4" w:space="0"/>
              <w:left w:val="single" w:color="auto" w:sz="4" w:space="0"/>
              <w:bottom w:val="single" w:color="auto" w:sz="4" w:space="0"/>
              <w:right w:val="single" w:color="auto" w:sz="4" w:space="0"/>
            </w:tcBorders>
            <w:vAlign w:val="bottom"/>
          </w:tcPr>
          <w:p w:rsidRPr="00F11177" w:rsidR="00F11177" w:rsidP="00F11177" w:rsidRDefault="00F11177" w14:paraId="7748EE59" w14:textId="77777777">
            <w:pPr>
              <w:keepNext/>
              <w:keepLines/>
              <w:suppressAutoHyphens/>
              <w:spacing w:after="240" w:line="260" w:lineRule="exact"/>
              <w:jc w:val="right"/>
              <w:rPr>
                <w:rFonts w:ascii="Times New Roman" w:hAnsi="Times New Roman" w:eastAsia="Source Sans Pro"/>
                <w:snapToGrid/>
                <w:color w:val="000000"/>
                <w:sz w:val="20"/>
                <w:szCs w:val="20"/>
                <w:lang w:bidi="en-US"/>
              </w:rPr>
            </w:pPr>
            <w:r w:rsidRPr="00F11177">
              <w:rPr>
                <w:rFonts w:ascii="Times New Roman" w:hAnsi="Times New Roman" w:eastAsia="Source Sans Pro"/>
                <w:snapToGrid/>
                <w:color w:val="000000"/>
                <w:sz w:val="20"/>
                <w:szCs w:val="20"/>
                <w:lang w:bidi="en-US"/>
              </w:rPr>
              <w:t xml:space="preserve">$11.23 </w:t>
            </w:r>
          </w:p>
        </w:tc>
      </w:tr>
      <w:tr w:rsidRPr="00F11177" w:rsidR="00F11177" w:rsidTr="00AC0717" w14:paraId="48747F58" w14:textId="77777777">
        <w:tc>
          <w:tcPr>
            <w:tcW w:w="4135" w:type="dxa"/>
            <w:tcBorders>
              <w:top w:val="single" w:color="auto" w:sz="4" w:space="0"/>
              <w:left w:val="single" w:color="auto" w:sz="4" w:space="0"/>
              <w:bottom w:val="single" w:color="auto" w:sz="4" w:space="0"/>
              <w:right w:val="single" w:color="auto" w:sz="4" w:space="0"/>
            </w:tcBorders>
            <w:vAlign w:val="center"/>
            <w:hideMark/>
          </w:tcPr>
          <w:p w:rsidRPr="00F11177" w:rsidR="00F11177" w:rsidP="00F11177" w:rsidRDefault="00F11177" w14:paraId="6FDC852A" w14:textId="77777777">
            <w:pPr>
              <w:keepNext/>
              <w:keepLines/>
              <w:suppressAutoHyphens/>
              <w:spacing w:after="240" w:line="260" w:lineRule="exact"/>
              <w:ind w:right="-86"/>
              <w:rPr>
                <w:rFonts w:ascii="Times New Roman" w:hAnsi="Times New Roman" w:eastAsia="Source Sans Pro"/>
                <w:snapToGrid/>
                <w:sz w:val="20"/>
                <w:szCs w:val="20"/>
                <w:lang w:bidi="en-US"/>
              </w:rPr>
            </w:pPr>
            <w:r w:rsidRPr="00F11177">
              <w:rPr>
                <w:rFonts w:ascii="Times New Roman" w:hAnsi="Times New Roman" w:eastAsia="Source Sans Pro"/>
                <w:snapToGrid/>
                <w:sz w:val="20"/>
                <w:szCs w:val="20"/>
                <w:lang w:bidi="en-US"/>
              </w:rPr>
              <w:t>IT Specialists</w:t>
            </w:r>
            <w:r w:rsidRPr="00F11177">
              <w:rPr>
                <w:rFonts w:ascii="Times New Roman" w:hAnsi="Times New Roman" w:eastAsia="Source Sans Pro"/>
                <w:snapToGrid/>
                <w:sz w:val="20"/>
                <w:szCs w:val="20"/>
                <w:vertAlign w:val="superscript"/>
                <w:lang w:bidi="en-US"/>
              </w:rPr>
              <w:footnoteReference w:id="15"/>
            </w:r>
          </w:p>
        </w:tc>
        <w:tc>
          <w:tcPr>
            <w:tcW w:w="1980" w:type="dxa"/>
            <w:tcBorders>
              <w:top w:val="single" w:color="auto" w:sz="4" w:space="0"/>
              <w:left w:val="single" w:color="auto" w:sz="4" w:space="0"/>
              <w:bottom w:val="single" w:color="auto" w:sz="4" w:space="0"/>
              <w:right w:val="single" w:color="auto" w:sz="4" w:space="0"/>
            </w:tcBorders>
            <w:vAlign w:val="center"/>
            <w:hideMark/>
          </w:tcPr>
          <w:p w:rsidRPr="00F11177" w:rsidR="00F11177" w:rsidP="00F11177" w:rsidRDefault="00F11177" w14:paraId="79ED914B" w14:textId="77777777">
            <w:pPr>
              <w:keepNext/>
              <w:keepLines/>
              <w:suppressAutoHyphens/>
              <w:spacing w:after="240" w:line="260" w:lineRule="exact"/>
              <w:jc w:val="right"/>
              <w:rPr>
                <w:rFonts w:ascii="Times New Roman" w:hAnsi="Times New Roman" w:eastAsia="Source Sans Pro"/>
                <w:snapToGrid/>
                <w:color w:val="000000"/>
                <w:sz w:val="20"/>
                <w:szCs w:val="20"/>
                <w:lang w:bidi="en-US"/>
              </w:rPr>
            </w:pPr>
            <w:r w:rsidRPr="00F11177">
              <w:rPr>
                <w:rFonts w:ascii="Times New Roman" w:hAnsi="Times New Roman" w:eastAsia="Source Sans Pro"/>
                <w:snapToGrid/>
                <w:sz w:val="20"/>
                <w:szCs w:val="20"/>
                <w:lang w:bidi="en-US"/>
              </w:rPr>
              <w:t>92.30</w:t>
            </w:r>
          </w:p>
        </w:tc>
        <w:tc>
          <w:tcPr>
            <w:tcW w:w="1260" w:type="dxa"/>
            <w:tcBorders>
              <w:top w:val="single" w:color="auto" w:sz="4" w:space="0"/>
              <w:left w:val="single" w:color="auto" w:sz="4" w:space="0"/>
              <w:bottom w:val="single" w:color="auto" w:sz="4" w:space="0"/>
              <w:right w:val="single" w:color="auto" w:sz="4" w:space="0"/>
            </w:tcBorders>
          </w:tcPr>
          <w:p w:rsidRPr="00F11177" w:rsidR="00F11177" w:rsidP="00F11177" w:rsidRDefault="00F11177" w14:paraId="29EBDFF6" w14:textId="77777777">
            <w:pPr>
              <w:keepNext/>
              <w:keepLines/>
              <w:suppressAutoHyphens/>
              <w:spacing w:after="240" w:line="260" w:lineRule="exact"/>
              <w:jc w:val="right"/>
              <w:rPr>
                <w:rFonts w:ascii="Times New Roman" w:hAnsi="Times New Roman" w:eastAsia="Source Sans Pro"/>
                <w:snapToGrid/>
                <w:color w:val="000000"/>
                <w:sz w:val="20"/>
                <w:szCs w:val="20"/>
                <w:lang w:bidi="en-US"/>
              </w:rPr>
            </w:pPr>
            <w:r w:rsidRPr="00F11177">
              <w:rPr>
                <w:rFonts w:ascii="Times New Roman" w:hAnsi="Times New Roman" w:eastAsia="Source Sans Pro"/>
                <w:snapToGrid/>
                <w:color w:val="000000"/>
                <w:sz w:val="20"/>
                <w:szCs w:val="20"/>
                <w:lang w:bidi="en-US"/>
              </w:rPr>
              <w:t>16.7%</w:t>
            </w:r>
          </w:p>
        </w:tc>
        <w:tc>
          <w:tcPr>
            <w:tcW w:w="1890" w:type="dxa"/>
            <w:tcBorders>
              <w:top w:val="single" w:color="auto" w:sz="4" w:space="0"/>
              <w:left w:val="single" w:color="auto" w:sz="4" w:space="0"/>
              <w:bottom w:val="single" w:color="auto" w:sz="4" w:space="0"/>
              <w:right w:val="single" w:color="auto" w:sz="4" w:space="0"/>
            </w:tcBorders>
            <w:vAlign w:val="bottom"/>
          </w:tcPr>
          <w:p w:rsidRPr="00F11177" w:rsidR="00F11177" w:rsidP="00F11177" w:rsidRDefault="00F11177" w14:paraId="58FBA1A1" w14:textId="77777777">
            <w:pPr>
              <w:keepNext/>
              <w:keepLines/>
              <w:suppressAutoHyphens/>
              <w:spacing w:after="240" w:line="260" w:lineRule="exact"/>
              <w:jc w:val="right"/>
              <w:rPr>
                <w:rFonts w:ascii="Times New Roman" w:hAnsi="Times New Roman" w:eastAsia="Source Sans Pro"/>
                <w:snapToGrid/>
                <w:color w:val="000000"/>
                <w:sz w:val="20"/>
                <w:szCs w:val="20"/>
                <w:lang w:bidi="en-US"/>
              </w:rPr>
            </w:pPr>
            <w:r w:rsidRPr="00F11177">
              <w:rPr>
                <w:rFonts w:ascii="Times New Roman" w:hAnsi="Times New Roman" w:eastAsia="Source Sans Pro"/>
                <w:snapToGrid/>
                <w:color w:val="000000"/>
                <w:sz w:val="20"/>
                <w:szCs w:val="20"/>
                <w:lang w:bidi="en-US"/>
              </w:rPr>
              <w:t xml:space="preserve">$15.38 </w:t>
            </w:r>
          </w:p>
        </w:tc>
      </w:tr>
      <w:tr w:rsidRPr="00F11177" w:rsidR="00F11177" w:rsidTr="00AC0717" w14:paraId="2AA8F4A2" w14:textId="77777777">
        <w:tc>
          <w:tcPr>
            <w:tcW w:w="4135" w:type="dxa"/>
            <w:tcBorders>
              <w:top w:val="single" w:color="auto" w:sz="4" w:space="0"/>
              <w:left w:val="single" w:color="auto" w:sz="4" w:space="0"/>
              <w:bottom w:val="single" w:color="auto" w:sz="4" w:space="0"/>
              <w:right w:val="single" w:color="auto" w:sz="4" w:space="0"/>
            </w:tcBorders>
            <w:vAlign w:val="center"/>
            <w:hideMark/>
          </w:tcPr>
          <w:p w:rsidRPr="00F11177" w:rsidR="00F11177" w:rsidP="00F11177" w:rsidRDefault="00F11177" w14:paraId="3846355A" w14:textId="77777777">
            <w:pPr>
              <w:keepNext/>
              <w:keepLines/>
              <w:suppressAutoHyphens/>
              <w:spacing w:after="240" w:line="260" w:lineRule="exact"/>
              <w:ind w:right="-86"/>
              <w:rPr>
                <w:rFonts w:ascii="Times New Roman" w:hAnsi="Times New Roman" w:eastAsia="Source Sans Pro"/>
                <w:snapToGrid/>
                <w:color w:val="000000"/>
                <w:sz w:val="20"/>
                <w:szCs w:val="20"/>
                <w:lang w:bidi="en-US"/>
              </w:rPr>
            </w:pPr>
            <w:r w:rsidRPr="00F11177">
              <w:rPr>
                <w:rFonts w:ascii="Times New Roman" w:hAnsi="Times New Roman" w:eastAsia="Source Sans Pro"/>
                <w:snapToGrid/>
                <w:color w:val="000000"/>
                <w:sz w:val="20"/>
                <w:szCs w:val="20"/>
                <w:lang w:bidi="en-US"/>
              </w:rPr>
              <w:t>Financial Analysts</w:t>
            </w:r>
            <w:r w:rsidRPr="00F11177">
              <w:rPr>
                <w:rFonts w:ascii="Times New Roman" w:hAnsi="Times New Roman" w:eastAsia="Source Sans Pro"/>
                <w:snapToGrid/>
                <w:color w:val="000000"/>
                <w:sz w:val="20"/>
                <w:szCs w:val="20"/>
                <w:vertAlign w:val="superscript"/>
                <w:lang w:bidi="en-US"/>
              </w:rPr>
              <w:footnoteReference w:id="16"/>
            </w:r>
          </w:p>
        </w:tc>
        <w:tc>
          <w:tcPr>
            <w:tcW w:w="1980" w:type="dxa"/>
            <w:tcBorders>
              <w:top w:val="single" w:color="auto" w:sz="4" w:space="0"/>
              <w:left w:val="single" w:color="auto" w:sz="4" w:space="0"/>
              <w:bottom w:val="single" w:color="auto" w:sz="4" w:space="0"/>
              <w:right w:val="single" w:color="auto" w:sz="4" w:space="0"/>
            </w:tcBorders>
            <w:vAlign w:val="center"/>
            <w:hideMark/>
          </w:tcPr>
          <w:p w:rsidRPr="00F11177" w:rsidR="00F11177" w:rsidP="00F11177" w:rsidRDefault="00F11177" w14:paraId="78798420" w14:textId="77777777">
            <w:pPr>
              <w:keepNext/>
              <w:keepLines/>
              <w:suppressAutoHyphens/>
              <w:spacing w:after="240" w:line="260" w:lineRule="exact"/>
              <w:jc w:val="right"/>
              <w:rPr>
                <w:rFonts w:ascii="Times New Roman" w:hAnsi="Times New Roman" w:eastAsia="Source Sans Pro"/>
                <w:snapToGrid/>
                <w:color w:val="000000"/>
                <w:sz w:val="20"/>
                <w:szCs w:val="20"/>
                <w:lang w:bidi="en-US"/>
              </w:rPr>
            </w:pPr>
            <w:r w:rsidRPr="00F11177">
              <w:rPr>
                <w:rFonts w:ascii="Times New Roman" w:hAnsi="Times New Roman" w:eastAsia="Source Sans Pro"/>
                <w:snapToGrid/>
                <w:sz w:val="20"/>
                <w:szCs w:val="20"/>
                <w:lang w:bidi="en-US"/>
              </w:rPr>
              <w:t>79.40</w:t>
            </w:r>
          </w:p>
        </w:tc>
        <w:tc>
          <w:tcPr>
            <w:tcW w:w="1260" w:type="dxa"/>
            <w:tcBorders>
              <w:top w:val="single" w:color="auto" w:sz="4" w:space="0"/>
              <w:left w:val="single" w:color="auto" w:sz="4" w:space="0"/>
              <w:bottom w:val="single" w:color="auto" w:sz="4" w:space="0"/>
              <w:right w:val="single" w:color="auto" w:sz="4" w:space="0"/>
            </w:tcBorders>
          </w:tcPr>
          <w:p w:rsidRPr="00F11177" w:rsidR="00F11177" w:rsidP="00F11177" w:rsidRDefault="00F11177" w14:paraId="68CEB5EF" w14:textId="77777777">
            <w:pPr>
              <w:keepNext/>
              <w:keepLines/>
              <w:suppressAutoHyphens/>
              <w:spacing w:after="240" w:line="260" w:lineRule="exact"/>
              <w:jc w:val="right"/>
              <w:rPr>
                <w:rFonts w:ascii="Times New Roman" w:hAnsi="Times New Roman" w:eastAsia="Source Sans Pro"/>
                <w:snapToGrid/>
                <w:sz w:val="20"/>
                <w:szCs w:val="20"/>
                <w:lang w:bidi="en-US"/>
              </w:rPr>
            </w:pPr>
            <w:r w:rsidRPr="00F11177">
              <w:rPr>
                <w:rFonts w:ascii="Times New Roman" w:hAnsi="Times New Roman" w:eastAsia="Source Sans Pro"/>
                <w:snapToGrid/>
                <w:color w:val="000000"/>
                <w:sz w:val="20"/>
                <w:szCs w:val="20"/>
                <w:lang w:bidi="en-US"/>
              </w:rPr>
              <w:t>16.7%</w:t>
            </w:r>
          </w:p>
        </w:tc>
        <w:tc>
          <w:tcPr>
            <w:tcW w:w="1890" w:type="dxa"/>
            <w:tcBorders>
              <w:top w:val="single" w:color="auto" w:sz="4" w:space="0"/>
              <w:left w:val="single" w:color="auto" w:sz="4" w:space="0"/>
              <w:bottom w:val="single" w:color="auto" w:sz="4" w:space="0"/>
              <w:right w:val="single" w:color="auto" w:sz="4" w:space="0"/>
            </w:tcBorders>
            <w:vAlign w:val="bottom"/>
          </w:tcPr>
          <w:p w:rsidRPr="00F11177" w:rsidR="00F11177" w:rsidP="00F11177" w:rsidRDefault="00F11177" w14:paraId="5D268AD5" w14:textId="77777777">
            <w:pPr>
              <w:keepNext/>
              <w:keepLines/>
              <w:suppressAutoHyphens/>
              <w:spacing w:after="240" w:line="260" w:lineRule="exact"/>
              <w:jc w:val="right"/>
              <w:rPr>
                <w:rFonts w:ascii="Times New Roman" w:hAnsi="Times New Roman" w:eastAsia="Source Sans Pro"/>
                <w:snapToGrid/>
                <w:sz w:val="20"/>
                <w:szCs w:val="20"/>
                <w:lang w:bidi="en-US"/>
              </w:rPr>
            </w:pPr>
            <w:r w:rsidRPr="00F11177">
              <w:rPr>
                <w:rFonts w:ascii="Times New Roman" w:hAnsi="Times New Roman" w:eastAsia="Source Sans Pro"/>
                <w:snapToGrid/>
                <w:color w:val="000000"/>
                <w:sz w:val="20"/>
                <w:szCs w:val="20"/>
                <w:lang w:bidi="en-US"/>
              </w:rPr>
              <w:t xml:space="preserve">$13.23 </w:t>
            </w:r>
          </w:p>
        </w:tc>
      </w:tr>
      <w:tr w:rsidRPr="00F11177" w:rsidR="00F11177" w:rsidTr="00AC0717" w14:paraId="6517EC19" w14:textId="77777777">
        <w:tc>
          <w:tcPr>
            <w:tcW w:w="4135" w:type="dxa"/>
            <w:tcBorders>
              <w:top w:val="single" w:color="auto" w:sz="4" w:space="0"/>
              <w:left w:val="single" w:color="auto" w:sz="4" w:space="0"/>
              <w:bottom w:val="single" w:color="auto" w:sz="4" w:space="0"/>
              <w:right w:val="single" w:color="auto" w:sz="4" w:space="0"/>
            </w:tcBorders>
            <w:vAlign w:val="center"/>
            <w:hideMark/>
          </w:tcPr>
          <w:p w:rsidRPr="00F11177" w:rsidR="00F11177" w:rsidP="00F11177" w:rsidRDefault="00F11177" w14:paraId="2EBDA9DE" w14:textId="77777777">
            <w:pPr>
              <w:keepNext/>
              <w:keepLines/>
              <w:suppressAutoHyphens/>
              <w:spacing w:after="240" w:line="260" w:lineRule="exact"/>
              <w:ind w:right="-86"/>
              <w:rPr>
                <w:rFonts w:ascii="Times New Roman" w:hAnsi="Times New Roman" w:eastAsia="Source Sans Pro"/>
                <w:snapToGrid/>
                <w:color w:val="000000"/>
                <w:sz w:val="20"/>
                <w:szCs w:val="20"/>
                <w:lang w:bidi="en-US"/>
              </w:rPr>
            </w:pPr>
            <w:r w:rsidRPr="00F11177">
              <w:rPr>
                <w:rFonts w:ascii="Times New Roman" w:hAnsi="Times New Roman" w:eastAsia="Source Sans Pro"/>
                <w:snapToGrid/>
                <w:color w:val="000000"/>
                <w:sz w:val="20"/>
                <w:szCs w:val="20"/>
                <w:lang w:bidi="en-US"/>
              </w:rPr>
              <w:t>Clerical</w:t>
            </w:r>
            <w:r w:rsidRPr="00F11177">
              <w:rPr>
                <w:rFonts w:ascii="Times New Roman" w:hAnsi="Times New Roman" w:eastAsia="Source Sans Pro"/>
                <w:snapToGrid/>
                <w:color w:val="000000"/>
                <w:sz w:val="20"/>
                <w:szCs w:val="20"/>
                <w:vertAlign w:val="superscript"/>
                <w:lang w:bidi="en-US"/>
              </w:rPr>
              <w:footnoteReference w:id="17"/>
            </w:r>
          </w:p>
        </w:tc>
        <w:tc>
          <w:tcPr>
            <w:tcW w:w="1980" w:type="dxa"/>
            <w:tcBorders>
              <w:top w:val="single" w:color="auto" w:sz="4" w:space="0"/>
              <w:left w:val="single" w:color="auto" w:sz="4" w:space="0"/>
              <w:bottom w:val="single" w:color="auto" w:sz="4" w:space="0"/>
              <w:right w:val="single" w:color="auto" w:sz="4" w:space="0"/>
            </w:tcBorders>
            <w:vAlign w:val="center"/>
            <w:hideMark/>
          </w:tcPr>
          <w:p w:rsidRPr="00F11177" w:rsidR="00F11177" w:rsidP="00F11177" w:rsidRDefault="00F11177" w14:paraId="3D2A7A46" w14:textId="77777777">
            <w:pPr>
              <w:keepNext/>
              <w:keepLines/>
              <w:suppressAutoHyphens/>
              <w:spacing w:after="240" w:line="260" w:lineRule="exact"/>
              <w:jc w:val="right"/>
              <w:rPr>
                <w:rFonts w:ascii="Times New Roman" w:hAnsi="Times New Roman" w:eastAsia="Source Sans Pro"/>
                <w:snapToGrid/>
                <w:color w:val="000000"/>
                <w:sz w:val="20"/>
                <w:szCs w:val="20"/>
                <w:lang w:bidi="en-US"/>
              </w:rPr>
            </w:pPr>
            <w:r w:rsidRPr="00F11177">
              <w:rPr>
                <w:rFonts w:ascii="Times New Roman" w:hAnsi="Times New Roman" w:eastAsia="Source Sans Pro"/>
                <w:snapToGrid/>
                <w:sz w:val="20"/>
                <w:szCs w:val="20"/>
                <w:lang w:bidi="en-US"/>
              </w:rPr>
              <w:t>33.44</w:t>
            </w:r>
          </w:p>
        </w:tc>
        <w:tc>
          <w:tcPr>
            <w:tcW w:w="1260" w:type="dxa"/>
            <w:tcBorders>
              <w:top w:val="single" w:color="auto" w:sz="4" w:space="0"/>
              <w:left w:val="single" w:color="auto" w:sz="4" w:space="0"/>
              <w:bottom w:val="single" w:color="auto" w:sz="4" w:space="0"/>
              <w:right w:val="single" w:color="auto" w:sz="4" w:space="0"/>
            </w:tcBorders>
          </w:tcPr>
          <w:p w:rsidRPr="00F11177" w:rsidR="00F11177" w:rsidP="00F11177" w:rsidRDefault="00F11177" w14:paraId="21A193FE" w14:textId="77777777">
            <w:pPr>
              <w:keepNext/>
              <w:keepLines/>
              <w:suppressAutoHyphens/>
              <w:spacing w:after="240" w:line="260" w:lineRule="exact"/>
              <w:jc w:val="right"/>
              <w:rPr>
                <w:rFonts w:ascii="Times New Roman" w:hAnsi="Times New Roman" w:eastAsia="Source Sans Pro"/>
                <w:snapToGrid/>
                <w:sz w:val="20"/>
                <w:szCs w:val="20"/>
                <w:lang w:bidi="en-US"/>
              </w:rPr>
            </w:pPr>
            <w:r w:rsidRPr="00F11177">
              <w:rPr>
                <w:rFonts w:ascii="Times New Roman" w:hAnsi="Times New Roman" w:eastAsia="Source Sans Pro"/>
                <w:snapToGrid/>
                <w:color w:val="000000"/>
                <w:sz w:val="20"/>
                <w:szCs w:val="20"/>
                <w:lang w:bidi="en-US"/>
              </w:rPr>
              <w:t>16.7%</w:t>
            </w:r>
          </w:p>
        </w:tc>
        <w:tc>
          <w:tcPr>
            <w:tcW w:w="1890" w:type="dxa"/>
            <w:tcBorders>
              <w:top w:val="single" w:color="auto" w:sz="4" w:space="0"/>
              <w:left w:val="single" w:color="auto" w:sz="4" w:space="0"/>
              <w:bottom w:val="single" w:color="auto" w:sz="4" w:space="0"/>
              <w:right w:val="single" w:color="auto" w:sz="4" w:space="0"/>
            </w:tcBorders>
            <w:vAlign w:val="bottom"/>
          </w:tcPr>
          <w:p w:rsidRPr="00F11177" w:rsidR="00F11177" w:rsidP="00F11177" w:rsidRDefault="00F11177" w14:paraId="4EB73277" w14:textId="77777777">
            <w:pPr>
              <w:keepNext/>
              <w:keepLines/>
              <w:suppressAutoHyphens/>
              <w:spacing w:after="240" w:line="260" w:lineRule="exact"/>
              <w:jc w:val="right"/>
              <w:rPr>
                <w:rFonts w:ascii="Times New Roman" w:hAnsi="Times New Roman" w:eastAsia="Source Sans Pro"/>
                <w:snapToGrid/>
                <w:sz w:val="20"/>
                <w:szCs w:val="20"/>
                <w:lang w:bidi="en-US"/>
              </w:rPr>
            </w:pPr>
            <w:r w:rsidRPr="00F11177">
              <w:rPr>
                <w:rFonts w:ascii="Times New Roman" w:hAnsi="Times New Roman" w:eastAsia="Source Sans Pro"/>
                <w:snapToGrid/>
                <w:color w:val="000000"/>
                <w:sz w:val="20"/>
                <w:szCs w:val="20"/>
                <w:lang w:bidi="en-US"/>
              </w:rPr>
              <w:t xml:space="preserve">$5.57 </w:t>
            </w:r>
          </w:p>
        </w:tc>
      </w:tr>
      <w:tr w:rsidRPr="00F11177" w:rsidR="00F11177" w:rsidTr="00AC0717" w14:paraId="78C81C74" w14:textId="77777777">
        <w:tc>
          <w:tcPr>
            <w:tcW w:w="7375" w:type="dxa"/>
            <w:gridSpan w:val="3"/>
            <w:tcBorders>
              <w:top w:val="single" w:color="auto" w:sz="4" w:space="0"/>
              <w:left w:val="single" w:color="auto" w:sz="4" w:space="0"/>
              <w:bottom w:val="single" w:color="auto" w:sz="4" w:space="0"/>
              <w:right w:val="single" w:color="auto" w:sz="4" w:space="0"/>
            </w:tcBorders>
            <w:vAlign w:val="bottom"/>
            <w:hideMark/>
          </w:tcPr>
          <w:p w:rsidRPr="00F11177" w:rsidR="00F11177" w:rsidP="00F11177" w:rsidRDefault="00F11177" w14:paraId="61C9785C" w14:textId="77777777">
            <w:pPr>
              <w:keepNext/>
              <w:keepLines/>
              <w:suppressAutoHyphens/>
              <w:spacing w:after="240" w:line="260" w:lineRule="exact"/>
              <w:jc w:val="right"/>
              <w:rPr>
                <w:rFonts w:ascii="Times New Roman" w:hAnsi="Times New Roman" w:eastAsia="Source Sans Pro"/>
                <w:snapToGrid/>
                <w:sz w:val="20"/>
                <w:szCs w:val="20"/>
                <w:lang w:bidi="en-US"/>
              </w:rPr>
            </w:pPr>
            <w:r w:rsidRPr="00F11177">
              <w:rPr>
                <w:rFonts w:ascii="Times New Roman" w:hAnsi="Times New Roman" w:eastAsia="Source Sans Pro"/>
                <w:b/>
                <w:bCs/>
                <w:snapToGrid/>
                <w:color w:val="000000"/>
                <w:sz w:val="20"/>
                <w:szCs w:val="20"/>
                <w:lang w:bidi="en-US"/>
              </w:rPr>
              <w:t>Weighted Average:</w:t>
            </w:r>
          </w:p>
        </w:tc>
        <w:tc>
          <w:tcPr>
            <w:tcW w:w="1890" w:type="dxa"/>
            <w:tcBorders>
              <w:top w:val="single" w:color="auto" w:sz="4" w:space="0"/>
              <w:left w:val="single" w:color="auto" w:sz="4" w:space="0"/>
              <w:bottom w:val="single" w:color="auto" w:sz="4" w:space="0"/>
              <w:right w:val="single" w:color="auto" w:sz="4" w:space="0"/>
            </w:tcBorders>
            <w:vAlign w:val="center"/>
          </w:tcPr>
          <w:p w:rsidRPr="00F11177" w:rsidR="00F11177" w:rsidP="00F11177" w:rsidRDefault="00F11177" w14:paraId="091B563D" w14:textId="77777777">
            <w:pPr>
              <w:keepNext/>
              <w:keepLines/>
              <w:suppressAutoHyphens/>
              <w:spacing w:after="240" w:line="260" w:lineRule="exact"/>
              <w:jc w:val="right"/>
              <w:rPr>
                <w:rFonts w:ascii="Times New Roman" w:hAnsi="Times New Roman" w:eastAsia="Source Sans Pro"/>
                <w:b/>
                <w:snapToGrid/>
                <w:color w:val="000000"/>
                <w:sz w:val="20"/>
                <w:szCs w:val="20"/>
                <w:lang w:bidi="en-US"/>
              </w:rPr>
            </w:pPr>
            <w:r w:rsidRPr="00F11177">
              <w:rPr>
                <w:rFonts w:ascii="Times New Roman" w:hAnsi="Times New Roman" w:eastAsia="Source Sans Pro"/>
                <w:b/>
                <w:snapToGrid/>
                <w:color w:val="000000"/>
                <w:sz w:val="20"/>
                <w:szCs w:val="20"/>
                <w:lang w:bidi="en-US"/>
              </w:rPr>
              <w:t>$91.21</w:t>
            </w:r>
          </w:p>
        </w:tc>
      </w:tr>
      <w:tr w:rsidRPr="00F11177" w:rsidR="00F11177" w:rsidTr="00AC0717" w14:paraId="2879621C" w14:textId="77777777">
        <w:trPr>
          <w:trHeight w:val="2592"/>
        </w:trPr>
        <w:tc>
          <w:tcPr>
            <w:tcW w:w="9265" w:type="dxa"/>
            <w:gridSpan w:val="4"/>
            <w:tcBorders>
              <w:top w:val="single" w:color="auto" w:sz="4" w:space="0"/>
              <w:left w:val="single" w:color="auto" w:sz="4" w:space="0"/>
              <w:bottom w:val="single" w:color="auto" w:sz="4" w:space="0"/>
              <w:right w:val="single" w:color="auto" w:sz="4" w:space="0"/>
            </w:tcBorders>
            <w:vAlign w:val="bottom"/>
          </w:tcPr>
          <w:p w:rsidRPr="00F11177" w:rsidR="00F11177" w:rsidP="00F11177" w:rsidRDefault="00F11177" w14:paraId="2FF8741F" w14:textId="77777777">
            <w:pPr>
              <w:keepNext/>
              <w:keepLines/>
              <w:suppressAutoHyphens/>
              <w:spacing w:line="260" w:lineRule="exact"/>
              <w:ind w:right="-86"/>
              <w:rPr>
                <w:rFonts w:ascii="Times New Roman" w:hAnsi="Times New Roman" w:eastAsia="Source Sans Pro"/>
                <w:snapToGrid/>
                <w:sz w:val="18"/>
                <w:szCs w:val="18"/>
                <w:lang w:bidi="en-US"/>
              </w:rPr>
            </w:pPr>
            <w:r w:rsidRPr="00F11177">
              <w:rPr>
                <w:rFonts w:ascii="Times New Roman" w:hAnsi="Times New Roman" w:eastAsia="Source Sans Pro"/>
                <w:snapToGrid/>
                <w:sz w:val="18"/>
                <w:szCs w:val="18"/>
                <w:lang w:bidi="en-US"/>
              </w:rPr>
              <w:t>Source: Bureau of Labor Statistics: "National Industry-Specific Occupational Employment and Wage Estimates: Industry: Credit Intermediation and Related Activities (5221 And 5223 only)" (May 2019), Employer Cost of Employee Compensation (December 2020), Consumer Price Index (December 2020).</w:t>
            </w:r>
            <w:r w:rsidRPr="00F11177">
              <w:rPr>
                <w:rFonts w:ascii="Times New Roman" w:hAnsi="Times New Roman" w:eastAsia="Source Sans Pro"/>
                <w:snapToGrid/>
                <w:sz w:val="18"/>
                <w:szCs w:val="18"/>
                <w:lang w:bidi="en-US"/>
              </w:rPr>
              <w:br/>
            </w:r>
          </w:p>
          <w:p w:rsidRPr="00F11177" w:rsidR="00F11177" w:rsidP="00F11177" w:rsidRDefault="00F11177" w14:paraId="698B84FA" w14:textId="77777777">
            <w:pPr>
              <w:keepNext/>
              <w:keepLines/>
              <w:suppressAutoHyphens/>
              <w:spacing w:line="260" w:lineRule="exact"/>
              <w:ind w:right="-86"/>
              <w:rPr>
                <w:rFonts w:ascii="Times New Roman" w:hAnsi="Times New Roman" w:eastAsia="Source Sans Pro"/>
                <w:snapToGrid/>
                <w:sz w:val="18"/>
                <w:szCs w:val="18"/>
                <w:lang w:bidi="en-US"/>
              </w:rPr>
            </w:pPr>
            <w:r w:rsidRPr="00F11177">
              <w:rPr>
                <w:rFonts w:ascii="Times New Roman" w:hAnsi="Times New Roman" w:eastAsia="Source Sans Pro"/>
                <w:snapToGrid/>
                <w:sz w:val="18"/>
                <w:szCs w:val="18"/>
                <w:lang w:bidi="en-US"/>
              </w:rPr>
              <w:t>Note: The 75th percentile wage information reported by the BLS in the Specific Occupational Employment and Wage Estimates does not include health benefits and other non-monetary benefits. According to the December 2020 Employer Cost of Employee Compensation data compensation rates for health and other benefits are 34 percent of total compensation. Additionally, the wage has been adjusted for inflation according BLS data on the Consumer Price Index for Urban Consumers (CPI-U) so that it is contemporaneous with the non-wage compensation statistic. The inflation rate was 1.71 percent between May 2019 and December 2020.</w:t>
            </w:r>
            <w:r w:rsidRPr="00F11177">
              <w:rPr>
                <w:rFonts w:ascii="Times New Roman" w:hAnsi="Times New Roman" w:eastAsia="Source Sans Pro"/>
                <w:snapToGrid/>
                <w:sz w:val="18"/>
                <w:szCs w:val="18"/>
                <w:lang w:bidi="en-US"/>
              </w:rPr>
              <w:br/>
            </w:r>
          </w:p>
        </w:tc>
      </w:tr>
    </w:tbl>
    <w:p w:rsidRPr="00F11177" w:rsidR="00F11177" w:rsidP="00F11177" w:rsidRDefault="00F11177" w14:paraId="53B5863E" w14:textId="77777777">
      <w:pPr>
        <w:suppressAutoHyphens/>
        <w:autoSpaceDE w:val="0"/>
        <w:autoSpaceDN w:val="0"/>
        <w:ind w:right="-86" w:firstLine="720"/>
        <w:rPr>
          <w:rFonts w:ascii="Times New Roman" w:hAnsi="Times New Roman" w:eastAsia="Source Sans Pro"/>
          <w:snapToGrid/>
          <w:sz w:val="20"/>
          <w:lang w:bidi="en-US"/>
        </w:rPr>
      </w:pPr>
    </w:p>
    <w:p w:rsidRPr="00F11177" w:rsidR="00F11177" w:rsidP="00F11177" w:rsidRDefault="00F11177" w14:paraId="75EBC998" w14:textId="77777777">
      <w:pPr>
        <w:suppressAutoHyphens/>
        <w:autoSpaceDE w:val="0"/>
        <w:autoSpaceDN w:val="0"/>
        <w:ind w:right="-86"/>
        <w:rPr>
          <w:rFonts w:ascii="Times New Roman" w:hAnsi="Times New Roman" w:eastAsia="Source Sans Pro"/>
          <w:b/>
          <w:snapToGrid/>
          <w:szCs w:val="24"/>
          <w:lang w:bidi="en-US"/>
        </w:rPr>
      </w:pPr>
      <w:r w:rsidRPr="00F11177">
        <w:rPr>
          <w:rFonts w:ascii="Times New Roman" w:hAnsi="Times New Roman" w:eastAsia="Source Sans Pro"/>
          <w:b/>
          <w:snapToGrid/>
          <w:szCs w:val="24"/>
          <w:lang w:bidi="en-US"/>
        </w:rPr>
        <w:t>Total Estimated Compliance Cost</w:t>
      </w:r>
    </w:p>
    <w:p w:rsidRPr="00F11177" w:rsidR="00F11177" w:rsidP="00F11177" w:rsidRDefault="00F11177" w14:paraId="71A1BA96" w14:textId="77777777">
      <w:pPr>
        <w:suppressAutoHyphens/>
        <w:autoSpaceDE w:val="0"/>
        <w:autoSpaceDN w:val="0"/>
        <w:ind w:right="-86" w:firstLine="720"/>
        <w:rPr>
          <w:rFonts w:ascii="Times New Roman" w:hAnsi="Times New Roman" w:eastAsia="Source Sans Pro"/>
          <w:b/>
          <w:snapToGrid/>
          <w:szCs w:val="24"/>
          <w:lang w:bidi="en-US"/>
        </w:rPr>
      </w:pPr>
    </w:p>
    <w:p w:rsidRPr="00F11177" w:rsidR="00F11177" w:rsidP="00F11177" w:rsidRDefault="00F11177" w14:paraId="647FFBC2" w14:textId="1C4D03D2">
      <w:pPr>
        <w:ind w:left="270"/>
        <w:rPr>
          <w:rFonts w:ascii="Times New Roman" w:hAnsi="Times New Roman" w:eastAsia="Source Sans Pro"/>
          <w:snapToGrid/>
          <w:szCs w:val="24"/>
          <w:lang w:bidi="en-US"/>
        </w:rPr>
      </w:pPr>
      <w:r>
        <w:rPr>
          <w:rFonts w:ascii="Times New Roman" w:hAnsi="Times New Roman"/>
          <w:u w:val="single"/>
          <w:lang w:bidi="en-US"/>
        </w:rPr>
        <w:t xml:space="preserve">Estimated Labor </w:t>
      </w:r>
      <w:r w:rsidR="000172B6">
        <w:rPr>
          <w:rFonts w:ascii="Times New Roman" w:hAnsi="Times New Roman"/>
          <w:u w:val="single"/>
          <w:lang w:bidi="en-US"/>
        </w:rPr>
        <w:t>Cost</w:t>
      </w:r>
      <w:r>
        <w:rPr>
          <w:rFonts w:ascii="Times New Roman" w:hAnsi="Times New Roman"/>
          <w:lang w:bidi="en-US"/>
        </w:rPr>
        <w:t xml:space="preserve"> </w:t>
      </w:r>
      <w:r w:rsidR="000172B6">
        <w:rPr>
          <w:rFonts w:ascii="Times New Roman" w:hAnsi="Times New Roman"/>
          <w:lang w:bidi="en-US"/>
        </w:rPr>
        <w:t>–</w:t>
      </w:r>
      <w:r w:rsidRPr="00F11177">
        <w:rPr>
          <w:rFonts w:ascii="Times New Roman" w:hAnsi="Times New Roman" w:eastAsia="Source Sans Pro"/>
          <w:snapToGrid/>
          <w:szCs w:val="24"/>
          <w:lang w:bidi="en-US"/>
        </w:rPr>
        <w:t xml:space="preserve"> </w:t>
      </w:r>
      <w:r w:rsidR="000172B6">
        <w:rPr>
          <w:rFonts w:ascii="Times New Roman" w:hAnsi="Times New Roman" w:eastAsia="Source Sans Pro"/>
          <w:snapToGrid/>
          <w:szCs w:val="24"/>
          <w:lang w:bidi="en-US"/>
        </w:rPr>
        <w:t xml:space="preserve">FDIC </w:t>
      </w:r>
      <w:r w:rsidRPr="00F11177">
        <w:rPr>
          <w:rFonts w:ascii="Times New Roman" w:hAnsi="Times New Roman" w:eastAsia="Source Sans Pro"/>
          <w:snapToGrid/>
          <w:szCs w:val="24"/>
          <w:lang w:bidi="en-US"/>
        </w:rPr>
        <w:t>estimate</w:t>
      </w:r>
      <w:r w:rsidR="000172B6">
        <w:rPr>
          <w:rFonts w:ascii="Times New Roman" w:hAnsi="Times New Roman" w:eastAsia="Source Sans Pro"/>
          <w:snapToGrid/>
          <w:szCs w:val="24"/>
          <w:lang w:bidi="en-US"/>
        </w:rPr>
        <w:t>s</w:t>
      </w:r>
      <w:r w:rsidRPr="00F11177">
        <w:rPr>
          <w:rFonts w:ascii="Times New Roman" w:hAnsi="Times New Roman" w:eastAsia="Source Sans Pro"/>
          <w:snapToGrid/>
          <w:szCs w:val="24"/>
          <w:lang w:bidi="en-US"/>
        </w:rPr>
        <w:t xml:space="preserve"> the total annual cost burden for </w:t>
      </w:r>
      <w:r w:rsidR="000172B6">
        <w:rPr>
          <w:rFonts w:ascii="Times New Roman" w:hAnsi="Times New Roman" w:eastAsia="Source Sans Pro"/>
          <w:snapToGrid/>
          <w:szCs w:val="24"/>
          <w:lang w:bidi="en-US"/>
        </w:rPr>
        <w:t>this information collection</w:t>
      </w:r>
      <w:r w:rsidRPr="00F11177">
        <w:rPr>
          <w:rFonts w:ascii="Times New Roman" w:hAnsi="Times New Roman" w:eastAsia="Source Sans Pro"/>
          <w:snapToGrid/>
          <w:szCs w:val="24"/>
          <w:lang w:bidi="en-US"/>
        </w:rPr>
        <w:t xml:space="preserve"> by multiplying the total</w:t>
      </w:r>
      <w:r w:rsidR="000172B6">
        <w:rPr>
          <w:rFonts w:ascii="Times New Roman" w:hAnsi="Times New Roman" w:eastAsia="Source Sans Pro"/>
          <w:snapToGrid/>
          <w:szCs w:val="24"/>
          <w:lang w:bidi="en-US"/>
        </w:rPr>
        <w:t xml:space="preserve"> estimated </w:t>
      </w:r>
      <w:r w:rsidRPr="00F11177">
        <w:rPr>
          <w:rFonts w:ascii="Times New Roman" w:hAnsi="Times New Roman" w:eastAsia="Source Sans Pro"/>
          <w:snapToGrid/>
          <w:szCs w:val="24"/>
          <w:lang w:bidi="en-US"/>
        </w:rPr>
        <w:t xml:space="preserve"> annual burden hours </w:t>
      </w:r>
      <w:r w:rsidR="000172B6">
        <w:rPr>
          <w:rFonts w:ascii="Times New Roman" w:hAnsi="Times New Roman" w:eastAsia="Source Sans Pro"/>
          <w:snapToGrid/>
          <w:szCs w:val="24"/>
          <w:lang w:bidi="en-US"/>
        </w:rPr>
        <w:t xml:space="preserve">shown in the </w:t>
      </w:r>
      <w:r w:rsidR="000172B6">
        <w:rPr>
          <w:rFonts w:ascii="Times New Roman" w:hAnsi="Times New Roman"/>
          <w:lang w:bidi="en-US"/>
        </w:rPr>
        <w:t>Summary of Estimated Annual Burden table above,</w:t>
      </w:r>
      <w:r w:rsidRPr="00F11177">
        <w:rPr>
          <w:rFonts w:ascii="Times New Roman" w:hAnsi="Times New Roman" w:eastAsia="Source Sans Pro"/>
          <w:snapToGrid/>
          <w:szCs w:val="24"/>
          <w:lang w:bidi="en-US"/>
        </w:rPr>
        <w:t xml:space="preserve"> by the weighted average hourly compensation estimate </w:t>
      </w:r>
      <w:r w:rsidR="000172B6">
        <w:rPr>
          <w:rFonts w:ascii="Times New Roman" w:hAnsi="Times New Roman" w:eastAsia="Source Sans Pro"/>
          <w:snapToGrid/>
          <w:szCs w:val="24"/>
          <w:lang w:bidi="en-US"/>
        </w:rPr>
        <w:t xml:space="preserve">shown in the </w:t>
      </w:r>
      <w:r w:rsidRPr="00F11177" w:rsidR="000172B6">
        <w:rPr>
          <w:rFonts w:ascii="Times New Roman" w:hAnsi="Times New Roman"/>
          <w:bCs/>
          <w:snapToGrid/>
          <w:color w:val="000000"/>
          <w:szCs w:val="24"/>
        </w:rPr>
        <w:t>Summary of Hourly Burden Cost Estimate</w:t>
      </w:r>
      <w:r w:rsidR="000172B6">
        <w:rPr>
          <w:rFonts w:ascii="Times New Roman" w:hAnsi="Times New Roman" w:eastAsia="Source Sans Pro"/>
          <w:snapToGrid/>
          <w:szCs w:val="24"/>
          <w:lang w:bidi="en-US"/>
        </w:rPr>
        <w:t xml:space="preserve"> table . The total annu</w:t>
      </w:r>
      <w:r w:rsidRPr="00F11177">
        <w:rPr>
          <w:rFonts w:ascii="Times New Roman" w:hAnsi="Times New Roman" w:eastAsia="Source Sans Pro"/>
          <w:snapToGrid/>
          <w:szCs w:val="24"/>
          <w:lang w:bidi="en-US"/>
        </w:rPr>
        <w:t>al cost burden is estimated</w:t>
      </w:r>
      <w:r w:rsidR="000172B6">
        <w:rPr>
          <w:rFonts w:ascii="Times New Roman" w:hAnsi="Times New Roman" w:eastAsia="Source Sans Pro"/>
          <w:snapToGrid/>
          <w:szCs w:val="24"/>
          <w:lang w:bidi="en-US"/>
        </w:rPr>
        <w:t xml:space="preserve"> to be approximately </w:t>
      </w:r>
      <w:r w:rsidRPr="00F11177" w:rsidR="000172B6">
        <w:rPr>
          <w:rFonts w:ascii="Times New Roman" w:hAnsi="Times New Roman" w:eastAsia="Source Sans Pro"/>
          <w:b/>
          <w:snapToGrid/>
          <w:szCs w:val="24"/>
          <w:lang w:bidi="en-US"/>
        </w:rPr>
        <w:t>$9</w:t>
      </w:r>
      <w:r w:rsidR="000172B6">
        <w:rPr>
          <w:rFonts w:ascii="Times New Roman" w:hAnsi="Times New Roman" w:eastAsia="Source Sans Pro"/>
          <w:b/>
          <w:snapToGrid/>
          <w:szCs w:val="24"/>
          <w:lang w:bidi="en-US"/>
        </w:rPr>
        <w:t>34,902</w:t>
      </w:r>
      <w:r w:rsidR="000172B6">
        <w:rPr>
          <w:rFonts w:ascii="Times New Roman" w:hAnsi="Times New Roman" w:eastAsia="Source Sans Pro"/>
          <w:snapToGrid/>
          <w:szCs w:val="24"/>
          <w:lang w:bidi="en-US"/>
        </w:rPr>
        <w:t>.</w:t>
      </w:r>
      <w:r w:rsidRPr="000172B6" w:rsidR="000172B6">
        <w:rPr>
          <w:rStyle w:val="FootnoteReference"/>
          <w:rFonts w:ascii="Times New Roman" w:hAnsi="Times New Roman" w:eastAsia="Source Sans Pro"/>
          <w:snapToGrid/>
          <w:szCs w:val="24"/>
          <w:vertAlign w:val="superscript"/>
          <w:lang w:bidi="en-US"/>
        </w:rPr>
        <w:footnoteReference w:id="18"/>
      </w:r>
      <w:r w:rsidRPr="00F11177">
        <w:rPr>
          <w:rFonts w:ascii="Times New Roman" w:hAnsi="Times New Roman" w:eastAsia="Source Sans Pro"/>
          <w:snapToGrid/>
          <w:szCs w:val="24"/>
          <w:lang w:bidi="en-US"/>
        </w:rPr>
        <w:t xml:space="preserve"> </w:t>
      </w:r>
    </w:p>
    <w:p w:rsidR="001A1972" w:rsidRDefault="001A1972" w14:paraId="6A236F67" w14:textId="0DAD9E36">
      <w:pPr>
        <w:rPr>
          <w:rFonts w:ascii="Times New Roman" w:hAnsi="Times New Roman"/>
        </w:rPr>
      </w:pPr>
    </w:p>
    <w:p w:rsidR="00075A03" w:rsidRDefault="00075A03" w14:paraId="6C75BD86" w14:textId="77777777">
      <w:pPr>
        <w:rPr>
          <w:rFonts w:ascii="Times New Roman" w:hAnsi="Times New Roman"/>
          <w:szCs w:val="24"/>
        </w:rPr>
      </w:pPr>
    </w:p>
    <w:p w:rsidR="00075A03" w:rsidRDefault="00075A03" w14:paraId="7BF4A839" w14:textId="77777777">
      <w:pPr>
        <w:tabs>
          <w:tab w:val="left" w:pos="-1440"/>
        </w:tabs>
        <w:ind w:left="720" w:hanging="720"/>
        <w:outlineLvl w:val="0"/>
        <w:rPr>
          <w:rFonts w:ascii="Times New Roman" w:hAnsi="Times New Roman"/>
          <w:szCs w:val="24"/>
        </w:rPr>
      </w:pPr>
      <w:r>
        <w:rPr>
          <w:rFonts w:ascii="Times New Roman" w:hAnsi="Times New Roman"/>
          <w:szCs w:val="24"/>
        </w:rPr>
        <w:t xml:space="preserve">13. </w:t>
      </w:r>
      <w:r>
        <w:rPr>
          <w:rFonts w:ascii="Times New Roman" w:hAnsi="Times New Roman"/>
          <w:szCs w:val="24"/>
          <w:u w:val="single"/>
        </w:rPr>
        <w:t xml:space="preserve">Estimate of annualized </w:t>
      </w:r>
      <w:r w:rsidR="0086580D">
        <w:rPr>
          <w:rFonts w:ascii="Times New Roman" w:hAnsi="Times New Roman"/>
          <w:szCs w:val="24"/>
          <w:u w:val="single"/>
        </w:rPr>
        <w:t xml:space="preserve">external </w:t>
      </w:r>
      <w:r>
        <w:rPr>
          <w:rFonts w:ascii="Times New Roman" w:hAnsi="Times New Roman"/>
          <w:szCs w:val="24"/>
          <w:u w:val="single"/>
        </w:rPr>
        <w:t>costs to respondents</w:t>
      </w:r>
      <w:r>
        <w:rPr>
          <w:rFonts w:ascii="Times New Roman" w:hAnsi="Times New Roman"/>
          <w:szCs w:val="24"/>
        </w:rPr>
        <w:t>:</w:t>
      </w:r>
    </w:p>
    <w:p w:rsidR="00075A03" w:rsidRDefault="00075A03" w14:paraId="73E69E4C" w14:textId="77777777">
      <w:pPr>
        <w:rPr>
          <w:rFonts w:ascii="Times New Roman" w:hAnsi="Times New Roman"/>
          <w:szCs w:val="24"/>
        </w:rPr>
      </w:pPr>
    </w:p>
    <w:p w:rsidR="00075A03" w:rsidP="00714F75" w:rsidRDefault="00075A03" w14:paraId="7153B2BB" w14:textId="77777777">
      <w:pPr>
        <w:ind w:left="270"/>
        <w:rPr>
          <w:rFonts w:ascii="Times New Roman" w:hAnsi="Times New Roman"/>
          <w:szCs w:val="24"/>
        </w:rPr>
      </w:pPr>
      <w:r w:rsidRPr="00714F75">
        <w:rPr>
          <w:rFonts w:ascii="Times New Roman" w:hAnsi="Times New Roman"/>
        </w:rPr>
        <w:t>None</w:t>
      </w:r>
      <w:r>
        <w:rPr>
          <w:rFonts w:ascii="Times New Roman" w:hAnsi="Times New Roman"/>
          <w:szCs w:val="24"/>
        </w:rPr>
        <w:t>.</w:t>
      </w:r>
    </w:p>
    <w:p w:rsidR="00075A03" w:rsidRDefault="00075A03" w14:paraId="32FCAA25" w14:textId="77777777">
      <w:pPr>
        <w:rPr>
          <w:rFonts w:ascii="Times New Roman" w:hAnsi="Times New Roman"/>
          <w:szCs w:val="24"/>
        </w:rPr>
      </w:pPr>
    </w:p>
    <w:p w:rsidR="00075A03" w:rsidRDefault="00075A03" w14:paraId="22180ACF" w14:textId="77777777">
      <w:pPr>
        <w:outlineLvl w:val="0"/>
        <w:rPr>
          <w:rFonts w:ascii="Times New Roman" w:hAnsi="Times New Roman"/>
          <w:szCs w:val="24"/>
        </w:rPr>
      </w:pPr>
      <w:r>
        <w:rPr>
          <w:rFonts w:ascii="Times New Roman" w:hAnsi="Times New Roman"/>
          <w:szCs w:val="24"/>
        </w:rPr>
        <w:t xml:space="preserve">14. </w:t>
      </w:r>
      <w:r>
        <w:rPr>
          <w:rFonts w:ascii="Times New Roman" w:hAnsi="Times New Roman"/>
          <w:szCs w:val="24"/>
          <w:u w:val="single"/>
        </w:rPr>
        <w:t>Estimate of annualized costs to the government</w:t>
      </w:r>
      <w:r>
        <w:rPr>
          <w:rFonts w:ascii="Times New Roman" w:hAnsi="Times New Roman"/>
          <w:szCs w:val="24"/>
        </w:rPr>
        <w:t>:</w:t>
      </w:r>
    </w:p>
    <w:p w:rsidR="00075A03" w:rsidRDefault="00075A03" w14:paraId="0F6377FA" w14:textId="77777777">
      <w:pPr>
        <w:rPr>
          <w:rFonts w:ascii="Times New Roman" w:hAnsi="Times New Roman"/>
          <w:szCs w:val="24"/>
        </w:rPr>
      </w:pPr>
    </w:p>
    <w:p w:rsidR="00075A03" w:rsidP="00714F75" w:rsidRDefault="00075A03" w14:paraId="75FE5DF3" w14:textId="77777777">
      <w:pPr>
        <w:ind w:left="270"/>
        <w:rPr>
          <w:rFonts w:ascii="Times New Roman" w:hAnsi="Times New Roman"/>
          <w:szCs w:val="24"/>
        </w:rPr>
      </w:pPr>
      <w:r w:rsidRPr="00714F75">
        <w:rPr>
          <w:rFonts w:ascii="Times New Roman" w:hAnsi="Times New Roman"/>
        </w:rPr>
        <w:t>None</w:t>
      </w:r>
      <w:r>
        <w:rPr>
          <w:rFonts w:ascii="Times New Roman" w:hAnsi="Times New Roman"/>
          <w:szCs w:val="24"/>
        </w:rPr>
        <w:t>.</w:t>
      </w:r>
    </w:p>
    <w:p w:rsidR="00075A03" w:rsidRDefault="00075A03" w14:paraId="3A6732F5" w14:textId="77777777">
      <w:pPr>
        <w:rPr>
          <w:rFonts w:ascii="Times New Roman" w:hAnsi="Times New Roman"/>
          <w:szCs w:val="24"/>
        </w:rPr>
      </w:pPr>
      <w:r>
        <w:rPr>
          <w:rFonts w:ascii="Times New Roman" w:hAnsi="Times New Roman"/>
          <w:szCs w:val="24"/>
        </w:rPr>
        <w:t xml:space="preserve"> </w:t>
      </w:r>
    </w:p>
    <w:p w:rsidR="00075A03" w:rsidRDefault="00075A03" w14:paraId="241AA843" w14:textId="77777777">
      <w:pPr>
        <w:tabs>
          <w:tab w:val="left" w:pos="-1440"/>
        </w:tabs>
        <w:ind w:left="720" w:hanging="720"/>
        <w:outlineLvl w:val="0"/>
        <w:rPr>
          <w:rFonts w:ascii="Times New Roman" w:hAnsi="Times New Roman"/>
          <w:szCs w:val="24"/>
        </w:rPr>
      </w:pPr>
      <w:r>
        <w:rPr>
          <w:rFonts w:ascii="Times New Roman" w:hAnsi="Times New Roman"/>
          <w:szCs w:val="24"/>
        </w:rPr>
        <w:t xml:space="preserve">15. </w:t>
      </w:r>
      <w:r>
        <w:rPr>
          <w:rFonts w:ascii="Times New Roman" w:hAnsi="Times New Roman"/>
          <w:szCs w:val="24"/>
          <w:u w:val="single"/>
        </w:rPr>
        <w:t>Changes in burden:</w:t>
      </w:r>
    </w:p>
    <w:p w:rsidR="00075A03" w:rsidRDefault="00075A03" w14:paraId="2DB5E237" w14:textId="77777777">
      <w:pPr>
        <w:rPr>
          <w:rFonts w:ascii="Times New Roman" w:hAnsi="Times New Roman"/>
          <w:szCs w:val="24"/>
        </w:rPr>
      </w:pPr>
    </w:p>
    <w:p w:rsidR="00075A03" w:rsidP="00714F75" w:rsidRDefault="00A32A94" w14:paraId="35B42396" w14:textId="42C260E8">
      <w:pPr>
        <w:ind w:left="270"/>
        <w:rPr>
          <w:rFonts w:ascii="Times New Roman" w:hAnsi="Times New Roman"/>
          <w:szCs w:val="24"/>
        </w:rPr>
      </w:pPr>
      <w:r>
        <w:rPr>
          <w:rFonts w:ascii="Times New Roman" w:hAnsi="Times New Roman"/>
          <w:iCs/>
        </w:rPr>
        <w:t>See discussion in Section 12 above</w:t>
      </w:r>
      <w:r w:rsidR="0086580D">
        <w:rPr>
          <w:rFonts w:ascii="Times New Roman" w:hAnsi="Times New Roman"/>
          <w:iCs/>
        </w:rPr>
        <w:t>.</w:t>
      </w:r>
    </w:p>
    <w:p w:rsidR="00075A03" w:rsidRDefault="00075A03" w14:paraId="5AC5EF88" w14:textId="77777777">
      <w:pPr>
        <w:rPr>
          <w:rFonts w:ascii="Times New Roman" w:hAnsi="Times New Roman"/>
          <w:szCs w:val="24"/>
        </w:rPr>
      </w:pPr>
    </w:p>
    <w:p w:rsidR="00075A03" w:rsidP="00930D3A" w:rsidRDefault="00075A03" w14:paraId="1F10BE2E" w14:textId="046FDBC3">
      <w:pPr>
        <w:outlineLvl w:val="0"/>
        <w:rPr>
          <w:rFonts w:ascii="Times New Roman" w:hAnsi="Times New Roman"/>
          <w:szCs w:val="24"/>
        </w:rPr>
      </w:pPr>
      <w:r>
        <w:rPr>
          <w:rFonts w:ascii="Times New Roman" w:hAnsi="Times New Roman"/>
          <w:szCs w:val="24"/>
        </w:rPr>
        <w:t xml:space="preserve">16. </w:t>
      </w:r>
      <w:r>
        <w:rPr>
          <w:rFonts w:ascii="Times New Roman" w:hAnsi="Times New Roman"/>
          <w:szCs w:val="24"/>
          <w:u w:val="single"/>
        </w:rPr>
        <w:t>Information regarding collections whose results are planned to be published for statistical use</w:t>
      </w:r>
      <w:r>
        <w:rPr>
          <w:rFonts w:ascii="Times New Roman" w:hAnsi="Times New Roman"/>
          <w:szCs w:val="24"/>
        </w:rPr>
        <w:t>:</w:t>
      </w:r>
    </w:p>
    <w:p w:rsidR="00075A03" w:rsidRDefault="00075A03" w14:paraId="605CA12F" w14:textId="77777777">
      <w:pPr>
        <w:ind w:left="720"/>
        <w:rPr>
          <w:rFonts w:ascii="Times New Roman" w:hAnsi="Times New Roman"/>
          <w:szCs w:val="24"/>
        </w:rPr>
      </w:pPr>
    </w:p>
    <w:p w:rsidR="00075A03" w:rsidP="00714F75" w:rsidRDefault="00075A03" w14:paraId="5CA063EF" w14:textId="77777777">
      <w:pPr>
        <w:ind w:left="270"/>
        <w:rPr>
          <w:rFonts w:ascii="Times New Roman" w:hAnsi="Times New Roman"/>
          <w:szCs w:val="24"/>
        </w:rPr>
      </w:pPr>
      <w:r>
        <w:rPr>
          <w:rFonts w:ascii="Times New Roman" w:hAnsi="Times New Roman"/>
          <w:szCs w:val="24"/>
        </w:rPr>
        <w:t xml:space="preserve">No </w:t>
      </w:r>
      <w:r w:rsidRPr="00714F75">
        <w:rPr>
          <w:rFonts w:ascii="Times New Roman" w:hAnsi="Times New Roman"/>
        </w:rPr>
        <w:t>publication</w:t>
      </w:r>
      <w:r>
        <w:rPr>
          <w:rFonts w:ascii="Times New Roman" w:hAnsi="Times New Roman"/>
          <w:szCs w:val="24"/>
        </w:rPr>
        <w:t xml:space="preserve"> for statistical use is contemplated.</w:t>
      </w:r>
    </w:p>
    <w:p w:rsidR="00075A03" w:rsidRDefault="00075A03" w14:paraId="1026BC31" w14:textId="77777777">
      <w:pPr>
        <w:rPr>
          <w:rFonts w:ascii="Times New Roman" w:hAnsi="Times New Roman"/>
          <w:szCs w:val="24"/>
        </w:rPr>
      </w:pPr>
    </w:p>
    <w:p w:rsidR="00075A03" w:rsidRDefault="00075A03" w14:paraId="390E5AA6" w14:textId="77777777">
      <w:pPr>
        <w:outlineLvl w:val="0"/>
        <w:rPr>
          <w:rFonts w:ascii="Times New Roman" w:hAnsi="Times New Roman"/>
          <w:szCs w:val="24"/>
        </w:rPr>
      </w:pPr>
      <w:r>
        <w:rPr>
          <w:rFonts w:ascii="Times New Roman" w:hAnsi="Times New Roman"/>
          <w:szCs w:val="24"/>
        </w:rPr>
        <w:t xml:space="preserve">17. </w:t>
      </w:r>
      <w:r>
        <w:rPr>
          <w:rFonts w:ascii="Times New Roman" w:hAnsi="Times New Roman"/>
          <w:szCs w:val="24"/>
          <w:u w:val="single"/>
        </w:rPr>
        <w:t>Display of expiration date</w:t>
      </w:r>
      <w:r>
        <w:rPr>
          <w:rFonts w:ascii="Times New Roman" w:hAnsi="Times New Roman"/>
          <w:szCs w:val="24"/>
        </w:rPr>
        <w:t>:</w:t>
      </w:r>
    </w:p>
    <w:p w:rsidR="00075A03" w:rsidRDefault="00075A03" w14:paraId="76B86AA4" w14:textId="77777777">
      <w:pPr>
        <w:rPr>
          <w:rFonts w:ascii="Times New Roman" w:hAnsi="Times New Roman"/>
          <w:szCs w:val="24"/>
        </w:rPr>
      </w:pPr>
    </w:p>
    <w:p w:rsidR="00075A03" w:rsidP="00714F75" w:rsidRDefault="00075A03" w14:paraId="1BE01BB4" w14:textId="77777777">
      <w:pPr>
        <w:ind w:left="270"/>
        <w:rPr>
          <w:rFonts w:ascii="Times New Roman" w:hAnsi="Times New Roman"/>
          <w:szCs w:val="24"/>
        </w:rPr>
      </w:pPr>
      <w:r>
        <w:rPr>
          <w:rFonts w:ascii="Times New Roman" w:hAnsi="Times New Roman"/>
          <w:szCs w:val="24"/>
        </w:rPr>
        <w:t>Not applicable.</w:t>
      </w:r>
    </w:p>
    <w:p w:rsidR="00075A03" w:rsidRDefault="00075A03" w14:paraId="7F938142" w14:textId="77777777">
      <w:pPr>
        <w:rPr>
          <w:rFonts w:ascii="Times New Roman" w:hAnsi="Times New Roman"/>
          <w:szCs w:val="24"/>
        </w:rPr>
      </w:pPr>
    </w:p>
    <w:p w:rsidR="00075A03" w:rsidRDefault="00075A03" w14:paraId="58D2BC02" w14:textId="77777777">
      <w:pPr>
        <w:outlineLvl w:val="0"/>
        <w:rPr>
          <w:rFonts w:ascii="Times New Roman" w:hAnsi="Times New Roman"/>
          <w:szCs w:val="24"/>
        </w:rPr>
      </w:pPr>
      <w:r>
        <w:rPr>
          <w:rFonts w:ascii="Times New Roman" w:hAnsi="Times New Roman"/>
          <w:szCs w:val="24"/>
        </w:rPr>
        <w:t xml:space="preserve">18. </w:t>
      </w:r>
      <w:r>
        <w:rPr>
          <w:rFonts w:ascii="Times New Roman" w:hAnsi="Times New Roman"/>
          <w:szCs w:val="24"/>
          <w:u w:val="single"/>
        </w:rPr>
        <w:t>Exceptions to certification statement</w:t>
      </w:r>
      <w:r>
        <w:rPr>
          <w:rFonts w:ascii="Times New Roman" w:hAnsi="Times New Roman"/>
          <w:szCs w:val="24"/>
        </w:rPr>
        <w:t>:</w:t>
      </w:r>
    </w:p>
    <w:p w:rsidR="00075A03" w:rsidRDefault="00075A03" w14:paraId="27837C75" w14:textId="77777777">
      <w:pPr>
        <w:rPr>
          <w:rFonts w:ascii="Times New Roman" w:hAnsi="Times New Roman"/>
          <w:szCs w:val="24"/>
        </w:rPr>
      </w:pPr>
    </w:p>
    <w:p w:rsidR="00075A03" w:rsidP="00714F75" w:rsidRDefault="00075A03" w14:paraId="7A4A6546" w14:textId="77777777">
      <w:pPr>
        <w:ind w:left="270"/>
        <w:rPr>
          <w:rFonts w:ascii="Times New Roman" w:hAnsi="Times New Roman"/>
          <w:szCs w:val="24"/>
        </w:rPr>
      </w:pPr>
      <w:r>
        <w:rPr>
          <w:rFonts w:ascii="Times New Roman" w:hAnsi="Times New Roman"/>
          <w:szCs w:val="24"/>
        </w:rPr>
        <w:t xml:space="preserve">Not </w:t>
      </w:r>
      <w:r w:rsidRPr="00714F75">
        <w:rPr>
          <w:rFonts w:ascii="Times New Roman" w:hAnsi="Times New Roman"/>
        </w:rPr>
        <w:t>applicable</w:t>
      </w:r>
      <w:r>
        <w:rPr>
          <w:rFonts w:ascii="Times New Roman" w:hAnsi="Times New Roman"/>
          <w:szCs w:val="24"/>
        </w:rPr>
        <w:t>.</w:t>
      </w:r>
    </w:p>
    <w:p w:rsidR="00075A03" w:rsidRDefault="00075A03" w14:paraId="131C274B" w14:textId="77777777">
      <w:pPr>
        <w:rPr>
          <w:rFonts w:ascii="Times New Roman" w:hAnsi="Times New Roman"/>
          <w:szCs w:val="24"/>
        </w:rPr>
      </w:pPr>
    </w:p>
    <w:p w:rsidR="00075A03" w:rsidRDefault="00075A03" w14:paraId="3A1C1B46" w14:textId="77777777">
      <w:pPr>
        <w:outlineLvl w:val="0"/>
        <w:rPr>
          <w:rFonts w:ascii="Times New Roman" w:hAnsi="Times New Roman"/>
          <w:szCs w:val="24"/>
        </w:rPr>
      </w:pPr>
      <w:r>
        <w:rPr>
          <w:rFonts w:ascii="Times New Roman" w:hAnsi="Times New Roman"/>
          <w:szCs w:val="24"/>
        </w:rPr>
        <w:t>B. Collections of Information Employing Statistical Methods.</w:t>
      </w:r>
    </w:p>
    <w:p w:rsidR="00075A03" w:rsidRDefault="00075A03" w14:paraId="634F1AA7" w14:textId="77777777">
      <w:pPr>
        <w:rPr>
          <w:rFonts w:ascii="Times New Roman" w:hAnsi="Times New Roman"/>
          <w:szCs w:val="24"/>
        </w:rPr>
      </w:pPr>
    </w:p>
    <w:p w:rsidR="00075A03" w:rsidP="00714F75" w:rsidRDefault="00075A03" w14:paraId="6CBE6AC8" w14:textId="77777777">
      <w:pPr>
        <w:ind w:left="270"/>
        <w:rPr>
          <w:rFonts w:ascii="Times New Roman" w:hAnsi="Times New Roman"/>
          <w:szCs w:val="24"/>
        </w:rPr>
      </w:pPr>
      <w:r>
        <w:rPr>
          <w:rFonts w:ascii="Times New Roman" w:hAnsi="Times New Roman"/>
          <w:szCs w:val="24"/>
        </w:rPr>
        <w:t xml:space="preserve">Not </w:t>
      </w:r>
      <w:r w:rsidRPr="00714F75">
        <w:rPr>
          <w:rFonts w:ascii="Times New Roman" w:hAnsi="Times New Roman"/>
        </w:rPr>
        <w:t>applicable</w:t>
      </w:r>
      <w:r>
        <w:rPr>
          <w:rFonts w:ascii="Times New Roman" w:hAnsi="Times New Roman"/>
          <w:szCs w:val="24"/>
        </w:rPr>
        <w:t>.</w:t>
      </w:r>
    </w:p>
    <w:p w:rsidR="00075A03" w:rsidRDefault="00075A03" w14:paraId="60136CFF" w14:textId="77777777">
      <w:pPr>
        <w:rPr>
          <w:rFonts w:ascii="Times New Roman" w:hAnsi="Times New Roman"/>
          <w:szCs w:val="24"/>
        </w:rPr>
      </w:pPr>
    </w:p>
    <w:p w:rsidR="00075A03" w:rsidRDefault="00075A03" w14:paraId="644953AB" w14:textId="77777777">
      <w:pPr>
        <w:rPr>
          <w:rFonts w:ascii="Times New Roman" w:hAnsi="Times New Roman"/>
          <w:szCs w:val="24"/>
        </w:rPr>
      </w:pPr>
    </w:p>
    <w:sectPr w:rsidR="00075A03">
      <w:footerReference w:type="even"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FD44B" w14:textId="77777777" w:rsidR="003540D6" w:rsidRDefault="003540D6">
      <w:r>
        <w:separator/>
      </w:r>
    </w:p>
  </w:endnote>
  <w:endnote w:type="continuationSeparator" w:id="0">
    <w:p w14:paraId="6931C135" w14:textId="77777777" w:rsidR="003540D6" w:rsidRDefault="0035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1265F" w14:textId="77777777" w:rsidR="00075A03" w:rsidRDefault="00075A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19F956" w14:textId="77777777" w:rsidR="00075A03" w:rsidRDefault="00075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91AED" w14:textId="5235F035" w:rsidR="00075A03" w:rsidRDefault="00075A03">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B6504">
      <w:rPr>
        <w:rStyle w:val="PageNumber"/>
        <w:rFonts w:ascii="Times New Roman" w:hAnsi="Times New Roman"/>
        <w:noProof/>
      </w:rPr>
      <w:t>6</w:t>
    </w:r>
    <w:r>
      <w:rPr>
        <w:rStyle w:val="PageNumber"/>
        <w:rFonts w:ascii="Times New Roman" w:hAnsi="Times New Roman"/>
      </w:rPr>
      <w:fldChar w:fldCharType="end"/>
    </w:r>
  </w:p>
  <w:p w14:paraId="42BABA22" w14:textId="77777777" w:rsidR="00075A03" w:rsidRDefault="00075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98A36" w14:textId="77777777" w:rsidR="003540D6" w:rsidRDefault="003540D6">
      <w:r>
        <w:separator/>
      </w:r>
    </w:p>
  </w:footnote>
  <w:footnote w:type="continuationSeparator" w:id="0">
    <w:p w14:paraId="63E9B758" w14:textId="77777777" w:rsidR="003540D6" w:rsidRDefault="003540D6">
      <w:r>
        <w:continuationSeparator/>
      </w:r>
    </w:p>
  </w:footnote>
  <w:footnote w:id="1">
    <w:p w14:paraId="2DD0D332" w14:textId="77777777" w:rsidR="001E24ED" w:rsidRPr="001E24ED" w:rsidRDefault="001E24ED" w:rsidP="001E24ED">
      <w:pPr>
        <w:pStyle w:val="FootnoteText"/>
        <w:rPr>
          <w:rFonts w:ascii="Times New Roman" w:hAnsi="Times New Roman"/>
        </w:rPr>
      </w:pPr>
      <w:r w:rsidRPr="001E24ED">
        <w:rPr>
          <w:rStyle w:val="FootnoteReference"/>
          <w:rFonts w:ascii="Times New Roman" w:hAnsi="Times New Roman"/>
          <w:vertAlign w:val="superscript"/>
        </w:rPr>
        <w:footnoteRef/>
      </w:r>
      <w:r w:rsidRPr="001E24ED">
        <w:rPr>
          <w:rStyle w:val="FootnoteReference"/>
          <w:rFonts w:ascii="Times New Roman" w:hAnsi="Times New Roman"/>
          <w:vertAlign w:val="superscript"/>
        </w:rPr>
        <w:t xml:space="preserve"> </w:t>
      </w:r>
      <w:r w:rsidRPr="001E24ED">
        <w:rPr>
          <w:rFonts w:ascii="Times New Roman" w:hAnsi="Times New Roman"/>
        </w:rPr>
        <w:t>FFIEC Call Reports for the period ending December 31st, 2020.</w:t>
      </w:r>
    </w:p>
  </w:footnote>
  <w:footnote w:id="2">
    <w:p w14:paraId="3F42EE85" w14:textId="77777777" w:rsidR="001E24ED" w:rsidRPr="001E24ED" w:rsidRDefault="001E24ED" w:rsidP="001E24ED">
      <w:pPr>
        <w:pStyle w:val="FootnoteText"/>
        <w:rPr>
          <w:rStyle w:val="FootnoteReference"/>
          <w:rFonts w:ascii="Times New Roman" w:hAnsi="Times New Roman"/>
        </w:rPr>
      </w:pPr>
      <w:r w:rsidRPr="001E24ED">
        <w:rPr>
          <w:rStyle w:val="FootnoteReference"/>
          <w:rFonts w:ascii="Times New Roman" w:hAnsi="Times New Roman"/>
          <w:vertAlign w:val="superscript"/>
        </w:rPr>
        <w:footnoteRef/>
      </w:r>
      <w:r w:rsidRPr="001E24ED">
        <w:rPr>
          <w:rStyle w:val="FootnoteReference"/>
          <w:rFonts w:ascii="Times New Roman" w:hAnsi="Times New Roman"/>
          <w:vertAlign w:val="superscript"/>
        </w:rPr>
        <w:t xml:space="preserve"> </w:t>
      </w:r>
      <w:r w:rsidRPr="001E24ED">
        <w:rPr>
          <w:rFonts w:ascii="Times New Roman" w:hAnsi="Times New Roman"/>
        </w:rPr>
        <w:t>December</w:t>
      </w:r>
      <w:r w:rsidRPr="001E24ED">
        <w:rPr>
          <w:rStyle w:val="FootnoteReference"/>
          <w:rFonts w:ascii="Times New Roman" w:hAnsi="Times New Roman"/>
        </w:rPr>
        <w:t xml:space="preserve"> 31, 2020, Call Report data. The Small Business Administration (SBA) defines a small banking organization as having $600 million or less in assets, where an organization's “assets are determined by averaging the assets reported on its four quarterly financial statements for the preceding year.” See 13 CFR 121.201 (as amended by 84 FR 34261, effective August 19, 2019). In its determination, the “SBA counts the receipts, employees, or other measure of size of the concern whose size is at issue and all of its domestic and foreign affiliates.” See 13 CFR 121.103. Following these regulations, the FDIC uses a covered entity’s affiliated and acquired assets, averaged over the preceding four quarters, to determine whether the covered entity is “small” for the purposes of RFA.​</w:t>
      </w:r>
    </w:p>
  </w:footnote>
  <w:footnote w:id="3">
    <w:p w14:paraId="05C5377E" w14:textId="77777777" w:rsidR="001E24ED" w:rsidRDefault="001E24ED" w:rsidP="001E24ED">
      <w:pPr>
        <w:pStyle w:val="FootnoteText"/>
      </w:pPr>
      <w:r w:rsidRPr="001E24ED">
        <w:rPr>
          <w:rStyle w:val="FootnoteReference"/>
          <w:rFonts w:ascii="Times New Roman" w:hAnsi="Times New Roman"/>
          <w:vertAlign w:val="superscript"/>
        </w:rPr>
        <w:footnoteRef/>
      </w:r>
      <w:r w:rsidRPr="001E24ED">
        <w:rPr>
          <w:vertAlign w:val="superscript"/>
        </w:rPr>
        <w:t xml:space="preserve"> </w:t>
      </w:r>
      <w:r w:rsidRPr="001E24ED">
        <w:rPr>
          <w:rFonts w:ascii="Times New Roman" w:hAnsi="Times New Roman"/>
        </w:rPr>
        <w:t>The definition of troubled condition and details of what entities are</w:t>
      </w:r>
      <w:r w:rsidRPr="001E24ED">
        <w:t xml:space="preserve"> </w:t>
      </w:r>
      <w:r w:rsidRPr="001E24ED">
        <w:rPr>
          <w:rFonts w:ascii="Times New Roman" w:hAnsi="Times New Roman"/>
        </w:rPr>
        <w:t>covered is described in the final rule.</w:t>
      </w:r>
      <w:r>
        <w:t xml:space="preserve"> </w:t>
      </w:r>
    </w:p>
  </w:footnote>
  <w:footnote w:id="4">
    <w:p w14:paraId="79EE81B6" w14:textId="77777777" w:rsidR="001E24ED" w:rsidRPr="00580A1F" w:rsidRDefault="001E24ED" w:rsidP="001E24ED">
      <w:pPr>
        <w:pStyle w:val="FootnoteText"/>
        <w:rPr>
          <w:rFonts w:ascii="Times New Roman" w:hAnsi="Times New Roman"/>
        </w:rPr>
      </w:pPr>
      <w:r w:rsidRPr="00580A1F">
        <w:rPr>
          <w:rStyle w:val="FootnoteReference"/>
          <w:rFonts w:ascii="Times New Roman" w:hAnsi="Times New Roman"/>
          <w:vertAlign w:val="superscript"/>
        </w:rPr>
        <w:footnoteRef/>
      </w:r>
      <w:r w:rsidRPr="00580A1F">
        <w:rPr>
          <w:rFonts w:ascii="Times New Roman" w:hAnsi="Times New Roman"/>
        </w:rPr>
        <w:t xml:space="preserve"> See the SME analysis separately attached as “PRA 371 Internal 16 April.docx”</w:t>
      </w:r>
    </w:p>
  </w:footnote>
  <w:footnote w:id="5">
    <w:p w14:paraId="4DF31203" w14:textId="77777777" w:rsidR="001E24ED" w:rsidRPr="00580A1F" w:rsidRDefault="001E24ED" w:rsidP="001E24ED">
      <w:pPr>
        <w:pStyle w:val="FootnoteText"/>
        <w:rPr>
          <w:rFonts w:ascii="Times New Roman" w:hAnsi="Times New Roman"/>
        </w:rPr>
      </w:pPr>
      <w:r w:rsidRPr="00580A1F">
        <w:rPr>
          <w:rStyle w:val="FootnoteReference"/>
          <w:rFonts w:ascii="Times New Roman" w:hAnsi="Times New Roman"/>
          <w:vertAlign w:val="superscript"/>
        </w:rPr>
        <w:footnoteRef/>
      </w:r>
      <w:r w:rsidRPr="00580A1F">
        <w:rPr>
          <w:rFonts w:ascii="Times New Roman" w:hAnsi="Times New Roman"/>
        </w:rPr>
        <w:t xml:space="preserve"> The definitions of “Full Scope” and “Limited Scope” became effective on October 1, 2017 as part of the final rule. However, in order to calculate representative statistics for estimated respondents the SME’s applied those definitions to IDIs who received QFC Notifications in periods prior to enactment of those definitions.</w:t>
      </w:r>
    </w:p>
  </w:footnote>
  <w:footnote w:id="6">
    <w:p w14:paraId="0106D057" w14:textId="77777777" w:rsidR="001E24ED" w:rsidRPr="00580A1F" w:rsidRDefault="001E24ED" w:rsidP="001E24ED">
      <w:pPr>
        <w:pStyle w:val="FootnoteText"/>
        <w:rPr>
          <w:rFonts w:ascii="Times New Roman" w:hAnsi="Times New Roman"/>
        </w:rPr>
      </w:pPr>
      <w:r w:rsidRPr="00580A1F">
        <w:rPr>
          <w:rStyle w:val="FootnoteReference"/>
          <w:rFonts w:ascii="Times New Roman" w:hAnsi="Times New Roman"/>
          <w:vertAlign w:val="superscript"/>
        </w:rPr>
        <w:footnoteRef/>
      </w:r>
      <w:r w:rsidRPr="00580A1F">
        <w:rPr>
          <w:rFonts w:ascii="Times New Roman" w:hAnsi="Times New Roman"/>
          <w:vertAlign w:val="superscript"/>
        </w:rPr>
        <w:t xml:space="preserve"> </w:t>
      </w:r>
      <w:r w:rsidRPr="00580A1F">
        <w:rPr>
          <w:rFonts w:ascii="Times New Roman" w:hAnsi="Times New Roman"/>
        </w:rPr>
        <w:t>As of December 31, 2020.</w:t>
      </w:r>
    </w:p>
  </w:footnote>
  <w:footnote w:id="7">
    <w:p w14:paraId="7D734583" w14:textId="77777777" w:rsidR="001E24ED" w:rsidRPr="00580A1F" w:rsidRDefault="001E24ED" w:rsidP="001E24ED">
      <w:pPr>
        <w:pStyle w:val="FootnoteText"/>
        <w:rPr>
          <w:rFonts w:ascii="Times New Roman" w:hAnsi="Times New Roman"/>
        </w:rPr>
      </w:pPr>
      <w:r w:rsidRPr="00580A1F">
        <w:rPr>
          <w:rStyle w:val="FootnoteReference"/>
          <w:rFonts w:ascii="Times New Roman" w:hAnsi="Times New Roman"/>
          <w:vertAlign w:val="superscript"/>
        </w:rPr>
        <w:footnoteRef/>
      </w:r>
      <w:r w:rsidRPr="00580A1F">
        <w:rPr>
          <w:rFonts w:ascii="Times New Roman" w:hAnsi="Times New Roman"/>
        </w:rPr>
        <w:t xml:space="preserve"> The SMEs did not track status upgrades of limited scope entities for these purposes and, accordingly, the estimate of the total existing population of limited scope entities is made assuming no change in status of an institution following its first becoming subject to Part 371.</w:t>
      </w:r>
    </w:p>
  </w:footnote>
  <w:footnote w:id="8">
    <w:p w14:paraId="4A3E9D5D" w14:textId="77777777" w:rsidR="001E24ED" w:rsidRPr="00580A1F" w:rsidRDefault="001E24ED" w:rsidP="001E24ED">
      <w:pPr>
        <w:pStyle w:val="FootnoteText"/>
        <w:rPr>
          <w:rFonts w:ascii="Times New Roman" w:hAnsi="Times New Roman"/>
        </w:rPr>
      </w:pPr>
      <w:r w:rsidRPr="00580A1F">
        <w:rPr>
          <w:rStyle w:val="FootnoteReference"/>
          <w:rFonts w:ascii="Times New Roman" w:hAnsi="Times New Roman"/>
          <w:vertAlign w:val="superscript"/>
        </w:rPr>
        <w:footnoteRef/>
      </w:r>
      <w:r w:rsidRPr="00580A1F">
        <w:rPr>
          <w:rFonts w:ascii="Times New Roman" w:hAnsi="Times New Roman"/>
          <w:vertAlign w:val="superscript"/>
        </w:rPr>
        <w:t xml:space="preserve"> </w:t>
      </w:r>
      <w:r w:rsidRPr="00580A1F">
        <w:rPr>
          <w:rFonts w:ascii="Times New Roman" w:hAnsi="Times New Roman"/>
        </w:rPr>
        <w:t>As of December 31, 2020.</w:t>
      </w:r>
    </w:p>
  </w:footnote>
  <w:footnote w:id="9">
    <w:p w14:paraId="5F27D804" w14:textId="77777777" w:rsidR="00563D54" w:rsidRPr="003F1BEB" w:rsidRDefault="00563D54" w:rsidP="00563D54">
      <w:pPr>
        <w:pStyle w:val="FootnoteText"/>
        <w:rPr>
          <w:rFonts w:ascii="Times New Roman" w:hAnsi="Times New Roman"/>
        </w:rPr>
      </w:pPr>
      <w:r w:rsidRPr="003F1BEB">
        <w:rPr>
          <w:rStyle w:val="FootnoteReference"/>
          <w:rFonts w:ascii="Times New Roman" w:hAnsi="Times New Roman"/>
          <w:vertAlign w:val="superscript"/>
        </w:rPr>
        <w:footnoteRef/>
      </w:r>
      <w:r w:rsidRPr="003F1BEB">
        <w:rPr>
          <w:rFonts w:ascii="Times New Roman" w:hAnsi="Times New Roman"/>
        </w:rPr>
        <w:t xml:space="preserve"> 23.34 hours = (46 respondents * 15 hours + 5  respondents * 100 hours) /  51 total respondents</w:t>
      </w:r>
    </w:p>
  </w:footnote>
  <w:footnote w:id="10">
    <w:p w14:paraId="16970C7D" w14:textId="77777777" w:rsidR="00563D54" w:rsidRPr="003F1BEB" w:rsidRDefault="00563D54" w:rsidP="00563D54">
      <w:pPr>
        <w:pStyle w:val="FootnoteText"/>
        <w:rPr>
          <w:rFonts w:ascii="Times New Roman" w:hAnsi="Times New Roman"/>
        </w:rPr>
      </w:pPr>
      <w:r w:rsidRPr="003F1BEB">
        <w:rPr>
          <w:rStyle w:val="FootnoteReference"/>
          <w:rFonts w:ascii="Times New Roman" w:hAnsi="Times New Roman"/>
          <w:vertAlign w:val="superscript"/>
        </w:rPr>
        <w:footnoteRef/>
      </w:r>
      <w:r w:rsidRPr="003F1BEB">
        <w:rPr>
          <w:rFonts w:ascii="Times New Roman" w:hAnsi="Times New Roman"/>
          <w:vertAlign w:val="superscript"/>
        </w:rPr>
        <w:t xml:space="preserve"> </w:t>
      </w:r>
      <w:r w:rsidRPr="003F1BEB">
        <w:rPr>
          <w:rFonts w:ascii="Times New Roman" w:hAnsi="Times New Roman"/>
        </w:rPr>
        <w:t>11.56 hours = (155 respondents * 10 hours + 18 respondents * 25 hours) /  173 total respondents</w:t>
      </w:r>
    </w:p>
  </w:footnote>
  <w:footnote w:id="11">
    <w:p w14:paraId="1CEA37A4" w14:textId="6F4D51D6" w:rsidR="00F11177" w:rsidRPr="00F11177" w:rsidRDefault="00F11177" w:rsidP="00F11177">
      <w:pPr>
        <w:pStyle w:val="FootnoteText"/>
        <w:rPr>
          <w:rFonts w:ascii="Times New Roman" w:hAnsi="Times New Roman"/>
        </w:rPr>
      </w:pPr>
      <w:r w:rsidRPr="00F11177">
        <w:rPr>
          <w:rStyle w:val="FootnoteReference"/>
          <w:rFonts w:ascii="Times New Roman" w:hAnsi="Times New Roman"/>
          <w:vertAlign w:val="superscript"/>
        </w:rPr>
        <w:footnoteRef/>
      </w:r>
      <w:r w:rsidRPr="00F11177">
        <w:rPr>
          <w:rFonts w:ascii="Times New Roman" w:hAnsi="Times New Roman"/>
        </w:rPr>
        <w:t xml:space="preserve"> T</w:t>
      </w:r>
      <w:r w:rsidR="009B6504">
        <w:rPr>
          <w:rFonts w:ascii="Times New Roman" w:hAnsi="Times New Roman"/>
        </w:rPr>
        <w:t>he FDIC</w:t>
      </w:r>
      <w:r w:rsidRPr="00F11177">
        <w:rPr>
          <w:rFonts w:ascii="Times New Roman" w:hAnsi="Times New Roman"/>
        </w:rPr>
        <w:t xml:space="preserve"> did not have information sufficient to allocate labor hours and</w:t>
      </w:r>
      <w:r w:rsidR="009B6504">
        <w:rPr>
          <w:rFonts w:ascii="Times New Roman" w:hAnsi="Times New Roman"/>
        </w:rPr>
        <w:t>, accordingly, it has assumed that</w:t>
      </w:r>
      <w:r w:rsidRPr="00F11177">
        <w:rPr>
          <w:rFonts w:ascii="Times New Roman" w:hAnsi="Times New Roman"/>
        </w:rPr>
        <w:t xml:space="preserve"> an even allocation among the </w:t>
      </w:r>
      <w:r w:rsidR="009B6504">
        <w:rPr>
          <w:rFonts w:ascii="Times New Roman" w:hAnsi="Times New Roman"/>
        </w:rPr>
        <w:t>listed occupations would be appropriate</w:t>
      </w:r>
      <w:bookmarkStart w:id="0" w:name="_GoBack"/>
      <w:bookmarkEnd w:id="0"/>
      <w:r w:rsidRPr="00F11177">
        <w:rPr>
          <w:rFonts w:ascii="Times New Roman" w:hAnsi="Times New Roman"/>
        </w:rPr>
        <w:t>.</w:t>
      </w:r>
    </w:p>
  </w:footnote>
  <w:footnote w:id="12">
    <w:p w14:paraId="60655336" w14:textId="77777777" w:rsidR="00F11177" w:rsidRPr="00F11177" w:rsidRDefault="00F11177" w:rsidP="00F11177">
      <w:pPr>
        <w:pStyle w:val="FootnoteText"/>
        <w:rPr>
          <w:rFonts w:ascii="Times New Roman" w:hAnsi="Times New Roman"/>
          <w:szCs w:val="18"/>
        </w:rPr>
      </w:pPr>
      <w:r w:rsidRPr="00F11177">
        <w:rPr>
          <w:rStyle w:val="FootnoteReference"/>
          <w:rFonts w:ascii="Times New Roman" w:hAnsi="Times New Roman"/>
          <w:szCs w:val="18"/>
          <w:vertAlign w:val="superscript"/>
        </w:rPr>
        <w:footnoteRef/>
      </w:r>
      <w:r w:rsidRPr="00F11177">
        <w:rPr>
          <w:rFonts w:ascii="Times New Roman" w:hAnsi="Times New Roman"/>
          <w:szCs w:val="18"/>
        </w:rPr>
        <w:t xml:space="preserve"> Occupation (SOC Code): Management Occupations (110000).</w:t>
      </w:r>
    </w:p>
  </w:footnote>
  <w:footnote w:id="13">
    <w:p w14:paraId="2A362725" w14:textId="77777777" w:rsidR="00F11177" w:rsidRPr="00F11177" w:rsidRDefault="00F11177" w:rsidP="00F11177">
      <w:pPr>
        <w:pStyle w:val="FootnoteText"/>
        <w:rPr>
          <w:rFonts w:ascii="Times New Roman" w:hAnsi="Times New Roman"/>
          <w:szCs w:val="18"/>
        </w:rPr>
      </w:pPr>
      <w:r w:rsidRPr="00F11177">
        <w:rPr>
          <w:rStyle w:val="FootnoteReference"/>
          <w:rFonts w:ascii="Times New Roman" w:hAnsi="Times New Roman"/>
          <w:szCs w:val="18"/>
          <w:vertAlign w:val="superscript"/>
        </w:rPr>
        <w:footnoteRef/>
      </w:r>
      <w:r w:rsidRPr="00F11177">
        <w:rPr>
          <w:rFonts w:ascii="Times New Roman" w:hAnsi="Times New Roman"/>
          <w:szCs w:val="18"/>
        </w:rPr>
        <w:t xml:space="preserve"> </w:t>
      </w:r>
      <w:r w:rsidRPr="00F11177">
        <w:rPr>
          <w:rFonts w:ascii="Times New Roman" w:hAnsi="Times New Roman"/>
          <w:szCs w:val="18"/>
          <w:shd w:val="clear" w:color="auto" w:fill="FFFFFF"/>
        </w:rPr>
        <w:t>Occupation (SOC Code): Legal Occupations (230000).</w:t>
      </w:r>
    </w:p>
  </w:footnote>
  <w:footnote w:id="14">
    <w:p w14:paraId="7A8878D3" w14:textId="77777777" w:rsidR="00F11177" w:rsidRPr="00F11177" w:rsidRDefault="00F11177" w:rsidP="00F11177">
      <w:pPr>
        <w:pStyle w:val="FootnoteText"/>
        <w:rPr>
          <w:rFonts w:ascii="Times New Roman" w:hAnsi="Times New Roman"/>
          <w:szCs w:val="18"/>
        </w:rPr>
      </w:pPr>
      <w:r w:rsidRPr="00F11177">
        <w:rPr>
          <w:rStyle w:val="FootnoteReference"/>
          <w:rFonts w:ascii="Times New Roman" w:hAnsi="Times New Roman"/>
          <w:szCs w:val="18"/>
          <w:vertAlign w:val="superscript"/>
        </w:rPr>
        <w:footnoteRef/>
      </w:r>
      <w:r w:rsidRPr="00F11177">
        <w:rPr>
          <w:rFonts w:ascii="Times New Roman" w:hAnsi="Times New Roman"/>
          <w:szCs w:val="18"/>
        </w:rPr>
        <w:t xml:space="preserve"> Occupation (SOC Code): Compliance Officers (131040). </w:t>
      </w:r>
    </w:p>
  </w:footnote>
  <w:footnote w:id="15">
    <w:p w14:paraId="6090344E" w14:textId="77777777" w:rsidR="00F11177" w:rsidRPr="00F11177" w:rsidRDefault="00F11177" w:rsidP="00F11177">
      <w:pPr>
        <w:pStyle w:val="FootnoteText"/>
        <w:rPr>
          <w:rFonts w:ascii="Times New Roman" w:hAnsi="Times New Roman"/>
          <w:szCs w:val="18"/>
        </w:rPr>
      </w:pPr>
      <w:r w:rsidRPr="00F11177">
        <w:rPr>
          <w:rStyle w:val="FootnoteReference"/>
          <w:rFonts w:ascii="Times New Roman" w:hAnsi="Times New Roman"/>
          <w:szCs w:val="18"/>
          <w:vertAlign w:val="superscript"/>
        </w:rPr>
        <w:footnoteRef/>
      </w:r>
      <w:r w:rsidRPr="00F11177">
        <w:rPr>
          <w:rFonts w:ascii="Times New Roman" w:hAnsi="Times New Roman"/>
          <w:szCs w:val="18"/>
        </w:rPr>
        <w:t xml:space="preserve"> </w:t>
      </w:r>
      <w:r w:rsidRPr="00F11177">
        <w:rPr>
          <w:rFonts w:ascii="Times New Roman" w:hAnsi="Times New Roman"/>
          <w:szCs w:val="18"/>
          <w:shd w:val="clear" w:color="auto" w:fill="FFFFFF"/>
        </w:rPr>
        <w:t>Occupation (SOC Code): Computer and Mathematical Occupations (150000).</w:t>
      </w:r>
    </w:p>
  </w:footnote>
  <w:footnote w:id="16">
    <w:p w14:paraId="173385B5" w14:textId="77777777" w:rsidR="00F11177" w:rsidRPr="00F11177" w:rsidRDefault="00F11177" w:rsidP="00F11177">
      <w:pPr>
        <w:pStyle w:val="FootnoteText"/>
        <w:rPr>
          <w:rFonts w:ascii="Times New Roman" w:hAnsi="Times New Roman"/>
          <w:szCs w:val="18"/>
        </w:rPr>
      </w:pPr>
      <w:r w:rsidRPr="00F11177">
        <w:rPr>
          <w:rStyle w:val="FootnoteReference"/>
          <w:rFonts w:ascii="Times New Roman" w:hAnsi="Times New Roman"/>
          <w:szCs w:val="18"/>
          <w:vertAlign w:val="superscript"/>
        </w:rPr>
        <w:footnoteRef/>
      </w:r>
      <w:r w:rsidRPr="00F11177">
        <w:rPr>
          <w:rFonts w:ascii="Times New Roman" w:hAnsi="Times New Roman"/>
          <w:szCs w:val="18"/>
        </w:rPr>
        <w:t xml:space="preserve"> Occupation (SOC Code): Financial and Investment Analysts, Financial Risk Specialists, and Financial Specialists, All Other (132098).</w:t>
      </w:r>
    </w:p>
  </w:footnote>
  <w:footnote w:id="17">
    <w:p w14:paraId="2E9D1D6A" w14:textId="77777777" w:rsidR="00F11177" w:rsidRDefault="00F11177" w:rsidP="00F11177">
      <w:pPr>
        <w:pStyle w:val="FootnoteText"/>
        <w:rPr>
          <w:szCs w:val="18"/>
        </w:rPr>
      </w:pPr>
      <w:r w:rsidRPr="00F11177">
        <w:rPr>
          <w:rStyle w:val="FootnoteReference"/>
          <w:rFonts w:ascii="Times New Roman" w:hAnsi="Times New Roman"/>
          <w:szCs w:val="18"/>
          <w:vertAlign w:val="superscript"/>
        </w:rPr>
        <w:footnoteRef/>
      </w:r>
      <w:r w:rsidRPr="00F11177">
        <w:rPr>
          <w:rFonts w:ascii="Times New Roman" w:hAnsi="Times New Roman"/>
          <w:szCs w:val="18"/>
        </w:rPr>
        <w:t xml:space="preserve"> Occupation (SOC Code): Office and Administrative Support Occupations (430000).</w:t>
      </w:r>
    </w:p>
  </w:footnote>
  <w:footnote w:id="18">
    <w:p w14:paraId="252E3851" w14:textId="68ACE1DB" w:rsidR="000172B6" w:rsidRPr="000172B6" w:rsidRDefault="000172B6">
      <w:pPr>
        <w:pStyle w:val="FootnoteText"/>
        <w:rPr>
          <w:rFonts w:ascii="Times New Roman" w:hAnsi="Times New Roman"/>
        </w:rPr>
      </w:pPr>
      <w:r w:rsidRPr="000172B6">
        <w:rPr>
          <w:rStyle w:val="FootnoteReference"/>
          <w:rFonts w:ascii="Times New Roman" w:hAnsi="Times New Roman"/>
          <w:vertAlign w:val="superscript"/>
        </w:rPr>
        <w:footnoteRef/>
      </w:r>
      <w:r w:rsidRPr="000172B6">
        <w:rPr>
          <w:rFonts w:ascii="Times New Roman" w:hAnsi="Times New Roman"/>
        </w:rPr>
        <w:t xml:space="preserve"> </w:t>
      </w:r>
      <w:r>
        <w:rPr>
          <w:rFonts w:ascii="Times New Roman" w:hAnsi="Times New Roman"/>
          <w:color w:val="000000"/>
        </w:rPr>
        <w:t>10</w:t>
      </w:r>
      <w:r w:rsidRPr="00F11177">
        <w:rPr>
          <w:rFonts w:ascii="Times New Roman" w:hAnsi="Times New Roman"/>
          <w:color w:val="000000"/>
        </w:rPr>
        <w:t>,</w:t>
      </w:r>
      <w:r w:rsidRPr="000172B6">
        <w:rPr>
          <w:rFonts w:ascii="Times New Roman" w:hAnsi="Times New Roman"/>
          <w:color w:val="000000"/>
        </w:rPr>
        <w:t>250</w:t>
      </w:r>
      <w:r w:rsidRPr="00F11177">
        <w:rPr>
          <w:rFonts w:ascii="Times New Roman" w:hAnsi="Times New Roman"/>
          <w:color w:val="000000"/>
        </w:rPr>
        <w:t xml:space="preserve"> </w:t>
      </w:r>
      <w:r w:rsidRPr="000172B6">
        <w:rPr>
          <w:rFonts w:ascii="Times New Roman" w:eastAsia="Source Sans Pro" w:hAnsi="Times New Roman"/>
          <w:lang w:bidi="en-US"/>
        </w:rPr>
        <w:t>hours / year multiplied by</w:t>
      </w:r>
      <w:r w:rsidRPr="00F11177">
        <w:rPr>
          <w:rFonts w:ascii="Times New Roman" w:eastAsia="Source Sans Pro" w:hAnsi="Times New Roman"/>
          <w:lang w:bidi="en-US"/>
        </w:rPr>
        <w:t xml:space="preserve"> $91.21 / hour = $9</w:t>
      </w:r>
      <w:r w:rsidRPr="000172B6">
        <w:rPr>
          <w:rFonts w:ascii="Times New Roman" w:eastAsia="Source Sans Pro" w:hAnsi="Times New Roman"/>
          <w:lang w:bidi="en-US"/>
        </w:rPr>
        <w:t>34,902.05</w:t>
      </w:r>
      <w:r w:rsidRPr="00F11177">
        <w:rPr>
          <w:rFonts w:ascii="Times New Roman" w:eastAsia="Source Sans Pro" w:hAnsi="Times New Roman"/>
          <w:lang w:bidi="en-US"/>
        </w:rPr>
        <w:t xml:space="preserve"> per year</w:t>
      </w:r>
      <w:r w:rsidRPr="00F11177">
        <w:rPr>
          <w:rFonts w:ascii="Times New Roman" w:eastAsia="Source Sans Pro" w:hAnsi="Times New Roman"/>
          <w:sz w:val="24"/>
          <w:szCs w:val="24"/>
          <w:lang w:bidi="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1276A36"/>
    <w:multiLevelType w:val="hybridMultilevel"/>
    <w:tmpl w:val="D762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9124418"/>
    <w:multiLevelType w:val="hybridMultilevel"/>
    <w:tmpl w:val="0E8A13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BE36426"/>
    <w:multiLevelType w:val="hybridMultilevel"/>
    <w:tmpl w:val="F7145AC0"/>
    <w:lvl w:ilvl="0" w:tplc="1BBA3698">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8" w15:restartNumberingAfterBreak="0">
    <w:nsid w:val="739330B2"/>
    <w:multiLevelType w:val="hybridMultilevel"/>
    <w:tmpl w:val="AA1CA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EE0E8E"/>
    <w:multiLevelType w:val="hybridMultilevel"/>
    <w:tmpl w:val="74265CE0"/>
    <w:lvl w:ilvl="0" w:tplc="4792FE10">
      <w:start w:val="1"/>
      <w:numFmt w:val="decimal"/>
      <w:lvlText w:val="%1."/>
      <w:lvlJc w:val="left"/>
      <w:pPr>
        <w:ind w:left="720" w:firstLine="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0"/>
  </w:num>
  <w:num w:numId="5">
    <w:abstractNumId w:val="9"/>
  </w:num>
  <w:num w:numId="6">
    <w:abstractNumId w:val="4"/>
  </w:num>
  <w:num w:numId="7">
    <w:abstractNumId w:val="2"/>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01E"/>
    <w:rsid w:val="000172B6"/>
    <w:rsid w:val="000247CE"/>
    <w:rsid w:val="00075A03"/>
    <w:rsid w:val="0019782C"/>
    <w:rsid w:val="001A1972"/>
    <w:rsid w:val="001D301E"/>
    <w:rsid w:val="001E24ED"/>
    <w:rsid w:val="001F0249"/>
    <w:rsid w:val="0029762B"/>
    <w:rsid w:val="00297C0A"/>
    <w:rsid w:val="003436A1"/>
    <w:rsid w:val="003540D6"/>
    <w:rsid w:val="003C5CB2"/>
    <w:rsid w:val="003F1BEB"/>
    <w:rsid w:val="00424F18"/>
    <w:rsid w:val="00444438"/>
    <w:rsid w:val="004510A8"/>
    <w:rsid w:val="00480AA1"/>
    <w:rsid w:val="0052652C"/>
    <w:rsid w:val="00563D54"/>
    <w:rsid w:val="00580A1F"/>
    <w:rsid w:val="00590F1E"/>
    <w:rsid w:val="005D6CE1"/>
    <w:rsid w:val="00600EF6"/>
    <w:rsid w:val="006849FE"/>
    <w:rsid w:val="006D57BC"/>
    <w:rsid w:val="006E0066"/>
    <w:rsid w:val="0070148F"/>
    <w:rsid w:val="00714F75"/>
    <w:rsid w:val="0072414E"/>
    <w:rsid w:val="00732394"/>
    <w:rsid w:val="00735F23"/>
    <w:rsid w:val="007E2293"/>
    <w:rsid w:val="00852CF8"/>
    <w:rsid w:val="0086580D"/>
    <w:rsid w:val="00873DB0"/>
    <w:rsid w:val="00930D3A"/>
    <w:rsid w:val="0093247E"/>
    <w:rsid w:val="009B6504"/>
    <w:rsid w:val="009D3A48"/>
    <w:rsid w:val="00A32A94"/>
    <w:rsid w:val="00A36991"/>
    <w:rsid w:val="00A46C0C"/>
    <w:rsid w:val="00AB19B9"/>
    <w:rsid w:val="00AB4DF7"/>
    <w:rsid w:val="00AC0954"/>
    <w:rsid w:val="00AF78CB"/>
    <w:rsid w:val="00B31898"/>
    <w:rsid w:val="00C01538"/>
    <w:rsid w:val="00C66C49"/>
    <w:rsid w:val="00C96466"/>
    <w:rsid w:val="00CF4999"/>
    <w:rsid w:val="00D52AF3"/>
    <w:rsid w:val="00D651B7"/>
    <w:rsid w:val="00D86601"/>
    <w:rsid w:val="00DA0D05"/>
    <w:rsid w:val="00DB1281"/>
    <w:rsid w:val="00DB1DE8"/>
    <w:rsid w:val="00DD6CAB"/>
    <w:rsid w:val="00DF4B44"/>
    <w:rsid w:val="00E0181A"/>
    <w:rsid w:val="00E40C97"/>
    <w:rsid w:val="00E46B89"/>
    <w:rsid w:val="00E65725"/>
    <w:rsid w:val="00E74EC2"/>
    <w:rsid w:val="00E91C26"/>
    <w:rsid w:val="00ED0D67"/>
    <w:rsid w:val="00ED435D"/>
    <w:rsid w:val="00EF3F9E"/>
    <w:rsid w:val="00F11177"/>
    <w:rsid w:val="00F955C2"/>
    <w:rsid w:val="00FE4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E8242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aliases w:val="ft"/>
    <w:basedOn w:val="Normal"/>
    <w:link w:val="FootnoteTextChar"/>
    <w:semiHidden/>
    <w:pPr>
      <w:autoSpaceDE w:val="0"/>
      <w:autoSpaceDN w:val="0"/>
      <w:adjustRightInd w:val="0"/>
    </w:pPr>
    <w:rPr>
      <w:rFonts w:ascii="CourierPS" w:hAnsi="CourierPS"/>
      <w:snapToGrid/>
      <w:sz w:val="20"/>
    </w:rPr>
  </w:style>
  <w:style w:type="paragraph" w:styleId="BodyText">
    <w:name w:val="Body Text"/>
    <w:basedOn w:val="Normal"/>
    <w:link w:val="BodyTextChar"/>
    <w:pPr>
      <w:widowControl/>
    </w:pPr>
    <w:rPr>
      <w:rFonts w:ascii="Times New Roman" w:hAnsi="Times New Roman"/>
      <w:i/>
      <w:iCs/>
      <w:snapToGrid/>
    </w:rPr>
  </w:style>
  <w:style w:type="character" w:customStyle="1" w:styleId="BodyTextChar">
    <w:name w:val="Body Text Char"/>
    <w:link w:val="BodyText"/>
    <w:semiHidden/>
    <w:locked/>
    <w:rPr>
      <w:i/>
      <w:iCs/>
      <w:sz w:val="24"/>
      <w:lang w:val="en-US" w:eastAsia="en-US" w:bidi="ar-SA"/>
    </w:rPr>
  </w:style>
  <w:style w:type="character" w:customStyle="1" w:styleId="documentbody1">
    <w:name w:val="documentbody1"/>
    <w:rPr>
      <w:rFonts w:ascii="Verdana" w:hAnsi="Verdana" w:cs="Times New Roman"/>
      <w:sz w:val="19"/>
      <w:szCs w:val="19"/>
    </w:rPr>
  </w:style>
  <w:style w:type="paragraph" w:customStyle="1" w:styleId="DoubleSpace">
    <w:name w:val="Double Space"/>
    <w:basedOn w:val="Normal"/>
    <w:pPr>
      <w:widowControl/>
      <w:spacing w:line="480" w:lineRule="auto"/>
    </w:pPr>
    <w:rPr>
      <w:rFonts w:ascii="CG Times" w:hAnsi="CG Times"/>
      <w:snapToGrid/>
    </w:rPr>
  </w:style>
  <w:style w:type="paragraph" w:styleId="ListParagraph">
    <w:name w:val="List Paragraph"/>
    <w:basedOn w:val="Normal"/>
    <w:qFormat/>
    <w:pPr>
      <w:widowControl/>
      <w:spacing w:after="200" w:line="276" w:lineRule="auto"/>
      <w:ind w:left="720"/>
      <w:contextualSpacing/>
    </w:pPr>
    <w:rPr>
      <w:rFonts w:ascii="Calibri" w:hAnsi="Calibri"/>
      <w:snapToGrid/>
      <w:sz w:val="22"/>
      <w:szCs w:val="22"/>
    </w:rPr>
  </w:style>
  <w:style w:type="paragraph" w:customStyle="1" w:styleId="doublespace0">
    <w:name w:val="doublespace"/>
    <w:basedOn w:val="Normal"/>
    <w:pPr>
      <w:widowControl/>
      <w:spacing w:before="100" w:beforeAutospacing="1" w:after="100" w:afterAutospacing="1"/>
    </w:pPr>
    <w:rPr>
      <w:rFonts w:ascii="Times New Roman" w:hAnsi="Times New Roman"/>
      <w:snapToGrid/>
      <w:szCs w:val="24"/>
    </w:rPr>
  </w:style>
  <w:style w:type="character" w:customStyle="1" w:styleId="FootnoteTextChar">
    <w:name w:val="Footnote Text Char"/>
    <w:aliases w:val="ft Char"/>
    <w:link w:val="FootnoteText"/>
    <w:locked/>
    <w:rPr>
      <w:rFonts w:ascii="CourierPS" w:hAnsi="CourierPS"/>
      <w:lang w:val="en-US" w:eastAsia="en-US" w:bidi="ar-SA"/>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pPr>
      <w:widowControl/>
    </w:pPr>
    <w:rPr>
      <w:rFonts w:ascii="Times New Roman" w:eastAsia="Calibri" w:hAnsi="Times New Roman"/>
      <w:snapToGrid/>
      <w:sz w:val="20"/>
    </w:rPr>
  </w:style>
  <w:style w:type="character" w:customStyle="1" w:styleId="CommentTextChar">
    <w:name w:val="Comment Text Char"/>
    <w:link w:val="CommentText"/>
    <w:semiHidden/>
    <w:locked/>
    <w:rPr>
      <w:rFonts w:eastAsia="Calibri"/>
      <w:lang w:val="en-US" w:eastAsia="en-US" w:bidi="ar-SA"/>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CharChar">
    <w:name w:val="ft Char Char"/>
    <w:rPr>
      <w:lang w:val="en-US" w:eastAsia="en-US" w:bidi="ar-SA"/>
    </w:rPr>
  </w:style>
  <w:style w:type="character" w:styleId="Strong">
    <w:name w:val="Strong"/>
    <w:qFormat/>
    <w:rPr>
      <w:b/>
      <w:bCs/>
    </w:rPr>
  </w:style>
  <w:style w:type="paragraph" w:styleId="CommentSubject">
    <w:name w:val="annotation subject"/>
    <w:basedOn w:val="CommentText"/>
    <w:next w:val="CommentText"/>
    <w:semiHidden/>
    <w:pPr>
      <w:widowControl w:val="0"/>
    </w:pPr>
    <w:rPr>
      <w:rFonts w:ascii="Courier" w:eastAsia="Times New Roman" w:hAnsi="Courier"/>
      <w:b/>
      <w:bCs/>
      <w:snapToGrid w:val="0"/>
    </w:rPr>
  </w:style>
  <w:style w:type="paragraph" w:styleId="BodyTextIndent">
    <w:name w:val="Body Text Indent"/>
    <w:basedOn w:val="Normal"/>
    <w:link w:val="BodyTextIndentChar"/>
    <w:rsid w:val="00600EF6"/>
    <w:pPr>
      <w:spacing w:after="120"/>
      <w:ind w:left="360"/>
    </w:pPr>
  </w:style>
  <w:style w:type="character" w:customStyle="1" w:styleId="BodyTextIndentChar">
    <w:name w:val="Body Text Indent Char"/>
    <w:basedOn w:val="DefaultParagraphFont"/>
    <w:link w:val="BodyTextIndent"/>
    <w:rsid w:val="00600EF6"/>
    <w:rPr>
      <w:rFonts w:ascii="Courier" w:hAnsi="Courier"/>
      <w:snapToGrid w:val="0"/>
      <w:sz w:val="24"/>
    </w:rPr>
  </w:style>
  <w:style w:type="character" w:styleId="Hyperlink">
    <w:name w:val="Hyperlink"/>
    <w:basedOn w:val="DefaultParagraphFont"/>
    <w:uiPriority w:val="99"/>
    <w:unhideWhenUsed/>
    <w:rsid w:val="00AB19B9"/>
    <w:rPr>
      <w:color w:val="0000FF"/>
      <w:u w:val="single"/>
    </w:rPr>
  </w:style>
  <w:style w:type="table" w:customStyle="1" w:styleId="TableGrid1">
    <w:name w:val="Table Grid1"/>
    <w:basedOn w:val="TableNormal"/>
    <w:next w:val="TableGrid"/>
    <w:uiPriority w:val="39"/>
    <w:rsid w:val="00F11177"/>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282168">
      <w:bodyDiv w:val="1"/>
      <w:marLeft w:val="0"/>
      <w:marRight w:val="0"/>
      <w:marTop w:val="0"/>
      <w:marBottom w:val="0"/>
      <w:divBdr>
        <w:top w:val="none" w:sz="0" w:space="0" w:color="auto"/>
        <w:left w:val="none" w:sz="0" w:space="0" w:color="auto"/>
        <w:bottom w:val="none" w:sz="0" w:space="0" w:color="auto"/>
        <w:right w:val="none" w:sz="0" w:space="0" w:color="auto"/>
      </w:divBdr>
    </w:div>
    <w:div w:id="695616512">
      <w:bodyDiv w:val="1"/>
      <w:marLeft w:val="0"/>
      <w:marRight w:val="0"/>
      <w:marTop w:val="0"/>
      <w:marBottom w:val="0"/>
      <w:divBdr>
        <w:top w:val="none" w:sz="0" w:space="0" w:color="auto"/>
        <w:left w:val="none" w:sz="0" w:space="0" w:color="auto"/>
        <w:bottom w:val="none" w:sz="0" w:space="0" w:color="auto"/>
        <w:right w:val="none" w:sz="0" w:space="0" w:color="auto"/>
      </w:divBdr>
      <w:divsChild>
        <w:div w:id="60950620">
          <w:marLeft w:val="0"/>
          <w:marRight w:val="0"/>
          <w:marTop w:val="0"/>
          <w:marBottom w:val="0"/>
          <w:divBdr>
            <w:top w:val="none" w:sz="0" w:space="0" w:color="auto"/>
            <w:left w:val="none" w:sz="0" w:space="0" w:color="auto"/>
            <w:bottom w:val="none" w:sz="0" w:space="0" w:color="auto"/>
            <w:right w:val="none" w:sz="0" w:space="0" w:color="auto"/>
          </w:divBdr>
        </w:div>
      </w:divsChild>
    </w:div>
    <w:div w:id="1006518217">
      <w:bodyDiv w:val="1"/>
      <w:marLeft w:val="0"/>
      <w:marRight w:val="0"/>
      <w:marTop w:val="0"/>
      <w:marBottom w:val="0"/>
      <w:divBdr>
        <w:top w:val="none" w:sz="0" w:space="0" w:color="auto"/>
        <w:left w:val="none" w:sz="0" w:space="0" w:color="auto"/>
        <w:bottom w:val="none" w:sz="0" w:space="0" w:color="auto"/>
        <w:right w:val="none" w:sz="0" w:space="0" w:color="auto"/>
      </w:divBdr>
    </w:div>
    <w:div w:id="19217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6F1A4-6893-4E0D-8981-7BB752FF6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2601</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2021-04-19T14:03:00Z</dcterms:created>
  <dcterms:modified xsi:type="dcterms:W3CDTF">2021-04-21T16:08:00Z</dcterms:modified>
</cp:coreProperties>
</file>