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762B" w:rsidR="00075A03" w:rsidRDefault="00075A03" w14:paraId="58BF382B" w14:textId="77777777">
      <w:pPr>
        <w:jc w:val="center"/>
        <w:rPr>
          <w:rFonts w:ascii="Times New Roman" w:hAnsi="Times New Roman"/>
          <w:b/>
          <w:bCs/>
          <w:sz w:val="32"/>
          <w:szCs w:val="32"/>
        </w:rPr>
      </w:pPr>
      <w:r w:rsidRPr="0029762B">
        <w:rPr>
          <w:rFonts w:ascii="Times New Roman" w:hAnsi="Times New Roman"/>
          <w:b/>
          <w:bCs/>
          <w:sz w:val="32"/>
          <w:szCs w:val="32"/>
        </w:rPr>
        <w:t>Supporting Statement</w:t>
      </w:r>
    </w:p>
    <w:p w:rsidRPr="00AD621A" w:rsidR="00AD621A" w:rsidP="00AD621A" w:rsidRDefault="00AD621A" w14:paraId="2CA803D2" w14:textId="0A442B67">
      <w:pPr>
        <w:jc w:val="center"/>
        <w:outlineLvl w:val="0"/>
        <w:rPr>
          <w:rFonts w:ascii="Times New Roman" w:hAnsi="Times New Roman"/>
          <w:b/>
          <w:bCs/>
          <w:sz w:val="32"/>
          <w:szCs w:val="32"/>
        </w:rPr>
      </w:pPr>
      <w:r w:rsidRPr="00AD621A">
        <w:rPr>
          <w:rFonts w:ascii="Times New Roman" w:hAnsi="Times New Roman"/>
          <w:b/>
          <w:bCs/>
          <w:sz w:val="32"/>
          <w:szCs w:val="32"/>
        </w:rPr>
        <w:t xml:space="preserve">Restrictions on Qualified Financial Contracts of Subsidiaries of </w:t>
      </w:r>
      <w:r>
        <w:rPr>
          <w:rFonts w:ascii="Times New Roman" w:hAnsi="Times New Roman"/>
          <w:b/>
          <w:bCs/>
          <w:sz w:val="32"/>
          <w:szCs w:val="32"/>
        </w:rPr>
        <w:t>C</w:t>
      </w:r>
      <w:r w:rsidRPr="00AD621A">
        <w:rPr>
          <w:rFonts w:ascii="Times New Roman" w:hAnsi="Times New Roman"/>
          <w:b/>
          <w:bCs/>
          <w:sz w:val="32"/>
          <w:szCs w:val="32"/>
        </w:rPr>
        <w:t>ertain FDIC-Supervised Institutions; Revisions to the Definition of Qualifying Master Netting Agreement and Related Definitions</w:t>
      </w:r>
    </w:p>
    <w:p w:rsidRPr="0029762B" w:rsidR="00075A03" w:rsidRDefault="00075A03" w14:paraId="752484D7" w14:textId="2A8A1703">
      <w:pPr>
        <w:jc w:val="center"/>
        <w:outlineLvl w:val="0"/>
        <w:rPr>
          <w:rFonts w:ascii="Times New Roman" w:hAnsi="Times New Roman"/>
          <w:b/>
          <w:bCs/>
          <w:sz w:val="32"/>
          <w:szCs w:val="32"/>
        </w:rPr>
      </w:pPr>
      <w:r w:rsidRPr="0029762B">
        <w:rPr>
          <w:rFonts w:ascii="Times New Roman" w:hAnsi="Times New Roman"/>
          <w:b/>
          <w:bCs/>
          <w:sz w:val="32"/>
          <w:szCs w:val="32"/>
        </w:rPr>
        <w:t>OMB Control No. 3064-</w:t>
      </w:r>
      <w:r w:rsidR="00AD621A">
        <w:rPr>
          <w:rFonts w:ascii="Times New Roman" w:hAnsi="Times New Roman"/>
          <w:b/>
          <w:bCs/>
          <w:sz w:val="32"/>
          <w:szCs w:val="32"/>
        </w:rPr>
        <w:t>0208</w:t>
      </w:r>
    </w:p>
    <w:p w:rsidR="00075A03" w:rsidRDefault="00075A03" w14:paraId="150927AA" w14:textId="77777777">
      <w:pPr>
        <w:jc w:val="center"/>
        <w:outlineLvl w:val="0"/>
        <w:rPr>
          <w:rFonts w:ascii="Times New Roman" w:hAnsi="Times New Roman"/>
          <w:b/>
          <w:bCs/>
          <w:szCs w:val="24"/>
        </w:rPr>
      </w:pPr>
    </w:p>
    <w:p w:rsidR="00075A03" w:rsidRDefault="00075A03" w14:paraId="1B436C77" w14:textId="77777777">
      <w:pPr>
        <w:rPr>
          <w:rFonts w:ascii="Times New Roman" w:hAnsi="Times New Roman"/>
          <w:szCs w:val="24"/>
        </w:rPr>
      </w:pPr>
    </w:p>
    <w:p w:rsidR="00075A03" w:rsidRDefault="00075A03" w14:paraId="04A4E48E" w14:textId="77777777">
      <w:pPr>
        <w:tabs>
          <w:tab w:val="left" w:pos="-1440"/>
        </w:tabs>
        <w:ind w:left="720" w:hanging="720"/>
        <w:outlineLvl w:val="0"/>
        <w:rPr>
          <w:rFonts w:ascii="Times New Roman" w:hAnsi="Times New Roman"/>
          <w:szCs w:val="24"/>
          <w:u w:val="single"/>
        </w:rPr>
      </w:pPr>
      <w:r>
        <w:rPr>
          <w:rFonts w:ascii="Times New Roman" w:hAnsi="Times New Roman"/>
          <w:szCs w:val="24"/>
          <w:u w:val="single"/>
        </w:rPr>
        <w:t>Introduction</w:t>
      </w:r>
    </w:p>
    <w:p w:rsidR="00075A03" w:rsidRDefault="00075A03" w14:paraId="44E0CE76" w14:textId="77777777">
      <w:pPr>
        <w:tabs>
          <w:tab w:val="left" w:pos="-1440"/>
        </w:tabs>
        <w:ind w:left="720" w:hanging="720"/>
        <w:outlineLvl w:val="0"/>
        <w:rPr>
          <w:rFonts w:ascii="Times New Roman" w:hAnsi="Times New Roman"/>
          <w:szCs w:val="24"/>
          <w:u w:val="single"/>
        </w:rPr>
      </w:pPr>
    </w:p>
    <w:p w:rsidR="00075A03" w:rsidRDefault="00075A03" w14:paraId="7F5D6B84" w14:textId="3E0908C6">
      <w:pPr>
        <w:tabs>
          <w:tab w:val="left" w:pos="-1440"/>
        </w:tabs>
        <w:outlineLvl w:val="0"/>
        <w:rPr>
          <w:rFonts w:ascii="Times New Roman" w:hAnsi="Times New Roman"/>
          <w:szCs w:val="24"/>
        </w:rPr>
      </w:pPr>
      <w:r>
        <w:rPr>
          <w:rFonts w:ascii="Times New Roman" w:hAnsi="Times New Roman"/>
          <w:szCs w:val="24"/>
        </w:rPr>
        <w:t xml:space="preserve">The FDIC is requesting OMB approval </w:t>
      </w:r>
      <w:r w:rsidR="00D52AF3">
        <w:rPr>
          <w:rFonts w:ascii="Times New Roman" w:hAnsi="Times New Roman"/>
          <w:szCs w:val="24"/>
        </w:rPr>
        <w:t xml:space="preserve">of an extension, </w:t>
      </w:r>
      <w:r w:rsidR="003E51EB">
        <w:rPr>
          <w:rFonts w:ascii="Times New Roman" w:hAnsi="Times New Roman"/>
          <w:szCs w:val="24"/>
        </w:rPr>
        <w:t>with revisions</w:t>
      </w:r>
      <w:r w:rsidR="00D52AF3">
        <w:rPr>
          <w:rFonts w:ascii="Times New Roman" w:hAnsi="Times New Roman"/>
          <w:szCs w:val="24"/>
        </w:rPr>
        <w:t>, of</w:t>
      </w:r>
      <w:r w:rsidR="00E91C26">
        <w:rPr>
          <w:rFonts w:ascii="Times New Roman" w:hAnsi="Times New Roman"/>
          <w:szCs w:val="24"/>
        </w:rPr>
        <w:t xml:space="preserve"> an existing </w:t>
      </w:r>
      <w:r w:rsidR="00634FC3">
        <w:rPr>
          <w:rFonts w:ascii="Times New Roman" w:hAnsi="Times New Roman"/>
          <w:szCs w:val="24"/>
        </w:rPr>
        <w:t>information collection entitled</w:t>
      </w:r>
      <w:r w:rsidRPr="00634FC3" w:rsidR="00634FC3">
        <w:rPr>
          <w:rFonts w:ascii="Times New Roman" w:hAnsi="Times New Roman"/>
          <w:szCs w:val="24"/>
        </w:rPr>
        <w:t xml:space="preserve"> </w:t>
      </w:r>
      <w:r w:rsidR="00634FC3">
        <w:rPr>
          <w:rFonts w:ascii="Times New Roman" w:hAnsi="Times New Roman"/>
          <w:szCs w:val="24"/>
        </w:rPr>
        <w:t>“</w:t>
      </w:r>
      <w:r w:rsidRPr="00634FC3" w:rsidR="00634FC3">
        <w:rPr>
          <w:rFonts w:ascii="Times New Roman" w:hAnsi="Times New Roman"/>
          <w:bCs/>
          <w:i/>
          <w:szCs w:val="24"/>
        </w:rPr>
        <w:t>Restrictions on Qualified Financial Contracts of Subsidiaries of Certain FDIC-Supervised Institutions; Revisions to the Definition of Qualifying Master Netting Agreement and Related Definitions</w:t>
      </w:r>
      <w:r w:rsidR="00634FC3">
        <w:rPr>
          <w:rFonts w:ascii="Times New Roman" w:hAnsi="Times New Roman"/>
          <w:bCs/>
          <w:szCs w:val="24"/>
        </w:rPr>
        <w:t>.”</w:t>
      </w:r>
      <w:r>
        <w:rPr>
          <w:rFonts w:ascii="Times New Roman" w:hAnsi="Times New Roman"/>
          <w:szCs w:val="24"/>
        </w:rPr>
        <w:t xml:space="preserve"> The collection of information is comprised of reporting</w:t>
      </w:r>
      <w:r w:rsidR="00D52AF3">
        <w:rPr>
          <w:rFonts w:ascii="Times New Roman" w:hAnsi="Times New Roman"/>
          <w:szCs w:val="24"/>
        </w:rPr>
        <w:t xml:space="preserve"> </w:t>
      </w:r>
      <w:r>
        <w:rPr>
          <w:rFonts w:ascii="Times New Roman" w:hAnsi="Times New Roman"/>
          <w:szCs w:val="24"/>
        </w:rPr>
        <w:t xml:space="preserve">requirements </w:t>
      </w:r>
      <w:r w:rsidRPr="00D52AF3" w:rsidR="00D52AF3">
        <w:rPr>
          <w:rFonts w:ascii="Times New Roman" w:hAnsi="Times New Roman"/>
        </w:rPr>
        <w:t xml:space="preserve">contained in FDIC regulations </w:t>
      </w:r>
      <w:r w:rsidR="003E51EB">
        <w:rPr>
          <w:rFonts w:ascii="Times New Roman" w:hAnsi="Times New Roman"/>
          <w:bCs/>
          <w:szCs w:val="24"/>
        </w:rPr>
        <w:t>12 CFR Part 382 (“Part 382</w:t>
      </w:r>
      <w:r w:rsidR="00CF4999">
        <w:rPr>
          <w:rFonts w:ascii="Times New Roman" w:hAnsi="Times New Roman"/>
          <w:bCs/>
          <w:szCs w:val="24"/>
        </w:rPr>
        <w:t>”)</w:t>
      </w:r>
      <w:r w:rsidRPr="00D52AF3" w:rsidR="00D52AF3">
        <w:rPr>
          <w:rFonts w:ascii="Times New Roman" w:hAnsi="Times New Roman"/>
        </w:rPr>
        <w:t xml:space="preserve">.  </w:t>
      </w:r>
      <w:r w:rsidR="00D52AF3">
        <w:rPr>
          <w:rFonts w:ascii="Times New Roman" w:hAnsi="Times New Roman"/>
        </w:rPr>
        <w:t>The current clearance for this collection of information</w:t>
      </w:r>
      <w:r w:rsidRPr="00D52AF3" w:rsidR="00D52AF3">
        <w:rPr>
          <w:rFonts w:ascii="Times New Roman" w:hAnsi="Times New Roman"/>
        </w:rPr>
        <w:t xml:space="preserve"> expires on </w:t>
      </w:r>
      <w:r w:rsidR="00D52AF3">
        <w:rPr>
          <w:rFonts w:ascii="Times New Roman" w:hAnsi="Times New Roman"/>
        </w:rPr>
        <w:t>April 30, 2021</w:t>
      </w:r>
      <w:r w:rsidRPr="00D52AF3" w:rsidR="00D52AF3">
        <w:rPr>
          <w:rFonts w:ascii="Times New Roman" w:hAnsi="Times New Roman"/>
        </w:rPr>
        <w:t>.</w:t>
      </w:r>
    </w:p>
    <w:p w:rsidR="00075A03" w:rsidRDefault="00075A03" w14:paraId="3DF2A150" w14:textId="77777777">
      <w:pPr>
        <w:tabs>
          <w:tab w:val="left" w:pos="-1440"/>
        </w:tabs>
        <w:ind w:left="720" w:hanging="720"/>
        <w:outlineLvl w:val="0"/>
        <w:rPr>
          <w:rFonts w:ascii="Times New Roman" w:hAnsi="Times New Roman"/>
          <w:szCs w:val="24"/>
          <w:u w:val="single"/>
        </w:rPr>
      </w:pPr>
    </w:p>
    <w:p w:rsidR="00075A03" w:rsidRDefault="00075A03" w14:paraId="2023455E" w14:textId="77777777">
      <w:pPr>
        <w:tabs>
          <w:tab w:val="left" w:pos="-1440"/>
        </w:tabs>
        <w:ind w:left="720" w:hanging="720"/>
        <w:outlineLvl w:val="0"/>
        <w:rPr>
          <w:rFonts w:ascii="Times New Roman" w:hAnsi="Times New Roman"/>
          <w:szCs w:val="24"/>
        </w:rPr>
      </w:pPr>
      <w:r>
        <w:rPr>
          <w:rFonts w:ascii="Times New Roman" w:hAnsi="Times New Roman"/>
          <w:szCs w:val="24"/>
        </w:rPr>
        <w:t>A. Justification.</w:t>
      </w:r>
    </w:p>
    <w:p w:rsidR="00075A03" w:rsidRDefault="00075A03" w14:paraId="0428EFAF" w14:textId="77777777">
      <w:pPr>
        <w:rPr>
          <w:rFonts w:ascii="Times New Roman" w:hAnsi="Times New Roman"/>
          <w:szCs w:val="24"/>
        </w:rPr>
      </w:pPr>
    </w:p>
    <w:p w:rsidR="00075A03" w:rsidRDefault="00075A03" w14:paraId="317FB975" w14:textId="77777777">
      <w:pPr>
        <w:tabs>
          <w:tab w:val="left" w:pos="-1440"/>
        </w:tabs>
        <w:ind w:left="720" w:hanging="720"/>
        <w:outlineLvl w:val="0"/>
        <w:rPr>
          <w:rFonts w:ascii="Times New Roman" w:hAnsi="Times New Roman"/>
          <w:szCs w:val="24"/>
          <w:u w:val="single"/>
        </w:rPr>
      </w:pPr>
      <w:r>
        <w:rPr>
          <w:rFonts w:ascii="Times New Roman" w:hAnsi="Times New Roman"/>
          <w:szCs w:val="24"/>
        </w:rPr>
        <w:t xml:space="preserve">1. </w:t>
      </w:r>
      <w:r>
        <w:rPr>
          <w:rFonts w:ascii="Times New Roman" w:hAnsi="Times New Roman"/>
          <w:szCs w:val="24"/>
          <w:u w:val="single"/>
        </w:rPr>
        <w:t>Circumstances that make the collection necessary:</w:t>
      </w:r>
    </w:p>
    <w:p w:rsidR="00075A03" w:rsidRDefault="00075A03" w14:paraId="0BFA8FC7" w14:textId="77777777">
      <w:pPr>
        <w:ind w:firstLine="720"/>
        <w:rPr>
          <w:rFonts w:ascii="Times New Roman" w:hAnsi="Times New Roman"/>
          <w:szCs w:val="24"/>
        </w:rPr>
      </w:pPr>
    </w:p>
    <w:p w:rsidRPr="003E51EB" w:rsidR="003E51EB" w:rsidP="003E51EB" w:rsidRDefault="003E51EB" w14:paraId="00F9169B" w14:textId="0D24CCD5">
      <w:pPr>
        <w:ind w:left="270"/>
        <w:rPr>
          <w:rFonts w:ascii="Times New Roman" w:hAnsi="Times New Roman"/>
          <w:szCs w:val="24"/>
        </w:rPr>
      </w:pPr>
      <w:r w:rsidRPr="003E51EB">
        <w:rPr>
          <w:rFonts w:ascii="Times New Roman" w:hAnsi="Times New Roman"/>
          <w:szCs w:val="24"/>
        </w:rPr>
        <w:t>Q</w:t>
      </w:r>
      <w:r>
        <w:rPr>
          <w:rFonts w:ascii="Times New Roman" w:hAnsi="Times New Roman"/>
          <w:szCs w:val="24"/>
        </w:rPr>
        <w:t xml:space="preserve">ualified </w:t>
      </w:r>
      <w:r w:rsidRPr="003E51EB">
        <w:rPr>
          <w:rFonts w:ascii="Times New Roman" w:hAnsi="Times New Roman"/>
          <w:szCs w:val="24"/>
        </w:rPr>
        <w:t>F</w:t>
      </w:r>
      <w:r>
        <w:rPr>
          <w:rFonts w:ascii="Times New Roman" w:hAnsi="Times New Roman"/>
          <w:szCs w:val="24"/>
        </w:rPr>
        <w:t xml:space="preserve">inancial </w:t>
      </w:r>
      <w:r w:rsidRPr="003E51EB">
        <w:rPr>
          <w:rFonts w:ascii="Times New Roman" w:hAnsi="Times New Roman"/>
          <w:szCs w:val="24"/>
        </w:rPr>
        <w:t>C</w:t>
      </w:r>
      <w:r>
        <w:rPr>
          <w:rFonts w:ascii="Times New Roman" w:hAnsi="Times New Roman"/>
          <w:szCs w:val="24"/>
        </w:rPr>
        <w:t>ontracts</w:t>
      </w:r>
      <w:r w:rsidRPr="003E51EB">
        <w:rPr>
          <w:rFonts w:ascii="Times New Roman" w:hAnsi="Times New Roman"/>
          <w:szCs w:val="24"/>
        </w:rPr>
        <w:t xml:space="preserve"> </w:t>
      </w:r>
      <w:r>
        <w:rPr>
          <w:rFonts w:ascii="Times New Roman" w:hAnsi="Times New Roman"/>
          <w:szCs w:val="24"/>
        </w:rPr>
        <w:t xml:space="preserve">(QFCs) </w:t>
      </w:r>
      <w:r w:rsidRPr="003E51EB">
        <w:rPr>
          <w:rFonts w:ascii="Times New Roman" w:hAnsi="Times New Roman"/>
          <w:szCs w:val="24"/>
        </w:rPr>
        <w:t xml:space="preserve">derivatives often permit counterparties to exercise termination rights and other remedies—including netting and set-off against collateral—upon the insolvency or resolution of a contract counterparty, or an affiliate of such counterparty.   Such termination rights and other related remedies could frustrate an orderly resolution of large complex banking organizations and pose risks to financial stability if not exercised in an orderly manner.  To mitigate these concerns, in the United States, there is a one-business day stay on the exercise of early termination rights and other remedies with regard to QFCs under the FDI Act and the Dodd-Frank Act (“U.S. special resolution regimes”).  Nevertheless, although domestic entities are clearly subject to the temporary stay provisions of the U.S. special resolution regimes, these stays may be difficult to enforce in a cross-border context.  Furthermore, stays related to cross-defaults, are not applicable under the FDI Act or under the Bankruptcy Code, which is the presumptive insolvency regime for a U.S. GSIB parent and many of its subsidiaries.   </w:t>
      </w:r>
    </w:p>
    <w:p w:rsidRPr="003E51EB" w:rsidR="003E51EB" w:rsidP="003E51EB" w:rsidRDefault="003E51EB" w14:paraId="6EE4EDCE" w14:textId="77777777">
      <w:pPr>
        <w:ind w:left="270"/>
        <w:rPr>
          <w:rFonts w:ascii="Times New Roman" w:hAnsi="Times New Roman"/>
          <w:szCs w:val="24"/>
        </w:rPr>
      </w:pPr>
    </w:p>
    <w:p w:rsidR="003E51EB" w:rsidP="003E51EB" w:rsidRDefault="003E51EB" w14:paraId="5F83EC33" w14:textId="07DBE546">
      <w:pPr>
        <w:ind w:left="270"/>
        <w:rPr>
          <w:rFonts w:ascii="Times New Roman" w:hAnsi="Times New Roman"/>
          <w:szCs w:val="24"/>
        </w:rPr>
      </w:pPr>
      <w:r w:rsidRPr="003E51EB">
        <w:rPr>
          <w:rFonts w:ascii="Times New Roman" w:hAnsi="Times New Roman"/>
          <w:szCs w:val="24"/>
        </w:rPr>
        <w:t>Recognizing the need to address the risk posed by early termination of QFCs and in consultation with representatives of the FDIC, the Federal Reserve Board (“FRB”), the Office of the Comptroller of the Currency (“OCC”), and foreign regulators, the International Swaps and Derivatives Association, Inc.</w:t>
      </w:r>
      <w:r>
        <w:rPr>
          <w:rFonts w:ascii="Times New Roman" w:hAnsi="Times New Roman"/>
          <w:szCs w:val="24"/>
        </w:rPr>
        <w:t xml:space="preserve"> </w:t>
      </w:r>
      <w:r w:rsidRPr="003E51EB">
        <w:rPr>
          <w:rFonts w:ascii="Times New Roman" w:hAnsi="Times New Roman"/>
          <w:szCs w:val="24"/>
        </w:rPr>
        <w:t xml:space="preserve">(“ISDA”) established the ISDA 2015 Universal Resolution Stay Protocol (“ISDA Protocol”).   The ISDA Protocol enables parties to amend the terms of their ISDA Master Agreements and other agreements covered by the ISDA Protocol and any related credit support arrangements to contractually recognize the cross-border application of special resolution regimes (including U.S. special resolution regimes) that stay and, in certain cases, override cross-default rights included in QFCs that arise upon the entry of a GSIB or of its affiliated entities (including covered FSIs) into receivership, insolvency, liquidation, resolution or similar proceedings.  </w:t>
      </w:r>
    </w:p>
    <w:p w:rsidRPr="003E51EB" w:rsidR="003E51EB" w:rsidP="003E51EB" w:rsidRDefault="003E51EB" w14:paraId="19F76581" w14:textId="77777777">
      <w:pPr>
        <w:ind w:left="270"/>
        <w:rPr>
          <w:rFonts w:ascii="Times New Roman" w:hAnsi="Times New Roman"/>
          <w:szCs w:val="24"/>
        </w:rPr>
      </w:pPr>
    </w:p>
    <w:p w:rsidRPr="003E51EB" w:rsidR="003E51EB" w:rsidP="003E51EB" w:rsidRDefault="003E51EB" w14:paraId="764FDFF4" w14:textId="38BF5F4B">
      <w:pPr>
        <w:ind w:left="270"/>
        <w:rPr>
          <w:rFonts w:ascii="Times New Roman" w:hAnsi="Times New Roman"/>
          <w:szCs w:val="24"/>
        </w:rPr>
      </w:pPr>
      <w:r>
        <w:rPr>
          <w:rFonts w:ascii="Times New Roman" w:hAnsi="Times New Roman"/>
          <w:szCs w:val="24"/>
        </w:rPr>
        <w:lastRenderedPageBreak/>
        <w:t>Part 382</w:t>
      </w:r>
      <w:r w:rsidRPr="003E51EB">
        <w:rPr>
          <w:rFonts w:ascii="Times New Roman" w:hAnsi="Times New Roman"/>
          <w:szCs w:val="24"/>
        </w:rPr>
        <w:t xml:space="preserve"> requires that FDIC-supervised institutions that are subsidiaries of GSIBs and their counterparties either adhere to the ISDA Protocol or take the prescribed steps to amend the contractual provisions of their QFCs, consistent with the requirements in the rule, within a specified period of time.  If such institutions elect to amend their QFCs in lieu of adhering to the ISDA Protocol, they must seek the FDIC’s approval of the proposed amendments, giving rise to the information collection.  The information collection is necessary to ensure QFC contracts are amended in compliance with the proposed rule. </w:t>
      </w:r>
    </w:p>
    <w:p w:rsidRPr="003E51EB" w:rsidR="003E51EB" w:rsidP="003E51EB" w:rsidRDefault="003E51EB" w14:paraId="714F80CF" w14:textId="77777777">
      <w:pPr>
        <w:ind w:left="270"/>
        <w:rPr>
          <w:rFonts w:ascii="Times New Roman" w:hAnsi="Times New Roman"/>
          <w:szCs w:val="24"/>
        </w:rPr>
      </w:pPr>
    </w:p>
    <w:p w:rsidRPr="003E51EB" w:rsidR="003E51EB" w:rsidP="003E51EB" w:rsidRDefault="003E51EB" w14:paraId="120D7811" w14:textId="77777777">
      <w:pPr>
        <w:ind w:left="270"/>
        <w:rPr>
          <w:rFonts w:ascii="Times New Roman" w:hAnsi="Times New Roman"/>
          <w:szCs w:val="24"/>
        </w:rPr>
      </w:pPr>
      <w:r w:rsidRPr="003E51EB">
        <w:rPr>
          <w:rFonts w:ascii="Times New Roman" w:hAnsi="Times New Roman"/>
          <w:szCs w:val="24"/>
        </w:rPr>
        <w:t xml:space="preserve">The FDIC’s rule applies to FDIC-supervised institutions that are subsidiaries of GSIBs and sets forth requirements parallel to those contained in similar final rules recently published by the FRB and the OCC with regard to entities they supervise to ensure consistent regulatory treatment of QFCs among the various entities within a GSIB group.  </w:t>
      </w:r>
    </w:p>
    <w:p w:rsidRPr="003E51EB" w:rsidR="003E51EB" w:rsidP="003E51EB" w:rsidRDefault="003E51EB" w14:paraId="29C3E930" w14:textId="77777777">
      <w:pPr>
        <w:ind w:left="270"/>
        <w:rPr>
          <w:rFonts w:ascii="Times New Roman" w:hAnsi="Times New Roman"/>
          <w:szCs w:val="24"/>
        </w:rPr>
      </w:pPr>
    </w:p>
    <w:p w:rsidR="00CF4999" w:rsidP="003E51EB" w:rsidRDefault="003E51EB" w14:paraId="68BB4BD6" w14:textId="5BD59514">
      <w:pPr>
        <w:ind w:left="270"/>
        <w:rPr>
          <w:rFonts w:ascii="Times New Roman" w:hAnsi="Times New Roman"/>
          <w:szCs w:val="24"/>
        </w:rPr>
      </w:pPr>
      <w:r w:rsidRPr="003E51EB">
        <w:rPr>
          <w:rFonts w:ascii="Times New Roman" w:hAnsi="Times New Roman"/>
          <w:szCs w:val="24"/>
        </w:rPr>
        <w:t>Separately, the rule amends the definition of “qualifying master netting agreement” in the FDIC’s capital and liquidity rules, and certain related terms in the FDIC’s capital rules.  These proposed amendments are intended to ensure that the regulatory capital and liquidity treatment of QFCs to which a covered FSI is party are not affected by the restrictions on such QFCs.  This part of the rule however, does not give rise to any information collection.</w:t>
      </w:r>
    </w:p>
    <w:p w:rsidR="00075A03" w:rsidP="00852CF8" w:rsidRDefault="00075A03" w14:paraId="74594D45" w14:textId="77777777">
      <w:pPr>
        <w:widowControl/>
        <w:rPr>
          <w:rFonts w:ascii="Times New Roman" w:hAnsi="Times New Roman"/>
          <w:color w:val="000000"/>
          <w:szCs w:val="24"/>
        </w:rPr>
      </w:pPr>
    </w:p>
    <w:p w:rsidR="00075A03" w:rsidRDefault="00075A03" w14:paraId="20F64BED" w14:textId="77777777">
      <w:pPr>
        <w:tabs>
          <w:tab w:val="left" w:pos="-1440"/>
        </w:tabs>
        <w:ind w:left="4320" w:hanging="4320"/>
        <w:outlineLvl w:val="0"/>
        <w:rPr>
          <w:rFonts w:ascii="Times New Roman" w:hAnsi="Times New Roman"/>
          <w:szCs w:val="24"/>
        </w:rPr>
      </w:pPr>
      <w:r>
        <w:rPr>
          <w:rFonts w:ascii="Times New Roman" w:hAnsi="Times New Roman"/>
          <w:szCs w:val="24"/>
        </w:rPr>
        <w:t xml:space="preserve">2. </w:t>
      </w:r>
      <w:r>
        <w:rPr>
          <w:rFonts w:ascii="Times New Roman" w:hAnsi="Times New Roman"/>
          <w:szCs w:val="24"/>
          <w:u w:val="single"/>
        </w:rPr>
        <w:t>Use of the information</w:t>
      </w:r>
      <w:r w:rsidR="00852CF8">
        <w:rPr>
          <w:rFonts w:ascii="Times New Roman" w:hAnsi="Times New Roman"/>
          <w:szCs w:val="24"/>
        </w:rPr>
        <w:t>:</w:t>
      </w:r>
    </w:p>
    <w:p w:rsidR="00852CF8" w:rsidP="00852CF8" w:rsidRDefault="00852CF8" w14:paraId="23CB8051" w14:textId="77777777">
      <w:pPr>
        <w:rPr>
          <w:rFonts w:ascii="Times New Roman" w:hAnsi="Times New Roman"/>
          <w:szCs w:val="24"/>
        </w:rPr>
      </w:pPr>
      <w:r>
        <w:rPr>
          <w:rFonts w:ascii="Times New Roman" w:hAnsi="Times New Roman"/>
          <w:szCs w:val="24"/>
        </w:rPr>
        <w:t xml:space="preserve"> </w:t>
      </w:r>
    </w:p>
    <w:p w:rsidRPr="00634FC3" w:rsidR="00634FC3" w:rsidP="00634FC3" w:rsidRDefault="00634FC3" w14:paraId="7A1AB713" w14:textId="4028EC01">
      <w:pPr>
        <w:ind w:left="270"/>
        <w:rPr>
          <w:rFonts w:ascii="Times New Roman" w:hAnsi="Times New Roman"/>
        </w:rPr>
      </w:pPr>
      <w:r>
        <w:rPr>
          <w:rFonts w:ascii="Times New Roman" w:hAnsi="Times New Roman"/>
        </w:rPr>
        <w:t>Part 382</w:t>
      </w:r>
      <w:r w:rsidRPr="00634FC3">
        <w:rPr>
          <w:rFonts w:ascii="Times New Roman" w:hAnsi="Times New Roman"/>
        </w:rPr>
        <w:t xml:space="preserve"> requires a covered banking entity to request the FDIC to approve as compliant with the requirements of section 12 CFR 382.4 one or more forms of covered QFCs or amendments to one or more forms of covered QFCs, with enhanced creditor protection conditions.  A covered FSI making a request must provide (1) an analysis of the proposal under each consideration of paragraph 382.5(d); (2) a written legal opinion verifying that proposed provisions or amendments would be valid and enforceable under applicable law of the relevant jurisdictions, including, in the case of proposed amendments, the validity and enforceability of the proposal to amend the covered QFCs; and (3) any additional information relevant to its approval that the FDIC requests. </w:t>
      </w:r>
      <w:r>
        <w:rPr>
          <w:rFonts w:ascii="Times New Roman" w:hAnsi="Times New Roman"/>
        </w:rPr>
        <w:t xml:space="preserve"> </w:t>
      </w:r>
      <w:r w:rsidRPr="00634FC3">
        <w:rPr>
          <w:rFonts w:ascii="Times New Roman" w:hAnsi="Times New Roman"/>
        </w:rPr>
        <w:t xml:space="preserve">Covered FSIs also have recordkeeping associated with proposed amendments to their covered QFCs.  However, much of the recordkeeping associated with amending the covered QFCs is already expected from a covered FSI.  Therefore, the FDIC would expect minimal additional burden to accompany the initial efforts to bring all covered QFCs into compliance.   </w:t>
      </w:r>
    </w:p>
    <w:p w:rsidRPr="00634FC3" w:rsidR="00634FC3" w:rsidP="00634FC3" w:rsidRDefault="00634FC3" w14:paraId="6DEE4604" w14:textId="77777777">
      <w:pPr>
        <w:ind w:left="270"/>
        <w:rPr>
          <w:rFonts w:ascii="Times New Roman" w:hAnsi="Times New Roman"/>
        </w:rPr>
      </w:pPr>
    </w:p>
    <w:p w:rsidRPr="00852CF8" w:rsidR="00075A03" w:rsidP="00634FC3" w:rsidRDefault="00634FC3" w14:paraId="49B31ED5" w14:textId="24EEE7B8">
      <w:pPr>
        <w:ind w:left="270"/>
        <w:rPr>
          <w:rFonts w:ascii="Times New Roman" w:hAnsi="Times New Roman"/>
          <w:snapToGrid/>
          <w:szCs w:val="24"/>
        </w:rPr>
      </w:pPr>
      <w:r>
        <w:rPr>
          <w:rFonts w:ascii="Times New Roman" w:hAnsi="Times New Roman"/>
        </w:rPr>
        <w:t>T</w:t>
      </w:r>
      <w:r w:rsidRPr="00634FC3">
        <w:rPr>
          <w:rFonts w:ascii="Times New Roman" w:hAnsi="Times New Roman"/>
        </w:rPr>
        <w:t>he FDIC will use the information to approve certain amendments to QFCs of covered FSIs and determine whether QFC contracts have been</w:t>
      </w:r>
      <w:r>
        <w:rPr>
          <w:rFonts w:ascii="Times New Roman" w:hAnsi="Times New Roman"/>
        </w:rPr>
        <w:t xml:space="preserve"> amended in compliance with Part 382</w:t>
      </w:r>
      <w:r w:rsidRPr="00634FC3">
        <w:rPr>
          <w:rFonts w:ascii="Times New Roman" w:hAnsi="Times New Roman"/>
        </w:rPr>
        <w:t>.</w:t>
      </w:r>
    </w:p>
    <w:p w:rsidR="00075A03" w:rsidRDefault="00075A03" w14:paraId="77B29FD3" w14:textId="77777777">
      <w:pPr>
        <w:rPr>
          <w:rFonts w:ascii="Times New Roman" w:hAnsi="Times New Roman"/>
          <w:szCs w:val="24"/>
        </w:rPr>
      </w:pPr>
    </w:p>
    <w:p w:rsidR="00075A03" w:rsidRDefault="00075A03" w14:paraId="1AAA68AD" w14:textId="77777777">
      <w:pPr>
        <w:tabs>
          <w:tab w:val="left" w:pos="-1440"/>
        </w:tabs>
        <w:ind w:left="720" w:hanging="720"/>
        <w:outlineLvl w:val="0"/>
        <w:rPr>
          <w:rFonts w:ascii="Times New Roman" w:hAnsi="Times New Roman"/>
          <w:szCs w:val="24"/>
          <w:u w:val="single"/>
        </w:rPr>
      </w:pPr>
      <w:r>
        <w:rPr>
          <w:rFonts w:ascii="Times New Roman" w:hAnsi="Times New Roman"/>
          <w:szCs w:val="24"/>
        </w:rPr>
        <w:t xml:space="preserve">3. </w:t>
      </w:r>
      <w:r>
        <w:rPr>
          <w:rFonts w:ascii="Times New Roman" w:hAnsi="Times New Roman"/>
          <w:szCs w:val="24"/>
          <w:u w:val="single"/>
        </w:rPr>
        <w:t>Consideration of the use of improved information technology:</w:t>
      </w:r>
    </w:p>
    <w:p w:rsidR="00075A03" w:rsidRDefault="00075A03" w14:paraId="167E749D" w14:textId="77777777">
      <w:pPr>
        <w:autoSpaceDE w:val="0"/>
        <w:autoSpaceDN w:val="0"/>
        <w:adjustRightInd w:val="0"/>
        <w:rPr>
          <w:rFonts w:ascii="Times New Roman" w:hAnsi="Times New Roman"/>
          <w:szCs w:val="24"/>
        </w:rPr>
      </w:pPr>
    </w:p>
    <w:p w:rsidRPr="00480AA1" w:rsidR="00480AA1" w:rsidP="00480AA1" w:rsidRDefault="00634FC3" w14:paraId="0C4C749E" w14:textId="5798B999">
      <w:pPr>
        <w:ind w:left="270"/>
        <w:rPr>
          <w:rFonts w:ascii="Times New Roman" w:hAnsi="Times New Roman"/>
        </w:rPr>
      </w:pPr>
      <w:r w:rsidRPr="00634FC3">
        <w:rPr>
          <w:rFonts w:ascii="Times New Roman" w:hAnsi="Times New Roman"/>
        </w:rPr>
        <w:t>Any information technology may be used that permits review by FDIC examiners.</w:t>
      </w:r>
    </w:p>
    <w:p w:rsidR="00075A03" w:rsidP="00714F75" w:rsidRDefault="00075A03" w14:paraId="6C22931C" w14:textId="77777777">
      <w:pPr>
        <w:ind w:left="270"/>
        <w:rPr>
          <w:rFonts w:ascii="Times New Roman" w:hAnsi="Times New Roman"/>
        </w:rPr>
      </w:pPr>
    </w:p>
    <w:p w:rsidR="00732394" w:rsidP="00732394" w:rsidRDefault="00732394" w14:paraId="05727E7B" w14:textId="77777777">
      <w:pPr>
        <w:rPr>
          <w:rFonts w:ascii="Times New Roman" w:hAnsi="Times New Roman"/>
          <w:szCs w:val="24"/>
        </w:rPr>
      </w:pPr>
    </w:p>
    <w:p w:rsidR="00075A03" w:rsidRDefault="00480AA1" w14:paraId="146AD7FA" w14:textId="77777777">
      <w:pPr>
        <w:tabs>
          <w:tab w:val="left" w:pos="-1440"/>
        </w:tabs>
        <w:ind w:left="720" w:hanging="720"/>
        <w:outlineLvl w:val="0"/>
        <w:rPr>
          <w:rFonts w:ascii="Times New Roman" w:hAnsi="Times New Roman"/>
          <w:szCs w:val="24"/>
        </w:rPr>
      </w:pPr>
      <w:r>
        <w:rPr>
          <w:rFonts w:ascii="Times New Roman" w:hAnsi="Times New Roman"/>
          <w:szCs w:val="24"/>
        </w:rPr>
        <w:t>4.</w:t>
      </w:r>
      <w:r>
        <w:rPr>
          <w:rFonts w:ascii="Times New Roman" w:hAnsi="Times New Roman"/>
          <w:szCs w:val="24"/>
          <w:u w:val="single"/>
        </w:rPr>
        <w:t xml:space="preserve"> Efforts</w:t>
      </w:r>
      <w:r w:rsidR="00075A03">
        <w:rPr>
          <w:rFonts w:ascii="Times New Roman" w:hAnsi="Times New Roman"/>
          <w:szCs w:val="24"/>
          <w:u w:val="single"/>
        </w:rPr>
        <w:t xml:space="preserve"> to identify duplication</w:t>
      </w:r>
      <w:r w:rsidR="00075A03">
        <w:rPr>
          <w:rFonts w:ascii="Times New Roman" w:hAnsi="Times New Roman"/>
          <w:szCs w:val="24"/>
        </w:rPr>
        <w:t>:</w:t>
      </w:r>
    </w:p>
    <w:p w:rsidR="00075A03" w:rsidRDefault="00075A03" w14:paraId="61EC5A80" w14:textId="77777777">
      <w:pPr>
        <w:rPr>
          <w:rFonts w:ascii="Times New Roman" w:hAnsi="Times New Roman"/>
          <w:szCs w:val="24"/>
        </w:rPr>
      </w:pPr>
    </w:p>
    <w:p w:rsidRPr="00480AA1" w:rsidR="00480AA1" w:rsidP="00480AA1" w:rsidRDefault="00480AA1" w14:paraId="4358C1AF" w14:textId="77777777">
      <w:pPr>
        <w:ind w:left="270"/>
        <w:rPr>
          <w:rFonts w:ascii="Times New Roman" w:hAnsi="Times New Roman"/>
          <w:szCs w:val="24"/>
        </w:rPr>
      </w:pPr>
      <w:r w:rsidRPr="00480AA1">
        <w:rPr>
          <w:rFonts w:ascii="Times New Roman" w:hAnsi="Times New Roman"/>
          <w:szCs w:val="24"/>
        </w:rPr>
        <w:lastRenderedPageBreak/>
        <w:t xml:space="preserve">The </w:t>
      </w:r>
      <w:r w:rsidRPr="00480AA1">
        <w:rPr>
          <w:rFonts w:ascii="Times New Roman" w:hAnsi="Times New Roman"/>
        </w:rPr>
        <w:t>information</w:t>
      </w:r>
      <w:r w:rsidRPr="00480AA1">
        <w:rPr>
          <w:rFonts w:ascii="Times New Roman" w:hAnsi="Times New Roman"/>
          <w:szCs w:val="24"/>
        </w:rPr>
        <w:t xml:space="preserve"> required is unique.  It is not duplicated by other information collected by the FDIC.</w:t>
      </w:r>
    </w:p>
    <w:p w:rsidR="00075A03" w:rsidRDefault="00075A03" w14:paraId="3F0B209B" w14:textId="77777777">
      <w:pPr>
        <w:rPr>
          <w:rFonts w:ascii="Times New Roman" w:hAnsi="Times New Roman"/>
          <w:szCs w:val="24"/>
        </w:rPr>
      </w:pPr>
    </w:p>
    <w:p w:rsidR="00075A03" w:rsidRDefault="00075A03" w14:paraId="28EE9F78" w14:textId="77777777">
      <w:pPr>
        <w:tabs>
          <w:tab w:val="left" w:pos="-1440"/>
        </w:tabs>
        <w:outlineLvl w:val="0"/>
        <w:rPr>
          <w:rFonts w:ascii="Times New Roman" w:hAnsi="Times New Roman"/>
          <w:szCs w:val="24"/>
        </w:rPr>
      </w:pPr>
      <w:r>
        <w:rPr>
          <w:rFonts w:ascii="Times New Roman" w:hAnsi="Times New Roman"/>
          <w:szCs w:val="24"/>
        </w:rPr>
        <w:t xml:space="preserve">5. </w:t>
      </w:r>
      <w:r>
        <w:rPr>
          <w:rFonts w:ascii="Times New Roman" w:hAnsi="Times New Roman"/>
          <w:szCs w:val="24"/>
          <w:u w:val="single"/>
        </w:rPr>
        <w:t>Methods used to minimize burden if the collection has an impact on a substantial number of    small entities</w:t>
      </w:r>
      <w:r>
        <w:rPr>
          <w:rFonts w:ascii="Times New Roman" w:hAnsi="Times New Roman"/>
          <w:szCs w:val="24"/>
        </w:rPr>
        <w:t>:</w:t>
      </w:r>
    </w:p>
    <w:p w:rsidR="00075A03" w:rsidRDefault="00075A03" w14:paraId="65688B2B" w14:textId="77777777">
      <w:pPr>
        <w:rPr>
          <w:rFonts w:ascii="Times New Roman" w:hAnsi="Times New Roman"/>
          <w:szCs w:val="24"/>
        </w:rPr>
      </w:pPr>
    </w:p>
    <w:p w:rsidR="00075A03" w:rsidP="00714F75" w:rsidRDefault="00FD2160" w14:paraId="76AFE2E2" w14:textId="1B0F09B3">
      <w:pPr>
        <w:ind w:left="270"/>
        <w:rPr>
          <w:rFonts w:ascii="Times New Roman" w:hAnsi="Times New Roman"/>
          <w:szCs w:val="24"/>
        </w:rPr>
      </w:pPr>
      <w:r>
        <w:rPr>
          <w:rFonts w:ascii="Times New Roman" w:hAnsi="Times New Roman"/>
          <w:szCs w:val="24"/>
        </w:rPr>
        <w:t>This information</w:t>
      </w:r>
      <w:r>
        <w:rPr>
          <w:rFonts w:ascii="Times New Roman" w:hAnsi="Times New Roman"/>
          <w:szCs w:val="24"/>
        </w:rPr>
        <w:t xml:space="preserve"> collection is not expected to have an impact on a substantial number of small entities</w:t>
      </w:r>
      <w:r>
        <w:rPr>
          <w:rFonts w:ascii="Times New Roman" w:hAnsi="Times New Roman"/>
          <w:szCs w:val="24"/>
        </w:rPr>
        <w:t xml:space="preserve"> </w:t>
      </w:r>
      <w:r w:rsidRPr="00480AA1" w:rsidR="00480AA1">
        <w:rPr>
          <w:rFonts w:ascii="Times New Roman" w:hAnsi="Times New Roman"/>
        </w:rPr>
        <w:t>because most small e</w:t>
      </w:r>
      <w:r>
        <w:rPr>
          <w:rFonts w:ascii="Times New Roman" w:hAnsi="Times New Roman"/>
        </w:rPr>
        <w:t>ntities are not parties to QFCs and Part 382</w:t>
      </w:r>
      <w:r w:rsidRPr="00480AA1" w:rsidR="00480AA1">
        <w:rPr>
          <w:rFonts w:ascii="Times New Roman" w:hAnsi="Times New Roman"/>
        </w:rPr>
        <w:t xml:space="preserve"> will no</w:t>
      </w:r>
      <w:r w:rsidR="00480AA1">
        <w:rPr>
          <w:rFonts w:ascii="Times New Roman" w:hAnsi="Times New Roman"/>
        </w:rPr>
        <w:t>t apply to most small entities.</w:t>
      </w:r>
      <w:r w:rsidR="00075A03">
        <w:rPr>
          <w:rFonts w:ascii="Times New Roman" w:hAnsi="Times New Roman"/>
          <w:szCs w:val="24"/>
        </w:rPr>
        <w:t xml:space="preserve"> </w:t>
      </w:r>
    </w:p>
    <w:p w:rsidR="00075A03" w:rsidRDefault="00075A03" w14:paraId="549FF861" w14:textId="77777777">
      <w:pPr>
        <w:tabs>
          <w:tab w:val="left" w:pos="-1440"/>
        </w:tabs>
        <w:ind w:left="720" w:hanging="720"/>
        <w:outlineLvl w:val="0"/>
        <w:rPr>
          <w:rFonts w:ascii="Times New Roman" w:hAnsi="Times New Roman"/>
          <w:szCs w:val="24"/>
        </w:rPr>
      </w:pPr>
    </w:p>
    <w:p w:rsidR="00075A03" w:rsidRDefault="00075A03" w14:paraId="180879E2"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6. </w:t>
      </w:r>
      <w:r>
        <w:rPr>
          <w:rFonts w:ascii="Times New Roman" w:hAnsi="Times New Roman"/>
          <w:szCs w:val="24"/>
          <w:u w:val="single"/>
        </w:rPr>
        <w:t>Consequences to the Federal program if the collection were conducted less frequently</w:t>
      </w:r>
      <w:r>
        <w:rPr>
          <w:rFonts w:ascii="Times New Roman" w:hAnsi="Times New Roman"/>
          <w:szCs w:val="24"/>
        </w:rPr>
        <w:t>:</w:t>
      </w:r>
    </w:p>
    <w:p w:rsidR="00075A03" w:rsidRDefault="00075A03" w14:paraId="18388202" w14:textId="77777777">
      <w:pPr>
        <w:rPr>
          <w:rFonts w:ascii="Times New Roman" w:hAnsi="Times New Roman"/>
          <w:szCs w:val="24"/>
        </w:rPr>
      </w:pPr>
    </w:p>
    <w:p w:rsidR="00075A03" w:rsidP="00714F75" w:rsidRDefault="00FD2160" w14:paraId="4AE05553" w14:textId="21D3E6E1">
      <w:pPr>
        <w:ind w:left="270"/>
        <w:rPr>
          <w:rFonts w:ascii="Times New Roman" w:hAnsi="Times New Roman"/>
          <w:szCs w:val="24"/>
        </w:rPr>
      </w:pPr>
      <w:r>
        <w:rPr>
          <w:rFonts w:ascii="Times New Roman" w:hAnsi="Times New Roman"/>
          <w:szCs w:val="24"/>
        </w:rPr>
        <w:t xml:space="preserve">The collection is event-generated, that is, it results from the covered FSI entering into a new QFC contract and proposing amendments that need approval from the FDIC. </w:t>
      </w:r>
      <w:r w:rsidRPr="00850D6B">
        <w:rPr>
          <w:rFonts w:ascii="Times New Roman" w:hAnsi="Times New Roman"/>
          <w:szCs w:val="24"/>
        </w:rPr>
        <w:t xml:space="preserve"> Conducting the collection less frequently would </w:t>
      </w:r>
      <w:r>
        <w:rPr>
          <w:rFonts w:ascii="Times New Roman" w:hAnsi="Times New Roman"/>
          <w:szCs w:val="24"/>
        </w:rPr>
        <w:t>be at odds with</w:t>
      </w:r>
      <w:r>
        <w:rPr>
          <w:rFonts w:ascii="Times New Roman" w:hAnsi="Times New Roman"/>
          <w:szCs w:val="24"/>
        </w:rPr>
        <w:t xml:space="preserve"> the goals of the regulation</w:t>
      </w:r>
      <w:r>
        <w:rPr>
          <w:rFonts w:ascii="Times New Roman" w:hAnsi="Times New Roman"/>
          <w:szCs w:val="24"/>
        </w:rPr>
        <w:t xml:space="preserve"> </w:t>
      </w:r>
      <w:r w:rsidRPr="00850D6B">
        <w:rPr>
          <w:rFonts w:ascii="Times New Roman" w:hAnsi="Times New Roman"/>
          <w:szCs w:val="24"/>
        </w:rPr>
        <w:t>pre</w:t>
      </w:r>
      <w:r>
        <w:rPr>
          <w:rFonts w:ascii="Times New Roman" w:hAnsi="Times New Roman"/>
          <w:szCs w:val="24"/>
        </w:rPr>
        <w:t>, would present sent safety and soundness risks</w:t>
      </w:r>
      <w:r w:rsidR="00480AA1">
        <w:rPr>
          <w:rFonts w:ascii="Times New Roman" w:hAnsi="Times New Roman"/>
          <w:szCs w:val="24"/>
        </w:rPr>
        <w:t xml:space="preserve"> and would pose a significant risk to the Deposit Insurance Fund.</w:t>
      </w:r>
      <w:r w:rsidR="00732394">
        <w:rPr>
          <w:rFonts w:ascii="Times New Roman" w:hAnsi="Times New Roman"/>
          <w:szCs w:val="24"/>
        </w:rPr>
        <w:t xml:space="preserve"> </w:t>
      </w:r>
    </w:p>
    <w:p w:rsidR="00075A03" w:rsidRDefault="00075A03" w14:paraId="1B363FC0" w14:textId="77777777">
      <w:pPr>
        <w:rPr>
          <w:rFonts w:ascii="Times New Roman" w:hAnsi="Times New Roman"/>
          <w:szCs w:val="24"/>
        </w:rPr>
      </w:pPr>
    </w:p>
    <w:p w:rsidR="00075A03" w:rsidRDefault="00075A03" w14:paraId="0B386020"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 necessitating collection inconsistent with 5 CFR Part 1320</w:t>
      </w:r>
      <w:r>
        <w:rPr>
          <w:rFonts w:ascii="Times New Roman" w:hAnsi="Times New Roman"/>
          <w:szCs w:val="24"/>
        </w:rPr>
        <w:t>:</w:t>
      </w:r>
    </w:p>
    <w:p w:rsidR="00075A03" w:rsidRDefault="00075A03" w14:paraId="0CCC6805" w14:textId="77777777">
      <w:pPr>
        <w:rPr>
          <w:rFonts w:ascii="Times New Roman" w:hAnsi="Times New Roman"/>
          <w:szCs w:val="24"/>
        </w:rPr>
      </w:pPr>
    </w:p>
    <w:p w:rsidRPr="00600EF6" w:rsidR="00600EF6" w:rsidP="00714F75" w:rsidRDefault="00075A03" w14:paraId="18BF4ABB" w14:textId="77777777">
      <w:pPr>
        <w:ind w:left="270"/>
        <w:rPr>
          <w:rFonts w:ascii="Times New Roman TUR" w:hAnsi="Times New Roman TUR" w:cs="Times New Roman TUR"/>
          <w:snapToGrid/>
        </w:rPr>
      </w:pPr>
      <w:r>
        <w:rPr>
          <w:rFonts w:ascii="Times New Roman" w:hAnsi="Times New Roman"/>
          <w:szCs w:val="24"/>
        </w:rPr>
        <w:t>None.</w:t>
      </w:r>
      <w:r w:rsidR="00600EF6">
        <w:rPr>
          <w:rFonts w:ascii="Times New Roman" w:hAnsi="Times New Roman"/>
          <w:szCs w:val="24"/>
        </w:rPr>
        <w:t xml:space="preserve">  </w:t>
      </w:r>
      <w:r w:rsidRPr="00714F75" w:rsidR="00600EF6">
        <w:rPr>
          <w:rFonts w:ascii="Times New Roman" w:hAnsi="Times New Roman"/>
        </w:rPr>
        <w:t>This</w:t>
      </w:r>
      <w:r w:rsidRPr="00600EF6" w:rsidR="00600EF6">
        <w:rPr>
          <w:rFonts w:ascii="Times New Roman TUR" w:hAnsi="Times New Roman TUR" w:cs="Times New Roman TUR"/>
          <w:snapToGrid/>
        </w:rPr>
        <w:t xml:space="preserve"> information collection is conducted in a manner consistent with the </w:t>
      </w:r>
      <w:r w:rsidRPr="00600EF6" w:rsidR="00600EF6">
        <w:rPr>
          <w:rFonts w:ascii="Times New Roman" w:hAnsi="Times New Roman"/>
          <w:szCs w:val="24"/>
        </w:rPr>
        <w:t>guidelines</w:t>
      </w:r>
      <w:r w:rsidRPr="00600EF6" w:rsidR="00600EF6">
        <w:rPr>
          <w:rFonts w:ascii="Times New Roman TUR" w:hAnsi="Times New Roman TUR" w:cs="Times New Roman TUR"/>
          <w:snapToGrid/>
        </w:rPr>
        <w:t xml:space="preserve"> in 5 CFR 1320.</w:t>
      </w:r>
    </w:p>
    <w:p w:rsidR="00075A03" w:rsidRDefault="00075A03" w14:paraId="7DA2A346" w14:textId="77777777">
      <w:pPr>
        <w:rPr>
          <w:rFonts w:ascii="Times New Roman" w:hAnsi="Times New Roman"/>
          <w:szCs w:val="24"/>
        </w:rPr>
      </w:pPr>
    </w:p>
    <w:p w:rsidR="00075A03" w:rsidRDefault="00075A03" w14:paraId="635EAF3C"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8. </w:t>
      </w:r>
      <w:r>
        <w:rPr>
          <w:rFonts w:ascii="Times New Roman" w:hAnsi="Times New Roman"/>
          <w:szCs w:val="24"/>
          <w:u w:val="single"/>
        </w:rPr>
        <w:t>Efforts to consult with persons outside the agency</w:t>
      </w:r>
      <w:r>
        <w:rPr>
          <w:rFonts w:ascii="Times New Roman" w:hAnsi="Times New Roman"/>
          <w:szCs w:val="24"/>
        </w:rPr>
        <w:t>:</w:t>
      </w:r>
    </w:p>
    <w:p w:rsidR="00075A03" w:rsidRDefault="00075A03" w14:paraId="427585E9" w14:textId="77777777">
      <w:pPr>
        <w:rPr>
          <w:rFonts w:ascii="Times New Roman" w:hAnsi="Times New Roman"/>
          <w:szCs w:val="24"/>
        </w:rPr>
      </w:pPr>
    </w:p>
    <w:p w:rsidR="00075A03" w:rsidP="00714F75" w:rsidRDefault="00FD2160" w14:paraId="319F11D0" w14:textId="6946B7F8">
      <w:pPr>
        <w:ind w:left="270"/>
        <w:rPr>
          <w:rFonts w:ascii="Times New Roman" w:hAnsi="Times New Roman"/>
          <w:szCs w:val="24"/>
        </w:rPr>
      </w:pPr>
      <w:r>
        <w:rPr>
          <w:rFonts w:ascii="Times New Roman" w:hAnsi="Times New Roman"/>
          <w:szCs w:val="24"/>
        </w:rPr>
        <w:t>A</w:t>
      </w:r>
      <w:bookmarkStart w:name="_GoBack" w:id="0"/>
      <w:bookmarkEnd w:id="0"/>
      <w:r w:rsidRPr="00600EF6" w:rsidR="00600EF6">
        <w:rPr>
          <w:rFonts w:ascii="Times New Roman" w:hAnsi="Times New Roman"/>
          <w:szCs w:val="24"/>
        </w:rPr>
        <w:t xml:space="preserve"> notice </w:t>
      </w:r>
      <w:r w:rsidRPr="00714F75" w:rsidR="00600EF6">
        <w:rPr>
          <w:rFonts w:ascii="Times New Roman" w:hAnsi="Times New Roman"/>
        </w:rPr>
        <w:t>seeking</w:t>
      </w:r>
      <w:r w:rsidRPr="00600EF6" w:rsidR="00600EF6">
        <w:rPr>
          <w:rFonts w:ascii="Times New Roman" w:hAnsi="Times New Roman"/>
          <w:szCs w:val="24"/>
        </w:rPr>
        <w:t xml:space="preserve"> public comment for a 60-day period was published in the </w:t>
      </w:r>
      <w:r w:rsidRPr="00600EF6" w:rsidR="00600EF6">
        <w:rPr>
          <w:rFonts w:ascii="Times New Roman" w:hAnsi="Times New Roman"/>
          <w:i/>
          <w:szCs w:val="24"/>
        </w:rPr>
        <w:t>Federal</w:t>
      </w:r>
      <w:r w:rsidRPr="00600EF6" w:rsidR="00600EF6">
        <w:rPr>
          <w:rFonts w:ascii="Times New Roman" w:hAnsi="Times New Roman"/>
          <w:szCs w:val="24"/>
        </w:rPr>
        <w:t xml:space="preserve"> </w:t>
      </w:r>
      <w:r w:rsidRPr="00600EF6" w:rsidR="00600EF6">
        <w:rPr>
          <w:rFonts w:ascii="Times New Roman" w:hAnsi="Times New Roman"/>
          <w:i/>
          <w:szCs w:val="24"/>
        </w:rPr>
        <w:t>Register</w:t>
      </w:r>
      <w:r w:rsidRPr="00600EF6" w:rsidR="00600EF6">
        <w:rPr>
          <w:rFonts w:ascii="Times New Roman" w:hAnsi="Times New Roman"/>
          <w:szCs w:val="24"/>
        </w:rPr>
        <w:t xml:space="preserve"> on </w:t>
      </w:r>
      <w:r w:rsidR="00600EF6">
        <w:rPr>
          <w:rFonts w:ascii="Times New Roman" w:hAnsi="Times New Roman"/>
          <w:szCs w:val="24"/>
        </w:rPr>
        <w:t>February 17, 2021 (86</w:t>
      </w:r>
      <w:r w:rsidRPr="00600EF6" w:rsidR="00600EF6">
        <w:rPr>
          <w:rFonts w:ascii="Times New Roman" w:hAnsi="Times New Roman"/>
          <w:szCs w:val="24"/>
        </w:rPr>
        <w:t xml:space="preserve"> FR </w:t>
      </w:r>
      <w:r w:rsidR="00E0181A">
        <w:rPr>
          <w:rFonts w:ascii="Times New Roman" w:hAnsi="Times New Roman"/>
          <w:szCs w:val="24"/>
        </w:rPr>
        <w:t>9935</w:t>
      </w:r>
      <w:r w:rsidRPr="00600EF6" w:rsidR="00600EF6">
        <w:rPr>
          <w:rFonts w:ascii="Times New Roman" w:hAnsi="Times New Roman"/>
          <w:szCs w:val="24"/>
        </w:rPr>
        <w:t xml:space="preserve">).  </w:t>
      </w:r>
      <w:r w:rsidR="0070148F">
        <w:rPr>
          <w:rFonts w:ascii="Times New Roman" w:hAnsi="Times New Roman"/>
          <w:szCs w:val="24"/>
        </w:rPr>
        <w:t xml:space="preserve">No comments were </w:t>
      </w:r>
      <w:r w:rsidR="00075A03">
        <w:rPr>
          <w:rFonts w:ascii="Times New Roman" w:hAnsi="Times New Roman"/>
          <w:szCs w:val="24"/>
        </w:rPr>
        <w:t>received.</w:t>
      </w:r>
    </w:p>
    <w:p w:rsidR="00075A03" w:rsidRDefault="00075A03" w14:paraId="3E7B2E0E" w14:textId="77777777">
      <w:pPr>
        <w:rPr>
          <w:rFonts w:ascii="Times New Roman" w:hAnsi="Times New Roman"/>
          <w:szCs w:val="24"/>
        </w:rPr>
      </w:pPr>
    </w:p>
    <w:p w:rsidR="00075A03" w:rsidRDefault="00075A03" w14:paraId="16A2B298" w14:textId="77777777">
      <w:pPr>
        <w:outlineLvl w:val="0"/>
        <w:rPr>
          <w:rFonts w:ascii="Times New Roman" w:hAnsi="Times New Roman"/>
          <w:szCs w:val="24"/>
        </w:rPr>
      </w:pPr>
      <w:r>
        <w:rPr>
          <w:rFonts w:ascii="Times New Roman" w:hAnsi="Times New Roman"/>
          <w:szCs w:val="24"/>
        </w:rPr>
        <w:t xml:space="preserve">9. </w:t>
      </w:r>
      <w:r>
        <w:rPr>
          <w:rFonts w:ascii="Times New Roman" w:hAnsi="Times New Roman"/>
          <w:szCs w:val="24"/>
          <w:u w:val="single"/>
        </w:rPr>
        <w:t>Payment to respondents</w:t>
      </w:r>
      <w:r>
        <w:rPr>
          <w:rFonts w:ascii="Times New Roman" w:hAnsi="Times New Roman"/>
          <w:szCs w:val="24"/>
        </w:rPr>
        <w:t>:</w:t>
      </w:r>
    </w:p>
    <w:p w:rsidR="00075A03" w:rsidRDefault="00075A03" w14:paraId="7AAA2D15" w14:textId="77777777">
      <w:pPr>
        <w:rPr>
          <w:rFonts w:ascii="Times New Roman" w:hAnsi="Times New Roman"/>
          <w:szCs w:val="24"/>
        </w:rPr>
      </w:pPr>
    </w:p>
    <w:p w:rsidR="00714F75" w:rsidP="00480AA1" w:rsidRDefault="00075A03" w14:paraId="6D9083D9"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rsidRDefault="00075A03" w14:paraId="5C1F1A89" w14:textId="77777777">
      <w:pPr>
        <w:rPr>
          <w:rFonts w:ascii="Times New Roman" w:hAnsi="Times New Roman"/>
          <w:szCs w:val="24"/>
        </w:rPr>
      </w:pPr>
    </w:p>
    <w:p w:rsidR="00075A03" w:rsidRDefault="00075A03" w14:paraId="3049D99B"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10. </w:t>
      </w:r>
      <w:r>
        <w:rPr>
          <w:rFonts w:ascii="Times New Roman" w:hAnsi="Times New Roman"/>
          <w:szCs w:val="24"/>
          <w:u w:val="single"/>
        </w:rPr>
        <w:t>Any assurance of confidentiality</w:t>
      </w:r>
      <w:r>
        <w:rPr>
          <w:rFonts w:ascii="Times New Roman" w:hAnsi="Times New Roman"/>
          <w:szCs w:val="24"/>
        </w:rPr>
        <w:t>:</w:t>
      </w:r>
    </w:p>
    <w:p w:rsidR="00075A03" w:rsidRDefault="00075A03" w14:paraId="1C2DCF00" w14:textId="77777777">
      <w:pPr>
        <w:rPr>
          <w:rFonts w:ascii="Times New Roman" w:hAnsi="Times New Roman"/>
          <w:szCs w:val="24"/>
        </w:rPr>
      </w:pPr>
    </w:p>
    <w:p w:rsidR="00075A03" w:rsidP="0086580D" w:rsidRDefault="0086580D" w14:paraId="246AF59D" w14:textId="77777777">
      <w:pPr>
        <w:ind w:left="270"/>
        <w:rPr>
          <w:rFonts w:ascii="Times New Roman" w:hAnsi="Times New Roman"/>
          <w:szCs w:val="24"/>
        </w:rPr>
      </w:pPr>
      <w:r w:rsidRPr="0086580D">
        <w:rPr>
          <w:rFonts w:ascii="Times New Roman" w:hAnsi="Times New Roman"/>
          <w:szCs w:val="24"/>
        </w:rPr>
        <w:t>The information will be kept private to the extent permitted by law.</w:t>
      </w:r>
    </w:p>
    <w:p w:rsidR="00075A03" w:rsidRDefault="00075A03" w14:paraId="365D4DDF" w14:textId="77777777">
      <w:pPr>
        <w:rPr>
          <w:rFonts w:ascii="Times New Roman" w:hAnsi="Times New Roman"/>
          <w:szCs w:val="24"/>
        </w:rPr>
      </w:pPr>
    </w:p>
    <w:p w:rsidR="00075A03" w:rsidRDefault="00075A03" w14:paraId="34812294"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11. </w:t>
      </w:r>
      <w:r>
        <w:rPr>
          <w:rFonts w:ascii="Times New Roman" w:hAnsi="Times New Roman"/>
          <w:szCs w:val="24"/>
          <w:u w:val="single"/>
        </w:rPr>
        <w:t>Justification for questions of a sensitive nature</w:t>
      </w:r>
      <w:r>
        <w:rPr>
          <w:rFonts w:ascii="Times New Roman" w:hAnsi="Times New Roman"/>
          <w:szCs w:val="24"/>
        </w:rPr>
        <w:t>:</w:t>
      </w:r>
    </w:p>
    <w:p w:rsidR="00075A03" w:rsidRDefault="00075A03" w14:paraId="591854F1" w14:textId="77777777">
      <w:pPr>
        <w:rPr>
          <w:rFonts w:ascii="Times New Roman" w:hAnsi="Times New Roman"/>
          <w:szCs w:val="24"/>
        </w:rPr>
      </w:pPr>
    </w:p>
    <w:p w:rsidR="00075A03" w:rsidP="00714F75" w:rsidRDefault="00714F75" w14:paraId="157F7ED7" w14:textId="77777777">
      <w:pPr>
        <w:ind w:left="270"/>
        <w:rPr>
          <w:rFonts w:ascii="Times New Roman" w:hAnsi="Times New Roman"/>
          <w:szCs w:val="24"/>
        </w:rPr>
      </w:pPr>
      <w:r w:rsidRPr="00714F75">
        <w:rPr>
          <w:rFonts w:ascii="Times New Roman" w:hAnsi="Times New Roman"/>
          <w:szCs w:val="24"/>
        </w:rPr>
        <w:t xml:space="preserve">This </w:t>
      </w:r>
      <w:r w:rsidRPr="00714F75">
        <w:rPr>
          <w:rFonts w:ascii="Times New Roman" w:hAnsi="Times New Roman"/>
        </w:rPr>
        <w:t>collection</w:t>
      </w:r>
      <w:r w:rsidRPr="00714F75">
        <w:rPr>
          <w:rFonts w:ascii="Times New Roman" w:hAnsi="Times New Roman"/>
          <w:szCs w:val="24"/>
        </w:rPr>
        <w:t xml:space="preserve"> contains no sensitive information.</w:t>
      </w:r>
    </w:p>
    <w:p w:rsidR="00714F75" w:rsidRDefault="00714F75" w14:paraId="5731B70D" w14:textId="77777777">
      <w:pPr>
        <w:rPr>
          <w:rFonts w:ascii="Times New Roman" w:hAnsi="Times New Roman"/>
          <w:szCs w:val="24"/>
        </w:rPr>
      </w:pPr>
    </w:p>
    <w:p w:rsidR="00075A03" w:rsidP="00714F75" w:rsidRDefault="00075A03" w14:paraId="2948495D" w14:textId="7C1C64A7">
      <w:pPr>
        <w:autoSpaceDE w:val="0"/>
        <w:autoSpaceDN w:val="0"/>
        <w:adjustRightInd w:val="0"/>
        <w:rPr>
          <w:rFonts w:ascii="Times New Roman" w:hAnsi="Times New Roman"/>
          <w:snapToGrid/>
          <w:spacing w:val="-3"/>
          <w:szCs w:val="24"/>
        </w:rPr>
      </w:pPr>
      <w:r>
        <w:rPr>
          <w:rFonts w:ascii="Times New Roman" w:hAnsi="Times New Roman"/>
          <w:szCs w:val="24"/>
        </w:rPr>
        <w:t xml:space="preserve">12. </w:t>
      </w:r>
      <w:r w:rsidRPr="00714F75" w:rsidR="00714F75">
        <w:rPr>
          <w:rFonts w:ascii="Times New Roman" w:hAnsi="Times New Roman"/>
          <w:snapToGrid/>
          <w:spacing w:val="-3"/>
          <w:szCs w:val="24"/>
          <w:u w:val="single"/>
        </w:rPr>
        <w:t>Estimates o</w:t>
      </w:r>
      <w:r w:rsidR="00714F75">
        <w:rPr>
          <w:rFonts w:ascii="Times New Roman" w:hAnsi="Times New Roman"/>
          <w:snapToGrid/>
          <w:spacing w:val="-3"/>
          <w:szCs w:val="24"/>
          <w:u w:val="single"/>
        </w:rPr>
        <w:t>f Hour Burden and Annualized Cos</w:t>
      </w:r>
      <w:r w:rsidRPr="00714F75" w:rsidR="00714F75">
        <w:rPr>
          <w:rFonts w:ascii="Times New Roman" w:hAnsi="Times New Roman"/>
          <w:snapToGrid/>
          <w:spacing w:val="-3"/>
          <w:szCs w:val="24"/>
          <w:u w:val="single"/>
        </w:rPr>
        <w:t>t</w:t>
      </w:r>
      <w:r w:rsidR="00714F75">
        <w:rPr>
          <w:rFonts w:ascii="Times New Roman" w:hAnsi="Times New Roman"/>
          <w:snapToGrid/>
          <w:spacing w:val="-3"/>
          <w:szCs w:val="24"/>
        </w:rPr>
        <w:t>:</w:t>
      </w:r>
    </w:p>
    <w:p w:rsidR="003E51EB" w:rsidP="00714F75" w:rsidRDefault="003E51EB" w14:paraId="684E4AD5" w14:textId="36C06DB0">
      <w:pPr>
        <w:autoSpaceDE w:val="0"/>
        <w:autoSpaceDN w:val="0"/>
        <w:adjustRightInd w:val="0"/>
        <w:rPr>
          <w:rFonts w:ascii="Times New Roman" w:hAnsi="Times New Roman"/>
          <w:snapToGrid/>
          <w:spacing w:val="-3"/>
          <w:szCs w:val="24"/>
        </w:rPr>
      </w:pPr>
    </w:p>
    <w:p w:rsidR="001B7169" w:rsidP="001B7169" w:rsidRDefault="001B7169" w14:paraId="378864B6" w14:textId="77777777">
      <w:pPr>
        <w:ind w:left="270"/>
        <w:rPr>
          <w:rFonts w:ascii="Times New Roman" w:hAnsi="Times New Roman"/>
          <w:snapToGrid/>
          <w:spacing w:val="-3"/>
          <w:szCs w:val="24"/>
        </w:rPr>
      </w:pPr>
      <w:r w:rsidRPr="001B7169">
        <w:rPr>
          <w:rFonts w:ascii="Times New Roman" w:hAnsi="Times New Roman"/>
          <w:snapToGrid/>
          <w:spacing w:val="-3"/>
          <w:szCs w:val="24"/>
        </w:rPr>
        <w:t xml:space="preserve">All </w:t>
      </w:r>
      <w:r w:rsidRPr="001B7169">
        <w:rPr>
          <w:rFonts w:ascii="Times New Roman" w:hAnsi="Times New Roman"/>
          <w:szCs w:val="24"/>
        </w:rPr>
        <w:t>institutions</w:t>
      </w:r>
      <w:r w:rsidRPr="001B7169">
        <w:rPr>
          <w:rFonts w:ascii="Times New Roman" w:hAnsi="Times New Roman"/>
          <w:snapToGrid/>
          <w:spacing w:val="-3"/>
          <w:szCs w:val="24"/>
        </w:rPr>
        <w:t xml:space="preserve"> that were covered FSIs on January 1, 2018 were required to comply with the </w:t>
      </w:r>
      <w:r w:rsidRPr="001B7169">
        <w:rPr>
          <w:rFonts w:ascii="Times New Roman" w:hAnsi="Times New Roman"/>
          <w:snapToGrid/>
          <w:spacing w:val="-3"/>
          <w:szCs w:val="24"/>
        </w:rPr>
        <w:lastRenderedPageBreak/>
        <w:t>QFC stay rule by January 1, 2020. That means that, except for the three possible exceptions described below, all required paperwork revisions that are required to be completed by the covered entities to comply with the rule should have been completed by January 1, 2020. Consequently, for the purpose of 2021 and future PRA analysis, the FDIC does not expect any on-occasion paperwork b</w:t>
      </w:r>
      <w:r>
        <w:rPr>
          <w:rFonts w:ascii="Times New Roman" w:hAnsi="Times New Roman"/>
          <w:snapToGrid/>
          <w:spacing w:val="-3"/>
          <w:szCs w:val="24"/>
        </w:rPr>
        <w:t>urden associated with the rule.</w:t>
      </w:r>
    </w:p>
    <w:p w:rsidR="001B7169" w:rsidP="001B7169" w:rsidRDefault="001B7169" w14:paraId="2F047136" w14:textId="77777777">
      <w:pPr>
        <w:ind w:left="270"/>
        <w:rPr>
          <w:rFonts w:ascii="Times New Roman" w:hAnsi="Times New Roman"/>
          <w:snapToGrid/>
          <w:spacing w:val="-3"/>
          <w:szCs w:val="24"/>
        </w:rPr>
      </w:pPr>
    </w:p>
    <w:p w:rsidRPr="001B7169" w:rsidR="001B7169" w:rsidP="001B7169" w:rsidRDefault="001B7169" w14:paraId="614ECC8C" w14:textId="77A278E2">
      <w:pPr>
        <w:ind w:left="270"/>
        <w:rPr>
          <w:rFonts w:ascii="Times New Roman" w:hAnsi="Times New Roman"/>
          <w:snapToGrid/>
          <w:spacing w:val="-3"/>
          <w:szCs w:val="24"/>
        </w:rPr>
      </w:pPr>
      <w:r w:rsidRPr="001B7169">
        <w:rPr>
          <w:rFonts w:ascii="Times New Roman" w:hAnsi="Times New Roman"/>
          <w:snapToGrid/>
          <w:spacing w:val="-3"/>
          <w:szCs w:val="24"/>
        </w:rPr>
        <w:t>The three exceptions to the foregoing statement are: (i) under the QFC stay rule, a covered FSI is not required to bring QFCs with a counterparty that were entered into prior to January 1, 2019 into compliance unless the covered FSI or any affiliate of the covered FSI becomes party to a QFC with the same counterparty or a consolidated affiliate of that party on or after January 1, 2019 (subject to special rules relating to institutions that become covered FSIs after January 1, 2018); (ii) entities that become covered entities after January 1 2018 have extended compliance periods (which can extend the date for compliance to the date that is the first day of the calendar quarter immediately following one year, 18 months or two years (depending on the type of counterparty) from the date the entity first became a covered entity); and (iii) a covered FSI might enter into a QFC with a counterparty that is not yet covered by documentation that complies with the rule</w:t>
      </w:r>
    </w:p>
    <w:p w:rsidRPr="001B7169" w:rsidR="001B7169" w:rsidP="001B7169" w:rsidRDefault="001B7169" w14:paraId="270A0D66" w14:textId="77777777">
      <w:pPr>
        <w:autoSpaceDE w:val="0"/>
        <w:autoSpaceDN w:val="0"/>
        <w:adjustRightInd w:val="0"/>
        <w:rPr>
          <w:rFonts w:ascii="Times New Roman" w:hAnsi="Times New Roman"/>
          <w:snapToGrid/>
          <w:spacing w:val="-3"/>
          <w:szCs w:val="24"/>
        </w:rPr>
      </w:pPr>
      <w:r w:rsidRPr="001B7169">
        <w:rPr>
          <w:rFonts w:ascii="Times New Roman" w:hAnsi="Times New Roman"/>
          <w:snapToGrid/>
          <w:spacing w:val="-3"/>
          <w:szCs w:val="24"/>
        </w:rPr>
        <w:tab/>
      </w:r>
    </w:p>
    <w:p w:rsidR="001B7169" w:rsidP="001B7169" w:rsidRDefault="001B7169" w14:paraId="47B0C32B" w14:textId="52465BAE">
      <w:pPr>
        <w:ind w:left="270"/>
        <w:rPr>
          <w:rFonts w:ascii="Times New Roman" w:hAnsi="Times New Roman"/>
          <w:snapToGrid/>
          <w:spacing w:val="-3"/>
          <w:szCs w:val="24"/>
        </w:rPr>
      </w:pPr>
      <w:r w:rsidRPr="001B7169">
        <w:rPr>
          <w:rFonts w:ascii="Times New Roman" w:hAnsi="Times New Roman"/>
          <w:snapToGrid/>
          <w:spacing w:val="-3"/>
          <w:szCs w:val="24"/>
        </w:rPr>
        <w:t xml:space="preserve">Moreover, because the market practices and conventions relating to derivatives, repo, SFT and other QFC </w:t>
      </w:r>
      <w:r w:rsidRPr="001B7169">
        <w:rPr>
          <w:rFonts w:ascii="Times New Roman" w:hAnsi="Times New Roman"/>
          <w:szCs w:val="24"/>
        </w:rPr>
        <w:t>products</w:t>
      </w:r>
      <w:r w:rsidRPr="001B7169">
        <w:rPr>
          <w:rFonts w:ascii="Times New Roman" w:hAnsi="Times New Roman"/>
          <w:snapToGrid/>
          <w:spacing w:val="-3"/>
          <w:szCs w:val="24"/>
        </w:rPr>
        <w:t xml:space="preserve"> have evolved to include the stay provisions in the documentation used by market participants, FDIC estimates that any legal documentation review will be addressed as a part of the normal business on-boarding or maintenance of the business relations. However, FDIC recognizes that there is a possibility of a new entrant or a new product that can fall under the scope of the subject rule and, consequently, provides for a possibility of one or more respondents that can be impacted by the rule.</w:t>
      </w:r>
    </w:p>
    <w:p w:rsidRPr="001B7169" w:rsidR="001B7169" w:rsidP="001B7169" w:rsidRDefault="001B7169" w14:paraId="7037F7ED" w14:textId="77777777">
      <w:pPr>
        <w:ind w:left="270"/>
        <w:rPr>
          <w:rFonts w:ascii="Times New Roman" w:hAnsi="Times New Roman"/>
          <w:snapToGrid/>
          <w:spacing w:val="-3"/>
          <w:szCs w:val="24"/>
        </w:rPr>
      </w:pPr>
    </w:p>
    <w:p w:rsidR="003E51EB" w:rsidP="001B7169" w:rsidRDefault="001B7169" w14:paraId="0F3CD4E1" w14:textId="633C1C8A">
      <w:pPr>
        <w:ind w:left="270"/>
        <w:rPr>
          <w:rFonts w:ascii="Times New Roman" w:hAnsi="Times New Roman"/>
          <w:snapToGrid/>
          <w:spacing w:val="-3"/>
          <w:szCs w:val="24"/>
        </w:rPr>
      </w:pPr>
      <w:r w:rsidRPr="001B7169">
        <w:rPr>
          <w:rFonts w:ascii="Times New Roman" w:hAnsi="Times New Roman"/>
          <w:snapToGrid/>
          <w:spacing w:val="-3"/>
          <w:szCs w:val="24"/>
        </w:rPr>
        <w:t xml:space="preserve">As noted above, the industry undertook major initiatives to achieve streamlining and straight-through processing for both on-boarding and maintenance of the QFC records over the last years. </w:t>
      </w:r>
      <w:r w:rsidRPr="001B7169">
        <w:rPr>
          <w:rFonts w:ascii="Times New Roman" w:hAnsi="Times New Roman"/>
          <w:szCs w:val="24"/>
        </w:rPr>
        <w:t>Consequently</w:t>
      </w:r>
      <w:r w:rsidRPr="001B7169">
        <w:rPr>
          <w:rFonts w:ascii="Times New Roman" w:hAnsi="Times New Roman"/>
          <w:snapToGrid/>
          <w:spacing w:val="-3"/>
          <w:szCs w:val="24"/>
        </w:rPr>
        <w:t>, in case a new entrant/product will be scoped-in by the subject rule to impose the paperwork burden, FDIC estimates that such burden will be less than half of the burden estimated in 2018 thanks to the automation and standardization of business processes. Accordingly, the time per response has been revised to 20 hours from the 40 hours previously estimated.</w:t>
      </w:r>
    </w:p>
    <w:p w:rsidR="009C641E" w:rsidP="00714F75" w:rsidRDefault="009C641E" w14:paraId="428E3520" w14:textId="032851A1">
      <w:pPr>
        <w:autoSpaceDE w:val="0"/>
        <w:autoSpaceDN w:val="0"/>
        <w:adjustRightInd w:val="0"/>
        <w:rPr>
          <w:rFonts w:ascii="Times New Roman" w:hAnsi="Times New Roman"/>
          <w:snapToGrid/>
          <w:spacing w:val="-3"/>
          <w:szCs w:val="24"/>
        </w:rPr>
      </w:pPr>
    </w:p>
    <w:p w:rsidR="009C641E" w:rsidP="009C641E" w:rsidRDefault="009C641E" w14:paraId="3CD04516" w14:textId="50C26741">
      <w:pPr>
        <w:autoSpaceDE w:val="0"/>
        <w:autoSpaceDN w:val="0"/>
        <w:adjustRightInd w:val="0"/>
        <w:jc w:val="center"/>
        <w:rPr>
          <w:rFonts w:ascii="Times New Roman" w:hAnsi="Times New Roman"/>
          <w:snapToGrid/>
          <w:spacing w:val="-3"/>
          <w:szCs w:val="24"/>
        </w:rPr>
      </w:pPr>
      <w:r>
        <w:rPr>
          <w:rFonts w:ascii="Times New Roman" w:hAnsi="Times New Roman"/>
          <w:snapToGrid/>
          <w:spacing w:val="-3"/>
          <w:szCs w:val="24"/>
        </w:rPr>
        <w:t>Summary of Estimate Annual Burden</w:t>
      </w:r>
    </w:p>
    <w:p w:rsidRPr="00714F75" w:rsidR="009C641E" w:rsidP="009C641E" w:rsidRDefault="009C641E" w14:paraId="4D000992" w14:textId="13712A44">
      <w:pPr>
        <w:autoSpaceDE w:val="0"/>
        <w:autoSpaceDN w:val="0"/>
        <w:adjustRightInd w:val="0"/>
        <w:jc w:val="center"/>
        <w:rPr>
          <w:rFonts w:ascii="Times New Roman" w:hAnsi="Times New Roman"/>
          <w:snapToGrid/>
          <w:spacing w:val="-3"/>
          <w:szCs w:val="24"/>
        </w:rPr>
      </w:pPr>
      <w:r>
        <w:rPr>
          <w:rFonts w:ascii="Times New Roman" w:hAnsi="Times New Roman"/>
          <w:snapToGrid/>
          <w:spacing w:val="-3"/>
          <w:szCs w:val="24"/>
        </w:rPr>
        <w:t>(3064-0208)</w:t>
      </w:r>
    </w:p>
    <w:p w:rsidR="00075A03" w:rsidRDefault="00075A03" w14:paraId="55332DE1" w14:textId="77777777">
      <w:pPr>
        <w:rPr>
          <w:rFonts w:ascii="Times New Roman" w:hAnsi="Times New Roman"/>
        </w:rPr>
      </w:pPr>
      <w:r>
        <w:rPr>
          <w:rFonts w:ascii="Times New Roman" w:hAnsi="Times New Roman"/>
        </w:rPr>
        <w:t xml:space="preserve"> </w:t>
      </w:r>
    </w:p>
    <w:tbl>
      <w:tblPr>
        <w:tblW w:w="9445" w:type="dxa"/>
        <w:tblLook w:val="04A0" w:firstRow="1" w:lastRow="0" w:firstColumn="1" w:lastColumn="0" w:noHBand="0" w:noVBand="1"/>
      </w:tblPr>
      <w:tblGrid>
        <w:gridCol w:w="3272"/>
        <w:gridCol w:w="1313"/>
        <w:gridCol w:w="1501"/>
        <w:gridCol w:w="1109"/>
        <w:gridCol w:w="1080"/>
        <w:gridCol w:w="1170"/>
      </w:tblGrid>
      <w:tr w:rsidRPr="00AD621A" w:rsidR="00AD621A" w:rsidTr="009C641E" w14:paraId="3C742F39" w14:textId="77777777">
        <w:trPr>
          <w:trHeight w:val="1056"/>
        </w:trPr>
        <w:tc>
          <w:tcPr>
            <w:tcW w:w="32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621A" w:rsidR="00AD621A" w:rsidP="00AD621A" w:rsidRDefault="00AD621A" w14:paraId="1F6E82A1"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Source and Burden</w:t>
            </w:r>
          </w:p>
        </w:tc>
        <w:tc>
          <w:tcPr>
            <w:tcW w:w="1313" w:type="dxa"/>
            <w:tcBorders>
              <w:top w:val="single" w:color="auto" w:sz="4" w:space="0"/>
              <w:left w:val="nil"/>
              <w:bottom w:val="single" w:color="auto" w:sz="4" w:space="0"/>
              <w:right w:val="single" w:color="auto" w:sz="4" w:space="0"/>
            </w:tcBorders>
            <w:shd w:val="clear" w:color="auto" w:fill="auto"/>
            <w:vAlign w:val="center"/>
            <w:hideMark/>
          </w:tcPr>
          <w:p w:rsidRPr="00AD621A" w:rsidR="00AD621A" w:rsidP="00AD621A" w:rsidRDefault="009C641E" w14:paraId="6D960BB7" w14:textId="1AF1D1AD">
            <w:pPr>
              <w:widowControl/>
              <w:jc w:val="center"/>
              <w:rPr>
                <w:rFonts w:ascii="Source Sans Pro" w:hAnsi="Source Sans Pro"/>
                <w:snapToGrid/>
                <w:color w:val="000000"/>
                <w:sz w:val="20"/>
              </w:rPr>
            </w:pPr>
            <w:r>
              <w:rPr>
                <w:rFonts w:ascii="Source Sans Pro" w:hAnsi="Source Sans Pro"/>
                <w:snapToGrid/>
                <w:color w:val="000000"/>
                <w:sz w:val="20"/>
              </w:rPr>
              <w:t>Obligation To Respond</w:t>
            </w:r>
          </w:p>
        </w:tc>
        <w:tc>
          <w:tcPr>
            <w:tcW w:w="1501" w:type="dxa"/>
            <w:tcBorders>
              <w:top w:val="single" w:color="auto" w:sz="4" w:space="0"/>
              <w:left w:val="nil"/>
              <w:bottom w:val="single" w:color="auto" w:sz="4" w:space="0"/>
              <w:right w:val="single" w:color="auto" w:sz="4" w:space="0"/>
            </w:tcBorders>
            <w:shd w:val="clear" w:color="auto" w:fill="auto"/>
            <w:vAlign w:val="center"/>
            <w:hideMark/>
          </w:tcPr>
          <w:p w:rsidRPr="00AD621A" w:rsidR="00AD621A" w:rsidP="00AD621A" w:rsidRDefault="00AD621A" w14:paraId="304C5249" w14:textId="7F103B3A">
            <w:pPr>
              <w:widowControl/>
              <w:jc w:val="center"/>
              <w:rPr>
                <w:rFonts w:ascii="Source Sans Pro" w:hAnsi="Source Sans Pro"/>
                <w:snapToGrid/>
                <w:color w:val="000000"/>
                <w:sz w:val="20"/>
              </w:rPr>
            </w:pPr>
            <w:r w:rsidRPr="00AD621A">
              <w:rPr>
                <w:rFonts w:ascii="Source Sans Pro" w:hAnsi="Source Sans Pro"/>
                <w:snapToGrid/>
                <w:color w:val="000000"/>
                <w:sz w:val="20"/>
              </w:rPr>
              <w:t>Es</w:t>
            </w:r>
            <w:r w:rsidR="009C641E">
              <w:rPr>
                <w:rFonts w:ascii="Source Sans Pro" w:hAnsi="Source Sans Pro"/>
                <w:snapToGrid/>
                <w:color w:val="000000"/>
                <w:sz w:val="20"/>
              </w:rPr>
              <w:t xml:space="preserve">timated Number of </w:t>
            </w:r>
            <w:r w:rsidRPr="00AD621A">
              <w:rPr>
                <w:rFonts w:ascii="Source Sans Pro" w:hAnsi="Source Sans Pro"/>
                <w:snapToGrid/>
                <w:color w:val="000000"/>
                <w:sz w:val="20"/>
              </w:rPr>
              <w:t>Respondent</w:t>
            </w:r>
            <w:r w:rsidR="009C641E">
              <w:rPr>
                <w:rFonts w:ascii="Source Sans Pro" w:hAnsi="Source Sans Pro"/>
                <w:snapToGrid/>
                <w:color w:val="000000"/>
                <w:sz w:val="20"/>
              </w:rPr>
              <w:t>s</w:t>
            </w:r>
          </w:p>
        </w:tc>
        <w:tc>
          <w:tcPr>
            <w:tcW w:w="1109" w:type="dxa"/>
            <w:tcBorders>
              <w:top w:val="single" w:color="auto" w:sz="4" w:space="0"/>
              <w:left w:val="nil"/>
              <w:bottom w:val="single" w:color="auto" w:sz="4" w:space="0"/>
              <w:right w:val="single" w:color="auto" w:sz="4" w:space="0"/>
            </w:tcBorders>
            <w:shd w:val="clear" w:color="auto" w:fill="auto"/>
            <w:vAlign w:val="center"/>
            <w:hideMark/>
          </w:tcPr>
          <w:p w:rsidRPr="00AD621A" w:rsidR="00AD621A" w:rsidP="00AD621A" w:rsidRDefault="009C641E" w14:paraId="7AFD7616" w14:textId="19A5161A">
            <w:pPr>
              <w:widowControl/>
              <w:jc w:val="center"/>
              <w:rPr>
                <w:rFonts w:ascii="Source Sans Pro" w:hAnsi="Source Sans Pro"/>
                <w:snapToGrid/>
                <w:color w:val="000000"/>
                <w:sz w:val="20"/>
              </w:rPr>
            </w:pPr>
            <w:r>
              <w:rPr>
                <w:rFonts w:ascii="Source Sans Pro" w:hAnsi="Source Sans Pro"/>
                <w:snapToGrid/>
                <w:color w:val="000000"/>
                <w:sz w:val="20"/>
              </w:rPr>
              <w:t>Frequency</w:t>
            </w:r>
            <w:r w:rsidRPr="00AD621A" w:rsidR="00AD621A">
              <w:rPr>
                <w:rFonts w:ascii="Source Sans Pro" w:hAnsi="Source Sans Pro"/>
                <w:snapToGrid/>
                <w:color w:val="000000"/>
                <w:sz w:val="20"/>
              </w:rPr>
              <w:t xml:space="preserve"> of Response</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AD621A" w:rsidR="00AD621A" w:rsidP="00AD621A" w:rsidRDefault="00AD621A" w14:paraId="68A81357"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Estimated Time per Response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AD621A" w:rsidR="00AD621A" w:rsidP="00AD621A" w:rsidRDefault="00AD621A" w14:paraId="12FAD96F"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Estimated Annual Burden (Hours)</w:t>
            </w:r>
          </w:p>
        </w:tc>
      </w:tr>
      <w:tr w:rsidRPr="00AD621A" w:rsidR="00AD621A" w:rsidTr="009C641E" w14:paraId="225C87EE" w14:textId="77777777">
        <w:trPr>
          <w:trHeight w:val="288"/>
        </w:trPr>
        <w:tc>
          <w:tcPr>
            <w:tcW w:w="3272" w:type="dxa"/>
            <w:tcBorders>
              <w:top w:val="nil"/>
              <w:left w:val="single" w:color="auto" w:sz="4" w:space="0"/>
              <w:bottom w:val="single" w:color="auto" w:sz="4" w:space="0"/>
              <w:right w:val="single" w:color="auto" w:sz="4" w:space="0"/>
            </w:tcBorders>
            <w:shd w:val="clear" w:color="auto" w:fill="auto"/>
            <w:vAlign w:val="center"/>
            <w:hideMark/>
          </w:tcPr>
          <w:p w:rsidRPr="00AD621A" w:rsidR="00AD621A" w:rsidP="00AD621A" w:rsidRDefault="00AD621A" w14:paraId="50446483" w14:textId="77777777">
            <w:pPr>
              <w:widowControl/>
              <w:rPr>
                <w:rFonts w:ascii="Source Sans Pro" w:hAnsi="Source Sans Pro"/>
                <w:snapToGrid/>
                <w:color w:val="000000"/>
                <w:sz w:val="20"/>
              </w:rPr>
            </w:pPr>
            <w:r w:rsidRPr="00AD621A">
              <w:rPr>
                <w:rFonts w:ascii="Source Sans Pro" w:hAnsi="Source Sans Pro"/>
                <w:snapToGrid/>
                <w:color w:val="000000"/>
                <w:sz w:val="20"/>
              </w:rPr>
              <w:t xml:space="preserve">Approval requests prepared and submitted to the FDIC regarding modifications to enhanced creditor protection provisions </w:t>
            </w:r>
            <w:r w:rsidRPr="00AD621A">
              <w:rPr>
                <w:rFonts w:ascii="Source Sans Pro" w:hAnsi="Source Sans Pro"/>
                <w:snapToGrid/>
                <w:color w:val="000000"/>
                <w:sz w:val="20"/>
              </w:rPr>
              <w:br/>
            </w:r>
            <w:r w:rsidRPr="00AD621A">
              <w:rPr>
                <w:rFonts w:ascii="Source Sans Pro" w:hAnsi="Source Sans Pro"/>
                <w:i/>
                <w:snapToGrid/>
                <w:color w:val="000000"/>
                <w:sz w:val="20"/>
              </w:rPr>
              <w:t>(reporting burden)</w:t>
            </w:r>
          </w:p>
        </w:tc>
        <w:tc>
          <w:tcPr>
            <w:tcW w:w="1313" w:type="dxa"/>
            <w:tcBorders>
              <w:top w:val="nil"/>
              <w:left w:val="nil"/>
              <w:bottom w:val="single" w:color="auto" w:sz="4" w:space="0"/>
              <w:right w:val="single" w:color="auto" w:sz="4" w:space="0"/>
            </w:tcBorders>
            <w:shd w:val="clear" w:color="auto" w:fill="auto"/>
            <w:noWrap/>
            <w:vAlign w:val="center"/>
            <w:hideMark/>
          </w:tcPr>
          <w:p w:rsidRPr="00AD621A" w:rsidR="00AD621A" w:rsidP="00AD621A" w:rsidRDefault="009C641E" w14:paraId="6AD0E861" w14:textId="1972C770">
            <w:pPr>
              <w:widowControl/>
              <w:jc w:val="center"/>
              <w:rPr>
                <w:rFonts w:ascii="Source Sans Pro" w:hAnsi="Source Sans Pro"/>
                <w:snapToGrid/>
                <w:color w:val="000000"/>
                <w:sz w:val="20"/>
              </w:rPr>
            </w:pPr>
            <w:r>
              <w:rPr>
                <w:rFonts w:ascii="Source Sans Pro" w:hAnsi="Source Sans Pro"/>
                <w:snapToGrid/>
                <w:color w:val="000000"/>
                <w:sz w:val="20"/>
              </w:rPr>
              <w:t>Voluntary</w:t>
            </w:r>
          </w:p>
        </w:tc>
        <w:tc>
          <w:tcPr>
            <w:tcW w:w="1501" w:type="dxa"/>
            <w:tcBorders>
              <w:top w:val="nil"/>
              <w:left w:val="nil"/>
              <w:bottom w:val="single" w:color="auto" w:sz="4" w:space="0"/>
              <w:right w:val="single" w:color="auto" w:sz="4" w:space="0"/>
            </w:tcBorders>
            <w:shd w:val="clear" w:color="auto" w:fill="auto"/>
            <w:noWrap/>
            <w:vAlign w:val="center"/>
            <w:hideMark/>
          </w:tcPr>
          <w:p w:rsidRPr="00AD621A" w:rsidR="00AD621A" w:rsidP="00AD621A" w:rsidRDefault="00AD621A" w14:paraId="6B6FB591"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1</w:t>
            </w:r>
          </w:p>
        </w:tc>
        <w:tc>
          <w:tcPr>
            <w:tcW w:w="1109" w:type="dxa"/>
            <w:tcBorders>
              <w:top w:val="nil"/>
              <w:left w:val="nil"/>
              <w:bottom w:val="single" w:color="auto" w:sz="4" w:space="0"/>
              <w:right w:val="single" w:color="auto" w:sz="4" w:space="0"/>
            </w:tcBorders>
            <w:shd w:val="clear" w:color="auto" w:fill="auto"/>
            <w:noWrap/>
            <w:vAlign w:val="center"/>
            <w:hideMark/>
          </w:tcPr>
          <w:p w:rsidRPr="00AD621A" w:rsidR="00AD621A" w:rsidP="00AD621A" w:rsidRDefault="009C641E" w14:paraId="37955DE8" w14:textId="243CE976">
            <w:pPr>
              <w:widowControl/>
              <w:jc w:val="center"/>
              <w:rPr>
                <w:rFonts w:ascii="Source Sans Pro" w:hAnsi="Source Sans Pro"/>
                <w:snapToGrid/>
                <w:color w:val="000000"/>
                <w:sz w:val="20"/>
              </w:rPr>
            </w:pPr>
            <w:r>
              <w:rPr>
                <w:rFonts w:ascii="Source Sans Pro" w:hAnsi="Source Sans Pro"/>
                <w:snapToGrid/>
                <w:color w:val="000000"/>
                <w:sz w:val="20"/>
              </w:rPr>
              <w:t>On Occasion</w:t>
            </w:r>
          </w:p>
        </w:tc>
        <w:tc>
          <w:tcPr>
            <w:tcW w:w="1080" w:type="dxa"/>
            <w:tcBorders>
              <w:top w:val="nil"/>
              <w:left w:val="nil"/>
              <w:bottom w:val="single" w:color="auto" w:sz="4" w:space="0"/>
              <w:right w:val="single" w:color="auto" w:sz="4" w:space="0"/>
            </w:tcBorders>
            <w:shd w:val="clear" w:color="auto" w:fill="auto"/>
            <w:noWrap/>
            <w:vAlign w:val="center"/>
            <w:hideMark/>
          </w:tcPr>
          <w:p w:rsidRPr="00AD621A" w:rsidR="00AD621A" w:rsidP="00AD621A" w:rsidRDefault="00AD621A" w14:paraId="78406C36"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20</w:t>
            </w:r>
          </w:p>
        </w:tc>
        <w:tc>
          <w:tcPr>
            <w:tcW w:w="1170" w:type="dxa"/>
            <w:tcBorders>
              <w:top w:val="nil"/>
              <w:left w:val="nil"/>
              <w:bottom w:val="single" w:color="auto" w:sz="4" w:space="0"/>
              <w:right w:val="single" w:color="auto" w:sz="4" w:space="0"/>
            </w:tcBorders>
            <w:shd w:val="clear" w:color="auto" w:fill="auto"/>
            <w:noWrap/>
            <w:vAlign w:val="center"/>
            <w:hideMark/>
          </w:tcPr>
          <w:p w:rsidRPr="00AD621A" w:rsidR="00AD621A" w:rsidP="00AD621A" w:rsidRDefault="00AD621A" w14:paraId="5A845923" w14:textId="77777777">
            <w:pPr>
              <w:widowControl/>
              <w:jc w:val="center"/>
              <w:rPr>
                <w:rFonts w:ascii="Source Sans Pro" w:hAnsi="Source Sans Pro"/>
                <w:snapToGrid/>
                <w:color w:val="000000"/>
                <w:sz w:val="20"/>
              </w:rPr>
            </w:pPr>
            <w:r w:rsidRPr="00AD621A">
              <w:rPr>
                <w:rFonts w:ascii="Source Sans Pro" w:hAnsi="Source Sans Pro"/>
                <w:snapToGrid/>
                <w:color w:val="000000"/>
                <w:sz w:val="20"/>
              </w:rPr>
              <w:t>20</w:t>
            </w:r>
          </w:p>
        </w:tc>
      </w:tr>
      <w:tr w:rsidRPr="00AD621A" w:rsidR="009C641E" w:rsidTr="009C641E" w14:paraId="62BB628F" w14:textId="77777777">
        <w:trPr>
          <w:trHeight w:val="288"/>
        </w:trPr>
        <w:tc>
          <w:tcPr>
            <w:tcW w:w="3272" w:type="dxa"/>
            <w:tcBorders>
              <w:top w:val="nil"/>
              <w:left w:val="single" w:color="auto" w:sz="4" w:space="0"/>
              <w:bottom w:val="single" w:color="auto" w:sz="4" w:space="0"/>
              <w:right w:val="single" w:color="auto" w:sz="4" w:space="0"/>
            </w:tcBorders>
            <w:shd w:val="clear" w:color="auto" w:fill="auto"/>
            <w:vAlign w:val="center"/>
          </w:tcPr>
          <w:p w:rsidRPr="00AD621A" w:rsidR="009C641E" w:rsidP="00AD621A" w:rsidRDefault="009C641E" w14:paraId="7E24CAC8" w14:textId="633DC5A2">
            <w:pPr>
              <w:widowControl/>
              <w:rPr>
                <w:rFonts w:ascii="Source Sans Pro" w:hAnsi="Source Sans Pro"/>
                <w:snapToGrid/>
                <w:color w:val="000000"/>
                <w:sz w:val="20"/>
              </w:rPr>
            </w:pPr>
            <w:r>
              <w:rPr>
                <w:rFonts w:ascii="Source Sans Pro" w:hAnsi="Source Sans Pro"/>
                <w:snapToGrid/>
                <w:color w:val="000000"/>
                <w:sz w:val="20"/>
              </w:rPr>
              <w:lastRenderedPageBreak/>
              <w:t>Total Estimated Annual Burden</w:t>
            </w:r>
          </w:p>
        </w:tc>
        <w:tc>
          <w:tcPr>
            <w:tcW w:w="1313" w:type="dxa"/>
            <w:tcBorders>
              <w:top w:val="nil"/>
              <w:left w:val="nil"/>
              <w:bottom w:val="single" w:color="auto" w:sz="4" w:space="0"/>
              <w:right w:val="single" w:color="auto" w:sz="4" w:space="0"/>
            </w:tcBorders>
            <w:shd w:val="clear" w:color="auto" w:fill="auto"/>
            <w:noWrap/>
            <w:vAlign w:val="center"/>
          </w:tcPr>
          <w:p w:rsidRPr="00AD621A" w:rsidR="009C641E" w:rsidP="00AD621A" w:rsidRDefault="009C641E" w14:paraId="648460DA" w14:textId="77777777">
            <w:pPr>
              <w:widowControl/>
              <w:jc w:val="center"/>
              <w:rPr>
                <w:rFonts w:ascii="Source Sans Pro" w:hAnsi="Source Sans Pro"/>
                <w:snapToGrid/>
                <w:color w:val="000000"/>
                <w:sz w:val="20"/>
              </w:rPr>
            </w:pPr>
          </w:p>
        </w:tc>
        <w:tc>
          <w:tcPr>
            <w:tcW w:w="1501" w:type="dxa"/>
            <w:tcBorders>
              <w:top w:val="nil"/>
              <w:left w:val="nil"/>
              <w:bottom w:val="single" w:color="auto" w:sz="4" w:space="0"/>
              <w:right w:val="single" w:color="auto" w:sz="4" w:space="0"/>
            </w:tcBorders>
            <w:shd w:val="clear" w:color="auto" w:fill="auto"/>
            <w:noWrap/>
            <w:vAlign w:val="center"/>
          </w:tcPr>
          <w:p w:rsidRPr="00AD621A" w:rsidR="009C641E" w:rsidP="00AD621A" w:rsidRDefault="009C641E" w14:paraId="45847153" w14:textId="77777777">
            <w:pPr>
              <w:widowControl/>
              <w:jc w:val="center"/>
              <w:rPr>
                <w:rFonts w:ascii="Source Sans Pro" w:hAnsi="Source Sans Pro"/>
                <w:snapToGrid/>
                <w:color w:val="000000"/>
                <w:sz w:val="20"/>
              </w:rPr>
            </w:pPr>
          </w:p>
        </w:tc>
        <w:tc>
          <w:tcPr>
            <w:tcW w:w="1109" w:type="dxa"/>
            <w:tcBorders>
              <w:top w:val="nil"/>
              <w:left w:val="nil"/>
              <w:bottom w:val="single" w:color="auto" w:sz="4" w:space="0"/>
              <w:right w:val="single" w:color="auto" w:sz="4" w:space="0"/>
            </w:tcBorders>
            <w:shd w:val="clear" w:color="auto" w:fill="auto"/>
            <w:noWrap/>
            <w:vAlign w:val="center"/>
          </w:tcPr>
          <w:p w:rsidRPr="00AD621A" w:rsidR="009C641E" w:rsidP="00AD621A" w:rsidRDefault="009C641E" w14:paraId="04FC46BC" w14:textId="77777777">
            <w:pPr>
              <w:widowControl/>
              <w:jc w:val="center"/>
              <w:rPr>
                <w:rFonts w:ascii="Source Sans Pro" w:hAnsi="Source Sans Pro"/>
                <w:snapToGrid/>
                <w:color w:val="000000"/>
                <w:sz w:val="20"/>
              </w:rPr>
            </w:pPr>
          </w:p>
        </w:tc>
        <w:tc>
          <w:tcPr>
            <w:tcW w:w="1080" w:type="dxa"/>
            <w:tcBorders>
              <w:top w:val="nil"/>
              <w:left w:val="nil"/>
              <w:bottom w:val="single" w:color="auto" w:sz="4" w:space="0"/>
              <w:right w:val="single" w:color="auto" w:sz="4" w:space="0"/>
            </w:tcBorders>
            <w:shd w:val="clear" w:color="auto" w:fill="auto"/>
            <w:noWrap/>
            <w:vAlign w:val="center"/>
          </w:tcPr>
          <w:p w:rsidRPr="00AD621A" w:rsidR="009C641E" w:rsidP="00AD621A" w:rsidRDefault="009C641E" w14:paraId="5D325C02" w14:textId="77777777">
            <w:pPr>
              <w:widowControl/>
              <w:jc w:val="center"/>
              <w:rPr>
                <w:rFonts w:ascii="Source Sans Pro" w:hAnsi="Source Sans Pro"/>
                <w:snapToGrid/>
                <w:color w:val="000000"/>
                <w:sz w:val="20"/>
              </w:rPr>
            </w:pPr>
          </w:p>
        </w:tc>
        <w:tc>
          <w:tcPr>
            <w:tcW w:w="1170" w:type="dxa"/>
            <w:tcBorders>
              <w:top w:val="nil"/>
              <w:left w:val="nil"/>
              <w:bottom w:val="single" w:color="auto" w:sz="4" w:space="0"/>
              <w:right w:val="single" w:color="auto" w:sz="4" w:space="0"/>
            </w:tcBorders>
            <w:shd w:val="clear" w:color="auto" w:fill="auto"/>
            <w:noWrap/>
            <w:vAlign w:val="center"/>
          </w:tcPr>
          <w:p w:rsidRPr="00AD621A" w:rsidR="009C641E" w:rsidP="00AD621A" w:rsidRDefault="009C641E" w14:paraId="70009E07" w14:textId="169D608E">
            <w:pPr>
              <w:widowControl/>
              <w:jc w:val="center"/>
              <w:rPr>
                <w:rFonts w:ascii="Source Sans Pro" w:hAnsi="Source Sans Pro"/>
                <w:snapToGrid/>
                <w:color w:val="000000"/>
                <w:sz w:val="20"/>
              </w:rPr>
            </w:pPr>
            <w:r>
              <w:rPr>
                <w:rFonts w:ascii="Source Sans Pro" w:hAnsi="Source Sans Pro"/>
                <w:snapToGrid/>
                <w:color w:val="000000"/>
                <w:sz w:val="20"/>
              </w:rPr>
              <w:t>20</w:t>
            </w:r>
          </w:p>
        </w:tc>
      </w:tr>
    </w:tbl>
    <w:p w:rsidRPr="00F11177" w:rsidR="00F11177" w:rsidP="00F11177" w:rsidRDefault="00F11177" w14:paraId="3F5EB9F9" w14:textId="2DEB19C2">
      <w:pPr>
        <w:tabs>
          <w:tab w:val="left" w:pos="1440"/>
          <w:tab w:val="left" w:pos="5040"/>
        </w:tabs>
        <w:suppressAutoHyphens/>
        <w:autoSpaceDE w:val="0"/>
        <w:autoSpaceDN w:val="0"/>
        <w:ind w:right="-86"/>
        <w:rPr>
          <w:rFonts w:ascii="Source Sans Pro" w:hAnsi="Source Sans Pro" w:eastAsia="Source Sans Pro" w:cs="Source Sans Pro"/>
          <w:b/>
          <w:snapToGrid/>
          <w:sz w:val="20"/>
          <w:lang w:bidi="en-US"/>
        </w:rPr>
      </w:pPr>
    </w:p>
    <w:p w:rsidRPr="00F11177" w:rsidR="00F11177" w:rsidP="009C641E" w:rsidRDefault="00F11177" w14:paraId="30115316" w14:textId="77777777">
      <w:pPr>
        <w:tabs>
          <w:tab w:val="left" w:pos="1440"/>
          <w:tab w:val="left" w:pos="5040"/>
        </w:tabs>
        <w:suppressAutoHyphens/>
        <w:autoSpaceDE w:val="0"/>
        <w:autoSpaceDN w:val="0"/>
        <w:ind w:right="-86"/>
        <w:rPr>
          <w:rFonts w:ascii="Source Sans Pro" w:hAnsi="Source Sans Pro" w:eastAsia="Source Sans Pro" w:cs="Source Sans Pro"/>
          <w:b/>
          <w:snapToGrid/>
          <w:sz w:val="20"/>
          <w:lang w:bidi="en-US"/>
        </w:rPr>
      </w:pPr>
    </w:p>
    <w:p w:rsidRPr="00F11177" w:rsidR="00F11177" w:rsidP="00F11177" w:rsidRDefault="00F11177" w14:paraId="23AD2D5D" w14:textId="79F794A4">
      <w:pPr>
        <w:ind w:left="270"/>
        <w:rPr>
          <w:rFonts w:ascii="Times New Roman" w:hAnsi="Times New Roman"/>
          <w:snapToGrid/>
          <w:szCs w:val="24"/>
        </w:rPr>
      </w:pPr>
      <w:r>
        <w:rPr>
          <w:rFonts w:ascii="Times New Roman" w:hAnsi="Times New Roman"/>
          <w:u w:val="single"/>
          <w:lang w:bidi="en-US"/>
        </w:rPr>
        <w:t>Estimated Hourly Labor Compensation Rates</w:t>
      </w:r>
      <w:r>
        <w:rPr>
          <w:rFonts w:ascii="Times New Roman" w:hAnsi="Times New Roman"/>
          <w:lang w:bidi="en-US"/>
        </w:rPr>
        <w:t xml:space="preserve"> -</w:t>
      </w:r>
      <w:r w:rsidRPr="00F11177">
        <w:rPr>
          <w:rFonts w:ascii="Times New Roman" w:hAnsi="Times New Roman"/>
          <w:snapToGrid/>
          <w:szCs w:val="24"/>
        </w:rPr>
        <w:t xml:space="preserve">To estimate the weighted average hourly compensation cost of the burdens described above, </w:t>
      </w:r>
      <w:r>
        <w:rPr>
          <w:rFonts w:ascii="Times New Roman" w:hAnsi="Times New Roman"/>
          <w:snapToGrid/>
          <w:szCs w:val="24"/>
        </w:rPr>
        <w:t>FDIC</w:t>
      </w:r>
      <w:r w:rsidRPr="00F11177">
        <w:rPr>
          <w:rFonts w:ascii="Times New Roman" w:hAnsi="Times New Roman"/>
          <w:snapToGrid/>
          <w:szCs w:val="24"/>
        </w:rPr>
        <w:t xml:space="preserve"> use</w:t>
      </w:r>
      <w:r>
        <w:rPr>
          <w:rFonts w:ascii="Times New Roman" w:hAnsi="Times New Roman"/>
          <w:snapToGrid/>
          <w:szCs w:val="24"/>
        </w:rPr>
        <w:t>s</w:t>
      </w:r>
      <w:r w:rsidRPr="00F11177">
        <w:rPr>
          <w:rFonts w:ascii="Times New Roman" w:hAnsi="Times New Roman"/>
          <w:snapToGrid/>
          <w:szCs w:val="24"/>
        </w:rPr>
        <w:t xml:space="preserve"> the 75th percentile hourly wages reported by the Bureau of Labor Statistics (BLS) National Industry-Specific Occupational Employment and Wage Estimates for the relevant occupations in the Depository Credit Intermediation sector, as of December 2020.  </w:t>
      </w:r>
    </w:p>
    <w:p w:rsidRPr="00F11177" w:rsidR="00F11177" w:rsidP="00F11177" w:rsidRDefault="00F11177" w14:paraId="45B20F5E" w14:textId="77777777">
      <w:pPr>
        <w:widowControl/>
        <w:textAlignment w:val="baseline"/>
        <w:rPr>
          <w:rFonts w:ascii="Times New Roman" w:hAnsi="Times New Roman"/>
          <w:snapToGrid/>
          <w:szCs w:val="24"/>
        </w:rPr>
      </w:pPr>
    </w:p>
    <w:p w:rsidRPr="00F11177" w:rsidR="00F11177" w:rsidP="00F11177" w:rsidRDefault="00F11177" w14:paraId="5B046708" w14:textId="5F058A0D">
      <w:pPr>
        <w:ind w:left="270"/>
        <w:rPr>
          <w:rFonts w:ascii="Times New Roman" w:hAnsi="Times New Roman"/>
          <w:snapToGrid/>
          <w:szCs w:val="24"/>
        </w:rPr>
      </w:pPr>
      <w:r w:rsidRPr="00F11177">
        <w:rPr>
          <w:rFonts w:ascii="Times New Roman" w:hAnsi="Times New Roman"/>
          <w:lang w:bidi="en-US"/>
        </w:rPr>
        <w:t>The</w:t>
      </w:r>
      <w:r w:rsidRPr="00F11177">
        <w:rPr>
          <w:rFonts w:ascii="Times New Roman" w:hAnsi="Times New Roman"/>
          <w:snapToGrid/>
          <w:szCs w:val="24"/>
        </w:rPr>
        <w:t xml:space="preserve"> hourly wage rates reported do not include non-monetary compensation.  According to the December 2020 Employer Cost of Employee Compensation data, compensation rates for health and other benefits are 34 percent of total compensation. To account </w:t>
      </w:r>
      <w:r>
        <w:rPr>
          <w:rFonts w:ascii="Times New Roman" w:hAnsi="Times New Roman"/>
          <w:snapToGrid/>
          <w:szCs w:val="24"/>
        </w:rPr>
        <w:t>for non-monetary compensation, FDIC</w:t>
      </w:r>
      <w:r w:rsidRPr="00F11177">
        <w:rPr>
          <w:rFonts w:ascii="Times New Roman" w:hAnsi="Times New Roman"/>
          <w:snapToGrid/>
          <w:szCs w:val="24"/>
        </w:rPr>
        <w:t xml:space="preserve"> adjust</w:t>
      </w:r>
      <w:r>
        <w:rPr>
          <w:rFonts w:ascii="Times New Roman" w:hAnsi="Times New Roman"/>
          <w:snapToGrid/>
          <w:szCs w:val="24"/>
        </w:rPr>
        <w:t>s</w:t>
      </w:r>
      <w:r w:rsidRPr="00F11177">
        <w:rPr>
          <w:rFonts w:ascii="Times New Roman" w:hAnsi="Times New Roman"/>
          <w:snapToGrid/>
          <w:szCs w:val="24"/>
        </w:rPr>
        <w:t xml:space="preserve"> the hourly wage rates repor</w:t>
      </w:r>
      <w:r>
        <w:rPr>
          <w:rFonts w:ascii="Times New Roman" w:hAnsi="Times New Roman"/>
          <w:snapToGrid/>
          <w:szCs w:val="24"/>
        </w:rPr>
        <w:t>ted by BLS by that percentage. FDIC</w:t>
      </w:r>
      <w:r w:rsidRPr="00F11177">
        <w:rPr>
          <w:rFonts w:ascii="Times New Roman" w:hAnsi="Times New Roman"/>
          <w:snapToGrid/>
          <w:szCs w:val="24"/>
        </w:rPr>
        <w:t xml:space="preserve"> also adjust</w:t>
      </w:r>
      <w:r>
        <w:rPr>
          <w:rFonts w:ascii="Times New Roman" w:hAnsi="Times New Roman"/>
          <w:snapToGrid/>
          <w:szCs w:val="24"/>
        </w:rPr>
        <w:t>s</w:t>
      </w:r>
      <w:r w:rsidRPr="00F11177">
        <w:rPr>
          <w:rFonts w:ascii="Times New Roman" w:hAnsi="Times New Roman"/>
          <w:snapToGrid/>
          <w:szCs w:val="24"/>
        </w:rPr>
        <w:t xml:space="preserve"> the hourly wage by 1.71 percent based on changes in the Consumer Price Index for Urban Consumers (CPI-U) from May 2019 to December 2020 to account for inflation and ensure that the wage information is contemporaneous with the non-monetary compensation statistic.</w:t>
      </w:r>
    </w:p>
    <w:p w:rsidRPr="00F11177" w:rsidR="00F11177" w:rsidP="00F11177" w:rsidRDefault="00F11177" w14:paraId="52F18E99" w14:textId="77777777">
      <w:pPr>
        <w:widowControl/>
        <w:textAlignment w:val="baseline"/>
        <w:rPr>
          <w:rFonts w:ascii="Times New Roman" w:hAnsi="Times New Roman"/>
          <w:snapToGrid/>
          <w:szCs w:val="24"/>
        </w:rPr>
      </w:pPr>
    </w:p>
    <w:p w:rsidRPr="00F11177" w:rsidR="00F11177" w:rsidP="00F11177" w:rsidRDefault="00F11177" w14:paraId="17F8649E" w14:textId="0A3FC1BB">
      <w:pPr>
        <w:ind w:left="270"/>
        <w:rPr>
          <w:rFonts w:ascii="Times New Roman" w:hAnsi="Times New Roman"/>
          <w:snapToGrid/>
          <w:szCs w:val="24"/>
        </w:rPr>
      </w:pPr>
      <w:r w:rsidRPr="00F11177">
        <w:rPr>
          <w:rFonts w:ascii="Times New Roman" w:hAnsi="Times New Roman"/>
          <w:snapToGrid/>
          <w:szCs w:val="24"/>
        </w:rPr>
        <w:t>After calculating these adju</w:t>
      </w:r>
      <w:r>
        <w:rPr>
          <w:rFonts w:ascii="Times New Roman" w:hAnsi="Times New Roman"/>
          <w:snapToGrid/>
          <w:szCs w:val="24"/>
        </w:rPr>
        <w:t>stments, FDIC</w:t>
      </w:r>
      <w:r w:rsidRPr="00F11177">
        <w:rPr>
          <w:rFonts w:ascii="Times New Roman" w:hAnsi="Times New Roman"/>
          <w:snapToGrid/>
          <w:szCs w:val="24"/>
        </w:rPr>
        <w:t xml:space="preserve"> then weight</w:t>
      </w:r>
      <w:r>
        <w:rPr>
          <w:rFonts w:ascii="Times New Roman" w:hAnsi="Times New Roman"/>
          <w:snapToGrid/>
          <w:szCs w:val="24"/>
        </w:rPr>
        <w:t>s</w:t>
      </w:r>
      <w:r w:rsidRPr="00F11177">
        <w:rPr>
          <w:rFonts w:ascii="Times New Roman" w:hAnsi="Times New Roman"/>
          <w:snapToGrid/>
          <w:szCs w:val="24"/>
        </w:rPr>
        <w:t xml:space="preserve"> the total hourly compensation for the six occupations (Executives and Managers, Lawyers, Compliance Officers, IT Specialists, Financial Analysts, and Clerical), using the </w:t>
      </w:r>
      <w:r>
        <w:rPr>
          <w:rFonts w:ascii="Times New Roman" w:hAnsi="Times New Roman"/>
          <w:snapToGrid/>
          <w:szCs w:val="24"/>
        </w:rPr>
        <w:t>agency’s</w:t>
      </w:r>
      <w:r w:rsidRPr="00F11177">
        <w:rPr>
          <w:rFonts w:ascii="Times New Roman" w:hAnsi="Times New Roman"/>
          <w:snapToGrid/>
          <w:szCs w:val="24"/>
        </w:rPr>
        <w:t xml:space="preserve"> estimated allocation of labor to find the estimated hourly cost of complying with this IC.</w:t>
      </w:r>
      <w:r w:rsidRPr="00F11177">
        <w:rPr>
          <w:rFonts w:ascii="Times New Roman" w:hAnsi="Times New Roman"/>
          <w:snapToGrid/>
          <w:szCs w:val="24"/>
          <w:vertAlign w:val="superscript"/>
        </w:rPr>
        <w:footnoteReference w:id="1"/>
      </w:r>
      <w:r w:rsidRPr="00F11177">
        <w:rPr>
          <w:rFonts w:ascii="Times New Roman" w:hAnsi="Times New Roman"/>
          <w:snapToGrid/>
          <w:szCs w:val="24"/>
        </w:rPr>
        <w:t xml:space="preserve">  The estimated hourly compensation rates are as follows: </w:t>
      </w:r>
    </w:p>
    <w:p w:rsidRPr="00F11177" w:rsidR="00F11177" w:rsidP="00F11177" w:rsidRDefault="00F11177" w14:paraId="2F38BD7E" w14:textId="77777777">
      <w:pPr>
        <w:widowControl/>
        <w:textAlignment w:val="baseline"/>
        <w:rPr>
          <w:rFonts w:ascii="Times New Roman" w:hAnsi="Times New Roman"/>
          <w:snapToGrid/>
          <w:szCs w:val="24"/>
        </w:rPr>
      </w:pPr>
    </w:p>
    <w:tbl>
      <w:tblPr>
        <w:tblStyle w:val="TableGrid2"/>
        <w:tblW w:w="0" w:type="auto"/>
        <w:tblLook w:val="04A0" w:firstRow="1" w:lastRow="0" w:firstColumn="1" w:lastColumn="0" w:noHBand="0" w:noVBand="1"/>
      </w:tblPr>
      <w:tblGrid>
        <w:gridCol w:w="4135"/>
        <w:gridCol w:w="1980"/>
        <w:gridCol w:w="1260"/>
        <w:gridCol w:w="1890"/>
      </w:tblGrid>
      <w:tr w:rsidRPr="001B7169" w:rsidR="001B7169" w:rsidTr="00061FE3" w14:paraId="20182BC6" w14:textId="77777777">
        <w:trPr>
          <w:trHeight w:val="432"/>
        </w:trPr>
        <w:tc>
          <w:tcPr>
            <w:tcW w:w="9265" w:type="dxa"/>
            <w:gridSpan w:val="4"/>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117DBF14" w14:textId="7D5D3861">
            <w:pPr>
              <w:keepNext/>
              <w:keepLines/>
              <w:suppressAutoHyphens/>
              <w:spacing w:line="260" w:lineRule="exact"/>
              <w:ind w:right="-86"/>
              <w:jc w:val="center"/>
              <w:rPr>
                <w:rFonts w:ascii="Source Sans Pro" w:hAnsi="Source Sans Pro" w:eastAsia="Source Sans Pro" w:cs="Source Sans Pro"/>
                <w:snapToGrid/>
                <w:color w:val="000000"/>
                <w:sz w:val="20"/>
                <w:lang w:bidi="en-US"/>
              </w:rPr>
            </w:pPr>
            <w:r w:rsidRPr="001B7169">
              <w:rPr>
                <w:rFonts w:ascii="Source Sans Pro" w:hAnsi="Source Sans Pro"/>
                <w:b/>
                <w:bCs/>
                <w:snapToGrid/>
                <w:color w:val="000000"/>
                <w:sz w:val="20"/>
              </w:rPr>
              <w:lastRenderedPageBreak/>
              <w:t xml:space="preserve"> Summary of Hourly Burden Cost Estimate (OMB No. 3064-0208)</w:t>
            </w:r>
          </w:p>
        </w:tc>
      </w:tr>
      <w:tr w:rsidRPr="001B7169" w:rsidR="001B7169" w:rsidTr="00061FE3" w14:paraId="6E347465"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5A5405AC" w14:textId="77777777">
            <w:pPr>
              <w:keepNext/>
              <w:keepLines/>
              <w:suppressAutoHyphens/>
              <w:spacing w:after="240" w:line="260" w:lineRule="exact"/>
              <w:ind w:right="-86"/>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color w:val="000000"/>
                <w:sz w:val="20"/>
                <w:lang w:bidi="en-US"/>
              </w:rPr>
              <w:t>Estimated Category of Personnel Responsible for Complying with the PRA Burden</w:t>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646A80E8" w14:textId="77777777">
            <w:pPr>
              <w:keepNext/>
              <w:keepLines/>
              <w:suppressAutoHyphens/>
              <w:spacing w:after="240" w:line="260" w:lineRule="exact"/>
              <w:ind w:right="-86"/>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color w:val="000000"/>
                <w:sz w:val="20"/>
                <w:lang w:bidi="en-US"/>
              </w:rPr>
              <w:t>Total Estimated Hourly Compensation</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64E033EC" w14:textId="77777777">
            <w:pPr>
              <w:keepNext/>
              <w:keepLines/>
              <w:suppressAutoHyphens/>
              <w:spacing w:after="240" w:line="260" w:lineRule="exact"/>
              <w:ind w:right="-86"/>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color w:val="000000"/>
                <w:sz w:val="20"/>
                <w:lang w:bidi="en-US"/>
              </w:rPr>
              <w:t xml:space="preserve">Allocated Weights </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0834D74E" w14:textId="77777777">
            <w:pPr>
              <w:keepNext/>
              <w:keepLines/>
              <w:suppressAutoHyphens/>
              <w:spacing w:after="240" w:line="260" w:lineRule="exact"/>
              <w:ind w:right="-86"/>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color w:val="000000"/>
                <w:sz w:val="20"/>
                <w:lang w:bidi="en-US"/>
              </w:rPr>
              <w:t xml:space="preserve">Weighted Hourly Compensation </w:t>
            </w:r>
          </w:p>
        </w:tc>
      </w:tr>
      <w:tr w:rsidRPr="001B7169" w:rsidR="001B7169" w:rsidTr="00061FE3" w14:paraId="1485619D"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6D623535" w14:textId="77777777">
            <w:pPr>
              <w:keepNext/>
              <w:keepLines/>
              <w:suppressAutoHyphens/>
              <w:spacing w:after="240" w:line="260" w:lineRule="exact"/>
              <w:ind w:right="-86"/>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Executives and Managers</w:t>
            </w:r>
            <w:r w:rsidRPr="001B7169">
              <w:rPr>
                <w:rFonts w:ascii="Source Sans Pro" w:hAnsi="Source Sans Pro" w:eastAsia="Source Sans Pro" w:cs="Source Sans Pro"/>
                <w:snapToGrid/>
                <w:color w:val="000000"/>
                <w:sz w:val="20"/>
                <w:vertAlign w:val="superscript"/>
                <w:lang w:bidi="en-US"/>
              </w:rPr>
              <w:footnoteReference w:id="2"/>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6BA02F75"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$123.30</w:t>
            </w:r>
          </w:p>
        </w:tc>
        <w:tc>
          <w:tcPr>
            <w:tcW w:w="126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7B49896C"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15%</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4F29E00E"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$18.50</w:t>
            </w:r>
          </w:p>
        </w:tc>
      </w:tr>
      <w:tr w:rsidRPr="001B7169" w:rsidR="001B7169" w:rsidTr="00061FE3" w14:paraId="3E110014"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5BFE866C" w14:textId="77777777">
            <w:pPr>
              <w:keepNext/>
              <w:keepLines/>
              <w:suppressAutoHyphens/>
              <w:spacing w:after="240" w:line="260" w:lineRule="exact"/>
              <w:ind w:right="-86"/>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Lawyers</w:t>
            </w:r>
            <w:r w:rsidRPr="001B7169">
              <w:rPr>
                <w:rFonts w:ascii="Source Sans Pro" w:hAnsi="Source Sans Pro" w:eastAsia="Source Sans Pro" w:cs="Source Sans Pro"/>
                <w:snapToGrid/>
                <w:sz w:val="20"/>
                <w:vertAlign w:val="superscript"/>
                <w:lang w:bidi="en-US"/>
              </w:rPr>
              <w:footnoteReference w:id="3"/>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4E77B486"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151.44</w:t>
            </w:r>
          </w:p>
        </w:tc>
        <w:tc>
          <w:tcPr>
            <w:tcW w:w="126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615569F8"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50</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24CF4183"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75.72</w:t>
            </w:r>
          </w:p>
        </w:tc>
      </w:tr>
      <w:tr w:rsidRPr="001B7169" w:rsidR="001B7169" w:rsidTr="00061FE3" w14:paraId="00116A41"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2D3CCFAA" w14:textId="77777777">
            <w:pPr>
              <w:keepNext/>
              <w:keepLines/>
              <w:suppressAutoHyphens/>
              <w:spacing w:after="240" w:line="260" w:lineRule="exact"/>
              <w:ind w:right="-86"/>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Compliance Officers</w:t>
            </w:r>
            <w:r w:rsidRPr="001B7169">
              <w:rPr>
                <w:rFonts w:ascii="Source Sans Pro" w:hAnsi="Source Sans Pro" w:eastAsia="Source Sans Pro" w:cs="Source Sans Pro"/>
                <w:snapToGrid/>
                <w:sz w:val="20"/>
                <w:vertAlign w:val="superscript"/>
                <w:lang w:bidi="en-US"/>
              </w:rPr>
              <w:footnoteReference w:id="4"/>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10F782C7"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67.35</w:t>
            </w:r>
          </w:p>
        </w:tc>
        <w:tc>
          <w:tcPr>
            <w:tcW w:w="126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0260D3DB"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15</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57AC1794"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10.10</w:t>
            </w:r>
          </w:p>
        </w:tc>
      </w:tr>
      <w:tr w:rsidRPr="001B7169" w:rsidR="001B7169" w:rsidTr="00061FE3" w14:paraId="43E84957"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3725EFCB" w14:textId="77777777">
            <w:pPr>
              <w:keepNext/>
              <w:keepLines/>
              <w:suppressAutoHyphens/>
              <w:spacing w:after="240" w:line="260" w:lineRule="exact"/>
              <w:ind w:right="-86"/>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sz w:val="20"/>
                <w:lang w:bidi="en-US"/>
              </w:rPr>
              <w:t>IT Specialists</w:t>
            </w:r>
            <w:r w:rsidRPr="001B7169">
              <w:rPr>
                <w:rFonts w:ascii="Source Sans Pro" w:hAnsi="Source Sans Pro" w:eastAsia="Source Sans Pro" w:cs="Source Sans Pro"/>
                <w:snapToGrid/>
                <w:sz w:val="20"/>
                <w:vertAlign w:val="superscript"/>
                <w:lang w:bidi="en-US"/>
              </w:rPr>
              <w:footnoteReference w:id="5"/>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456D10B8"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92.30</w:t>
            </w:r>
          </w:p>
        </w:tc>
        <w:tc>
          <w:tcPr>
            <w:tcW w:w="126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04273F62"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10</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70B75296"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9.23</w:t>
            </w:r>
          </w:p>
        </w:tc>
      </w:tr>
      <w:tr w:rsidRPr="001B7169" w:rsidR="001B7169" w:rsidTr="00061FE3" w14:paraId="4037515D"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41526A65" w14:textId="77777777">
            <w:pPr>
              <w:keepNext/>
              <w:keepLines/>
              <w:suppressAutoHyphens/>
              <w:spacing w:after="240" w:line="260" w:lineRule="exact"/>
              <w:ind w:right="-86"/>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Financial Analysts</w:t>
            </w:r>
            <w:r w:rsidRPr="001B7169">
              <w:rPr>
                <w:rFonts w:ascii="Source Sans Pro" w:hAnsi="Source Sans Pro" w:eastAsia="Source Sans Pro" w:cs="Source Sans Pro"/>
                <w:snapToGrid/>
                <w:color w:val="000000"/>
                <w:sz w:val="20"/>
                <w:vertAlign w:val="superscript"/>
                <w:lang w:bidi="en-US"/>
              </w:rPr>
              <w:footnoteReference w:id="6"/>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11C86BBA"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79.40</w:t>
            </w:r>
          </w:p>
        </w:tc>
        <w:tc>
          <w:tcPr>
            <w:tcW w:w="126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50D9798A" w14:textId="77777777">
            <w:pPr>
              <w:keepNext/>
              <w:keepLines/>
              <w:suppressAutoHyphens/>
              <w:spacing w:after="240" w:line="260" w:lineRule="exact"/>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sz w:val="20"/>
                <w:lang w:bidi="en-US"/>
              </w:rPr>
              <w:t>5</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42187B19" w14:textId="77777777">
            <w:pPr>
              <w:keepNext/>
              <w:keepLines/>
              <w:suppressAutoHyphens/>
              <w:spacing w:after="240" w:line="260" w:lineRule="exact"/>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sz w:val="20"/>
                <w:lang w:bidi="en-US"/>
              </w:rPr>
              <w:t>3.97</w:t>
            </w:r>
          </w:p>
        </w:tc>
      </w:tr>
      <w:tr w:rsidRPr="001B7169" w:rsidR="001B7169" w:rsidTr="00061FE3" w14:paraId="5A17C8B3"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25392A1D" w14:textId="77777777">
            <w:pPr>
              <w:keepNext/>
              <w:keepLines/>
              <w:suppressAutoHyphens/>
              <w:spacing w:after="240" w:line="260" w:lineRule="exact"/>
              <w:ind w:right="-86"/>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color w:val="000000"/>
                <w:sz w:val="20"/>
                <w:lang w:bidi="en-US"/>
              </w:rPr>
              <w:t>Clerical</w:t>
            </w:r>
            <w:r w:rsidRPr="001B7169">
              <w:rPr>
                <w:rFonts w:ascii="Source Sans Pro" w:hAnsi="Source Sans Pro" w:eastAsia="Source Sans Pro" w:cs="Source Sans Pro"/>
                <w:snapToGrid/>
                <w:color w:val="000000"/>
                <w:sz w:val="20"/>
                <w:vertAlign w:val="superscript"/>
                <w:lang w:bidi="en-US"/>
              </w:rPr>
              <w:footnoteReference w:id="7"/>
            </w:r>
          </w:p>
        </w:tc>
        <w:tc>
          <w:tcPr>
            <w:tcW w:w="1980" w:type="dxa"/>
            <w:tcBorders>
              <w:top w:val="single" w:color="auto" w:sz="4" w:space="0"/>
              <w:left w:val="single" w:color="auto" w:sz="4" w:space="0"/>
              <w:bottom w:val="single" w:color="auto" w:sz="4" w:space="0"/>
              <w:right w:val="single" w:color="auto" w:sz="4" w:space="0"/>
            </w:tcBorders>
            <w:vAlign w:val="center"/>
            <w:hideMark/>
          </w:tcPr>
          <w:p w:rsidRPr="001B7169" w:rsidR="001B7169" w:rsidP="001B7169" w:rsidRDefault="001B7169" w14:paraId="1D115F66" w14:textId="77777777">
            <w:pPr>
              <w:keepNext/>
              <w:keepLines/>
              <w:suppressAutoHyphens/>
              <w:spacing w:after="240" w:line="260" w:lineRule="exact"/>
              <w:jc w:val="right"/>
              <w:rPr>
                <w:rFonts w:ascii="Source Sans Pro" w:hAnsi="Source Sans Pro" w:eastAsia="Source Sans Pro" w:cs="Source Sans Pro"/>
                <w:snapToGrid/>
                <w:color w:val="000000"/>
                <w:sz w:val="20"/>
                <w:lang w:bidi="en-US"/>
              </w:rPr>
            </w:pPr>
            <w:r w:rsidRPr="001B7169">
              <w:rPr>
                <w:rFonts w:ascii="Source Sans Pro" w:hAnsi="Source Sans Pro" w:eastAsia="Source Sans Pro" w:cs="Source Sans Pro"/>
                <w:snapToGrid/>
                <w:sz w:val="20"/>
                <w:lang w:bidi="en-US"/>
              </w:rPr>
              <w:t>33.44</w:t>
            </w:r>
          </w:p>
        </w:tc>
        <w:tc>
          <w:tcPr>
            <w:tcW w:w="126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3E857CC2" w14:textId="77777777">
            <w:pPr>
              <w:keepNext/>
              <w:keepLines/>
              <w:suppressAutoHyphens/>
              <w:spacing w:after="240" w:line="260" w:lineRule="exact"/>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sz w:val="20"/>
                <w:lang w:bidi="en-US"/>
              </w:rPr>
              <w:t>5</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220FFADE" w14:textId="77777777">
            <w:pPr>
              <w:keepNext/>
              <w:keepLines/>
              <w:suppressAutoHyphens/>
              <w:spacing w:after="240" w:line="260" w:lineRule="exact"/>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sz w:val="20"/>
                <w:lang w:bidi="en-US"/>
              </w:rPr>
              <w:t>1.67</w:t>
            </w:r>
          </w:p>
        </w:tc>
      </w:tr>
      <w:tr w:rsidRPr="001B7169" w:rsidR="001B7169" w:rsidTr="00061FE3" w14:paraId="08433A60" w14:textId="77777777">
        <w:tc>
          <w:tcPr>
            <w:tcW w:w="7375" w:type="dxa"/>
            <w:gridSpan w:val="3"/>
            <w:tcBorders>
              <w:top w:val="single" w:color="auto" w:sz="4" w:space="0"/>
              <w:left w:val="single" w:color="auto" w:sz="4" w:space="0"/>
              <w:bottom w:val="single" w:color="auto" w:sz="4" w:space="0"/>
              <w:right w:val="single" w:color="auto" w:sz="4" w:space="0"/>
            </w:tcBorders>
            <w:vAlign w:val="bottom"/>
            <w:hideMark/>
          </w:tcPr>
          <w:p w:rsidRPr="001B7169" w:rsidR="001B7169" w:rsidP="001B7169" w:rsidRDefault="001B7169" w14:paraId="5D7B61C1" w14:textId="77777777">
            <w:pPr>
              <w:keepNext/>
              <w:keepLines/>
              <w:suppressAutoHyphens/>
              <w:spacing w:after="240" w:line="260" w:lineRule="exact"/>
              <w:jc w:val="right"/>
              <w:rPr>
                <w:rFonts w:ascii="Source Sans Pro" w:hAnsi="Source Sans Pro" w:eastAsia="Source Sans Pro" w:cs="Source Sans Pro"/>
                <w:snapToGrid/>
                <w:sz w:val="20"/>
                <w:lang w:bidi="en-US"/>
              </w:rPr>
            </w:pPr>
            <w:r w:rsidRPr="001B7169">
              <w:rPr>
                <w:rFonts w:ascii="Source Sans Pro" w:hAnsi="Source Sans Pro" w:eastAsia="Source Sans Pro" w:cs="Source Sans Pro"/>
                <w:b/>
                <w:bCs/>
                <w:snapToGrid/>
                <w:color w:val="000000"/>
                <w:sz w:val="20"/>
                <w:lang w:bidi="en-US"/>
              </w:rPr>
              <w:t>Weighted Average:</w:t>
            </w:r>
          </w:p>
        </w:tc>
        <w:tc>
          <w:tcPr>
            <w:tcW w:w="1890" w:type="dxa"/>
            <w:tcBorders>
              <w:top w:val="single" w:color="auto" w:sz="4" w:space="0"/>
              <w:left w:val="single" w:color="auto" w:sz="4" w:space="0"/>
              <w:bottom w:val="single" w:color="auto" w:sz="4" w:space="0"/>
              <w:right w:val="single" w:color="auto" w:sz="4" w:space="0"/>
            </w:tcBorders>
            <w:vAlign w:val="center"/>
          </w:tcPr>
          <w:p w:rsidRPr="001B7169" w:rsidR="001B7169" w:rsidP="001B7169" w:rsidRDefault="001B7169" w14:paraId="61620413" w14:textId="77777777">
            <w:pPr>
              <w:keepNext/>
              <w:keepLines/>
              <w:suppressAutoHyphens/>
              <w:spacing w:after="240" w:line="260" w:lineRule="exact"/>
              <w:jc w:val="right"/>
              <w:rPr>
                <w:rFonts w:ascii="Source Sans Pro" w:hAnsi="Source Sans Pro" w:eastAsia="Source Sans Pro" w:cs="Source Sans Pro"/>
                <w:b/>
                <w:snapToGrid/>
                <w:color w:val="000000"/>
                <w:sz w:val="20"/>
                <w:lang w:bidi="en-US"/>
              </w:rPr>
            </w:pPr>
            <w:r w:rsidRPr="001B7169">
              <w:rPr>
                <w:rFonts w:ascii="Source Sans Pro" w:hAnsi="Source Sans Pro" w:eastAsia="Source Sans Pro" w:cs="Source Sans Pro"/>
                <w:b/>
                <w:snapToGrid/>
                <w:color w:val="000000"/>
                <w:sz w:val="20"/>
                <w:lang w:bidi="en-US"/>
              </w:rPr>
              <w:t>$119.19</w:t>
            </w:r>
          </w:p>
        </w:tc>
      </w:tr>
      <w:tr w:rsidRPr="001B7169" w:rsidR="001B7169" w:rsidTr="00061FE3" w14:paraId="2C758270" w14:textId="77777777">
        <w:trPr>
          <w:trHeight w:val="2592"/>
        </w:trPr>
        <w:tc>
          <w:tcPr>
            <w:tcW w:w="9265" w:type="dxa"/>
            <w:gridSpan w:val="4"/>
            <w:tcBorders>
              <w:top w:val="single" w:color="auto" w:sz="4" w:space="0"/>
              <w:left w:val="single" w:color="auto" w:sz="4" w:space="0"/>
              <w:bottom w:val="single" w:color="auto" w:sz="4" w:space="0"/>
              <w:right w:val="single" w:color="auto" w:sz="4" w:space="0"/>
            </w:tcBorders>
            <w:vAlign w:val="bottom"/>
          </w:tcPr>
          <w:p w:rsidRPr="001B7169" w:rsidR="001B7169" w:rsidP="001B7169" w:rsidRDefault="001B7169" w14:paraId="162336D1" w14:textId="77777777">
            <w:pPr>
              <w:keepNext/>
              <w:keepLines/>
              <w:suppressAutoHyphens/>
              <w:spacing w:line="260" w:lineRule="exact"/>
              <w:ind w:right="-86"/>
              <w:rPr>
                <w:rFonts w:ascii="Source Sans Pro" w:hAnsi="Source Sans Pro" w:eastAsia="Source Sans Pro" w:cs="Source Sans Pro"/>
                <w:snapToGrid/>
                <w:sz w:val="18"/>
                <w:lang w:bidi="en-US"/>
              </w:rPr>
            </w:pPr>
            <w:r w:rsidRPr="001B7169">
              <w:rPr>
                <w:rFonts w:ascii="Source Sans Pro" w:hAnsi="Source Sans Pro" w:eastAsia="Source Sans Pro" w:cs="Source Sans Pro"/>
                <w:snapToGrid/>
                <w:sz w:val="18"/>
                <w:lang w:bidi="en-US"/>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r w:rsidRPr="001B7169">
              <w:rPr>
                <w:rFonts w:ascii="Source Sans Pro" w:hAnsi="Source Sans Pro" w:eastAsia="Source Sans Pro" w:cs="Source Sans Pro"/>
                <w:snapToGrid/>
                <w:sz w:val="18"/>
                <w:lang w:bidi="en-US"/>
              </w:rPr>
              <w:br/>
            </w:r>
          </w:p>
          <w:p w:rsidRPr="001B7169" w:rsidR="001B7169" w:rsidP="001B7169" w:rsidRDefault="001B7169" w14:paraId="5FFA9D68" w14:textId="77777777">
            <w:pPr>
              <w:keepNext/>
              <w:keepLines/>
              <w:suppressAutoHyphens/>
              <w:spacing w:line="260" w:lineRule="exact"/>
              <w:ind w:right="-86"/>
              <w:rPr>
                <w:rFonts w:ascii="Source Sans Pro" w:hAnsi="Source Sans Pro" w:eastAsia="Source Sans Pro" w:cs="Source Sans Pro"/>
                <w:snapToGrid/>
                <w:sz w:val="20"/>
                <w:lang w:bidi="en-US"/>
              </w:rPr>
            </w:pPr>
            <w:r w:rsidRPr="001B7169">
              <w:rPr>
                <w:rFonts w:ascii="Source Sans Pro" w:hAnsi="Source Sans Pro" w:eastAsia="Source Sans Pro" w:cs="Source Sans Pro"/>
                <w:snapToGrid/>
                <w:sz w:val="18"/>
                <w:lang w:bidi="en-US"/>
              </w:rP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r w:rsidRPr="001B7169">
              <w:rPr>
                <w:rFonts w:ascii="Source Sans Pro" w:hAnsi="Source Sans Pro" w:eastAsia="Source Sans Pro" w:cs="Source Sans Pro"/>
                <w:snapToGrid/>
                <w:sz w:val="18"/>
                <w:lang w:bidi="en-US"/>
              </w:rPr>
              <w:br/>
            </w:r>
          </w:p>
        </w:tc>
      </w:tr>
    </w:tbl>
    <w:p w:rsidRPr="00F11177" w:rsidR="00F11177" w:rsidP="001B7169" w:rsidRDefault="00F11177" w14:paraId="2ECA582D" w14:textId="77777777">
      <w:pPr>
        <w:suppressAutoHyphens/>
        <w:autoSpaceDE w:val="0"/>
        <w:autoSpaceDN w:val="0"/>
        <w:spacing w:after="240" w:line="260" w:lineRule="exact"/>
        <w:ind w:right="-86"/>
        <w:rPr>
          <w:rFonts w:ascii="Times New Roman" w:hAnsi="Times New Roman"/>
          <w:b/>
          <w:bCs/>
          <w:snapToGrid/>
          <w:color w:val="000000"/>
          <w:szCs w:val="24"/>
        </w:rPr>
      </w:pPr>
    </w:p>
    <w:p w:rsidRPr="00F11177" w:rsidR="00F11177" w:rsidP="00F11177" w:rsidRDefault="00F11177" w14:paraId="53B5863E" w14:textId="77777777">
      <w:pPr>
        <w:suppressAutoHyphens/>
        <w:autoSpaceDE w:val="0"/>
        <w:autoSpaceDN w:val="0"/>
        <w:ind w:right="-86" w:firstLine="720"/>
        <w:rPr>
          <w:rFonts w:ascii="Times New Roman" w:hAnsi="Times New Roman" w:eastAsia="Source Sans Pro"/>
          <w:snapToGrid/>
          <w:sz w:val="20"/>
          <w:lang w:bidi="en-US"/>
        </w:rPr>
      </w:pPr>
    </w:p>
    <w:p w:rsidRPr="00F11177" w:rsidR="00F11177" w:rsidP="00F11177" w:rsidRDefault="00F11177" w14:paraId="75EBC998" w14:textId="77777777">
      <w:pPr>
        <w:suppressAutoHyphens/>
        <w:autoSpaceDE w:val="0"/>
        <w:autoSpaceDN w:val="0"/>
        <w:ind w:right="-86"/>
        <w:rPr>
          <w:rFonts w:ascii="Times New Roman" w:hAnsi="Times New Roman" w:eastAsia="Source Sans Pro"/>
          <w:b/>
          <w:snapToGrid/>
          <w:szCs w:val="24"/>
          <w:lang w:bidi="en-US"/>
        </w:rPr>
      </w:pPr>
      <w:r w:rsidRPr="00F11177">
        <w:rPr>
          <w:rFonts w:ascii="Times New Roman" w:hAnsi="Times New Roman" w:eastAsia="Source Sans Pro"/>
          <w:b/>
          <w:snapToGrid/>
          <w:szCs w:val="24"/>
          <w:lang w:bidi="en-US"/>
        </w:rPr>
        <w:t>Total Estimated Compliance Cost</w:t>
      </w:r>
    </w:p>
    <w:p w:rsidRPr="00F11177" w:rsidR="00F11177" w:rsidP="00F11177" w:rsidRDefault="00F11177" w14:paraId="71A1BA96" w14:textId="77777777">
      <w:pPr>
        <w:suppressAutoHyphens/>
        <w:autoSpaceDE w:val="0"/>
        <w:autoSpaceDN w:val="0"/>
        <w:ind w:right="-86" w:firstLine="720"/>
        <w:rPr>
          <w:rFonts w:ascii="Times New Roman" w:hAnsi="Times New Roman" w:eastAsia="Source Sans Pro"/>
          <w:b/>
          <w:snapToGrid/>
          <w:szCs w:val="24"/>
          <w:lang w:bidi="en-US"/>
        </w:rPr>
      </w:pPr>
    </w:p>
    <w:p w:rsidRPr="00F11177" w:rsidR="00F11177" w:rsidP="00F11177" w:rsidRDefault="00F11177" w14:paraId="647FFBC2" w14:textId="19456EAB">
      <w:pPr>
        <w:ind w:left="270"/>
        <w:rPr>
          <w:rFonts w:ascii="Times New Roman" w:hAnsi="Times New Roman" w:eastAsia="Source Sans Pro"/>
          <w:snapToGrid/>
          <w:szCs w:val="24"/>
          <w:lang w:bidi="en-US"/>
        </w:rPr>
      </w:pPr>
      <w:r>
        <w:rPr>
          <w:rFonts w:ascii="Times New Roman" w:hAnsi="Times New Roman"/>
          <w:u w:val="single"/>
          <w:lang w:bidi="en-US"/>
        </w:rPr>
        <w:t xml:space="preserve">Estimated Labor </w:t>
      </w:r>
      <w:r w:rsidR="000172B6">
        <w:rPr>
          <w:rFonts w:ascii="Times New Roman" w:hAnsi="Times New Roman"/>
          <w:u w:val="single"/>
          <w:lang w:bidi="en-US"/>
        </w:rPr>
        <w:t>Cost</w:t>
      </w:r>
      <w:r>
        <w:rPr>
          <w:rFonts w:ascii="Times New Roman" w:hAnsi="Times New Roman"/>
          <w:lang w:bidi="en-US"/>
        </w:rPr>
        <w:t xml:space="preserve"> </w:t>
      </w:r>
      <w:r w:rsidR="000172B6">
        <w:rPr>
          <w:rFonts w:ascii="Times New Roman" w:hAnsi="Times New Roman"/>
          <w:lang w:bidi="en-US"/>
        </w:rPr>
        <w:t>–</w:t>
      </w:r>
      <w:r w:rsidRPr="00F11177">
        <w:rPr>
          <w:rFonts w:ascii="Times New Roman" w:hAnsi="Times New Roman" w:eastAsia="Source Sans Pro"/>
          <w:snapToGrid/>
          <w:szCs w:val="24"/>
          <w:lang w:bidi="en-US"/>
        </w:rPr>
        <w:t xml:space="preserve"> </w:t>
      </w:r>
      <w:r w:rsidR="000172B6">
        <w:rPr>
          <w:rFonts w:ascii="Times New Roman" w:hAnsi="Times New Roman" w:eastAsia="Source Sans Pro"/>
          <w:snapToGrid/>
          <w:szCs w:val="24"/>
          <w:lang w:bidi="en-US"/>
        </w:rPr>
        <w:t xml:space="preserve">FDIC </w:t>
      </w:r>
      <w:r w:rsidRPr="00F11177">
        <w:rPr>
          <w:rFonts w:ascii="Times New Roman" w:hAnsi="Times New Roman" w:eastAsia="Source Sans Pro"/>
          <w:snapToGrid/>
          <w:szCs w:val="24"/>
          <w:lang w:bidi="en-US"/>
        </w:rPr>
        <w:t>estimate</w:t>
      </w:r>
      <w:r w:rsidR="000172B6">
        <w:rPr>
          <w:rFonts w:ascii="Times New Roman" w:hAnsi="Times New Roman" w:eastAsia="Source Sans Pro"/>
          <w:snapToGrid/>
          <w:szCs w:val="24"/>
          <w:lang w:bidi="en-US"/>
        </w:rPr>
        <w:t>s</w:t>
      </w:r>
      <w:r w:rsidRPr="00F11177">
        <w:rPr>
          <w:rFonts w:ascii="Times New Roman" w:hAnsi="Times New Roman" w:eastAsia="Source Sans Pro"/>
          <w:snapToGrid/>
          <w:szCs w:val="24"/>
          <w:lang w:bidi="en-US"/>
        </w:rPr>
        <w:t xml:space="preserve"> the total annual cost burden for </w:t>
      </w:r>
      <w:r w:rsidR="000172B6">
        <w:rPr>
          <w:rFonts w:ascii="Times New Roman" w:hAnsi="Times New Roman" w:eastAsia="Source Sans Pro"/>
          <w:snapToGrid/>
          <w:szCs w:val="24"/>
          <w:lang w:bidi="en-US"/>
        </w:rPr>
        <w:t>this information collection</w:t>
      </w:r>
      <w:r w:rsidRPr="00F11177">
        <w:rPr>
          <w:rFonts w:ascii="Times New Roman" w:hAnsi="Times New Roman" w:eastAsia="Source Sans Pro"/>
          <w:snapToGrid/>
          <w:szCs w:val="24"/>
          <w:lang w:bidi="en-US"/>
        </w:rPr>
        <w:t xml:space="preserve"> by multiplying the total</w:t>
      </w:r>
      <w:r w:rsidR="000172B6">
        <w:rPr>
          <w:rFonts w:ascii="Times New Roman" w:hAnsi="Times New Roman" w:eastAsia="Source Sans Pro"/>
          <w:snapToGrid/>
          <w:szCs w:val="24"/>
          <w:lang w:bidi="en-US"/>
        </w:rPr>
        <w:t xml:space="preserve"> estimated </w:t>
      </w:r>
      <w:r w:rsidRPr="00F11177">
        <w:rPr>
          <w:rFonts w:ascii="Times New Roman" w:hAnsi="Times New Roman" w:eastAsia="Source Sans Pro"/>
          <w:snapToGrid/>
          <w:szCs w:val="24"/>
          <w:lang w:bidi="en-US"/>
        </w:rPr>
        <w:t xml:space="preserve"> annual burden hours </w:t>
      </w:r>
      <w:r w:rsidR="000172B6">
        <w:rPr>
          <w:rFonts w:ascii="Times New Roman" w:hAnsi="Times New Roman" w:eastAsia="Source Sans Pro"/>
          <w:snapToGrid/>
          <w:szCs w:val="24"/>
          <w:lang w:bidi="en-US"/>
        </w:rPr>
        <w:t xml:space="preserve">shown in the </w:t>
      </w:r>
      <w:r w:rsidR="000172B6">
        <w:rPr>
          <w:rFonts w:ascii="Times New Roman" w:hAnsi="Times New Roman"/>
          <w:lang w:bidi="en-US"/>
        </w:rPr>
        <w:t>Summary of Estimated Annual Burden table above,</w:t>
      </w:r>
      <w:r w:rsidRPr="00F11177">
        <w:rPr>
          <w:rFonts w:ascii="Times New Roman" w:hAnsi="Times New Roman" w:eastAsia="Source Sans Pro"/>
          <w:snapToGrid/>
          <w:szCs w:val="24"/>
          <w:lang w:bidi="en-US"/>
        </w:rPr>
        <w:t xml:space="preserve"> by the weighted average hourly compensation estimate </w:t>
      </w:r>
      <w:r w:rsidR="000172B6">
        <w:rPr>
          <w:rFonts w:ascii="Times New Roman" w:hAnsi="Times New Roman" w:eastAsia="Source Sans Pro"/>
          <w:snapToGrid/>
          <w:szCs w:val="24"/>
          <w:lang w:bidi="en-US"/>
        </w:rPr>
        <w:t xml:space="preserve">shown in the </w:t>
      </w:r>
      <w:r w:rsidRPr="00F11177" w:rsidR="000172B6">
        <w:rPr>
          <w:rFonts w:ascii="Times New Roman" w:hAnsi="Times New Roman"/>
          <w:bCs/>
          <w:snapToGrid/>
          <w:color w:val="000000"/>
          <w:szCs w:val="24"/>
        </w:rPr>
        <w:t>Summary of Hourly Burden Cost Estimate</w:t>
      </w:r>
      <w:r w:rsidR="000172B6">
        <w:rPr>
          <w:rFonts w:ascii="Times New Roman" w:hAnsi="Times New Roman" w:eastAsia="Source Sans Pro"/>
          <w:snapToGrid/>
          <w:szCs w:val="24"/>
          <w:lang w:bidi="en-US"/>
        </w:rPr>
        <w:t xml:space="preserve"> table . The total annu</w:t>
      </w:r>
      <w:r w:rsidRPr="00F11177">
        <w:rPr>
          <w:rFonts w:ascii="Times New Roman" w:hAnsi="Times New Roman" w:eastAsia="Source Sans Pro"/>
          <w:snapToGrid/>
          <w:szCs w:val="24"/>
          <w:lang w:bidi="en-US"/>
        </w:rPr>
        <w:t>al cost burden is estimated</w:t>
      </w:r>
      <w:r w:rsidR="000172B6">
        <w:rPr>
          <w:rFonts w:ascii="Times New Roman" w:hAnsi="Times New Roman" w:eastAsia="Source Sans Pro"/>
          <w:snapToGrid/>
          <w:szCs w:val="24"/>
          <w:lang w:bidi="en-US"/>
        </w:rPr>
        <w:t xml:space="preserve"> to be approximately </w:t>
      </w:r>
      <w:r w:rsidR="001B7169">
        <w:rPr>
          <w:rFonts w:ascii="Times New Roman" w:hAnsi="Times New Roman" w:eastAsia="Source Sans Pro"/>
          <w:b/>
          <w:snapToGrid/>
          <w:szCs w:val="24"/>
          <w:lang w:bidi="en-US"/>
        </w:rPr>
        <w:t>$2,384</w:t>
      </w:r>
      <w:r w:rsidR="000172B6">
        <w:rPr>
          <w:rFonts w:ascii="Times New Roman" w:hAnsi="Times New Roman" w:eastAsia="Source Sans Pro"/>
          <w:snapToGrid/>
          <w:szCs w:val="24"/>
          <w:lang w:bidi="en-US"/>
        </w:rPr>
        <w:t>.</w:t>
      </w:r>
      <w:r w:rsidRPr="000172B6" w:rsidR="000172B6">
        <w:rPr>
          <w:rStyle w:val="FootnoteReference"/>
          <w:rFonts w:ascii="Times New Roman" w:hAnsi="Times New Roman" w:eastAsia="Source Sans Pro"/>
          <w:snapToGrid/>
          <w:szCs w:val="24"/>
          <w:vertAlign w:val="superscript"/>
          <w:lang w:bidi="en-US"/>
        </w:rPr>
        <w:footnoteReference w:id="8"/>
      </w:r>
      <w:r w:rsidRPr="00F11177">
        <w:rPr>
          <w:rFonts w:ascii="Times New Roman" w:hAnsi="Times New Roman" w:eastAsia="Source Sans Pro"/>
          <w:snapToGrid/>
          <w:szCs w:val="24"/>
          <w:lang w:bidi="en-US"/>
        </w:rPr>
        <w:t xml:space="preserve"> </w:t>
      </w:r>
    </w:p>
    <w:p w:rsidR="001A1972" w:rsidRDefault="001A1972" w14:paraId="6A236F67" w14:textId="0DAD9E36">
      <w:pPr>
        <w:rPr>
          <w:rFonts w:ascii="Times New Roman" w:hAnsi="Times New Roman"/>
        </w:rPr>
      </w:pPr>
    </w:p>
    <w:p w:rsidR="00075A03" w:rsidRDefault="00075A03" w14:paraId="6C75BD86" w14:textId="77777777">
      <w:pPr>
        <w:rPr>
          <w:rFonts w:ascii="Times New Roman" w:hAnsi="Times New Roman"/>
          <w:szCs w:val="24"/>
        </w:rPr>
      </w:pPr>
    </w:p>
    <w:p w:rsidR="00075A03" w:rsidRDefault="00075A03" w14:paraId="7BF4A839"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13. </w:t>
      </w:r>
      <w:r>
        <w:rPr>
          <w:rFonts w:ascii="Times New Roman" w:hAnsi="Times New Roman"/>
          <w:szCs w:val="24"/>
          <w:u w:val="single"/>
        </w:rPr>
        <w:t xml:space="preserve">Estimate of annualized </w:t>
      </w:r>
      <w:r w:rsidR="0086580D">
        <w:rPr>
          <w:rFonts w:ascii="Times New Roman" w:hAnsi="Times New Roman"/>
          <w:szCs w:val="24"/>
          <w:u w:val="single"/>
        </w:rPr>
        <w:t xml:space="preserve">external </w:t>
      </w:r>
      <w:r>
        <w:rPr>
          <w:rFonts w:ascii="Times New Roman" w:hAnsi="Times New Roman"/>
          <w:szCs w:val="24"/>
          <w:u w:val="single"/>
        </w:rPr>
        <w:t>costs to respondents</w:t>
      </w:r>
      <w:r>
        <w:rPr>
          <w:rFonts w:ascii="Times New Roman" w:hAnsi="Times New Roman"/>
          <w:szCs w:val="24"/>
        </w:rPr>
        <w:t>:</w:t>
      </w:r>
    </w:p>
    <w:p w:rsidR="00075A03" w:rsidRDefault="00075A03" w14:paraId="73E69E4C" w14:textId="77777777">
      <w:pPr>
        <w:rPr>
          <w:rFonts w:ascii="Times New Roman" w:hAnsi="Times New Roman"/>
          <w:szCs w:val="24"/>
        </w:rPr>
      </w:pPr>
    </w:p>
    <w:p w:rsidR="00075A03" w:rsidP="00714F75" w:rsidRDefault="00075A03" w14:paraId="7153B2BB"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rsidRDefault="00075A03" w14:paraId="32FCAA25" w14:textId="77777777">
      <w:pPr>
        <w:rPr>
          <w:rFonts w:ascii="Times New Roman" w:hAnsi="Times New Roman"/>
          <w:szCs w:val="24"/>
        </w:rPr>
      </w:pPr>
    </w:p>
    <w:p w:rsidR="00075A03" w:rsidRDefault="00075A03" w14:paraId="22180ACF" w14:textId="77777777">
      <w:pPr>
        <w:outlineLvl w:val="0"/>
        <w:rPr>
          <w:rFonts w:ascii="Times New Roman" w:hAnsi="Times New Roman"/>
          <w:szCs w:val="24"/>
        </w:rPr>
      </w:pPr>
      <w:r>
        <w:rPr>
          <w:rFonts w:ascii="Times New Roman" w:hAnsi="Times New Roman"/>
          <w:szCs w:val="24"/>
        </w:rPr>
        <w:t xml:space="preserve">14. </w:t>
      </w:r>
      <w:r>
        <w:rPr>
          <w:rFonts w:ascii="Times New Roman" w:hAnsi="Times New Roman"/>
          <w:szCs w:val="24"/>
          <w:u w:val="single"/>
        </w:rPr>
        <w:t>Estimate of annualized costs to the government</w:t>
      </w:r>
      <w:r>
        <w:rPr>
          <w:rFonts w:ascii="Times New Roman" w:hAnsi="Times New Roman"/>
          <w:szCs w:val="24"/>
        </w:rPr>
        <w:t>:</w:t>
      </w:r>
    </w:p>
    <w:p w:rsidR="00075A03" w:rsidRDefault="00075A03" w14:paraId="0F6377FA" w14:textId="77777777">
      <w:pPr>
        <w:rPr>
          <w:rFonts w:ascii="Times New Roman" w:hAnsi="Times New Roman"/>
          <w:szCs w:val="24"/>
        </w:rPr>
      </w:pPr>
    </w:p>
    <w:p w:rsidR="00075A03" w:rsidP="00714F75" w:rsidRDefault="00075A03" w14:paraId="75FE5DF3"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rsidRDefault="00075A03" w14:paraId="3A6732F5" w14:textId="77777777">
      <w:pPr>
        <w:rPr>
          <w:rFonts w:ascii="Times New Roman" w:hAnsi="Times New Roman"/>
          <w:szCs w:val="24"/>
        </w:rPr>
      </w:pPr>
      <w:r>
        <w:rPr>
          <w:rFonts w:ascii="Times New Roman" w:hAnsi="Times New Roman"/>
          <w:szCs w:val="24"/>
        </w:rPr>
        <w:t xml:space="preserve"> </w:t>
      </w:r>
    </w:p>
    <w:p w:rsidR="00075A03" w:rsidRDefault="00075A03" w14:paraId="241AA843"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15. </w:t>
      </w:r>
      <w:r>
        <w:rPr>
          <w:rFonts w:ascii="Times New Roman" w:hAnsi="Times New Roman"/>
          <w:szCs w:val="24"/>
          <w:u w:val="single"/>
        </w:rPr>
        <w:t>Changes in burden:</w:t>
      </w:r>
    </w:p>
    <w:p w:rsidR="00075A03" w:rsidRDefault="00075A03" w14:paraId="2DB5E237" w14:textId="77777777">
      <w:pPr>
        <w:rPr>
          <w:rFonts w:ascii="Times New Roman" w:hAnsi="Times New Roman"/>
          <w:szCs w:val="24"/>
        </w:rPr>
      </w:pPr>
    </w:p>
    <w:p w:rsidR="00075A03" w:rsidP="00714F75" w:rsidRDefault="00A32A94" w14:paraId="35B42396" w14:textId="42C260E8">
      <w:pPr>
        <w:ind w:left="270"/>
        <w:rPr>
          <w:rFonts w:ascii="Times New Roman" w:hAnsi="Times New Roman"/>
          <w:szCs w:val="24"/>
        </w:rPr>
      </w:pPr>
      <w:r>
        <w:rPr>
          <w:rFonts w:ascii="Times New Roman" w:hAnsi="Times New Roman"/>
          <w:iCs/>
        </w:rPr>
        <w:t>See discussion in Section 12 above</w:t>
      </w:r>
      <w:r w:rsidR="0086580D">
        <w:rPr>
          <w:rFonts w:ascii="Times New Roman" w:hAnsi="Times New Roman"/>
          <w:iCs/>
        </w:rPr>
        <w:t>.</w:t>
      </w:r>
    </w:p>
    <w:p w:rsidR="00075A03" w:rsidRDefault="00075A03" w14:paraId="5AC5EF88" w14:textId="77777777">
      <w:pPr>
        <w:rPr>
          <w:rFonts w:ascii="Times New Roman" w:hAnsi="Times New Roman"/>
          <w:szCs w:val="24"/>
        </w:rPr>
      </w:pPr>
    </w:p>
    <w:p w:rsidR="00075A03" w:rsidP="00930D3A" w:rsidRDefault="00075A03" w14:paraId="1F10BE2E" w14:textId="046FDBC3">
      <w:pPr>
        <w:outlineLvl w:val="0"/>
        <w:rPr>
          <w:rFonts w:ascii="Times New Roman" w:hAnsi="Times New Roman"/>
          <w:szCs w:val="24"/>
        </w:rPr>
      </w:pPr>
      <w:r>
        <w:rPr>
          <w:rFonts w:ascii="Times New Roman" w:hAnsi="Times New Roman"/>
          <w:szCs w:val="24"/>
        </w:rPr>
        <w:t xml:space="preserve">16. </w:t>
      </w:r>
      <w:r>
        <w:rPr>
          <w:rFonts w:ascii="Times New Roman" w:hAnsi="Times New Roman"/>
          <w:szCs w:val="24"/>
          <w:u w:val="single"/>
        </w:rPr>
        <w:t>Information regarding collections whose results are planned to be published for statistical use</w:t>
      </w:r>
      <w:r>
        <w:rPr>
          <w:rFonts w:ascii="Times New Roman" w:hAnsi="Times New Roman"/>
          <w:szCs w:val="24"/>
        </w:rPr>
        <w:t>:</w:t>
      </w:r>
    </w:p>
    <w:p w:rsidR="00075A03" w:rsidRDefault="00075A03" w14:paraId="605CA12F" w14:textId="77777777">
      <w:pPr>
        <w:ind w:left="720"/>
        <w:rPr>
          <w:rFonts w:ascii="Times New Roman" w:hAnsi="Times New Roman"/>
          <w:szCs w:val="24"/>
        </w:rPr>
      </w:pPr>
    </w:p>
    <w:p w:rsidR="00075A03" w:rsidP="00714F75" w:rsidRDefault="00075A03" w14:paraId="5CA063EF" w14:textId="77777777">
      <w:pPr>
        <w:ind w:left="270"/>
        <w:rPr>
          <w:rFonts w:ascii="Times New Roman" w:hAnsi="Times New Roman"/>
          <w:szCs w:val="24"/>
        </w:rPr>
      </w:pPr>
      <w:r>
        <w:rPr>
          <w:rFonts w:ascii="Times New Roman" w:hAnsi="Times New Roman"/>
          <w:szCs w:val="24"/>
        </w:rPr>
        <w:t xml:space="preserve">No </w:t>
      </w:r>
      <w:r w:rsidRPr="00714F75">
        <w:rPr>
          <w:rFonts w:ascii="Times New Roman" w:hAnsi="Times New Roman"/>
        </w:rPr>
        <w:t>publication</w:t>
      </w:r>
      <w:r>
        <w:rPr>
          <w:rFonts w:ascii="Times New Roman" w:hAnsi="Times New Roman"/>
          <w:szCs w:val="24"/>
        </w:rPr>
        <w:t xml:space="preserve"> for statistical use is contemplated.</w:t>
      </w:r>
    </w:p>
    <w:p w:rsidR="00075A03" w:rsidRDefault="00075A03" w14:paraId="1026BC31" w14:textId="77777777">
      <w:pPr>
        <w:rPr>
          <w:rFonts w:ascii="Times New Roman" w:hAnsi="Times New Roman"/>
          <w:szCs w:val="24"/>
        </w:rPr>
      </w:pPr>
    </w:p>
    <w:p w:rsidR="00075A03" w:rsidRDefault="00075A03" w14:paraId="390E5AA6" w14:textId="77777777">
      <w:pPr>
        <w:outlineLvl w:val="0"/>
        <w:rPr>
          <w:rFonts w:ascii="Times New Roman" w:hAnsi="Times New Roman"/>
          <w:szCs w:val="24"/>
        </w:rPr>
      </w:pPr>
      <w:r>
        <w:rPr>
          <w:rFonts w:ascii="Times New Roman" w:hAnsi="Times New Roman"/>
          <w:szCs w:val="24"/>
        </w:rPr>
        <w:t xml:space="preserve">17. </w:t>
      </w:r>
      <w:r>
        <w:rPr>
          <w:rFonts w:ascii="Times New Roman" w:hAnsi="Times New Roman"/>
          <w:szCs w:val="24"/>
          <w:u w:val="single"/>
        </w:rPr>
        <w:t>Display of expiration date</w:t>
      </w:r>
      <w:r>
        <w:rPr>
          <w:rFonts w:ascii="Times New Roman" w:hAnsi="Times New Roman"/>
          <w:szCs w:val="24"/>
        </w:rPr>
        <w:t>:</w:t>
      </w:r>
    </w:p>
    <w:p w:rsidR="00075A03" w:rsidRDefault="00075A03" w14:paraId="76B86AA4" w14:textId="77777777">
      <w:pPr>
        <w:rPr>
          <w:rFonts w:ascii="Times New Roman" w:hAnsi="Times New Roman"/>
          <w:szCs w:val="24"/>
        </w:rPr>
      </w:pPr>
    </w:p>
    <w:p w:rsidR="00075A03" w:rsidP="00714F75" w:rsidRDefault="00075A03" w14:paraId="1BE01BB4" w14:textId="77777777">
      <w:pPr>
        <w:ind w:left="270"/>
        <w:rPr>
          <w:rFonts w:ascii="Times New Roman" w:hAnsi="Times New Roman"/>
          <w:szCs w:val="24"/>
        </w:rPr>
      </w:pPr>
      <w:r>
        <w:rPr>
          <w:rFonts w:ascii="Times New Roman" w:hAnsi="Times New Roman"/>
          <w:szCs w:val="24"/>
        </w:rPr>
        <w:t>Not applicable.</w:t>
      </w:r>
    </w:p>
    <w:p w:rsidR="00075A03" w:rsidRDefault="00075A03" w14:paraId="7F938142" w14:textId="77777777">
      <w:pPr>
        <w:rPr>
          <w:rFonts w:ascii="Times New Roman" w:hAnsi="Times New Roman"/>
          <w:szCs w:val="24"/>
        </w:rPr>
      </w:pPr>
    </w:p>
    <w:p w:rsidR="00075A03" w:rsidRDefault="00075A03" w14:paraId="58D2BC02" w14:textId="77777777">
      <w:pPr>
        <w:outlineLvl w:val="0"/>
        <w:rPr>
          <w:rFonts w:ascii="Times New Roman" w:hAnsi="Times New Roman"/>
          <w:szCs w:val="24"/>
        </w:rPr>
      </w:pPr>
      <w:r>
        <w:rPr>
          <w:rFonts w:ascii="Times New Roman" w:hAnsi="Times New Roman"/>
          <w:szCs w:val="24"/>
        </w:rPr>
        <w:t xml:space="preserve">18. </w:t>
      </w:r>
      <w:r>
        <w:rPr>
          <w:rFonts w:ascii="Times New Roman" w:hAnsi="Times New Roman"/>
          <w:szCs w:val="24"/>
          <w:u w:val="single"/>
        </w:rPr>
        <w:t>Exceptions to certification statement</w:t>
      </w:r>
      <w:r>
        <w:rPr>
          <w:rFonts w:ascii="Times New Roman" w:hAnsi="Times New Roman"/>
          <w:szCs w:val="24"/>
        </w:rPr>
        <w:t>:</w:t>
      </w:r>
    </w:p>
    <w:p w:rsidR="00075A03" w:rsidRDefault="00075A03" w14:paraId="27837C75" w14:textId="77777777">
      <w:pPr>
        <w:rPr>
          <w:rFonts w:ascii="Times New Roman" w:hAnsi="Times New Roman"/>
          <w:szCs w:val="24"/>
        </w:rPr>
      </w:pPr>
    </w:p>
    <w:p w:rsidR="00075A03" w:rsidP="00714F75" w:rsidRDefault="00075A03" w14:paraId="7A4A6546" w14:textId="77777777">
      <w:pPr>
        <w:ind w:left="270"/>
        <w:rPr>
          <w:rFonts w:ascii="Times New Roman" w:hAnsi="Times New Roman"/>
          <w:szCs w:val="24"/>
        </w:rPr>
      </w:pPr>
      <w:r>
        <w:rPr>
          <w:rFonts w:ascii="Times New Roman" w:hAnsi="Times New Roman"/>
          <w:szCs w:val="24"/>
        </w:rPr>
        <w:t xml:space="preserve">Not </w:t>
      </w:r>
      <w:r w:rsidRPr="00714F75">
        <w:rPr>
          <w:rFonts w:ascii="Times New Roman" w:hAnsi="Times New Roman"/>
        </w:rPr>
        <w:t>applicable</w:t>
      </w:r>
      <w:r>
        <w:rPr>
          <w:rFonts w:ascii="Times New Roman" w:hAnsi="Times New Roman"/>
          <w:szCs w:val="24"/>
        </w:rPr>
        <w:t>.</w:t>
      </w:r>
    </w:p>
    <w:p w:rsidR="00075A03" w:rsidRDefault="00075A03" w14:paraId="131C274B" w14:textId="77777777">
      <w:pPr>
        <w:rPr>
          <w:rFonts w:ascii="Times New Roman" w:hAnsi="Times New Roman"/>
          <w:szCs w:val="24"/>
        </w:rPr>
      </w:pPr>
    </w:p>
    <w:p w:rsidR="00075A03" w:rsidRDefault="00075A03" w14:paraId="3A1C1B46" w14:textId="77777777">
      <w:pPr>
        <w:outlineLvl w:val="0"/>
        <w:rPr>
          <w:rFonts w:ascii="Times New Roman" w:hAnsi="Times New Roman"/>
          <w:szCs w:val="24"/>
        </w:rPr>
      </w:pPr>
      <w:r>
        <w:rPr>
          <w:rFonts w:ascii="Times New Roman" w:hAnsi="Times New Roman"/>
          <w:szCs w:val="24"/>
        </w:rPr>
        <w:t>B. Collections of Information Employing Statistical Methods.</w:t>
      </w:r>
    </w:p>
    <w:p w:rsidR="00075A03" w:rsidRDefault="00075A03" w14:paraId="634F1AA7" w14:textId="77777777">
      <w:pPr>
        <w:rPr>
          <w:rFonts w:ascii="Times New Roman" w:hAnsi="Times New Roman"/>
          <w:szCs w:val="24"/>
        </w:rPr>
      </w:pPr>
    </w:p>
    <w:p w:rsidR="00075A03" w:rsidP="00714F75" w:rsidRDefault="00075A03" w14:paraId="6CBE6AC8" w14:textId="77777777">
      <w:pPr>
        <w:ind w:left="270"/>
        <w:rPr>
          <w:rFonts w:ascii="Times New Roman" w:hAnsi="Times New Roman"/>
          <w:szCs w:val="24"/>
        </w:rPr>
      </w:pPr>
      <w:r>
        <w:rPr>
          <w:rFonts w:ascii="Times New Roman" w:hAnsi="Times New Roman"/>
          <w:szCs w:val="24"/>
        </w:rPr>
        <w:t xml:space="preserve">Not </w:t>
      </w:r>
      <w:r w:rsidRPr="00714F75">
        <w:rPr>
          <w:rFonts w:ascii="Times New Roman" w:hAnsi="Times New Roman"/>
        </w:rPr>
        <w:t>applicable</w:t>
      </w:r>
      <w:r>
        <w:rPr>
          <w:rFonts w:ascii="Times New Roman" w:hAnsi="Times New Roman"/>
          <w:szCs w:val="24"/>
        </w:rPr>
        <w:t>.</w:t>
      </w:r>
    </w:p>
    <w:p w:rsidR="00075A03" w:rsidRDefault="00075A03" w14:paraId="60136CFF" w14:textId="77777777">
      <w:pPr>
        <w:rPr>
          <w:rFonts w:ascii="Times New Roman" w:hAnsi="Times New Roman"/>
          <w:szCs w:val="24"/>
        </w:rPr>
      </w:pPr>
    </w:p>
    <w:p w:rsidR="00075A03" w:rsidRDefault="00075A03" w14:paraId="644953AB" w14:textId="77777777">
      <w:pPr>
        <w:rPr>
          <w:rFonts w:ascii="Times New Roman" w:hAnsi="Times New Roman"/>
          <w:szCs w:val="24"/>
        </w:rPr>
      </w:pPr>
    </w:p>
    <w:sectPr w:rsidR="00075A03">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FD44B" w14:textId="77777777" w:rsidR="003540D6" w:rsidRDefault="003540D6">
      <w:r>
        <w:separator/>
      </w:r>
    </w:p>
  </w:endnote>
  <w:endnote w:type="continuationSeparator" w:id="0">
    <w:p w14:paraId="6931C135" w14:textId="77777777" w:rsidR="003540D6" w:rsidRDefault="003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265F" w14:textId="77777777" w:rsidR="00075A03" w:rsidRDefault="00075A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9F956" w14:textId="77777777" w:rsidR="00075A03" w:rsidRDefault="0007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1AED" w14:textId="77723180" w:rsidR="00075A03" w:rsidRDefault="00075A0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D2160">
      <w:rPr>
        <w:rStyle w:val="PageNumber"/>
        <w:rFonts w:ascii="Times New Roman" w:hAnsi="Times New Roman"/>
        <w:noProof/>
      </w:rPr>
      <w:t>7</w:t>
    </w:r>
    <w:r>
      <w:rPr>
        <w:rStyle w:val="PageNumber"/>
        <w:rFonts w:ascii="Times New Roman" w:hAnsi="Times New Roman"/>
      </w:rPr>
      <w:fldChar w:fldCharType="end"/>
    </w:r>
  </w:p>
  <w:p w14:paraId="42BABA22" w14:textId="77777777" w:rsidR="00075A03" w:rsidRDefault="0007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98A36" w14:textId="77777777" w:rsidR="003540D6" w:rsidRDefault="003540D6">
      <w:r>
        <w:separator/>
      </w:r>
    </w:p>
  </w:footnote>
  <w:footnote w:type="continuationSeparator" w:id="0">
    <w:p w14:paraId="63E9B758" w14:textId="77777777" w:rsidR="003540D6" w:rsidRDefault="003540D6">
      <w:r>
        <w:continuationSeparator/>
      </w:r>
    </w:p>
  </w:footnote>
  <w:footnote w:id="1">
    <w:p w14:paraId="1CEA37A4" w14:textId="6F4D51D6" w:rsidR="00F11177" w:rsidRPr="00F11177" w:rsidRDefault="00F11177" w:rsidP="00F11177">
      <w:pPr>
        <w:pStyle w:val="FootnoteText"/>
        <w:rPr>
          <w:rFonts w:ascii="Times New Roman" w:hAnsi="Times New Roman"/>
        </w:rPr>
      </w:pPr>
      <w:r w:rsidRPr="00F11177">
        <w:rPr>
          <w:rStyle w:val="FootnoteReference"/>
          <w:rFonts w:ascii="Times New Roman" w:hAnsi="Times New Roman"/>
          <w:vertAlign w:val="superscript"/>
        </w:rPr>
        <w:footnoteRef/>
      </w:r>
      <w:r w:rsidRPr="00F11177">
        <w:rPr>
          <w:rFonts w:ascii="Times New Roman" w:hAnsi="Times New Roman"/>
        </w:rPr>
        <w:t xml:space="preserve"> T</w:t>
      </w:r>
      <w:r w:rsidR="009B6504">
        <w:rPr>
          <w:rFonts w:ascii="Times New Roman" w:hAnsi="Times New Roman"/>
        </w:rPr>
        <w:t>he FDIC</w:t>
      </w:r>
      <w:r w:rsidRPr="00F11177">
        <w:rPr>
          <w:rFonts w:ascii="Times New Roman" w:hAnsi="Times New Roman"/>
        </w:rPr>
        <w:t xml:space="preserve"> did not have information sufficient to allocate labor hours and</w:t>
      </w:r>
      <w:r w:rsidR="009B6504">
        <w:rPr>
          <w:rFonts w:ascii="Times New Roman" w:hAnsi="Times New Roman"/>
        </w:rPr>
        <w:t>, accordingly, it has assumed that</w:t>
      </w:r>
      <w:r w:rsidRPr="00F11177">
        <w:rPr>
          <w:rFonts w:ascii="Times New Roman" w:hAnsi="Times New Roman"/>
        </w:rPr>
        <w:t xml:space="preserve"> an even allocation among the </w:t>
      </w:r>
      <w:r w:rsidR="009B6504">
        <w:rPr>
          <w:rFonts w:ascii="Times New Roman" w:hAnsi="Times New Roman"/>
        </w:rPr>
        <w:t>listed occupations would be appropriate</w:t>
      </w:r>
      <w:r w:rsidRPr="00F11177">
        <w:rPr>
          <w:rFonts w:ascii="Times New Roman" w:hAnsi="Times New Roman"/>
        </w:rPr>
        <w:t>.</w:t>
      </w:r>
    </w:p>
  </w:footnote>
  <w:footnote w:id="2">
    <w:p w14:paraId="3319CC7E" w14:textId="77777777" w:rsidR="001B7169" w:rsidRPr="001B7169" w:rsidRDefault="001B7169" w:rsidP="001B7169">
      <w:pPr>
        <w:pStyle w:val="FootnoteText"/>
        <w:rPr>
          <w:rFonts w:ascii="Times New Roman" w:hAnsi="Times New Roman"/>
          <w:szCs w:val="18"/>
        </w:rPr>
      </w:pPr>
      <w:r w:rsidRPr="001B7169">
        <w:rPr>
          <w:rStyle w:val="FootnoteReference"/>
          <w:rFonts w:ascii="Times New Roman" w:hAnsi="Times New Roman"/>
          <w:szCs w:val="18"/>
          <w:vertAlign w:val="superscript"/>
        </w:rPr>
        <w:footnoteRef/>
      </w:r>
      <w:r w:rsidRPr="001B7169">
        <w:rPr>
          <w:rFonts w:ascii="Times New Roman" w:hAnsi="Times New Roman"/>
          <w:szCs w:val="18"/>
        </w:rPr>
        <w:t xml:space="preserve"> Occupation (SOC Code): Management Occupations (110000).</w:t>
      </w:r>
    </w:p>
  </w:footnote>
  <w:footnote w:id="3">
    <w:p w14:paraId="7FC6D463" w14:textId="77777777" w:rsidR="001B7169" w:rsidRPr="001B7169" w:rsidRDefault="001B7169" w:rsidP="001B7169">
      <w:pPr>
        <w:pStyle w:val="FootnoteText"/>
        <w:rPr>
          <w:rFonts w:ascii="Times New Roman" w:hAnsi="Times New Roman"/>
          <w:szCs w:val="18"/>
        </w:rPr>
      </w:pPr>
      <w:r w:rsidRPr="001B7169">
        <w:rPr>
          <w:rStyle w:val="FootnoteReference"/>
          <w:rFonts w:ascii="Times New Roman" w:hAnsi="Times New Roman"/>
          <w:szCs w:val="18"/>
          <w:vertAlign w:val="superscript"/>
        </w:rPr>
        <w:footnoteRef/>
      </w:r>
      <w:r w:rsidRPr="001B7169">
        <w:rPr>
          <w:rFonts w:ascii="Times New Roman" w:hAnsi="Times New Roman"/>
          <w:szCs w:val="18"/>
        </w:rPr>
        <w:t xml:space="preserve"> </w:t>
      </w:r>
      <w:r w:rsidRPr="001B7169">
        <w:rPr>
          <w:rFonts w:ascii="Times New Roman" w:hAnsi="Times New Roman"/>
          <w:szCs w:val="18"/>
          <w:shd w:val="clear" w:color="auto" w:fill="FFFFFF"/>
        </w:rPr>
        <w:t>Occupation (SOC Code): Legal Occupations (230000).</w:t>
      </w:r>
    </w:p>
  </w:footnote>
  <w:footnote w:id="4">
    <w:p w14:paraId="09CED946" w14:textId="77777777" w:rsidR="001B7169" w:rsidRPr="001B7169" w:rsidRDefault="001B7169" w:rsidP="001B7169">
      <w:pPr>
        <w:pStyle w:val="FootnoteText"/>
        <w:rPr>
          <w:rFonts w:ascii="Times New Roman" w:hAnsi="Times New Roman"/>
          <w:szCs w:val="18"/>
        </w:rPr>
      </w:pPr>
      <w:r w:rsidRPr="001B7169">
        <w:rPr>
          <w:rStyle w:val="FootnoteReference"/>
          <w:rFonts w:ascii="Times New Roman" w:hAnsi="Times New Roman"/>
          <w:szCs w:val="18"/>
          <w:vertAlign w:val="superscript"/>
        </w:rPr>
        <w:footnoteRef/>
      </w:r>
      <w:r w:rsidRPr="001B7169">
        <w:rPr>
          <w:rFonts w:ascii="Times New Roman" w:hAnsi="Times New Roman"/>
          <w:szCs w:val="18"/>
        </w:rPr>
        <w:t xml:space="preserve"> Occupation (SOC Code): Compliance Officers (131040). </w:t>
      </w:r>
    </w:p>
  </w:footnote>
  <w:footnote w:id="5">
    <w:p w14:paraId="5F71F6EB" w14:textId="77777777" w:rsidR="001B7169" w:rsidRPr="001B7169" w:rsidRDefault="001B7169" w:rsidP="001B7169">
      <w:pPr>
        <w:pStyle w:val="FootnoteText"/>
        <w:rPr>
          <w:rFonts w:ascii="Times New Roman" w:hAnsi="Times New Roman"/>
          <w:szCs w:val="18"/>
        </w:rPr>
      </w:pPr>
      <w:r w:rsidRPr="001B7169">
        <w:rPr>
          <w:rStyle w:val="FootnoteReference"/>
          <w:rFonts w:ascii="Times New Roman" w:hAnsi="Times New Roman"/>
          <w:szCs w:val="18"/>
          <w:vertAlign w:val="superscript"/>
        </w:rPr>
        <w:footnoteRef/>
      </w:r>
      <w:r w:rsidRPr="001B7169">
        <w:rPr>
          <w:rFonts w:ascii="Times New Roman" w:hAnsi="Times New Roman"/>
          <w:szCs w:val="18"/>
        </w:rPr>
        <w:t xml:space="preserve"> </w:t>
      </w:r>
      <w:r w:rsidRPr="001B7169">
        <w:rPr>
          <w:rFonts w:ascii="Times New Roman" w:hAnsi="Times New Roman"/>
          <w:szCs w:val="18"/>
          <w:shd w:val="clear" w:color="auto" w:fill="FFFFFF"/>
        </w:rPr>
        <w:t>Occupation (SOC Code): Computer and Mathematical Occupations (150000).</w:t>
      </w:r>
    </w:p>
  </w:footnote>
  <w:footnote w:id="6">
    <w:p w14:paraId="321A80D2" w14:textId="77777777" w:rsidR="001B7169" w:rsidRPr="001B7169" w:rsidRDefault="001B7169" w:rsidP="001B7169">
      <w:pPr>
        <w:pStyle w:val="FootnoteText"/>
        <w:rPr>
          <w:rFonts w:ascii="Times New Roman" w:hAnsi="Times New Roman"/>
          <w:szCs w:val="18"/>
        </w:rPr>
      </w:pPr>
      <w:r w:rsidRPr="001B7169">
        <w:rPr>
          <w:rStyle w:val="FootnoteReference"/>
          <w:rFonts w:ascii="Times New Roman" w:hAnsi="Times New Roman"/>
          <w:szCs w:val="18"/>
          <w:vertAlign w:val="superscript"/>
        </w:rPr>
        <w:footnoteRef/>
      </w:r>
      <w:r w:rsidRPr="001B7169">
        <w:rPr>
          <w:rFonts w:ascii="Times New Roman" w:hAnsi="Times New Roman"/>
          <w:szCs w:val="18"/>
        </w:rPr>
        <w:t xml:space="preserve"> Occupation (SOC Code): Financial and Investment Analysts, Financial Risk Specialists, and Financial Specialists, All Other (132098).</w:t>
      </w:r>
    </w:p>
  </w:footnote>
  <w:footnote w:id="7">
    <w:p w14:paraId="3DCCBDE6" w14:textId="77777777" w:rsidR="001B7169" w:rsidRPr="001B7169" w:rsidRDefault="001B7169" w:rsidP="001B7169">
      <w:pPr>
        <w:pStyle w:val="FootnoteText"/>
        <w:rPr>
          <w:rFonts w:ascii="Times New Roman" w:hAnsi="Times New Roman"/>
          <w:szCs w:val="18"/>
        </w:rPr>
      </w:pPr>
      <w:r w:rsidRPr="00866D97">
        <w:rPr>
          <w:rStyle w:val="FootnoteReference"/>
          <w:rFonts w:ascii="Times New Roman" w:hAnsi="Times New Roman"/>
          <w:szCs w:val="18"/>
          <w:vertAlign w:val="superscript"/>
        </w:rPr>
        <w:footnoteRef/>
      </w:r>
      <w:r w:rsidRPr="001B7169">
        <w:rPr>
          <w:rFonts w:ascii="Times New Roman" w:hAnsi="Times New Roman"/>
          <w:szCs w:val="18"/>
        </w:rPr>
        <w:t xml:space="preserve"> Occupation (SOC Code): Office and Administrative Support Occupations (430000).</w:t>
      </w:r>
    </w:p>
  </w:footnote>
  <w:footnote w:id="8">
    <w:p w14:paraId="252E3851" w14:textId="03049EA4" w:rsidR="000172B6" w:rsidRPr="000172B6" w:rsidRDefault="000172B6">
      <w:pPr>
        <w:pStyle w:val="FootnoteText"/>
        <w:rPr>
          <w:rFonts w:ascii="Times New Roman" w:hAnsi="Times New Roman"/>
        </w:rPr>
      </w:pPr>
      <w:r w:rsidRPr="000172B6">
        <w:rPr>
          <w:rStyle w:val="FootnoteReference"/>
          <w:rFonts w:ascii="Times New Roman" w:hAnsi="Times New Roman"/>
          <w:vertAlign w:val="superscript"/>
        </w:rPr>
        <w:footnoteRef/>
      </w:r>
      <w:r w:rsidRPr="000172B6">
        <w:rPr>
          <w:rFonts w:ascii="Times New Roman" w:hAnsi="Times New Roman"/>
        </w:rPr>
        <w:t xml:space="preserve"> </w:t>
      </w:r>
      <w:r w:rsidR="001B7169">
        <w:rPr>
          <w:rFonts w:ascii="Times New Roman" w:hAnsi="Times New Roman"/>
          <w:color w:val="000000"/>
        </w:rPr>
        <w:t>20</w:t>
      </w:r>
      <w:r w:rsidRPr="00F11177">
        <w:rPr>
          <w:rFonts w:ascii="Times New Roman" w:hAnsi="Times New Roman"/>
          <w:color w:val="000000"/>
        </w:rPr>
        <w:t xml:space="preserve"> </w:t>
      </w:r>
      <w:r w:rsidRPr="000172B6">
        <w:rPr>
          <w:rFonts w:ascii="Times New Roman" w:eastAsia="Source Sans Pro" w:hAnsi="Times New Roman"/>
          <w:lang w:bidi="en-US"/>
        </w:rPr>
        <w:t>hours / year multiplied by</w:t>
      </w:r>
      <w:r w:rsidR="001B7169">
        <w:rPr>
          <w:rFonts w:ascii="Times New Roman" w:eastAsia="Source Sans Pro" w:hAnsi="Times New Roman"/>
          <w:lang w:bidi="en-US"/>
        </w:rPr>
        <w:t xml:space="preserve"> $119.19 / hour = $2,383.80</w:t>
      </w:r>
      <w:r w:rsidRPr="00F11177">
        <w:rPr>
          <w:rFonts w:ascii="Times New Roman" w:eastAsia="Source Sans Pro" w:hAnsi="Times New Roman"/>
          <w:lang w:bidi="en-US"/>
        </w:rPr>
        <w:t xml:space="preserve"> per year</w:t>
      </w:r>
      <w:r w:rsidRPr="00F11177">
        <w:rPr>
          <w:rFonts w:ascii="Times New Roman" w:eastAsia="Source Sans Pro" w:hAnsi="Times New Roman"/>
          <w:sz w:val="24"/>
          <w:szCs w:val="24"/>
          <w:lang w:bidi="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EE0E8E"/>
    <w:multiLevelType w:val="hybridMultilevel"/>
    <w:tmpl w:val="74265CE0"/>
    <w:lvl w:ilvl="0" w:tplc="4792FE10">
      <w:start w:val="1"/>
      <w:numFmt w:val="decimal"/>
      <w:lvlText w:val="%1."/>
      <w:lvlJc w:val="left"/>
      <w:pPr>
        <w:ind w:left="720" w:firstLine="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9"/>
  </w:num>
  <w:num w:numId="6">
    <w:abstractNumId w:val="4"/>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1E"/>
    <w:rsid w:val="000172B6"/>
    <w:rsid w:val="000247CE"/>
    <w:rsid w:val="00075A03"/>
    <w:rsid w:val="0019782C"/>
    <w:rsid w:val="001A1972"/>
    <w:rsid w:val="001B7169"/>
    <w:rsid w:val="001D301E"/>
    <w:rsid w:val="001E24ED"/>
    <w:rsid w:val="001F0249"/>
    <w:rsid w:val="0029762B"/>
    <w:rsid w:val="00297C0A"/>
    <w:rsid w:val="003436A1"/>
    <w:rsid w:val="003540D6"/>
    <w:rsid w:val="003C5CB2"/>
    <w:rsid w:val="003E51EB"/>
    <w:rsid w:val="003F1BEB"/>
    <w:rsid w:val="00424F18"/>
    <w:rsid w:val="00444438"/>
    <w:rsid w:val="004510A8"/>
    <w:rsid w:val="00480AA1"/>
    <w:rsid w:val="0052652C"/>
    <w:rsid w:val="00563D54"/>
    <w:rsid w:val="00580A1F"/>
    <w:rsid w:val="00590F1E"/>
    <w:rsid w:val="005D6CE1"/>
    <w:rsid w:val="00600EF6"/>
    <w:rsid w:val="00634FC3"/>
    <w:rsid w:val="006849FE"/>
    <w:rsid w:val="006D57BC"/>
    <w:rsid w:val="006E0066"/>
    <w:rsid w:val="0070148F"/>
    <w:rsid w:val="00714F75"/>
    <w:rsid w:val="0072414E"/>
    <w:rsid w:val="00732394"/>
    <w:rsid w:val="00735F23"/>
    <w:rsid w:val="007E2293"/>
    <w:rsid w:val="00852CF8"/>
    <w:rsid w:val="0086580D"/>
    <w:rsid w:val="00866D97"/>
    <w:rsid w:val="00873DB0"/>
    <w:rsid w:val="00930D3A"/>
    <w:rsid w:val="009312DF"/>
    <w:rsid w:val="0093247E"/>
    <w:rsid w:val="009B6504"/>
    <w:rsid w:val="009C641E"/>
    <w:rsid w:val="009D3A48"/>
    <w:rsid w:val="00A32A94"/>
    <w:rsid w:val="00A36991"/>
    <w:rsid w:val="00A46C0C"/>
    <w:rsid w:val="00AB19B9"/>
    <w:rsid w:val="00AB4DF7"/>
    <w:rsid w:val="00AC0954"/>
    <w:rsid w:val="00AD621A"/>
    <w:rsid w:val="00AF78CB"/>
    <w:rsid w:val="00B31898"/>
    <w:rsid w:val="00C01538"/>
    <w:rsid w:val="00C66C49"/>
    <w:rsid w:val="00C96466"/>
    <w:rsid w:val="00CF4999"/>
    <w:rsid w:val="00D52AF3"/>
    <w:rsid w:val="00D651B7"/>
    <w:rsid w:val="00D65AA9"/>
    <w:rsid w:val="00D86601"/>
    <w:rsid w:val="00DA0D05"/>
    <w:rsid w:val="00DB1281"/>
    <w:rsid w:val="00DB1DE8"/>
    <w:rsid w:val="00DD6CAB"/>
    <w:rsid w:val="00DF4B44"/>
    <w:rsid w:val="00E0181A"/>
    <w:rsid w:val="00E40C97"/>
    <w:rsid w:val="00E46B89"/>
    <w:rsid w:val="00E65725"/>
    <w:rsid w:val="00E74EC2"/>
    <w:rsid w:val="00E91C26"/>
    <w:rsid w:val="00ED0D67"/>
    <w:rsid w:val="00ED435D"/>
    <w:rsid w:val="00EF3F9E"/>
    <w:rsid w:val="00F11177"/>
    <w:rsid w:val="00F955C2"/>
    <w:rsid w:val="00FD2160"/>
    <w:rsid w:val="00FE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E824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t"/>
    <w:basedOn w:val="Normal"/>
    <w:link w:val="FootnoteTextChar"/>
    <w:semiHidden/>
    <w:pPr>
      <w:autoSpaceDE w:val="0"/>
      <w:autoSpaceDN w:val="0"/>
      <w:adjustRightInd w:val="0"/>
    </w:pPr>
    <w:rPr>
      <w:rFonts w:ascii="CourierPS" w:hAnsi="CourierPS"/>
      <w:snapToGrid/>
      <w:sz w:val="20"/>
    </w:rPr>
  </w:style>
  <w:style w:type="paragraph" w:styleId="BodyText">
    <w:name w:val="Body Text"/>
    <w:basedOn w:val="Normal"/>
    <w:link w:val="BodyTextChar"/>
    <w:pPr>
      <w:widowControl/>
    </w:pPr>
    <w:rPr>
      <w:rFonts w:ascii="Times New Roman" w:hAnsi="Times New Roman"/>
      <w:i/>
      <w:iCs/>
      <w:snapToGrid/>
    </w:rPr>
  </w:style>
  <w:style w:type="character" w:customStyle="1" w:styleId="BodyTextChar">
    <w:name w:val="Body Text Char"/>
    <w:link w:val="BodyText"/>
    <w:semiHidden/>
    <w:locked/>
    <w:rPr>
      <w:i/>
      <w:iCs/>
      <w:sz w:val="24"/>
      <w:lang w:val="en-US" w:eastAsia="en-US" w:bidi="ar-SA"/>
    </w:rPr>
  </w:style>
  <w:style w:type="character" w:customStyle="1" w:styleId="documentbody1">
    <w:name w:val="documentbody1"/>
    <w:rPr>
      <w:rFonts w:ascii="Verdana" w:hAnsi="Verdana" w:cs="Times New Roman"/>
      <w:sz w:val="19"/>
      <w:szCs w:val="19"/>
    </w:rPr>
  </w:style>
  <w:style w:type="paragraph" w:customStyle="1" w:styleId="DoubleSpace">
    <w:name w:val="Double Space"/>
    <w:basedOn w:val="Normal"/>
    <w:pPr>
      <w:widowControl/>
      <w:spacing w:line="480" w:lineRule="auto"/>
    </w:pPr>
    <w:rPr>
      <w:rFonts w:ascii="CG Times" w:hAnsi="CG Times"/>
      <w:snapToGrid/>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Pr>
      <w:rFonts w:ascii="CourierPS" w:hAnsi="CourierPS"/>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widowControl/>
    </w:pPr>
    <w:rPr>
      <w:rFonts w:ascii="Times New Roman" w:eastAsia="Calibri" w:hAnsi="Times New Roman"/>
      <w:snapToGrid/>
      <w:sz w:val="20"/>
    </w:rPr>
  </w:style>
  <w:style w:type="character" w:customStyle="1" w:styleId="CommentTextChar">
    <w:name w:val="Comment Text Char"/>
    <w:link w:val="CommentText"/>
    <w:semiHidden/>
    <w:locked/>
    <w:rPr>
      <w:rFonts w:eastAsia="Calibri"/>
      <w:lang w:val="en-US" w:eastAsia="en-US" w:bidi="ar-SA"/>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Pr>
      <w:lang w:val="en-US" w:eastAsia="en-US" w:bidi="ar-SA"/>
    </w:rPr>
  </w:style>
  <w:style w:type="character" w:styleId="Strong">
    <w:name w:val="Strong"/>
    <w:qFormat/>
    <w:rPr>
      <w:b/>
      <w:bCs/>
    </w:rPr>
  </w:style>
  <w:style w:type="paragraph" w:styleId="CommentSubject">
    <w:name w:val="annotation subject"/>
    <w:basedOn w:val="CommentText"/>
    <w:next w:val="CommentText"/>
    <w:semiHidden/>
    <w:pPr>
      <w:widowControl w:val="0"/>
    </w:pPr>
    <w:rPr>
      <w:rFonts w:ascii="Courier" w:eastAsia="Times New Roman" w:hAnsi="Courier"/>
      <w:b/>
      <w:bCs/>
      <w:snapToGrid w:val="0"/>
    </w:rPr>
  </w:style>
  <w:style w:type="paragraph" w:styleId="BodyTextIndent">
    <w:name w:val="Body Text Indent"/>
    <w:basedOn w:val="Normal"/>
    <w:link w:val="BodyTextIndentChar"/>
    <w:rsid w:val="00600EF6"/>
    <w:pPr>
      <w:spacing w:after="120"/>
      <w:ind w:left="360"/>
    </w:pPr>
  </w:style>
  <w:style w:type="character" w:customStyle="1" w:styleId="BodyTextIndentChar">
    <w:name w:val="Body Text Indent Char"/>
    <w:basedOn w:val="DefaultParagraphFont"/>
    <w:link w:val="BodyTextIndent"/>
    <w:rsid w:val="00600EF6"/>
    <w:rPr>
      <w:rFonts w:ascii="Courier" w:hAnsi="Courier"/>
      <w:snapToGrid w:val="0"/>
      <w:sz w:val="24"/>
    </w:rPr>
  </w:style>
  <w:style w:type="character" w:styleId="Hyperlink">
    <w:name w:val="Hyperlink"/>
    <w:basedOn w:val="DefaultParagraphFont"/>
    <w:uiPriority w:val="99"/>
    <w:unhideWhenUsed/>
    <w:rsid w:val="00AB19B9"/>
    <w:rPr>
      <w:color w:val="0000FF"/>
      <w:u w:val="single"/>
    </w:rPr>
  </w:style>
  <w:style w:type="table" w:customStyle="1" w:styleId="TableGrid1">
    <w:name w:val="Table Grid1"/>
    <w:basedOn w:val="TableNormal"/>
    <w:next w:val="TableGrid"/>
    <w:uiPriority w:val="39"/>
    <w:rsid w:val="00F11177"/>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716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DBBD7-27BD-43D3-ACF7-F69DA0C8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2021-04-21T19:03:00Z</dcterms:created>
  <dcterms:modified xsi:type="dcterms:W3CDTF">2021-04-22T10:20:00Z</dcterms:modified>
</cp:coreProperties>
</file>