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2102" w:rsidP="00312102" w:rsidRDefault="00312102" w14:paraId="32623B0D" w14:textId="4B03BE04">
      <w:pPr>
        <w:pStyle w:val="Hdng1Report-IPR"/>
      </w:pPr>
      <w:bookmarkStart w:name="_Toc416426640" w:id="0"/>
      <w:bookmarkStart w:name="_Toc133208870" w:id="1"/>
      <w:bookmarkStart w:name="_Toc329426273" w:id="2"/>
      <w:bookmarkStart w:name="_Toc351666575" w:id="3"/>
      <w:bookmarkStart w:name="_Toc416426560" w:id="4"/>
      <w:r>
        <w:t xml:space="preserve">Supporting STatement </w:t>
      </w:r>
      <w:proofErr w:type="gramStart"/>
      <w:r w:rsidRPr="000B5CFF">
        <w:t>PART</w:t>
      </w:r>
      <w:proofErr w:type="gramEnd"/>
      <w:r w:rsidRPr="000B5CFF">
        <w:t xml:space="preserve"> </w:t>
      </w:r>
      <w:r>
        <w:t>A</w:t>
      </w:r>
      <w:bookmarkEnd w:id="0"/>
    </w:p>
    <w:p w:rsidRPr="00740EBA" w:rsidR="00EE364F" w:rsidP="00EE364F" w:rsidRDefault="00EE364F" w14:paraId="08ACBCD2" w14:textId="330DC599">
      <w:pPr>
        <w:pStyle w:val="Hdng2-IPR"/>
      </w:pPr>
      <w:r w:rsidRPr="00740EBA">
        <w:t>A.1.</w:t>
      </w:r>
      <w:bookmarkEnd w:id="1"/>
      <w:bookmarkEnd w:id="2"/>
      <w:r w:rsidRPr="00740EBA">
        <w:t xml:space="preserve"> Circumstances that Make Data Collection Necessary</w:t>
      </w:r>
      <w:bookmarkEnd w:id="3"/>
      <w:bookmarkEnd w:id="4"/>
    </w:p>
    <w:p w:rsidRPr="00236788" w:rsidR="00EE364F" w:rsidP="00EE364F" w:rsidRDefault="00EE364F" w14:paraId="65D48BFE" w14:textId="77777777">
      <w:pPr>
        <w:pStyle w:val="OMBRequirementCalibri"/>
        <w:rPr>
          <w:rFonts w:cstheme="minorHAnsi"/>
          <w:sz w:val="22"/>
          <w:szCs w:val="22"/>
        </w:rPr>
      </w:pPr>
      <w:r w:rsidRPr="00236788">
        <w:rPr>
          <w:rFonts w:cstheme="minorHAnsi"/>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932B8" w:rsidP="00EE364F" w:rsidRDefault="003932B8" w14:paraId="53DF7BB5" w14:textId="5715FF29">
      <w:pPr>
        <w:pStyle w:val="Body12ptCalibri-IPR"/>
        <w:rPr>
          <w:rFonts w:cstheme="minorHAnsi"/>
        </w:rPr>
      </w:pPr>
      <w:r>
        <w:rPr>
          <w:rFonts w:cstheme="minorHAnsi"/>
        </w:rPr>
        <w:t>The National Science Foundation (</w:t>
      </w:r>
      <w:r w:rsidRPr="003932B8">
        <w:rPr>
          <w:rFonts w:cstheme="minorHAnsi"/>
        </w:rPr>
        <w:t>NSF</w:t>
      </w:r>
      <w:r>
        <w:rPr>
          <w:rFonts w:cstheme="minorHAnsi"/>
        </w:rPr>
        <w:t>)</w:t>
      </w:r>
      <w:r w:rsidRPr="003932B8">
        <w:rPr>
          <w:rFonts w:cstheme="minorHAnsi"/>
        </w:rPr>
        <w:t xml:space="preserve"> </w:t>
      </w:r>
      <w:r>
        <w:rPr>
          <w:rFonts w:cstheme="minorHAnsi"/>
        </w:rPr>
        <w:t xml:space="preserve">seeks approval to </w:t>
      </w:r>
      <w:r w:rsidRPr="003932B8">
        <w:rPr>
          <w:rFonts w:cstheme="minorHAnsi"/>
        </w:rPr>
        <w:t>collect ongoing information on the perceptions and experiences of individuals who have submitted proposals to NSF (applicants) and/or served as reviewers for NSF proposals between FY 2018 and FY 2020</w:t>
      </w:r>
      <w:r w:rsidR="00F11A6F">
        <w:rPr>
          <w:rFonts w:cstheme="minorHAnsi"/>
        </w:rPr>
        <w:t xml:space="preserve"> and between FY 2020 and FY 2022</w:t>
      </w:r>
      <w:r>
        <w:rPr>
          <w:rFonts w:cstheme="minorHAnsi"/>
        </w:rPr>
        <w:t xml:space="preserve">.  </w:t>
      </w:r>
      <w:r w:rsidRPr="003932B8">
        <w:rPr>
          <w:rFonts w:cstheme="minorHAnsi"/>
        </w:rPr>
        <w:t xml:space="preserve">This information will be gathered </w:t>
      </w:r>
      <w:r w:rsidR="00F11A6F">
        <w:rPr>
          <w:rFonts w:cstheme="minorHAnsi"/>
        </w:rPr>
        <w:t xml:space="preserve">biennially </w:t>
      </w:r>
      <w:r w:rsidRPr="003932B8">
        <w:rPr>
          <w:rFonts w:cstheme="minorHAnsi"/>
        </w:rPr>
        <w:t xml:space="preserve">through </w:t>
      </w:r>
      <w:r>
        <w:rPr>
          <w:rFonts w:cstheme="minorHAnsi"/>
        </w:rPr>
        <w:t xml:space="preserve">the </w:t>
      </w:r>
      <w:r w:rsidRPr="00BF0AAD">
        <w:rPr>
          <w:rFonts w:cstheme="minorHAnsi"/>
          <w:i/>
          <w:iCs/>
        </w:rPr>
        <w:t>Merit Review Survey</w:t>
      </w:r>
      <w:r>
        <w:rPr>
          <w:rFonts w:cstheme="minorHAnsi"/>
        </w:rPr>
        <w:t xml:space="preserve">, </w:t>
      </w:r>
      <w:r w:rsidRPr="003932B8">
        <w:rPr>
          <w:rFonts w:cstheme="minorHAnsi"/>
        </w:rPr>
        <w:t>a Web-based survey instrument.</w:t>
      </w:r>
      <w:r>
        <w:rPr>
          <w:rFonts w:cstheme="minorHAnsi"/>
        </w:rPr>
        <w:t xml:space="preserve">  The </w:t>
      </w:r>
      <w:r w:rsidR="005D6C8F">
        <w:rPr>
          <w:rFonts w:cstheme="minorHAnsi"/>
        </w:rPr>
        <w:t xml:space="preserve">primary </w:t>
      </w:r>
      <w:r>
        <w:rPr>
          <w:rFonts w:cstheme="minorHAnsi"/>
        </w:rPr>
        <w:t xml:space="preserve">objective of the survey is to </w:t>
      </w:r>
      <w:r w:rsidRPr="002B1DB5" w:rsidR="002B1DB5">
        <w:rPr>
          <w:rFonts w:cstheme="minorHAnsi"/>
        </w:rPr>
        <w:t>assess applicant and reviewer perceptions of the quality of the merit review process</w:t>
      </w:r>
      <w:r w:rsidR="005D6C8F">
        <w:rPr>
          <w:rFonts w:cstheme="minorHAnsi"/>
        </w:rPr>
        <w:t xml:space="preserve">. </w:t>
      </w:r>
      <w:r w:rsidRPr="005D6C8F" w:rsidR="005D6C8F">
        <w:rPr>
          <w:rFonts w:cstheme="minorHAnsi"/>
        </w:rPr>
        <w:t xml:space="preserve">Another aim is to </w:t>
      </w:r>
      <w:r w:rsidR="00F75F7C">
        <w:rPr>
          <w:rFonts w:cstheme="minorHAnsi"/>
        </w:rPr>
        <w:t>gather information on the</w:t>
      </w:r>
      <w:r w:rsidRPr="005D6C8F" w:rsidR="005D6C8F">
        <w:rPr>
          <w:rFonts w:cstheme="minorHAnsi"/>
        </w:rPr>
        <w:t xml:space="preserve"> experiences of key subpopulations and how those perceptions and experiences have changed over time.</w:t>
      </w:r>
      <w:r w:rsidR="005D6C8F">
        <w:rPr>
          <w:rFonts w:cstheme="minorHAnsi"/>
        </w:rPr>
        <w:t xml:space="preserve"> The survey is necessary to support </w:t>
      </w:r>
      <w:r w:rsidRPr="002B1DB5" w:rsidR="002B1DB5">
        <w:rPr>
          <w:rFonts w:cstheme="minorHAnsi"/>
        </w:rPr>
        <w:t>NSF’s stated performance goal to “improve the quality of written reviews of NSF proposals” as outlined in their FY 2018 through FY 2021 Budget Requests to Congress</w:t>
      </w:r>
      <w:r w:rsidR="00206B51">
        <w:rPr>
          <w:rFonts w:cstheme="minorHAnsi"/>
        </w:rPr>
        <w:t>,</w:t>
      </w:r>
      <w:r w:rsidR="005D6C8F">
        <w:rPr>
          <w:rFonts w:cstheme="minorHAnsi"/>
        </w:rPr>
        <w:t xml:space="preserve"> and </w:t>
      </w:r>
      <w:r w:rsidR="00206B51">
        <w:rPr>
          <w:rFonts w:cstheme="minorHAnsi"/>
        </w:rPr>
        <w:t>to “[create]</w:t>
      </w:r>
      <w:r w:rsidRPr="005D6C8F" w:rsidR="00206B51">
        <w:rPr>
          <w:rFonts w:cstheme="minorHAnsi"/>
        </w:rPr>
        <w:t xml:space="preserve"> a diverse and inclusive science and engineering enterprise”</w:t>
      </w:r>
      <w:r w:rsidR="00206B51">
        <w:rPr>
          <w:rFonts w:cstheme="minorHAnsi"/>
        </w:rPr>
        <w:t xml:space="preserve"> as emphasized in </w:t>
      </w:r>
      <w:r w:rsidR="005D6C8F">
        <w:rPr>
          <w:rFonts w:cstheme="minorHAnsi"/>
        </w:rPr>
        <w:t>the</w:t>
      </w:r>
      <w:r w:rsidRPr="005D6C8F" w:rsidR="005D6C8F">
        <w:rPr>
          <w:rFonts w:cstheme="minorHAnsi"/>
        </w:rPr>
        <w:t xml:space="preserve"> National Science Board’s Vision 2030</w:t>
      </w:r>
      <w:r w:rsidR="00334B2C">
        <w:rPr>
          <w:rFonts w:cstheme="minorHAnsi"/>
        </w:rPr>
        <w:t>.</w:t>
      </w:r>
      <w:r w:rsidRPr="00236788" w:rsidR="00D10263">
        <w:rPr>
          <w:rStyle w:val="FootnoteReference"/>
          <w:rFonts w:cstheme="minorHAnsi"/>
          <w:vertAlign w:val="superscript"/>
        </w:rPr>
        <w:footnoteReference w:id="1"/>
      </w:r>
      <w:r w:rsidRPr="005D6C8F" w:rsidR="005D6C8F">
        <w:rPr>
          <w:rFonts w:cstheme="minorHAnsi"/>
        </w:rPr>
        <w:t xml:space="preserve"> </w:t>
      </w:r>
    </w:p>
    <w:p w:rsidRPr="00BF0AAD" w:rsidR="005D6C8F" w:rsidP="002B1DB5" w:rsidRDefault="002B1DB5" w14:paraId="66E19541" w14:textId="32EB8F24">
      <w:pPr>
        <w:pStyle w:val="Body12ptCalibri-IPR"/>
        <w:ind w:firstLine="0"/>
        <w:rPr>
          <w:rFonts w:cstheme="minorHAnsi"/>
          <w:i/>
          <w:iCs/>
        </w:rPr>
      </w:pPr>
      <w:r w:rsidRPr="00BF0AAD">
        <w:rPr>
          <w:rFonts w:cstheme="minorHAnsi"/>
          <w:i/>
          <w:iCs/>
        </w:rPr>
        <w:t xml:space="preserve">Background </w:t>
      </w:r>
    </w:p>
    <w:p w:rsidRPr="00236788" w:rsidR="00EE364F" w:rsidP="005D6C8F" w:rsidRDefault="00EE364F" w14:paraId="79134F7A" w14:textId="11ABBF23">
      <w:pPr>
        <w:pStyle w:val="Body12ptCalibri-IPR"/>
        <w:rPr>
          <w:rFonts w:cstheme="minorHAnsi"/>
        </w:rPr>
      </w:pPr>
      <w:r w:rsidRPr="00236788">
        <w:rPr>
          <w:rFonts w:cstheme="minorHAnsi"/>
        </w:rPr>
        <w:t xml:space="preserve">NSF is an independent Federal agency tasked with promoting the progress of science; advancing the national health, prosperity, and welfare; and securing the national defense. NSF funds research and education in science and engineering by conferring limited-term grants. This </w:t>
      </w:r>
      <w:r w:rsidRPr="00236788">
        <w:rPr>
          <w:rFonts w:cstheme="minorHAnsi"/>
        </w:rPr>
        <w:lastRenderedPageBreak/>
        <w:t xml:space="preserve">funding goes to specific research proposals judged the most promising by a rigorous merit review process. Of </w:t>
      </w:r>
      <w:r w:rsidRPr="00236788" w:rsidR="002E5859">
        <w:rPr>
          <w:rFonts w:cstheme="minorHAnsi"/>
        </w:rPr>
        <w:t>41,000</w:t>
      </w:r>
      <w:r w:rsidRPr="00236788">
        <w:rPr>
          <w:rFonts w:cstheme="minorHAnsi"/>
        </w:rPr>
        <w:t xml:space="preserve"> proposals submitted in FY 201</w:t>
      </w:r>
      <w:r w:rsidRPr="00236788" w:rsidR="002E5859">
        <w:rPr>
          <w:rFonts w:cstheme="minorHAnsi"/>
        </w:rPr>
        <w:t>9</w:t>
      </w:r>
      <w:r w:rsidRPr="00236788">
        <w:rPr>
          <w:rFonts w:cstheme="minorHAnsi"/>
        </w:rPr>
        <w:t>, 11,</w:t>
      </w:r>
      <w:r w:rsidRPr="00236788" w:rsidR="002E5859">
        <w:rPr>
          <w:rFonts w:cstheme="minorHAnsi"/>
        </w:rPr>
        <w:t>3</w:t>
      </w:r>
      <w:r w:rsidRPr="00236788">
        <w:rPr>
          <w:rFonts w:cstheme="minorHAnsi"/>
        </w:rPr>
        <w:t>00 were selected for funding.</w:t>
      </w:r>
      <w:r w:rsidRPr="00236788">
        <w:rPr>
          <w:rStyle w:val="FootnoteReference"/>
          <w:rFonts w:cstheme="minorHAnsi"/>
          <w:vertAlign w:val="superscript"/>
        </w:rPr>
        <w:footnoteReference w:id="2"/>
      </w:r>
    </w:p>
    <w:p w:rsidRPr="00236788" w:rsidR="00EE364F" w:rsidP="00EE364F" w:rsidRDefault="00EE364F" w14:paraId="74DCFA3F" w14:textId="09D649EF">
      <w:pPr>
        <w:pStyle w:val="Body12ptCalibri-IPR"/>
        <w:rPr>
          <w:rFonts w:cstheme="minorHAnsi"/>
        </w:rPr>
      </w:pPr>
      <w:r w:rsidRPr="00236788">
        <w:rPr>
          <w:rFonts w:cstheme="minorHAnsi"/>
        </w:rPr>
        <w:t xml:space="preserve">Proposals for funding are submitted to NSF and evaluated in a fair, competitive, transparent, and rigorous system of merit review. On average, NSF proposals are reviewed by three to five independent reviewers who are experts in the field and do not work at NSF. External reviewers provide expert advice about the merits of proposals that inform NSF’s decision-making process to ensure the best projects make it to the funding stage. All proposals submitted to NSF are evaluated against two merit review criteria approved by the National Science Board (NSB): </w:t>
      </w:r>
      <w:r w:rsidRPr="00236788">
        <w:rPr>
          <w:rFonts w:cstheme="minorHAnsi"/>
          <w:iCs/>
        </w:rPr>
        <w:t xml:space="preserve">intellectual merit </w:t>
      </w:r>
      <w:r w:rsidRPr="00236788">
        <w:rPr>
          <w:rFonts w:cstheme="minorHAnsi"/>
        </w:rPr>
        <w:t xml:space="preserve">and </w:t>
      </w:r>
      <w:r w:rsidRPr="00236788">
        <w:rPr>
          <w:rFonts w:cstheme="minorHAnsi"/>
          <w:iCs/>
        </w:rPr>
        <w:t>broader impacts</w:t>
      </w:r>
      <w:r w:rsidRPr="00236788">
        <w:rPr>
          <w:rFonts w:cstheme="minorHAnsi"/>
        </w:rPr>
        <w:t>. NSF defines intellectual merit as the potential to advance knowledge, and broader impacts as the potential to benefit society and contribute to the achievement of specific, desired societal outcomes. Additional review criteria beyond intellectual merit and broader impacts may be added to announcements or solicitations that speak to specific program goals and objectives.</w:t>
      </w:r>
      <w:r w:rsidRPr="00236788">
        <w:rPr>
          <w:rStyle w:val="FootnoteReference"/>
          <w:rFonts w:cstheme="minorHAnsi"/>
          <w:vertAlign w:val="superscript"/>
        </w:rPr>
        <w:footnoteReference w:id="3"/>
      </w:r>
      <w:r w:rsidRPr="00236788">
        <w:rPr>
          <w:rFonts w:cstheme="minorHAnsi"/>
          <w:vertAlign w:val="superscript"/>
        </w:rPr>
        <w:t xml:space="preserve"> </w:t>
      </w:r>
    </w:p>
    <w:p w:rsidR="006157EC" w:rsidP="006157EC" w:rsidRDefault="00520CA1" w14:paraId="5D970FE9" w14:textId="1680E776">
      <w:pPr>
        <w:pStyle w:val="Body12ptCalibri-IPR"/>
        <w:rPr>
          <w:rFonts w:cstheme="minorHAnsi"/>
        </w:rPr>
      </w:pPr>
      <w:r w:rsidRPr="00236788">
        <w:rPr>
          <w:rFonts w:cstheme="minorHAnsi"/>
        </w:rPr>
        <w:t>In alignment with the strategic goal outlined in its 2018–2022 Strategic Plan to “ensure that NSF’s…</w:t>
      </w:r>
      <w:r w:rsidRPr="00236788" w:rsidDel="00D807BE">
        <w:rPr>
          <w:rFonts w:cstheme="minorHAnsi"/>
        </w:rPr>
        <w:t xml:space="preserve"> </w:t>
      </w:r>
      <w:r w:rsidRPr="00236788">
        <w:rPr>
          <w:rFonts w:cstheme="minorHAnsi"/>
        </w:rPr>
        <w:t xml:space="preserve">merit review process is of high quality and integrity”, </w:t>
      </w:r>
      <w:r w:rsidRPr="00236788" w:rsidR="00136653">
        <w:rPr>
          <w:rFonts w:cstheme="minorHAnsi"/>
        </w:rPr>
        <w:t xml:space="preserve">NSF strives to continuously </w:t>
      </w:r>
      <w:r w:rsidRPr="00236788" w:rsidR="00A1583B">
        <w:rPr>
          <w:rFonts w:cstheme="minorHAnsi"/>
        </w:rPr>
        <w:t>improve</w:t>
      </w:r>
      <w:r w:rsidRPr="00236788" w:rsidR="00136653">
        <w:rPr>
          <w:rFonts w:cstheme="minorHAnsi"/>
        </w:rPr>
        <w:t xml:space="preserve"> the merit review process to promote fairness, transparency, effectiveness, and efficiency in decision making</w:t>
      </w:r>
      <w:r w:rsidR="00334B2C">
        <w:rPr>
          <w:rFonts w:cstheme="minorHAnsi"/>
        </w:rPr>
        <w:t>.</w:t>
      </w:r>
      <w:r w:rsidRPr="00236788" w:rsidR="00D10263">
        <w:rPr>
          <w:rStyle w:val="FootnoteReference"/>
          <w:rFonts w:cstheme="minorHAnsi"/>
          <w:vertAlign w:val="superscript"/>
        </w:rPr>
        <w:footnoteReference w:id="4"/>
      </w:r>
      <w:r w:rsidRPr="00236788" w:rsidR="00136653">
        <w:rPr>
          <w:rFonts w:cstheme="minorHAnsi"/>
        </w:rPr>
        <w:t xml:space="preserve"> Core strategies to achieve this goal include allow</w:t>
      </w:r>
      <w:r w:rsidRPr="003B1004" w:rsidR="00A1583B">
        <w:rPr>
          <w:rFonts w:cstheme="minorHAnsi"/>
        </w:rPr>
        <w:t>ing</w:t>
      </w:r>
      <w:r w:rsidRPr="00740EBA" w:rsidR="00136653">
        <w:rPr>
          <w:rFonts w:cstheme="minorHAnsi"/>
        </w:rPr>
        <w:t xml:space="preserve"> for open access to data about the merit review process and increasing the usefulness of th</w:t>
      </w:r>
      <w:r w:rsidRPr="00AC149D" w:rsidR="00136653">
        <w:rPr>
          <w:rFonts w:cstheme="minorHAnsi"/>
        </w:rPr>
        <w:t xml:space="preserve">ose data. </w:t>
      </w:r>
      <w:r w:rsidRPr="006157EC" w:rsidR="00236788">
        <w:rPr>
          <w:rFonts w:cstheme="minorHAnsi"/>
        </w:rPr>
        <w:t xml:space="preserve">NSF has engaged in such </w:t>
      </w:r>
      <w:r w:rsidRPr="00D57A52" w:rsidR="00136653">
        <w:rPr>
          <w:rFonts w:cstheme="minorHAnsi"/>
        </w:rPr>
        <w:t xml:space="preserve">continuous improvement </w:t>
      </w:r>
      <w:r w:rsidR="00DA025E">
        <w:rPr>
          <w:rFonts w:cstheme="minorHAnsi"/>
        </w:rPr>
        <w:t>activities</w:t>
      </w:r>
      <w:r w:rsidRPr="002D16AB" w:rsidR="00236788">
        <w:rPr>
          <w:rFonts w:cstheme="minorHAnsi"/>
        </w:rPr>
        <w:t>, and efforts to monitor them,</w:t>
      </w:r>
      <w:r w:rsidRPr="002D16AB" w:rsidR="00136653">
        <w:rPr>
          <w:rFonts w:cstheme="minorHAnsi"/>
        </w:rPr>
        <w:t xml:space="preserve"> for many years</w:t>
      </w:r>
      <w:r w:rsidRPr="0044392D" w:rsidR="00A1583B">
        <w:rPr>
          <w:rFonts w:cstheme="minorHAnsi"/>
        </w:rPr>
        <w:t xml:space="preserve">. </w:t>
      </w:r>
      <w:r w:rsidRPr="0044392D" w:rsidR="00EE364F">
        <w:rPr>
          <w:rFonts w:cstheme="minorHAnsi"/>
        </w:rPr>
        <w:t>In 2007, NSF’s Impact of Proposal and Award Management Mechanisms</w:t>
      </w:r>
      <w:r w:rsidRPr="00470E22" w:rsidR="00EE364F">
        <w:rPr>
          <w:rFonts w:cstheme="minorHAnsi"/>
        </w:rPr>
        <w:t xml:space="preserve"> working group </w:t>
      </w:r>
      <w:r w:rsidRPr="00470E22" w:rsidR="00EE364F">
        <w:rPr>
          <w:rFonts w:cstheme="minorHAnsi"/>
        </w:rPr>
        <w:lastRenderedPageBreak/>
        <w:t>launched the “NSF 2007 Proposer Survey” (OMB # 3145-0157). In 2015</w:t>
      </w:r>
      <w:r w:rsidRPr="00AC149D" w:rsidR="00922991">
        <w:rPr>
          <w:rFonts w:cstheme="minorHAnsi"/>
        </w:rPr>
        <w:t xml:space="preserve">, </w:t>
      </w:r>
      <w:r w:rsidRPr="00AC149D" w:rsidR="00EE364F">
        <w:rPr>
          <w:rFonts w:cstheme="minorHAnsi"/>
        </w:rPr>
        <w:t>2017</w:t>
      </w:r>
      <w:r w:rsidRPr="006157EC" w:rsidR="00922991">
        <w:rPr>
          <w:rFonts w:cstheme="minorHAnsi"/>
        </w:rPr>
        <w:t>, and 2019</w:t>
      </w:r>
      <w:r w:rsidRPr="006157EC" w:rsidR="00EE364F">
        <w:rPr>
          <w:rFonts w:cstheme="minorHAnsi"/>
        </w:rPr>
        <w:t xml:space="preserve">, NSF’s Office of Integrative Activities </w:t>
      </w:r>
      <w:r w:rsidR="0044392D">
        <w:rPr>
          <w:rFonts w:cstheme="minorHAnsi"/>
        </w:rPr>
        <w:t>conducted three</w:t>
      </w:r>
      <w:r w:rsidRPr="00D57A52" w:rsidR="00EE364F">
        <w:rPr>
          <w:rFonts w:cstheme="minorHAnsi"/>
        </w:rPr>
        <w:t xml:space="preserve"> iterations of the “Assessment of Investigator and Reviewer Experiences </w:t>
      </w:r>
      <w:r w:rsidRPr="002D16AB" w:rsidR="00EE364F">
        <w:rPr>
          <w:rFonts w:cstheme="minorHAnsi"/>
        </w:rPr>
        <w:t xml:space="preserve">Survey” (OMB # 3145-0215). </w:t>
      </w:r>
      <w:r w:rsidRPr="00236788" w:rsidR="00EE364F">
        <w:rPr>
          <w:rFonts w:cstheme="minorHAnsi"/>
        </w:rPr>
        <w:t xml:space="preserve">The </w:t>
      </w:r>
      <w:r w:rsidRPr="00236788" w:rsidR="008A4D32">
        <w:rPr>
          <w:rFonts w:cstheme="minorHAnsi"/>
        </w:rPr>
        <w:t xml:space="preserve">proposed 2021 </w:t>
      </w:r>
      <w:r w:rsidR="00F11A6F">
        <w:rPr>
          <w:rFonts w:cstheme="minorHAnsi"/>
        </w:rPr>
        <w:t xml:space="preserve">and 2023 </w:t>
      </w:r>
      <w:r w:rsidR="00DA025E">
        <w:rPr>
          <w:rFonts w:cstheme="minorHAnsi"/>
        </w:rPr>
        <w:t xml:space="preserve">iterations of the </w:t>
      </w:r>
      <w:r w:rsidRPr="00236788" w:rsidR="008A4D32">
        <w:rPr>
          <w:rFonts w:cstheme="minorHAnsi"/>
        </w:rPr>
        <w:t>Merit Review S</w:t>
      </w:r>
      <w:r w:rsidRPr="00236788" w:rsidR="00EE364F">
        <w:rPr>
          <w:rFonts w:cstheme="minorHAnsi"/>
        </w:rPr>
        <w:t xml:space="preserve">urvey </w:t>
      </w:r>
      <w:r w:rsidR="00F75F7C">
        <w:rPr>
          <w:rFonts w:cstheme="minorHAnsi"/>
        </w:rPr>
        <w:t>will continue this work and</w:t>
      </w:r>
      <w:r w:rsidRPr="00316E6E" w:rsidR="00F75F7C">
        <w:rPr>
          <w:rFonts w:cstheme="minorHAnsi"/>
        </w:rPr>
        <w:t xml:space="preserve"> </w:t>
      </w:r>
      <w:r w:rsidRPr="00316E6E" w:rsidR="00EE364F">
        <w:rPr>
          <w:rFonts w:cstheme="minorHAnsi"/>
        </w:rPr>
        <w:t xml:space="preserve">gauge whether satisfaction levels have changed with the merit review process since </w:t>
      </w:r>
      <w:r w:rsidRPr="003B1004" w:rsidR="00EE364F">
        <w:rPr>
          <w:rFonts w:cstheme="minorHAnsi"/>
        </w:rPr>
        <w:t xml:space="preserve">the </w:t>
      </w:r>
      <w:r w:rsidR="00780F19">
        <w:rPr>
          <w:rFonts w:cstheme="minorHAnsi"/>
        </w:rPr>
        <w:t>prior survey iteration</w:t>
      </w:r>
      <w:r w:rsidRPr="00470E22" w:rsidR="00EE364F">
        <w:rPr>
          <w:rFonts w:cstheme="minorHAnsi"/>
        </w:rPr>
        <w:t xml:space="preserve">. </w:t>
      </w:r>
    </w:p>
    <w:p w:rsidRPr="00740EBA" w:rsidR="00BC2D88" w:rsidP="00BC2D88" w:rsidRDefault="00BC2D88" w14:paraId="4239EA38" w14:textId="2FDCBEAE">
      <w:pPr>
        <w:pStyle w:val="Hdng2-IPR"/>
      </w:pPr>
      <w:bookmarkStart w:name="_Toc133208871" w:id="5"/>
      <w:bookmarkStart w:name="_Toc329426274" w:id="6"/>
      <w:bookmarkStart w:name="_Toc351666576" w:id="7"/>
      <w:bookmarkStart w:name="_Toc416426561" w:id="8"/>
      <w:r w:rsidRPr="00740EBA">
        <w:t>A.2.</w:t>
      </w:r>
      <w:r w:rsidRPr="00740EBA">
        <w:tab/>
        <w:t>Purpose and Use of the Information</w:t>
      </w:r>
      <w:bookmarkEnd w:id="5"/>
      <w:bookmarkEnd w:id="6"/>
      <w:bookmarkEnd w:id="7"/>
      <w:bookmarkEnd w:id="8"/>
    </w:p>
    <w:p w:rsidRPr="00236788" w:rsidR="00BC2D88" w:rsidP="00BC2D88" w:rsidRDefault="00BC2D88" w14:paraId="42DB31A6" w14:textId="77777777">
      <w:pPr>
        <w:pStyle w:val="OMBRequirementCalibri"/>
        <w:rPr>
          <w:rFonts w:cstheme="minorHAnsi"/>
        </w:rPr>
      </w:pPr>
      <w:r w:rsidRPr="00236788">
        <w:rPr>
          <w:rFonts w:cstheme="minorHAnsi"/>
        </w:rPr>
        <w:t>Indicate how, by whom, how frequently, and for what purpose the information is to be used. Except for a new collection, indicate the actual use the agency has made of the information received from the current collection.</w:t>
      </w:r>
    </w:p>
    <w:p w:rsidRPr="00316E6E" w:rsidR="00BC2D88" w:rsidP="00BC2D88" w:rsidRDefault="00BC2D88" w14:paraId="6E0C75D5" w14:textId="7553711B">
      <w:pPr>
        <w:pStyle w:val="Body12ptCalibri-IPR"/>
        <w:rPr>
          <w:rFonts w:cstheme="minorHAnsi"/>
        </w:rPr>
      </w:pPr>
      <w:r w:rsidRPr="00236788">
        <w:rPr>
          <w:rFonts w:cstheme="minorHAnsi"/>
        </w:rPr>
        <w:t xml:space="preserve">The </w:t>
      </w:r>
      <w:r w:rsidR="004456CE">
        <w:rPr>
          <w:rFonts w:cstheme="minorHAnsi"/>
        </w:rPr>
        <w:t>data collected using the instrument included in this ICR</w:t>
      </w:r>
      <w:r w:rsidRPr="00236788">
        <w:rPr>
          <w:rFonts w:cstheme="minorHAnsi"/>
        </w:rPr>
        <w:t xml:space="preserve"> </w:t>
      </w:r>
      <w:r w:rsidR="00902A55">
        <w:rPr>
          <w:rFonts w:cstheme="minorHAnsi"/>
        </w:rPr>
        <w:t xml:space="preserve">(Appendix </w:t>
      </w:r>
      <w:r w:rsidR="001C4114">
        <w:rPr>
          <w:rFonts w:cstheme="minorHAnsi"/>
        </w:rPr>
        <w:t>A</w:t>
      </w:r>
      <w:r w:rsidR="00902A55">
        <w:rPr>
          <w:rFonts w:cstheme="minorHAnsi"/>
        </w:rPr>
        <w:t xml:space="preserve">) </w:t>
      </w:r>
      <w:r w:rsidR="004456CE">
        <w:rPr>
          <w:rFonts w:cstheme="minorHAnsi"/>
        </w:rPr>
        <w:t xml:space="preserve">will be used </w:t>
      </w:r>
      <w:r w:rsidR="00C378BC">
        <w:rPr>
          <w:rFonts w:cstheme="minorHAnsi"/>
        </w:rPr>
        <w:t xml:space="preserve">internally </w:t>
      </w:r>
      <w:r w:rsidR="008D3F20">
        <w:rPr>
          <w:rFonts w:cstheme="minorHAnsi"/>
        </w:rPr>
        <w:t xml:space="preserve">by NSF </w:t>
      </w:r>
      <w:r w:rsidR="004456CE">
        <w:rPr>
          <w:rFonts w:cstheme="minorHAnsi"/>
        </w:rPr>
        <w:t>for the following purposes:</w:t>
      </w:r>
      <w:r w:rsidRPr="00316E6E">
        <w:rPr>
          <w:rFonts w:cstheme="minorHAnsi"/>
        </w:rPr>
        <w:t xml:space="preserve"> </w:t>
      </w:r>
    </w:p>
    <w:p w:rsidRPr="008C18BF" w:rsidR="00BC2D88" w:rsidP="00BC2D88" w:rsidRDefault="00BC2D88" w14:paraId="6F1165FC" w14:textId="0EFE65D7">
      <w:pPr>
        <w:pStyle w:val="Numbers12ptCalibri-IPR"/>
      </w:pPr>
      <w:r w:rsidRPr="008C18BF">
        <w:t xml:space="preserve">Assess </w:t>
      </w:r>
      <w:r w:rsidR="00470E22">
        <w:t>applicant</w:t>
      </w:r>
      <w:r w:rsidRPr="008C18BF" w:rsidR="00470E22">
        <w:t xml:space="preserve"> </w:t>
      </w:r>
      <w:r w:rsidRPr="008C18BF">
        <w:t>and reviewer perceptions of, and satisfaction with, various aspects of the merit review process.</w:t>
      </w:r>
    </w:p>
    <w:p w:rsidRPr="008C18BF" w:rsidR="00BC2D88" w:rsidP="00BC2D88" w:rsidRDefault="00BC2D88" w14:paraId="09826D43" w14:textId="50959610">
      <w:pPr>
        <w:pStyle w:val="Numbers12ptCalibri-IPR"/>
      </w:pPr>
      <w:r w:rsidRPr="008C18BF">
        <w:t xml:space="preserve">Document the time burden the merit review process places on reviewers and </w:t>
      </w:r>
      <w:r w:rsidR="00470E22">
        <w:t>applicants</w:t>
      </w:r>
      <w:r w:rsidRPr="008C18BF">
        <w:t>.</w:t>
      </w:r>
    </w:p>
    <w:p w:rsidRPr="008C18BF" w:rsidR="00BC2D88" w:rsidP="00BC2D88" w:rsidRDefault="00BC2D88" w14:paraId="6BA6486D" w14:textId="15AABD0E">
      <w:pPr>
        <w:pStyle w:val="Numbers12ptCalibri-IPR"/>
      </w:pPr>
      <w:r w:rsidRPr="008C18BF">
        <w:t xml:space="preserve">Examine </w:t>
      </w:r>
      <w:r w:rsidR="00470E22">
        <w:t>applicant</w:t>
      </w:r>
      <w:r w:rsidRPr="008C18BF" w:rsidR="00470E22">
        <w:t xml:space="preserve"> </w:t>
      </w:r>
      <w:r w:rsidRPr="008C18BF">
        <w:t>and reviewer perceptions of the quality of reviews and of proposals.</w:t>
      </w:r>
    </w:p>
    <w:p w:rsidRPr="008C18BF" w:rsidR="00BC2D88" w:rsidP="00BC2D88" w:rsidRDefault="00BC2D88" w14:paraId="3314200E" w14:textId="3E2D5EF3">
      <w:pPr>
        <w:pStyle w:val="Numbers12ptCalibri-IPR"/>
      </w:pPr>
      <w:r w:rsidRPr="008C18BF">
        <w:t xml:space="preserve">Assess the changes in </w:t>
      </w:r>
      <w:r w:rsidR="00470E22">
        <w:t>applicant</w:t>
      </w:r>
      <w:r w:rsidRPr="008C18BF" w:rsidR="00470E22">
        <w:t xml:space="preserve"> </w:t>
      </w:r>
      <w:r w:rsidRPr="008C18BF">
        <w:t>and reviewer perceptions of burden, satisfaction, and quality between the 2019 and 2021 surveys</w:t>
      </w:r>
      <w:r w:rsidR="00F11A6F">
        <w:t xml:space="preserve"> and the 2021 and 2023 surveys</w:t>
      </w:r>
      <w:r w:rsidRPr="008C18BF">
        <w:t>.</w:t>
      </w:r>
    </w:p>
    <w:p w:rsidRPr="008C18BF" w:rsidR="00BC2D88" w:rsidP="00BC2D88" w:rsidRDefault="006561A1" w14:paraId="712B2702" w14:textId="7D1680FF">
      <w:pPr>
        <w:pStyle w:val="Numbers12ptCalibri-IPR"/>
      </w:pPr>
      <w:r w:rsidRPr="008C18BF">
        <w:t xml:space="preserve">Examine the variation of </w:t>
      </w:r>
      <w:r w:rsidR="00470E22">
        <w:t>applicant</w:t>
      </w:r>
      <w:r w:rsidRPr="008C18BF" w:rsidR="00470E22">
        <w:t xml:space="preserve"> </w:t>
      </w:r>
      <w:r w:rsidRPr="008C18BF">
        <w:t>and reviewer perception of satisfaction, burden</w:t>
      </w:r>
      <w:r w:rsidR="00FB5078">
        <w:t>,</w:t>
      </w:r>
      <w:r w:rsidRPr="008C18BF">
        <w:t xml:space="preserve"> and quality by key population subgroups, including race/ethnicity, gender, and disability</w:t>
      </w:r>
      <w:r w:rsidR="00FB5078">
        <w:t>.</w:t>
      </w:r>
    </w:p>
    <w:p w:rsidR="00BC2D88" w:rsidP="00BC2D88" w:rsidRDefault="00BC2D88" w14:paraId="65357A6D" w14:textId="5ADFF6E8">
      <w:pPr>
        <w:pStyle w:val="Numbers12ptCalibri-IPR"/>
      </w:pPr>
      <w:r w:rsidRPr="008C18BF">
        <w:t xml:space="preserve">Describe the extent to which NSF’s reviewer orientation </w:t>
      </w:r>
      <w:r w:rsidRPr="008C18BF" w:rsidR="00FE168B">
        <w:t>video is correlated with awareness of different types of cognitive biases and the use of strategies to reduce cognitive bias and to provide constructive</w:t>
      </w:r>
      <w:r w:rsidRPr="008C18BF">
        <w:t xml:space="preserve"> </w:t>
      </w:r>
      <w:r w:rsidRPr="008C18BF" w:rsidR="00FE168B">
        <w:t>feedback</w:t>
      </w:r>
      <w:r w:rsidRPr="008C18BF">
        <w:t>.</w:t>
      </w:r>
    </w:p>
    <w:p w:rsidR="008F3F19" w:rsidP="00BC2D88" w:rsidRDefault="008F3F19" w14:paraId="5D101226" w14:textId="2084C8E4">
      <w:pPr>
        <w:pStyle w:val="Numbers12ptCalibri-IPR"/>
      </w:pPr>
      <w:r>
        <w:t xml:space="preserve">Describe the extent to which the elimination of annual proposal deadlines affected reviewer and applicant burden, perceptions of proposal and review quality, and satisfaction with the merit review process. </w:t>
      </w:r>
    </w:p>
    <w:p w:rsidRPr="008C18BF" w:rsidR="008F3F19" w:rsidP="00BC2D88" w:rsidRDefault="008F3F19" w14:paraId="211B846F" w14:textId="7B2CE3DA">
      <w:pPr>
        <w:pStyle w:val="Numbers12ptCalibri-IPR"/>
      </w:pPr>
      <w:r w:rsidRPr="00771B4A">
        <w:rPr>
          <w:szCs w:val="24"/>
        </w:rPr>
        <w:t>D</w:t>
      </w:r>
      <w:r w:rsidRPr="000850A5">
        <w:rPr>
          <w:szCs w:val="24"/>
        </w:rPr>
        <w:t xml:space="preserve">escribe applicants and reviewers experiences with student support programs </w:t>
      </w:r>
      <w:r w:rsidRPr="000850A5" w:rsidR="00771B4A">
        <w:rPr>
          <w:szCs w:val="24"/>
        </w:rPr>
        <w:t>as well as what NSF application and funding support is associated with the receipt of financial support from NSF as an undergraduate or graduate student</w:t>
      </w:r>
      <w:r w:rsidR="00771B4A">
        <w:rPr>
          <w:sz w:val="20"/>
          <w:szCs w:val="20"/>
        </w:rPr>
        <w:t xml:space="preserve">. </w:t>
      </w:r>
    </w:p>
    <w:p w:rsidR="00F11A6F" w:rsidP="00FE168B" w:rsidRDefault="004456CE" w14:paraId="7B3CF40B" w14:textId="1C6DFC29">
      <w:pPr>
        <w:pStyle w:val="Body12ptCalibri-IPR"/>
        <w:ind w:firstLine="0"/>
        <w:rPr>
          <w:rFonts w:cstheme="minorHAnsi"/>
        </w:rPr>
      </w:pPr>
      <w:r>
        <w:rPr>
          <w:rFonts w:cstheme="minorHAnsi"/>
        </w:rPr>
        <w:lastRenderedPageBreak/>
        <w:t xml:space="preserve">The information will be collected </w:t>
      </w:r>
      <w:r w:rsidR="00F11A6F">
        <w:rPr>
          <w:rFonts w:cstheme="minorHAnsi"/>
        </w:rPr>
        <w:t>biennially using a Web-</w:t>
      </w:r>
      <w:r w:rsidR="008832EB">
        <w:rPr>
          <w:rFonts w:cstheme="minorHAnsi"/>
        </w:rPr>
        <w:t xml:space="preserve">based </w:t>
      </w:r>
      <w:r w:rsidR="00F11A6F">
        <w:rPr>
          <w:rFonts w:cstheme="minorHAnsi"/>
        </w:rPr>
        <w:t xml:space="preserve">survey from </w:t>
      </w:r>
      <w:r w:rsidR="00DD190E">
        <w:rPr>
          <w:rFonts w:cstheme="minorHAnsi"/>
        </w:rPr>
        <w:t>applicants</w:t>
      </w:r>
      <w:r w:rsidRPr="004456CE">
        <w:rPr>
          <w:rFonts w:cstheme="minorHAnsi"/>
        </w:rPr>
        <w:t xml:space="preserve"> who have submitted proposals and reviewers who have participated in the merit review process</w:t>
      </w:r>
      <w:r w:rsidR="00F11A6F">
        <w:rPr>
          <w:rFonts w:cstheme="minorHAnsi"/>
        </w:rPr>
        <w:t xml:space="preserve">. The first data collection </w:t>
      </w:r>
      <w:r w:rsidR="008832EB">
        <w:rPr>
          <w:rFonts w:cstheme="minorHAnsi"/>
        </w:rPr>
        <w:t xml:space="preserve">will </w:t>
      </w:r>
      <w:r w:rsidR="00F11A6F">
        <w:rPr>
          <w:rFonts w:cstheme="minorHAnsi"/>
        </w:rPr>
        <w:t xml:space="preserve">be conducted in </w:t>
      </w:r>
      <w:r w:rsidR="008832EB">
        <w:rPr>
          <w:rFonts w:cstheme="minorHAnsi"/>
        </w:rPr>
        <w:t>F</w:t>
      </w:r>
      <w:r w:rsidR="00F11A6F">
        <w:rPr>
          <w:rFonts w:cstheme="minorHAnsi"/>
        </w:rPr>
        <w:t xml:space="preserve">all 2021 will </w:t>
      </w:r>
      <w:r w:rsidR="008832EB">
        <w:rPr>
          <w:rFonts w:cstheme="minorHAnsi"/>
        </w:rPr>
        <w:t xml:space="preserve">survey </w:t>
      </w:r>
      <w:r w:rsidR="00F11A6F">
        <w:rPr>
          <w:rFonts w:cstheme="minorHAnsi"/>
        </w:rPr>
        <w:t xml:space="preserve">applicants who submitted proposals and individuals who served as reviewers </w:t>
      </w:r>
      <w:r w:rsidRPr="004456CE">
        <w:rPr>
          <w:rFonts w:cstheme="minorHAnsi"/>
        </w:rPr>
        <w:t>between FY 2018 and FY 2020</w:t>
      </w:r>
      <w:r>
        <w:rPr>
          <w:rFonts w:cstheme="minorHAnsi"/>
        </w:rPr>
        <w:t xml:space="preserve">. </w:t>
      </w:r>
      <w:r w:rsidR="00F11A6F">
        <w:rPr>
          <w:rFonts w:cstheme="minorHAnsi"/>
        </w:rPr>
        <w:t xml:space="preserve">The second data collection will </w:t>
      </w:r>
      <w:r w:rsidR="008832EB">
        <w:rPr>
          <w:rFonts w:cstheme="minorHAnsi"/>
        </w:rPr>
        <w:t xml:space="preserve">survey </w:t>
      </w:r>
      <w:r w:rsidR="00F11A6F">
        <w:rPr>
          <w:rFonts w:cstheme="minorHAnsi"/>
        </w:rPr>
        <w:t xml:space="preserve">individuals who were applicants or reviewers between FY 2020 and FY 2022 and will be conducted in </w:t>
      </w:r>
      <w:r w:rsidR="008832EB">
        <w:rPr>
          <w:rFonts w:cstheme="minorHAnsi"/>
        </w:rPr>
        <w:t>F</w:t>
      </w:r>
      <w:r w:rsidR="00F11A6F">
        <w:rPr>
          <w:rFonts w:cstheme="minorHAnsi"/>
        </w:rPr>
        <w:t xml:space="preserve">all 2023. </w:t>
      </w:r>
    </w:p>
    <w:p w:rsidR="00F47924" w:rsidP="00C52F68" w:rsidRDefault="00470E22" w14:paraId="5E7CB8E2" w14:textId="02716420">
      <w:pPr>
        <w:pStyle w:val="Body12ptCalibri-IPR"/>
        <w:rPr>
          <w:rFonts w:cstheme="minorHAnsi"/>
        </w:rPr>
      </w:pPr>
      <w:r>
        <w:rPr>
          <w:rFonts w:cstheme="minorHAnsi"/>
        </w:rPr>
        <w:t>NSF will use d</w:t>
      </w:r>
      <w:r w:rsidRPr="00236788" w:rsidR="00BC2D88">
        <w:rPr>
          <w:rFonts w:cstheme="minorHAnsi"/>
        </w:rPr>
        <w:t xml:space="preserve">ata from the survey to </w:t>
      </w:r>
      <w:r w:rsidR="004456CE">
        <w:rPr>
          <w:rFonts w:cstheme="minorHAnsi"/>
        </w:rPr>
        <w:t>inform continuous improvements to</w:t>
      </w:r>
      <w:r w:rsidRPr="00236788" w:rsidR="00FE168B">
        <w:rPr>
          <w:rFonts w:cstheme="minorHAnsi"/>
        </w:rPr>
        <w:t xml:space="preserve"> the fairness, effectiveness, and efficiency of the </w:t>
      </w:r>
      <w:r w:rsidRPr="00475511" w:rsidR="00BC2D88">
        <w:rPr>
          <w:rFonts w:cstheme="minorHAnsi"/>
        </w:rPr>
        <w:t>merit review process.</w:t>
      </w:r>
      <w:r w:rsidRPr="00475511" w:rsidR="00A1583B">
        <w:rPr>
          <w:rFonts w:cstheme="minorHAnsi"/>
        </w:rPr>
        <w:t xml:space="preserve"> </w:t>
      </w:r>
      <w:r w:rsidR="00F47924">
        <w:rPr>
          <w:rFonts w:cstheme="minorHAnsi"/>
        </w:rPr>
        <w:t xml:space="preserve">NSF has used </w:t>
      </w:r>
      <w:r w:rsidR="00F97681">
        <w:rPr>
          <w:rFonts w:cstheme="minorHAnsi"/>
        </w:rPr>
        <w:t xml:space="preserve">data on quality metrics to </w:t>
      </w:r>
      <w:r w:rsidR="00F47924">
        <w:rPr>
          <w:rFonts w:cstheme="minorHAnsi"/>
        </w:rPr>
        <w:t xml:space="preserve">inform </w:t>
      </w:r>
      <w:r w:rsidR="00F97681">
        <w:rPr>
          <w:rFonts w:cstheme="minorHAnsi"/>
        </w:rPr>
        <w:t xml:space="preserve">the </w:t>
      </w:r>
      <w:r w:rsidR="008832EB">
        <w:t xml:space="preserve">effectiveness </w:t>
      </w:r>
      <w:r w:rsidR="00F97681">
        <w:t>of</w:t>
      </w:r>
      <w:r w:rsidR="00F47924">
        <w:t xml:space="preserve"> </w:t>
      </w:r>
      <w:r w:rsidR="008832EB">
        <w:t xml:space="preserve">a </w:t>
      </w:r>
      <w:r w:rsidR="00F47924">
        <w:t xml:space="preserve">reviewer orientation </w:t>
      </w:r>
      <w:r w:rsidR="008832EB">
        <w:t xml:space="preserve">designed to </w:t>
      </w:r>
      <w:r w:rsidR="006A6820">
        <w:t>i</w:t>
      </w:r>
      <w:r w:rsidR="00F47924">
        <w:t>mprove review quality.</w:t>
      </w:r>
      <w:r w:rsidRPr="00236788" w:rsidR="00F47924">
        <w:rPr>
          <w:rStyle w:val="FootnoteReference"/>
          <w:rFonts w:cstheme="minorHAnsi"/>
          <w:vertAlign w:val="superscript"/>
        </w:rPr>
        <w:footnoteReference w:id="5"/>
      </w:r>
      <w:r w:rsidR="002053F0">
        <w:t xml:space="preserve"> In addition</w:t>
      </w:r>
      <w:r w:rsidR="00210989">
        <w:t xml:space="preserve">, </w:t>
      </w:r>
      <w:r w:rsidR="00A34F63">
        <w:t>several directorates have</w:t>
      </w:r>
      <w:r w:rsidR="00210989">
        <w:t xml:space="preserve"> </w:t>
      </w:r>
      <w:r w:rsidR="00A34F63">
        <w:t>transitioned from pilot</w:t>
      </w:r>
      <w:r w:rsidR="008832EB">
        <w:t>ing</w:t>
      </w:r>
      <w:r w:rsidR="00FB5078">
        <w:t xml:space="preserve"> </w:t>
      </w:r>
      <w:r w:rsidR="006A6820">
        <w:t xml:space="preserve">rolling submissions (those with </w:t>
      </w:r>
      <w:r w:rsidR="00A34F63">
        <w:t>no annual proposal deadline</w:t>
      </w:r>
      <w:r w:rsidR="006A6820">
        <w:t>)</w:t>
      </w:r>
      <w:r w:rsidR="00A34F63">
        <w:t xml:space="preserve"> to </w:t>
      </w:r>
      <w:r w:rsidR="008832EB">
        <w:t xml:space="preserve">implementing </w:t>
      </w:r>
      <w:r w:rsidR="006A6820">
        <w:t xml:space="preserve">this fully </w:t>
      </w:r>
      <w:r w:rsidR="00A34F63">
        <w:t>“to increase efficiency in operations”, a topic that was informed by the 2015 and 2017 Merit Review Surveys.</w:t>
      </w:r>
      <w:r w:rsidRPr="00236788" w:rsidR="00A34F63">
        <w:rPr>
          <w:rStyle w:val="FootnoteReference"/>
          <w:rFonts w:cstheme="minorHAnsi"/>
          <w:vertAlign w:val="superscript"/>
        </w:rPr>
        <w:footnoteReference w:id="6"/>
      </w:r>
      <w:r w:rsidR="00A34F63">
        <w:t xml:space="preserve"> </w:t>
      </w:r>
    </w:p>
    <w:p w:rsidRPr="00316E6E" w:rsidR="00F47924" w:rsidP="00C52F68" w:rsidRDefault="002053F0" w14:paraId="5BAAE259" w14:textId="27FAED1D">
      <w:pPr>
        <w:pStyle w:val="Body12ptCalibri-IPR"/>
        <w:rPr>
          <w:rFonts w:cstheme="minorHAnsi"/>
        </w:rPr>
      </w:pPr>
      <w:r>
        <w:rPr>
          <w:rFonts w:cstheme="minorHAnsi"/>
        </w:rPr>
        <w:t>The 2021 Merit Review Survey will further assess these findings by looking at respondent perceptions of quality by key demographic subpopulations.</w:t>
      </w:r>
      <w:r w:rsidRPr="00475511" w:rsidDel="00EA57BF">
        <w:rPr>
          <w:rFonts w:cstheme="minorHAnsi"/>
        </w:rPr>
        <w:t xml:space="preserve"> </w:t>
      </w:r>
      <w:r w:rsidR="00EA57BF">
        <w:rPr>
          <w:rFonts w:cstheme="minorHAnsi"/>
        </w:rPr>
        <w:t>Beginning with the 2021 survey</w:t>
      </w:r>
      <w:r w:rsidRPr="00475511" w:rsidR="00A1583B">
        <w:rPr>
          <w:rFonts w:cstheme="minorHAnsi"/>
        </w:rPr>
        <w:t xml:space="preserve">, data will be analyzed by subgroups of critical interest to NSF, including race/ethnicity, gender, and disability status to understand how the experiences of </w:t>
      </w:r>
      <w:r w:rsidR="00470E22">
        <w:rPr>
          <w:rFonts w:cstheme="minorHAnsi"/>
        </w:rPr>
        <w:t>applicants</w:t>
      </w:r>
      <w:r w:rsidRPr="00475511" w:rsidR="00470E22">
        <w:rPr>
          <w:rFonts w:cstheme="minorHAnsi"/>
        </w:rPr>
        <w:t xml:space="preserve"> </w:t>
      </w:r>
      <w:r w:rsidRPr="00475511" w:rsidR="00A1583B">
        <w:rPr>
          <w:rFonts w:cstheme="minorHAnsi"/>
        </w:rPr>
        <w:t>and reviewers may vary acro</w:t>
      </w:r>
      <w:r w:rsidRPr="00316E6E" w:rsidR="00A1583B">
        <w:rPr>
          <w:rFonts w:cstheme="minorHAnsi"/>
        </w:rPr>
        <w:t>ss groups</w:t>
      </w:r>
      <w:r w:rsidR="00984A2A">
        <w:rPr>
          <w:rFonts w:cstheme="minorHAnsi"/>
        </w:rPr>
        <w:t xml:space="preserve"> and how they can be improved</w:t>
      </w:r>
      <w:r w:rsidRPr="00316E6E" w:rsidR="00A1583B">
        <w:rPr>
          <w:rFonts w:cstheme="minorHAnsi"/>
        </w:rPr>
        <w:t xml:space="preserve">. </w:t>
      </w:r>
      <w:r w:rsidRPr="00316E6E" w:rsidR="008A5C99">
        <w:rPr>
          <w:rFonts w:cstheme="minorHAnsi"/>
        </w:rPr>
        <w:t xml:space="preserve">Analyses across NSF directorates will also be conducted to understand variation </w:t>
      </w:r>
      <w:r w:rsidR="00FA071E">
        <w:rPr>
          <w:rFonts w:cstheme="minorHAnsi"/>
        </w:rPr>
        <w:t xml:space="preserve">in applicant and reviewer experiences </w:t>
      </w:r>
      <w:r w:rsidRPr="00316E6E" w:rsidR="008A5C99">
        <w:rPr>
          <w:rFonts w:cstheme="minorHAnsi"/>
        </w:rPr>
        <w:t>within NSF</w:t>
      </w:r>
      <w:r>
        <w:rPr>
          <w:rFonts w:cstheme="minorHAnsi"/>
        </w:rPr>
        <w:t xml:space="preserve"> with findings report</w:t>
      </w:r>
      <w:r w:rsidR="006A6820">
        <w:rPr>
          <w:rFonts w:cstheme="minorHAnsi"/>
        </w:rPr>
        <w:t>ed</w:t>
      </w:r>
      <w:r>
        <w:rPr>
          <w:rFonts w:cstheme="minorHAnsi"/>
        </w:rPr>
        <w:t xml:space="preserve"> back to directorates </w:t>
      </w:r>
      <w:r>
        <w:t>to inform ongoing directorate-level policy decisions</w:t>
      </w:r>
      <w:r w:rsidRPr="00316E6E" w:rsidR="008A5C99">
        <w:rPr>
          <w:rFonts w:cstheme="minorHAnsi"/>
        </w:rPr>
        <w:t xml:space="preserve">. </w:t>
      </w:r>
    </w:p>
    <w:p w:rsidRPr="00740EBA" w:rsidR="006561A1" w:rsidP="006561A1" w:rsidRDefault="006561A1" w14:paraId="23457458" w14:textId="77777777">
      <w:pPr>
        <w:pStyle w:val="Hdng2-IPR"/>
      </w:pPr>
      <w:bookmarkStart w:name="_Toc133208872" w:id="9"/>
      <w:bookmarkStart w:name="_Toc329426275" w:id="10"/>
      <w:bookmarkStart w:name="_Toc351666577" w:id="11"/>
      <w:bookmarkStart w:name="_Toc416426562" w:id="12"/>
      <w:r w:rsidRPr="00740EBA">
        <w:t>A.3.</w:t>
      </w:r>
      <w:r w:rsidRPr="00740EBA">
        <w:tab/>
      </w:r>
      <w:bookmarkEnd w:id="9"/>
      <w:r w:rsidRPr="00740EBA">
        <w:t>Use of Information Technology and Burden Reduction</w:t>
      </w:r>
      <w:bookmarkEnd w:id="10"/>
      <w:bookmarkEnd w:id="11"/>
      <w:bookmarkEnd w:id="12"/>
      <w:r w:rsidRPr="00740EBA">
        <w:t xml:space="preserve"> </w:t>
      </w:r>
    </w:p>
    <w:p w:rsidRPr="00236788" w:rsidR="006561A1" w:rsidP="006561A1" w:rsidRDefault="006561A1" w14:paraId="3A8D2245" w14:textId="77777777">
      <w:pPr>
        <w:pStyle w:val="OMBRequirementCalibri"/>
        <w:rPr>
          <w:rFonts w:cstheme="minorHAnsi"/>
        </w:rPr>
      </w:pPr>
      <w:r w:rsidRPr="00236788">
        <w:rPr>
          <w:rFonts w:cstheme="minorHAnsi"/>
        </w:rPr>
        <w:t xml:space="preserve">Describe whether, and to what extent, the collection of information involves the use of automated, electronic, mechanical, or other technological collection techniques or other </w:t>
      </w:r>
      <w:r w:rsidRPr="00236788">
        <w:rPr>
          <w:rFonts w:cstheme="minorHAnsi"/>
        </w:rPr>
        <w:lastRenderedPageBreak/>
        <w:t>forms of information technology, e.g., permitting electronic submission of responses, and the basis for the decision for adopting this means of collection. Also, describe any consideration of using information technology to reduce burden.</w:t>
      </w:r>
    </w:p>
    <w:p w:rsidRPr="00470E22" w:rsidR="006561A1" w:rsidP="006561A1" w:rsidRDefault="006561A1" w14:paraId="536883C9" w14:textId="211C248B">
      <w:pPr>
        <w:pStyle w:val="Body12ptCalibri-IPR"/>
        <w:rPr>
          <w:rFonts w:cstheme="minorHAnsi"/>
        </w:rPr>
      </w:pPr>
      <w:r w:rsidRPr="00475511">
        <w:rPr>
          <w:rFonts w:cstheme="minorHAnsi"/>
        </w:rPr>
        <w:t xml:space="preserve">The </w:t>
      </w:r>
      <w:r w:rsidR="00E40453">
        <w:rPr>
          <w:rFonts w:cstheme="minorHAnsi"/>
        </w:rPr>
        <w:t>Merit Review S</w:t>
      </w:r>
      <w:r w:rsidRPr="00475511">
        <w:rPr>
          <w:rFonts w:cstheme="minorHAnsi"/>
        </w:rPr>
        <w:t xml:space="preserve">urvey will be </w:t>
      </w:r>
      <w:r w:rsidR="00E40453">
        <w:rPr>
          <w:rFonts w:cstheme="minorHAnsi"/>
        </w:rPr>
        <w:t xml:space="preserve">administered </w:t>
      </w:r>
      <w:r w:rsidRPr="00475511">
        <w:rPr>
          <w:rFonts w:cstheme="minorHAnsi"/>
        </w:rPr>
        <w:t xml:space="preserve">via the </w:t>
      </w:r>
      <w:r w:rsidRPr="00316E6E" w:rsidR="00701313">
        <w:rPr>
          <w:rFonts w:cstheme="minorHAnsi"/>
        </w:rPr>
        <w:t>w</w:t>
      </w:r>
      <w:r w:rsidRPr="00316E6E">
        <w:rPr>
          <w:rFonts w:cstheme="minorHAnsi"/>
        </w:rPr>
        <w:t>eb</w:t>
      </w:r>
      <w:r w:rsidR="00E40453">
        <w:rPr>
          <w:rFonts w:cstheme="minorHAnsi"/>
        </w:rPr>
        <w:t xml:space="preserve"> and is expected to take 20 minutes to complete</w:t>
      </w:r>
      <w:r w:rsidRPr="00316E6E">
        <w:rPr>
          <w:rFonts w:cstheme="minorHAnsi"/>
        </w:rPr>
        <w:t xml:space="preserve">. Using </w:t>
      </w:r>
      <w:r w:rsidR="00E40453">
        <w:rPr>
          <w:rFonts w:cstheme="minorHAnsi"/>
        </w:rPr>
        <w:t xml:space="preserve">contact information that NSF has on file for applicants and reviewers, </w:t>
      </w:r>
      <w:r w:rsidR="00186BBA">
        <w:rPr>
          <w:rFonts w:cstheme="minorHAnsi"/>
        </w:rPr>
        <w:t xml:space="preserve">potential respondents </w:t>
      </w:r>
      <w:r w:rsidRPr="00316E6E">
        <w:rPr>
          <w:rFonts w:cstheme="minorHAnsi"/>
        </w:rPr>
        <w:t xml:space="preserve">will be emailed a </w:t>
      </w:r>
      <w:r w:rsidRPr="003B1004">
        <w:rPr>
          <w:rFonts w:cstheme="minorHAnsi"/>
        </w:rPr>
        <w:t xml:space="preserve">unique </w:t>
      </w:r>
      <w:r w:rsidRPr="003B1004" w:rsidR="00470E22">
        <w:rPr>
          <w:rFonts w:cstheme="minorHAnsi"/>
        </w:rPr>
        <w:t xml:space="preserve">survey </w:t>
      </w:r>
      <w:r w:rsidRPr="003B1004">
        <w:rPr>
          <w:rFonts w:cstheme="minorHAnsi"/>
        </w:rPr>
        <w:t xml:space="preserve">link to access the secure web survey. </w:t>
      </w:r>
      <w:r w:rsidRPr="00740EBA">
        <w:rPr>
          <w:rFonts w:cstheme="minorHAnsi"/>
        </w:rPr>
        <w:t>The w</w:t>
      </w:r>
      <w:r w:rsidRPr="008C18BF">
        <w:rPr>
          <w:rFonts w:cstheme="minorHAnsi"/>
        </w:rPr>
        <w:t xml:space="preserve">eb survey will be consistent with the attached paper version, including the OMB approval number, once granted. This method offers </w:t>
      </w:r>
      <w:r w:rsidR="00E40453">
        <w:rPr>
          <w:rFonts w:cstheme="minorHAnsi"/>
        </w:rPr>
        <w:t xml:space="preserve">the most </w:t>
      </w:r>
      <w:r w:rsidRPr="008C18BF">
        <w:rPr>
          <w:rFonts w:cstheme="minorHAnsi"/>
        </w:rPr>
        <w:t xml:space="preserve">efficient means of reaching </w:t>
      </w:r>
      <w:r w:rsidR="00E40453">
        <w:rPr>
          <w:rFonts w:cstheme="minorHAnsi"/>
        </w:rPr>
        <w:t>applicants and reviewers</w:t>
      </w:r>
      <w:r w:rsidRPr="008C18BF">
        <w:rPr>
          <w:rFonts w:cstheme="minorHAnsi"/>
        </w:rPr>
        <w:t xml:space="preserve">. </w:t>
      </w:r>
      <w:r w:rsidRPr="008C18BF" w:rsidR="008A5C99">
        <w:rPr>
          <w:rFonts w:cstheme="minorHAnsi"/>
        </w:rPr>
        <w:t xml:space="preserve">In addition, programmed skip patterns will allow for respondents to only answer questions relevant to them and their experiences. The survey will allow respondents to break off and resume completing the survey, as needed, and to complete the survey at their </w:t>
      </w:r>
      <w:r w:rsidRPr="008C18BF" w:rsidR="00315DF5">
        <w:rPr>
          <w:rFonts w:cstheme="minorHAnsi"/>
        </w:rPr>
        <w:t>convenience</w:t>
      </w:r>
      <w:r w:rsidRPr="00470E22" w:rsidR="008A5C99">
        <w:rPr>
          <w:rFonts w:cstheme="minorHAnsi"/>
        </w:rPr>
        <w:t xml:space="preserve">. </w:t>
      </w:r>
    </w:p>
    <w:p w:rsidRPr="00AC149D" w:rsidR="00E52E67" w:rsidP="00E52E67" w:rsidRDefault="00E52E67" w14:paraId="3567BD60" w14:textId="1972F296">
      <w:pPr>
        <w:pStyle w:val="Hdng2-IPR"/>
      </w:pPr>
      <w:bookmarkStart w:name="_Toc133208873" w:id="13"/>
      <w:bookmarkStart w:name="_Toc329426276" w:id="14"/>
      <w:bookmarkStart w:name="_Toc351666578" w:id="15"/>
      <w:bookmarkStart w:name="_Toc416426563" w:id="16"/>
      <w:r w:rsidRPr="00470E22">
        <w:t>A.4.</w:t>
      </w:r>
      <w:r w:rsidRPr="00470E22">
        <w:tab/>
        <w:t xml:space="preserve">Efforts to Identify </w:t>
      </w:r>
      <w:bookmarkEnd w:id="13"/>
      <w:r w:rsidRPr="00470E22">
        <w:t>Duplication and Use of Similar Information</w:t>
      </w:r>
      <w:bookmarkEnd w:id="14"/>
      <w:bookmarkEnd w:id="15"/>
      <w:bookmarkEnd w:id="16"/>
    </w:p>
    <w:p w:rsidRPr="00236788" w:rsidR="00E52E67" w:rsidP="00E52E67" w:rsidRDefault="00E52E67" w14:paraId="67D8E4AA" w14:textId="77777777">
      <w:pPr>
        <w:pStyle w:val="OMBRequirementCalibri"/>
        <w:rPr>
          <w:rFonts w:cstheme="minorHAnsi"/>
        </w:rPr>
      </w:pPr>
      <w:r w:rsidRPr="00236788">
        <w:rPr>
          <w:rFonts w:cstheme="minorHAnsi"/>
        </w:rPr>
        <w:t>Describe efforts to identify duplication. Show specifically why any similar information already available cannot be used or modified for use for the purpose described in item 2 above.</w:t>
      </w:r>
    </w:p>
    <w:p w:rsidRPr="00740EBA" w:rsidR="00E52E67" w:rsidP="00E52E67" w:rsidRDefault="00E52E67" w14:paraId="06C930F7" w14:textId="3D410576">
      <w:pPr>
        <w:pStyle w:val="Body12ptCalibri-IPR"/>
        <w:rPr>
          <w:rFonts w:cstheme="minorHAnsi"/>
        </w:rPr>
      </w:pPr>
      <w:r w:rsidRPr="00236788">
        <w:rPr>
          <w:rFonts w:cstheme="minorHAnsi"/>
        </w:rPr>
        <w:t xml:space="preserve">The most recent data </w:t>
      </w:r>
      <w:r w:rsidR="0088328C">
        <w:rPr>
          <w:rFonts w:cstheme="minorHAnsi"/>
        </w:rPr>
        <w:t>on</w:t>
      </w:r>
      <w:r w:rsidR="00E40453">
        <w:rPr>
          <w:rFonts w:cstheme="minorHAnsi"/>
        </w:rPr>
        <w:t xml:space="preserve"> the merit review process </w:t>
      </w:r>
      <w:r w:rsidRPr="00236788" w:rsidR="0088328C">
        <w:rPr>
          <w:rFonts w:cstheme="minorHAnsi"/>
        </w:rPr>
        <w:t>w</w:t>
      </w:r>
      <w:r w:rsidR="0088328C">
        <w:rPr>
          <w:rFonts w:cstheme="minorHAnsi"/>
        </w:rPr>
        <w:t>ere</w:t>
      </w:r>
      <w:r w:rsidRPr="00236788" w:rsidR="0088328C">
        <w:rPr>
          <w:rFonts w:cstheme="minorHAnsi"/>
        </w:rPr>
        <w:t xml:space="preserve"> co</w:t>
      </w:r>
      <w:r w:rsidR="0088328C">
        <w:rPr>
          <w:rFonts w:cstheme="minorHAnsi"/>
        </w:rPr>
        <w:t>llected</w:t>
      </w:r>
      <w:r w:rsidRPr="00236788" w:rsidR="0088328C">
        <w:rPr>
          <w:rFonts w:cstheme="minorHAnsi"/>
        </w:rPr>
        <w:t xml:space="preserve"> </w:t>
      </w:r>
      <w:r w:rsidRPr="00236788">
        <w:rPr>
          <w:rFonts w:cstheme="minorHAnsi"/>
        </w:rPr>
        <w:t>two years ago. In 2007, NS</w:t>
      </w:r>
      <w:r w:rsidRPr="00475511">
        <w:rPr>
          <w:rFonts w:cstheme="minorHAnsi"/>
        </w:rPr>
        <w:t xml:space="preserve">F administered the “NSF 2007 Proposer Survey,” </w:t>
      </w:r>
      <w:r w:rsidRPr="00316E6E">
        <w:rPr>
          <w:rFonts w:cstheme="minorHAnsi"/>
        </w:rPr>
        <w:t xml:space="preserve">and in 2015, 2017, and 2019 NSF administered similar iterations of the “Assessment of Investigator and Reviewer Experiences Survey” which </w:t>
      </w:r>
      <w:r w:rsidRPr="00316E6E" w:rsidR="00701313">
        <w:rPr>
          <w:rFonts w:cstheme="minorHAnsi"/>
        </w:rPr>
        <w:t>assessed levels of</w:t>
      </w:r>
      <w:r w:rsidRPr="00316E6E">
        <w:rPr>
          <w:rFonts w:cstheme="minorHAnsi"/>
        </w:rPr>
        <w:t xml:space="preserve"> satisfaction among </w:t>
      </w:r>
      <w:r w:rsidR="00470E22">
        <w:rPr>
          <w:rFonts w:cstheme="minorHAnsi"/>
        </w:rPr>
        <w:t>applicant</w:t>
      </w:r>
      <w:r w:rsidRPr="00316E6E">
        <w:rPr>
          <w:rFonts w:cstheme="minorHAnsi"/>
        </w:rPr>
        <w:t>s and reviewers and areas for i</w:t>
      </w:r>
      <w:r w:rsidRPr="003B1004">
        <w:rPr>
          <w:rFonts w:cstheme="minorHAnsi"/>
        </w:rPr>
        <w:t xml:space="preserve">mprovement. </w:t>
      </w:r>
      <w:r w:rsidR="0088328C">
        <w:rPr>
          <w:rFonts w:cstheme="minorHAnsi"/>
        </w:rPr>
        <w:t xml:space="preserve">Conducting this survey in 2021 </w:t>
      </w:r>
      <w:r w:rsidR="00FF5EBF">
        <w:rPr>
          <w:rFonts w:cstheme="minorHAnsi"/>
        </w:rPr>
        <w:t xml:space="preserve">and 2023 </w:t>
      </w:r>
      <w:r w:rsidR="0088328C">
        <w:rPr>
          <w:rFonts w:cstheme="minorHAnsi"/>
        </w:rPr>
        <w:t xml:space="preserve">will allow NSF to </w:t>
      </w:r>
      <w:r w:rsidRPr="003B1004">
        <w:rPr>
          <w:rFonts w:cstheme="minorHAnsi"/>
        </w:rPr>
        <w:t>compar</w:t>
      </w:r>
      <w:r w:rsidR="0088328C">
        <w:rPr>
          <w:rFonts w:cstheme="minorHAnsi"/>
        </w:rPr>
        <w:t>e responses</w:t>
      </w:r>
      <w:r w:rsidRPr="003B1004">
        <w:rPr>
          <w:rFonts w:cstheme="minorHAnsi"/>
        </w:rPr>
        <w:t xml:space="preserve"> </w:t>
      </w:r>
      <w:r w:rsidR="0088328C">
        <w:rPr>
          <w:rFonts w:cstheme="minorHAnsi"/>
        </w:rPr>
        <w:t>to these prior iterations and determine whether applicant and reviewer satisfaction and experiences have changed. This information cannot be obtained through other data sources. While NSF</w:t>
      </w:r>
      <w:r w:rsidRPr="003B1004" w:rsidR="00315DF5">
        <w:rPr>
          <w:rFonts w:cstheme="minorHAnsi"/>
        </w:rPr>
        <w:t xml:space="preserve"> </w:t>
      </w:r>
      <w:r w:rsidR="0088328C">
        <w:rPr>
          <w:rFonts w:cstheme="minorHAnsi"/>
        </w:rPr>
        <w:t xml:space="preserve">has access to administrative </w:t>
      </w:r>
      <w:r w:rsidRPr="003B1004">
        <w:rPr>
          <w:rFonts w:cstheme="minorHAnsi"/>
        </w:rPr>
        <w:t xml:space="preserve">data </w:t>
      </w:r>
      <w:r w:rsidR="0088328C">
        <w:rPr>
          <w:rFonts w:cstheme="minorHAnsi"/>
        </w:rPr>
        <w:t>on the</w:t>
      </w:r>
      <w:r w:rsidRPr="00740EBA" w:rsidR="00315DF5">
        <w:rPr>
          <w:rFonts w:cstheme="minorHAnsi"/>
        </w:rPr>
        <w:t xml:space="preserve"> merit review process, such as t</w:t>
      </w:r>
      <w:r w:rsidRPr="00740EBA">
        <w:rPr>
          <w:rFonts w:cstheme="minorHAnsi"/>
        </w:rPr>
        <w:t>he numbers of proposals received and granted</w:t>
      </w:r>
      <w:r w:rsidR="0088328C">
        <w:rPr>
          <w:rFonts w:cstheme="minorHAnsi"/>
        </w:rPr>
        <w:t xml:space="preserve"> and the characteristics of applicants and reviewers, conducting the survey is the only way to </w:t>
      </w:r>
      <w:r w:rsidR="00241BD8">
        <w:rPr>
          <w:rFonts w:cstheme="minorHAnsi"/>
        </w:rPr>
        <w:t>fulfil</w:t>
      </w:r>
      <w:r w:rsidR="00EB1FEE">
        <w:rPr>
          <w:rFonts w:cstheme="minorHAnsi"/>
        </w:rPr>
        <w:t>l</w:t>
      </w:r>
      <w:r w:rsidR="00241BD8">
        <w:rPr>
          <w:rFonts w:cstheme="minorHAnsi"/>
        </w:rPr>
        <w:t xml:space="preserve"> key research objectives such as assessing </w:t>
      </w:r>
      <w:r w:rsidR="0088328C">
        <w:rPr>
          <w:rFonts w:cstheme="minorHAnsi"/>
        </w:rPr>
        <w:t xml:space="preserve">applicant and </w:t>
      </w:r>
      <w:r w:rsidR="0088328C">
        <w:rPr>
          <w:rFonts w:cstheme="minorHAnsi"/>
        </w:rPr>
        <w:lastRenderedPageBreak/>
        <w:t xml:space="preserve">reviewer </w:t>
      </w:r>
      <w:r w:rsidRPr="00740EBA">
        <w:rPr>
          <w:rFonts w:cstheme="minorHAnsi"/>
        </w:rPr>
        <w:t>perceptions and opinions of the process</w:t>
      </w:r>
      <w:r w:rsidR="00241BD8">
        <w:rPr>
          <w:rFonts w:cstheme="minorHAnsi"/>
        </w:rPr>
        <w:t>, documenting the burden associated with the review process, describing perceptions of new strategies to reduce</w:t>
      </w:r>
      <w:r w:rsidR="008C03D8">
        <w:rPr>
          <w:rFonts w:cstheme="minorHAnsi"/>
        </w:rPr>
        <w:t xml:space="preserve"> cognitive</w:t>
      </w:r>
      <w:r w:rsidR="00241BD8">
        <w:rPr>
          <w:rFonts w:cstheme="minorHAnsi"/>
        </w:rPr>
        <w:t xml:space="preserve"> bias</w:t>
      </w:r>
      <w:r w:rsidR="008C03D8">
        <w:rPr>
          <w:rFonts w:cstheme="minorHAnsi"/>
        </w:rPr>
        <w:t>es</w:t>
      </w:r>
      <w:r w:rsidR="00241BD8">
        <w:rPr>
          <w:rFonts w:cstheme="minorHAnsi"/>
        </w:rPr>
        <w:t xml:space="preserve"> and burden, and documenting applicant and reviewer experiences with student support programs. </w:t>
      </w:r>
    </w:p>
    <w:p w:rsidRPr="008C18BF" w:rsidR="00E52E67" w:rsidP="00E52E67" w:rsidRDefault="00E52E67" w14:paraId="6F683A16" w14:textId="68DF8D58">
      <w:pPr>
        <w:pStyle w:val="Hdng2-IPR"/>
      </w:pPr>
      <w:bookmarkStart w:name="_Toc133208874" w:id="17"/>
      <w:bookmarkStart w:name="_Toc329426277" w:id="18"/>
      <w:bookmarkStart w:name="_Toc351666579" w:id="19"/>
      <w:bookmarkStart w:name="_Toc416426564" w:id="20"/>
      <w:r w:rsidRPr="008C18BF">
        <w:t>A.5.</w:t>
      </w:r>
      <w:r w:rsidRPr="008C18BF">
        <w:tab/>
      </w:r>
      <w:bookmarkEnd w:id="17"/>
      <w:r w:rsidRPr="008C18BF">
        <w:t>Impacts on Small Businesses or Other Small Entities</w:t>
      </w:r>
      <w:bookmarkEnd w:id="18"/>
      <w:bookmarkEnd w:id="19"/>
      <w:bookmarkEnd w:id="20"/>
    </w:p>
    <w:p w:rsidRPr="00236788" w:rsidR="00E52E67" w:rsidP="00E52E67" w:rsidRDefault="00E52E67" w14:paraId="0C894D57" w14:textId="77777777">
      <w:pPr>
        <w:pStyle w:val="OMBRequirementCalibri"/>
        <w:rPr>
          <w:rFonts w:cstheme="minorHAnsi"/>
        </w:rPr>
      </w:pPr>
      <w:r w:rsidRPr="00236788">
        <w:rPr>
          <w:rFonts w:cstheme="minorHAnsi"/>
        </w:rPr>
        <w:t>If the collection of information impacts small businesses or other small entities, describe any methods used to minimize burden.</w:t>
      </w:r>
    </w:p>
    <w:p w:rsidRPr="00236788" w:rsidR="00E52E67" w:rsidP="00E52E67" w:rsidRDefault="00E52E67" w14:paraId="0A68B316" w14:textId="4ED6BDAE">
      <w:pPr>
        <w:pStyle w:val="Body12ptCalibri-IPR"/>
        <w:rPr>
          <w:rFonts w:cstheme="minorHAnsi"/>
        </w:rPr>
      </w:pPr>
      <w:r w:rsidRPr="00236788">
        <w:rPr>
          <w:rFonts w:cstheme="minorHAnsi"/>
        </w:rPr>
        <w:t xml:space="preserve">NSF has determined that the requirements for this information collection do not adversely impact small businesses or other small entities. All new data </w:t>
      </w:r>
      <w:r w:rsidR="00241BD8">
        <w:rPr>
          <w:rFonts w:cstheme="minorHAnsi"/>
        </w:rPr>
        <w:t xml:space="preserve">is collected directly from </w:t>
      </w:r>
      <w:r w:rsidR="00AC64B5">
        <w:rPr>
          <w:rFonts w:cstheme="minorHAnsi"/>
        </w:rPr>
        <w:t>applicant</w:t>
      </w:r>
      <w:r w:rsidRPr="00236788">
        <w:rPr>
          <w:rFonts w:cstheme="minorHAnsi"/>
        </w:rPr>
        <w:t>s and reviewers.</w:t>
      </w:r>
    </w:p>
    <w:p w:rsidRPr="008C18BF" w:rsidR="00E52E67" w:rsidP="00E52E67" w:rsidRDefault="00E52E67" w14:paraId="024C8D61" w14:textId="59CE4FA5">
      <w:pPr>
        <w:pStyle w:val="Hdng2-IPR"/>
      </w:pPr>
      <w:bookmarkStart w:name="_Toc133208876" w:id="21"/>
      <w:bookmarkStart w:name="_Toc329426278" w:id="22"/>
      <w:bookmarkStart w:name="_Toc351666580" w:id="23"/>
      <w:bookmarkStart w:name="_Toc416426565" w:id="24"/>
      <w:r w:rsidRPr="00740EBA">
        <w:t>A.6.</w:t>
      </w:r>
      <w:r w:rsidRPr="00740EBA">
        <w:tab/>
      </w:r>
      <w:bookmarkEnd w:id="21"/>
      <w:r w:rsidRPr="00740EBA">
        <w:t>Consequences of Collecting the Information Less Frequently</w:t>
      </w:r>
      <w:bookmarkEnd w:id="22"/>
      <w:bookmarkEnd w:id="23"/>
      <w:bookmarkEnd w:id="24"/>
    </w:p>
    <w:p w:rsidRPr="00236788" w:rsidR="00E52E67" w:rsidP="00E52E67" w:rsidRDefault="00E52E67" w14:paraId="4DD88260" w14:textId="77777777">
      <w:pPr>
        <w:pStyle w:val="OMBRequirementCalibri"/>
        <w:rPr>
          <w:rFonts w:cstheme="minorHAnsi"/>
        </w:rPr>
      </w:pPr>
      <w:r w:rsidRPr="00236788">
        <w:rPr>
          <w:rFonts w:cstheme="minorHAnsi"/>
        </w:rPr>
        <w:t>Describe the consequence to Federal program or policy activities if the collection is not conducted or is conducted less frequently, as well as any technical or legal obstacles to reducing burden.</w:t>
      </w:r>
    </w:p>
    <w:p w:rsidRPr="003B1004" w:rsidR="00E52E67" w:rsidP="00E52E67" w:rsidRDefault="00E52E67" w14:paraId="060E894D" w14:textId="58E8B74B">
      <w:pPr>
        <w:pStyle w:val="Body12ptCalibri-IPR"/>
        <w:rPr>
          <w:rFonts w:cstheme="minorHAnsi"/>
        </w:rPr>
      </w:pPr>
      <w:r w:rsidRPr="00236788">
        <w:rPr>
          <w:rFonts w:cstheme="minorHAnsi"/>
        </w:rPr>
        <w:t xml:space="preserve">The information collection proposed for this study consists of a </w:t>
      </w:r>
      <w:r w:rsidR="00E923F0">
        <w:rPr>
          <w:rFonts w:cstheme="minorHAnsi"/>
        </w:rPr>
        <w:t xml:space="preserve">biennial </w:t>
      </w:r>
      <w:r w:rsidRPr="00236788">
        <w:rPr>
          <w:rFonts w:cstheme="minorHAnsi"/>
        </w:rPr>
        <w:t xml:space="preserve">survey anticipated to take approximately </w:t>
      </w:r>
      <w:r w:rsidRPr="00475511" w:rsidR="00701313">
        <w:rPr>
          <w:rFonts w:cstheme="minorHAnsi"/>
        </w:rPr>
        <w:t>20</w:t>
      </w:r>
      <w:r w:rsidRPr="00475511">
        <w:rPr>
          <w:rFonts w:cstheme="minorHAnsi"/>
        </w:rPr>
        <w:t xml:space="preserve"> minutes to complete. </w:t>
      </w:r>
      <w:r w:rsidR="00FF5EBF">
        <w:rPr>
          <w:rFonts w:cstheme="minorHAnsi"/>
        </w:rPr>
        <w:t xml:space="preserve">This data collection will be conducted </w:t>
      </w:r>
      <w:r w:rsidR="00E946ED">
        <w:rPr>
          <w:rFonts w:cstheme="minorHAnsi"/>
        </w:rPr>
        <w:t xml:space="preserve">in separate efforts </w:t>
      </w:r>
      <w:r w:rsidR="00FF5EBF">
        <w:rPr>
          <w:rFonts w:cstheme="minorHAnsi"/>
        </w:rPr>
        <w:t xml:space="preserve">in 2021 and 2023. </w:t>
      </w:r>
      <w:r w:rsidRPr="00475511">
        <w:rPr>
          <w:rFonts w:cstheme="minorHAnsi"/>
        </w:rPr>
        <w:t>If these</w:t>
      </w:r>
      <w:r w:rsidRPr="00316E6E">
        <w:rPr>
          <w:rFonts w:cstheme="minorHAnsi"/>
        </w:rPr>
        <w:t xml:space="preserve"> data are not collected, NSF will not have </w:t>
      </w:r>
      <w:r w:rsidR="001909B2">
        <w:rPr>
          <w:rFonts w:cstheme="minorHAnsi"/>
        </w:rPr>
        <w:t xml:space="preserve">critical </w:t>
      </w:r>
      <w:r w:rsidRPr="001909B2" w:rsidR="001909B2">
        <w:rPr>
          <w:rFonts w:cstheme="minorHAnsi"/>
        </w:rPr>
        <w:t xml:space="preserve">information that can be used </w:t>
      </w:r>
      <w:r w:rsidR="001909B2">
        <w:rPr>
          <w:rFonts w:cstheme="minorHAnsi"/>
        </w:rPr>
        <w:t>t</w:t>
      </w:r>
      <w:r w:rsidRPr="001909B2" w:rsidR="001909B2">
        <w:rPr>
          <w:rFonts w:cstheme="minorHAnsi"/>
        </w:rPr>
        <w:t>o refine the pr</w:t>
      </w:r>
      <w:r w:rsidR="001909B2">
        <w:rPr>
          <w:rFonts w:cstheme="minorHAnsi"/>
        </w:rPr>
        <w:t xml:space="preserve">ocess including participant </w:t>
      </w:r>
      <w:r w:rsidRPr="00316E6E">
        <w:rPr>
          <w:rFonts w:cstheme="minorHAnsi"/>
        </w:rPr>
        <w:t xml:space="preserve">satisfaction with the merit review process, </w:t>
      </w:r>
      <w:r w:rsidRPr="00316E6E" w:rsidR="00315DF5">
        <w:rPr>
          <w:rFonts w:cstheme="minorHAnsi"/>
        </w:rPr>
        <w:t xml:space="preserve">variation of experiences across critical population subgroups, and </w:t>
      </w:r>
      <w:r w:rsidR="00241BD8">
        <w:rPr>
          <w:rFonts w:cstheme="minorHAnsi"/>
        </w:rPr>
        <w:t xml:space="preserve">an </w:t>
      </w:r>
      <w:r w:rsidRPr="00316E6E" w:rsidR="00315DF5">
        <w:rPr>
          <w:rFonts w:cstheme="minorHAnsi"/>
        </w:rPr>
        <w:t xml:space="preserve">assessment of </w:t>
      </w:r>
      <w:r w:rsidR="001909B2">
        <w:rPr>
          <w:rFonts w:cstheme="minorHAnsi"/>
        </w:rPr>
        <w:t>whether satisfaction</w:t>
      </w:r>
      <w:r w:rsidR="00E923F0">
        <w:rPr>
          <w:rFonts w:cstheme="minorHAnsi"/>
        </w:rPr>
        <w:t>,</w:t>
      </w:r>
      <w:r w:rsidR="001909B2">
        <w:rPr>
          <w:rFonts w:cstheme="minorHAnsi"/>
        </w:rPr>
        <w:t xml:space="preserve"> </w:t>
      </w:r>
      <w:r w:rsidR="00FF5EBF">
        <w:rPr>
          <w:rFonts w:cstheme="minorHAnsi"/>
        </w:rPr>
        <w:t>quality</w:t>
      </w:r>
      <w:r w:rsidR="00E923F0">
        <w:rPr>
          <w:rFonts w:cstheme="minorHAnsi"/>
        </w:rPr>
        <w:t>, and fairness</w:t>
      </w:r>
      <w:r w:rsidR="00FF5EBF">
        <w:rPr>
          <w:rFonts w:cstheme="minorHAnsi"/>
        </w:rPr>
        <w:t xml:space="preserve"> have </w:t>
      </w:r>
      <w:r w:rsidR="001909B2">
        <w:rPr>
          <w:rFonts w:cstheme="minorHAnsi"/>
        </w:rPr>
        <w:t>improved</w:t>
      </w:r>
      <w:r w:rsidR="00FF5EBF">
        <w:rPr>
          <w:rFonts w:cstheme="minorHAnsi"/>
        </w:rPr>
        <w:t xml:space="preserve"> and burden has reduced</w:t>
      </w:r>
      <w:r w:rsidRPr="00316E6E">
        <w:rPr>
          <w:rFonts w:cstheme="minorHAnsi"/>
        </w:rPr>
        <w:t xml:space="preserve"> over time. </w:t>
      </w:r>
    </w:p>
    <w:p w:rsidRPr="00740EBA" w:rsidR="00E52E67" w:rsidP="00E52E67" w:rsidRDefault="00E52E67" w14:paraId="0BB896F9" w14:textId="4EBCE441">
      <w:pPr>
        <w:pStyle w:val="Hdng2-IPR"/>
      </w:pPr>
      <w:bookmarkStart w:name="_Toc133208877" w:id="25"/>
      <w:bookmarkStart w:name="_Toc329426279" w:id="26"/>
      <w:bookmarkStart w:name="_Toc351666581" w:id="27"/>
      <w:bookmarkStart w:name="_Toc416426566" w:id="28"/>
      <w:r w:rsidRPr="00740EBA">
        <w:t>A.7.</w:t>
      </w:r>
      <w:r w:rsidRPr="00740EBA">
        <w:tab/>
      </w:r>
      <w:bookmarkEnd w:id="25"/>
      <w:r w:rsidRPr="00740EBA">
        <w:t>Special Circumstances Relating to the Guideline of 5 CFR 1320.5</w:t>
      </w:r>
      <w:bookmarkEnd w:id="26"/>
      <w:bookmarkEnd w:id="27"/>
      <w:bookmarkEnd w:id="28"/>
    </w:p>
    <w:p w:rsidRPr="00236788" w:rsidR="00E52E67" w:rsidP="00E52E67" w:rsidRDefault="00E52E67" w14:paraId="43847F63" w14:textId="77777777">
      <w:pPr>
        <w:pStyle w:val="OMBRequirementCalibri"/>
        <w:rPr>
          <w:rFonts w:cstheme="minorHAnsi"/>
        </w:rPr>
      </w:pPr>
      <w:r w:rsidRPr="00236788">
        <w:rPr>
          <w:rFonts w:cstheme="minorHAnsi"/>
        </w:rPr>
        <w:t>Explain any special circumstances that would cause an information collection to be conducted in a manner:</w:t>
      </w:r>
    </w:p>
    <w:p w:rsidRPr="008C18BF" w:rsidR="00E52E67" w:rsidP="00E52E67" w:rsidRDefault="00E52E67" w14:paraId="4D17C3E5" w14:textId="77777777">
      <w:pPr>
        <w:pStyle w:val="Bullets12ptCalibri-IPR"/>
        <w:rPr>
          <w:b/>
        </w:rPr>
      </w:pPr>
      <w:r w:rsidRPr="008C18BF">
        <w:rPr>
          <w:b/>
        </w:rPr>
        <w:t xml:space="preserve">Requiring respondents to report information to the agency more often than </w:t>
      </w:r>
      <w:proofErr w:type="gramStart"/>
      <w:r w:rsidRPr="008C18BF">
        <w:rPr>
          <w:b/>
        </w:rPr>
        <w:t>quarterly</w:t>
      </w:r>
      <w:proofErr w:type="gramEnd"/>
    </w:p>
    <w:p w:rsidRPr="008C18BF" w:rsidR="00E52E67" w:rsidP="00E52E67" w:rsidRDefault="00E52E67" w14:paraId="23C2F43F" w14:textId="77777777">
      <w:pPr>
        <w:pStyle w:val="Bullets12ptCalibri-IPR"/>
        <w:rPr>
          <w:b/>
        </w:rPr>
      </w:pPr>
      <w:r w:rsidRPr="008C18BF">
        <w:rPr>
          <w:b/>
        </w:rPr>
        <w:lastRenderedPageBreak/>
        <w:t xml:space="preserve">Requiring respondents to prepare a written response to a collection of information in fewer than 30 days after receipt of </w:t>
      </w:r>
      <w:proofErr w:type="gramStart"/>
      <w:r w:rsidRPr="008C18BF">
        <w:rPr>
          <w:b/>
        </w:rPr>
        <w:t>it</w:t>
      </w:r>
      <w:proofErr w:type="gramEnd"/>
    </w:p>
    <w:p w:rsidRPr="008C18BF" w:rsidR="00E52E67" w:rsidP="00E52E67" w:rsidRDefault="00E52E67" w14:paraId="0920D661" w14:textId="77777777">
      <w:pPr>
        <w:pStyle w:val="Bullets12ptCalibri-IPR"/>
        <w:rPr>
          <w:b/>
        </w:rPr>
      </w:pPr>
      <w:r w:rsidRPr="008C18BF">
        <w:rPr>
          <w:b/>
        </w:rPr>
        <w:t xml:space="preserve">Requiring respondents to submit more than an original and two copies of any </w:t>
      </w:r>
      <w:proofErr w:type="gramStart"/>
      <w:r w:rsidRPr="008C18BF">
        <w:rPr>
          <w:b/>
        </w:rPr>
        <w:t>document</w:t>
      </w:r>
      <w:proofErr w:type="gramEnd"/>
    </w:p>
    <w:p w:rsidRPr="008C18BF" w:rsidR="00E52E67" w:rsidP="00E52E67" w:rsidRDefault="00E52E67" w14:paraId="4BCCF146" w14:textId="77777777">
      <w:pPr>
        <w:pStyle w:val="Bullets12ptCalibri-IPR"/>
        <w:rPr>
          <w:b/>
        </w:rPr>
      </w:pPr>
      <w:r w:rsidRPr="008C18BF">
        <w:rPr>
          <w:b/>
        </w:rPr>
        <w:t xml:space="preserve">Requiring respondents to retain records other than health, medical, government contract, grant-in-aid, or tax records for more than 3 </w:t>
      </w:r>
      <w:proofErr w:type="gramStart"/>
      <w:r w:rsidRPr="008C18BF">
        <w:rPr>
          <w:b/>
        </w:rPr>
        <w:t>years</w:t>
      </w:r>
      <w:proofErr w:type="gramEnd"/>
    </w:p>
    <w:p w:rsidRPr="008C18BF" w:rsidR="00E52E67" w:rsidP="00E52E67" w:rsidRDefault="00E52E67" w14:paraId="1050E073" w14:textId="77777777">
      <w:pPr>
        <w:pStyle w:val="Bullets12ptCalibri-IPR"/>
        <w:rPr>
          <w:b/>
        </w:rPr>
      </w:pPr>
      <w:r w:rsidRPr="008C18BF">
        <w:rPr>
          <w:b/>
        </w:rPr>
        <w:t>In connection with a statistical survey that is not designed to produce valid and reliable results that can be generalized to the universe of study</w:t>
      </w:r>
    </w:p>
    <w:p w:rsidRPr="008C18BF" w:rsidR="00E52E67" w:rsidP="00E52E67" w:rsidRDefault="00E52E67" w14:paraId="09BF6356" w14:textId="77777777">
      <w:pPr>
        <w:pStyle w:val="Bullets12ptCalibri-IPR"/>
        <w:rPr>
          <w:b/>
        </w:rPr>
      </w:pPr>
      <w:r w:rsidRPr="008C18BF">
        <w:rPr>
          <w:b/>
        </w:rPr>
        <w:t xml:space="preserve">Requiring the use of a statistical data classification that has not been reviewed and approved by </w:t>
      </w:r>
      <w:proofErr w:type="gramStart"/>
      <w:r w:rsidRPr="008C18BF">
        <w:rPr>
          <w:b/>
        </w:rPr>
        <w:t>OMB</w:t>
      </w:r>
      <w:proofErr w:type="gramEnd"/>
    </w:p>
    <w:p w:rsidRPr="008C18BF" w:rsidR="00E52E67" w:rsidP="00E52E67" w:rsidRDefault="00E52E67" w14:paraId="0E529FA1" w14:textId="77777777">
      <w:pPr>
        <w:pStyle w:val="Bullets12ptCalibri-IPR"/>
        <w:rPr>
          <w:b/>
        </w:rPr>
      </w:pPr>
      <w:r w:rsidRPr="008C18BF">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proofErr w:type="gramStart"/>
      <w:r w:rsidRPr="008C18BF">
        <w:rPr>
          <w:b/>
        </w:rPr>
        <w:t>use</w:t>
      </w:r>
      <w:proofErr w:type="gramEnd"/>
    </w:p>
    <w:p w:rsidRPr="008C18BF" w:rsidR="00E52E67" w:rsidP="00E52E67" w:rsidRDefault="00E52E67" w14:paraId="12C29E9C" w14:textId="77777777">
      <w:pPr>
        <w:pStyle w:val="Bullets12ptCalibri-IPR"/>
        <w:rPr>
          <w:b/>
        </w:rPr>
      </w:pPr>
      <w:r w:rsidRPr="008C18BF">
        <w:rPr>
          <w:b/>
        </w:rPr>
        <w:t>Requiring respondents to submit proprietary trade secret or other confidential information unless the agency can demonstrate that it has instituted procedures to protect the information's confidentiality to the extent permitted by law.</w:t>
      </w:r>
    </w:p>
    <w:p w:rsidRPr="00236788" w:rsidR="00E52E67" w:rsidP="00E52E67" w:rsidRDefault="00E52E67" w14:paraId="4F4B8636" w14:textId="7A4EC811">
      <w:pPr>
        <w:pStyle w:val="Body12ptCalibri-IPR"/>
        <w:rPr>
          <w:rFonts w:cstheme="minorHAnsi"/>
        </w:rPr>
      </w:pPr>
      <w:r w:rsidRPr="00236788">
        <w:rPr>
          <w:rFonts w:cstheme="minorHAnsi"/>
        </w:rPr>
        <w:t>There are no special circumstances</w:t>
      </w:r>
      <w:r w:rsidR="001909B2">
        <w:rPr>
          <w:rFonts w:cstheme="minorHAnsi"/>
        </w:rPr>
        <w:t xml:space="preserve"> for the proposed data collection</w:t>
      </w:r>
      <w:r w:rsidRPr="00236788">
        <w:rPr>
          <w:rFonts w:cstheme="minorHAnsi"/>
        </w:rPr>
        <w:t xml:space="preserve">. The collection of information </w:t>
      </w:r>
      <w:r w:rsidR="00AC64B5">
        <w:rPr>
          <w:rFonts w:cstheme="minorHAnsi"/>
        </w:rPr>
        <w:t>will be</w:t>
      </w:r>
      <w:r w:rsidRPr="00236788">
        <w:rPr>
          <w:rFonts w:cstheme="minorHAnsi"/>
        </w:rPr>
        <w:t xml:space="preserve"> conducted in a manner consistent with the guidelines in 5.CFR 1320.5. </w:t>
      </w:r>
    </w:p>
    <w:p w:rsidRPr="00740EBA" w:rsidR="00260E24" w:rsidP="00260E24" w:rsidRDefault="00260E24" w14:paraId="586C8DFB" w14:textId="78D1FA9D">
      <w:pPr>
        <w:pStyle w:val="Hdng2-IPR"/>
      </w:pPr>
      <w:bookmarkStart w:name="_Toc133208878" w:id="29"/>
      <w:bookmarkStart w:name="_Toc329426280" w:id="30"/>
      <w:bookmarkStart w:name="_Toc351666582" w:id="31"/>
      <w:bookmarkStart w:name="_Toc416426567" w:id="32"/>
      <w:r w:rsidRPr="00740EBA">
        <w:t>A.8.</w:t>
      </w:r>
      <w:r w:rsidRPr="00740EBA">
        <w:tab/>
      </w:r>
      <w:bookmarkEnd w:id="29"/>
      <w:r w:rsidRPr="00740EBA">
        <w:t>Comments in Response to the Federal Register Notice and Efforts to Consult Outside Agency</w:t>
      </w:r>
      <w:bookmarkEnd w:id="30"/>
      <w:bookmarkEnd w:id="31"/>
      <w:bookmarkEnd w:id="32"/>
    </w:p>
    <w:p w:rsidRPr="00236788" w:rsidR="00260E24" w:rsidP="00260E24" w:rsidRDefault="00260E24" w14:paraId="578FCD9E" w14:textId="77777777">
      <w:pPr>
        <w:pStyle w:val="OMBRequirementCalibri"/>
        <w:rPr>
          <w:rFonts w:cstheme="minorHAnsi"/>
        </w:rPr>
      </w:pPr>
      <w:r w:rsidRPr="00236788">
        <w:rPr>
          <w:rFonts w:cstheme="minorHAnsi"/>
        </w:rPr>
        <w:t>If applicable, provide a copy and identify the date and page number of publications in the Federal Register of the agency’s notice, soliciting comments on the information collection prior to submission to OMB. Summarize public comments received in response to that notice and describe actions taken by the agency in response to these comments.</w:t>
      </w:r>
    </w:p>
    <w:p w:rsidRPr="00475511" w:rsidR="00260E24" w:rsidP="00260E24" w:rsidRDefault="00260E24" w14:paraId="42D014C5" w14:textId="77777777">
      <w:pPr>
        <w:pStyle w:val="OMBRequirementCalibri"/>
        <w:rPr>
          <w:rFonts w:cstheme="minorHAnsi"/>
        </w:rPr>
      </w:pPr>
      <w:r w:rsidRPr="00236788">
        <w:rPr>
          <w:rFonts w:cstheme="minorHAnsi"/>
        </w:rPr>
        <w:t xml:space="preserve">Describe efforts to consult with persons outside the agency to obtain their views on the availability of data, frequency of collection, the clarity of instructions and </w:t>
      </w:r>
      <w:r w:rsidRPr="00475511">
        <w:rPr>
          <w:rFonts w:cstheme="minorHAnsi"/>
        </w:rPr>
        <w:t>recordkeeping, disclosure, or reporting form, and on the data elements to be recorded, disclosed, or reported.</w:t>
      </w:r>
    </w:p>
    <w:p w:rsidRPr="00316E6E" w:rsidR="00260E24" w:rsidP="00260E24" w:rsidRDefault="00260E24" w14:paraId="43B99266" w14:textId="77777777">
      <w:pPr>
        <w:pStyle w:val="OMBRequirementCalibri"/>
        <w:numPr>
          <w:ilvl w:val="0"/>
          <w:numId w:val="3"/>
        </w:numPr>
        <w:rPr>
          <w:rFonts w:cstheme="minorHAnsi"/>
        </w:rPr>
      </w:pPr>
      <w:r w:rsidRPr="00475511">
        <w:rPr>
          <w:rFonts w:cstheme="minorHAnsi"/>
        </w:rPr>
        <w:t>Federal Register Notice and Comments</w:t>
      </w:r>
    </w:p>
    <w:p w:rsidRPr="003B1004" w:rsidR="00260E24" w:rsidP="00260E24" w:rsidRDefault="00BE1735" w14:paraId="41321BCF" w14:textId="51FBA029">
      <w:pPr>
        <w:pStyle w:val="Body12ptCalibri-IPR"/>
        <w:rPr>
          <w:rFonts w:cstheme="minorHAnsi"/>
        </w:rPr>
      </w:pPr>
      <w:r w:rsidRPr="00BE1735">
        <w:rPr>
          <w:rFonts w:cstheme="minorHAnsi"/>
        </w:rPr>
        <w:lastRenderedPageBreak/>
        <w:t>In accordance with the Paperwork Reduction Act of 1995, the public was given an opportunity to review and comment through the 60-day Federal Register Notice, published</w:t>
      </w:r>
      <w:r>
        <w:rPr>
          <w:rFonts w:cstheme="minorHAnsi"/>
        </w:rPr>
        <w:t xml:space="preserve"> </w:t>
      </w:r>
      <w:r w:rsidRPr="00316E6E" w:rsidR="00260E24">
        <w:rPr>
          <w:rFonts w:cstheme="minorHAnsi"/>
        </w:rPr>
        <w:t>on October 1</w:t>
      </w:r>
      <w:r w:rsidRPr="003B1004" w:rsidR="00260E24">
        <w:rPr>
          <w:rFonts w:cstheme="minorHAnsi"/>
        </w:rPr>
        <w:t xml:space="preserve">5, 2020 (Vol. 85, No. 200, page 65436). </w:t>
      </w:r>
      <w:r w:rsidR="004919EE">
        <w:rPr>
          <w:rFonts w:cstheme="minorHAnsi"/>
        </w:rPr>
        <w:t xml:space="preserve">No public comments were received. </w:t>
      </w:r>
    </w:p>
    <w:p w:rsidRPr="003B1004" w:rsidR="00260E24" w:rsidP="00260E24" w:rsidRDefault="00260E24" w14:paraId="3A61BC5A" w14:textId="77777777">
      <w:pPr>
        <w:pStyle w:val="OMBRequirementCalibri"/>
        <w:numPr>
          <w:ilvl w:val="0"/>
          <w:numId w:val="3"/>
        </w:numPr>
        <w:rPr>
          <w:rFonts w:cstheme="minorHAnsi"/>
        </w:rPr>
      </w:pPr>
      <w:r w:rsidRPr="003B1004">
        <w:rPr>
          <w:rFonts w:cstheme="minorHAnsi"/>
        </w:rPr>
        <w:t>Consultations Outside of the Agency</w:t>
      </w:r>
    </w:p>
    <w:p w:rsidRPr="00470E22" w:rsidR="00260E24" w:rsidP="00260E24" w:rsidRDefault="00BE1735" w14:paraId="52838E9A" w14:textId="531ACF21">
      <w:pPr>
        <w:pStyle w:val="Body12ptCalibri-IPR"/>
        <w:rPr>
          <w:rFonts w:cstheme="minorHAnsi"/>
        </w:rPr>
      </w:pPr>
      <w:r>
        <w:rPr>
          <w:rFonts w:cstheme="minorHAnsi"/>
        </w:rPr>
        <w:t xml:space="preserve">NSF consulted with </w:t>
      </w:r>
      <w:r w:rsidRPr="003B1004" w:rsidR="00260E24">
        <w:rPr>
          <w:rFonts w:cstheme="minorHAnsi"/>
        </w:rPr>
        <w:t xml:space="preserve">RIVA </w:t>
      </w:r>
      <w:r>
        <w:rPr>
          <w:rFonts w:cstheme="minorHAnsi"/>
        </w:rPr>
        <w:t xml:space="preserve">Solutions and Insight Policy Research on the </w:t>
      </w:r>
      <w:r w:rsidRPr="00740EBA" w:rsidR="00260E24">
        <w:rPr>
          <w:rFonts w:cstheme="minorHAnsi"/>
        </w:rPr>
        <w:t>survey design, administration, and analysis</w:t>
      </w:r>
      <w:r>
        <w:rPr>
          <w:rFonts w:cstheme="minorHAnsi"/>
        </w:rPr>
        <w:t xml:space="preserve"> of the 2021 Merit Review Survey</w:t>
      </w:r>
      <w:r w:rsidR="00EB1FEE">
        <w:rPr>
          <w:rFonts w:cstheme="minorHAnsi"/>
        </w:rPr>
        <w:t>.</w:t>
      </w:r>
      <w:r w:rsidRPr="00236788" w:rsidR="00D10263">
        <w:rPr>
          <w:rStyle w:val="FootnoteReference"/>
          <w:rFonts w:cstheme="minorHAnsi"/>
          <w:vertAlign w:val="superscript"/>
        </w:rPr>
        <w:footnoteReference w:id="7"/>
      </w:r>
      <w:r w:rsidR="00C41172">
        <w:rPr>
          <w:rFonts w:cstheme="minorHAnsi"/>
        </w:rPr>
        <w:t xml:space="preserve"> </w:t>
      </w:r>
      <w:r w:rsidRPr="00740EBA" w:rsidR="00260E24">
        <w:rPr>
          <w:rFonts w:cstheme="minorHAnsi"/>
        </w:rPr>
        <w:t xml:space="preserve"> Many of the survey items were taken from the “NSF 2007 Proposer Survey” (OMB Control # </w:t>
      </w:r>
      <w:r w:rsidRPr="008C18BF" w:rsidR="00260E24">
        <w:rPr>
          <w:rFonts w:cstheme="minorHAnsi"/>
        </w:rPr>
        <w:t>3145-0157) and the 2015, 2017, and 2019 iterations of the “Assessment of Investigator and Reviewer Experiences Survey” (OMB # 3145-0215)</w:t>
      </w:r>
      <w:r>
        <w:rPr>
          <w:rFonts w:cstheme="minorHAnsi"/>
        </w:rPr>
        <w:t xml:space="preserve">. </w:t>
      </w:r>
      <w:r w:rsidR="00E946ED">
        <w:rPr>
          <w:rFonts w:cstheme="minorHAnsi"/>
        </w:rPr>
        <w:t xml:space="preserve"> Revisions to </w:t>
      </w:r>
      <w:r w:rsidRPr="008C18BF" w:rsidR="00260E24">
        <w:rPr>
          <w:rFonts w:cstheme="minorHAnsi"/>
        </w:rPr>
        <w:t xml:space="preserve">survey items </w:t>
      </w:r>
      <w:r w:rsidRPr="00470E22" w:rsidR="00260E24">
        <w:rPr>
          <w:rFonts w:cstheme="minorHAnsi"/>
        </w:rPr>
        <w:t xml:space="preserve">underwent extensive review </w:t>
      </w:r>
      <w:r>
        <w:rPr>
          <w:rFonts w:cstheme="minorHAnsi"/>
        </w:rPr>
        <w:t>by</w:t>
      </w:r>
      <w:r w:rsidRPr="00470E22">
        <w:rPr>
          <w:rFonts w:cstheme="minorHAnsi"/>
        </w:rPr>
        <w:t xml:space="preserve"> </w:t>
      </w:r>
      <w:r w:rsidRPr="00470E22" w:rsidR="00260E24">
        <w:rPr>
          <w:rFonts w:cstheme="minorHAnsi"/>
        </w:rPr>
        <w:t>NSF staff.</w:t>
      </w:r>
    </w:p>
    <w:p w:rsidRPr="00AC64B5" w:rsidR="00260E24" w:rsidP="00260E24" w:rsidRDefault="00260E24" w14:paraId="7616920B" w14:textId="5D7D7A74">
      <w:pPr>
        <w:pStyle w:val="Hdng2-IPR"/>
      </w:pPr>
      <w:bookmarkStart w:name="_Toc133208880" w:id="33"/>
      <w:bookmarkStart w:name="_Toc329426281" w:id="34"/>
      <w:bookmarkStart w:name="_Toc351666583" w:id="35"/>
      <w:bookmarkStart w:name="_Toc416426568" w:id="36"/>
      <w:r w:rsidRPr="00470E22">
        <w:t>A.9.</w:t>
      </w:r>
      <w:r w:rsidRPr="00470E22">
        <w:tab/>
      </w:r>
      <w:bookmarkEnd w:id="33"/>
      <w:r w:rsidRPr="00470E22">
        <w:t>Explanation of Any Payment or Gift to Respondents</w:t>
      </w:r>
      <w:bookmarkEnd w:id="34"/>
      <w:bookmarkEnd w:id="35"/>
      <w:bookmarkEnd w:id="36"/>
    </w:p>
    <w:p w:rsidRPr="00236788" w:rsidR="00260E24" w:rsidP="00260E24" w:rsidRDefault="00260E24" w14:paraId="5AED961F" w14:textId="77777777">
      <w:pPr>
        <w:pStyle w:val="OMBRequirementCalibri"/>
        <w:rPr>
          <w:rFonts w:cstheme="minorHAnsi"/>
        </w:rPr>
      </w:pPr>
      <w:r w:rsidRPr="00236788">
        <w:rPr>
          <w:rFonts w:cstheme="minorHAnsi"/>
        </w:rPr>
        <w:t>Explain any decision to provide any payment or gift to respondents, other than remuneration of contractors or grantees.</w:t>
      </w:r>
    </w:p>
    <w:p w:rsidRPr="00475511" w:rsidR="00260E24" w:rsidP="00260E24" w:rsidRDefault="00260E24" w14:paraId="67A51347" w14:textId="77777777">
      <w:pPr>
        <w:pStyle w:val="Body12ptCalibri-IPR"/>
        <w:rPr>
          <w:rFonts w:cstheme="minorHAnsi"/>
        </w:rPr>
      </w:pPr>
      <w:r w:rsidRPr="00236788">
        <w:rPr>
          <w:rFonts w:cstheme="minorHAnsi"/>
        </w:rPr>
        <w:t xml:space="preserve">No payment or gift will be offered to survey respondents. </w:t>
      </w:r>
    </w:p>
    <w:p w:rsidRPr="00740EBA" w:rsidR="00260E24" w:rsidP="00260E24" w:rsidRDefault="00260E24" w14:paraId="42E179D6" w14:textId="1B35B37B">
      <w:pPr>
        <w:pStyle w:val="Hdng2-IPR"/>
      </w:pPr>
      <w:bookmarkStart w:name="_Toc133208881" w:id="37"/>
      <w:bookmarkStart w:name="_Toc329426282" w:id="38"/>
      <w:bookmarkStart w:name="_Toc351666584" w:id="39"/>
      <w:bookmarkStart w:name="_Toc416426569" w:id="40"/>
      <w:r w:rsidRPr="00740EBA">
        <w:t>A.10.</w:t>
      </w:r>
      <w:r w:rsidRPr="00740EBA">
        <w:tab/>
        <w:t>Assurance of Confidentiality</w:t>
      </w:r>
      <w:bookmarkEnd w:id="37"/>
      <w:r w:rsidRPr="00740EBA">
        <w:t xml:space="preserve"> Provided to Respondents</w:t>
      </w:r>
      <w:bookmarkEnd w:id="38"/>
      <w:bookmarkEnd w:id="39"/>
      <w:bookmarkEnd w:id="40"/>
    </w:p>
    <w:p w:rsidRPr="00236788" w:rsidR="00260E24" w:rsidP="00260E24" w:rsidRDefault="00260E24" w14:paraId="5F0BE7EC" w14:textId="77777777">
      <w:pPr>
        <w:pStyle w:val="OMBRequirementCalibri"/>
        <w:rPr>
          <w:rFonts w:cstheme="minorHAnsi"/>
        </w:rPr>
      </w:pPr>
      <w:r w:rsidRPr="00236788">
        <w:rPr>
          <w:rFonts w:cstheme="minorHAnsi"/>
        </w:rPr>
        <w:t>Describe any assurance of confidentiality provided to respondents and the basis for the assurance in statute, regulation, or agency policy.</w:t>
      </w:r>
    </w:p>
    <w:p w:rsidRPr="00475511" w:rsidR="00260E24" w:rsidP="00260E24" w:rsidRDefault="00260E24" w14:paraId="66CD3920" w14:textId="4D893703">
      <w:pPr>
        <w:pStyle w:val="Body12ptCalibri-IPR"/>
        <w:rPr>
          <w:rFonts w:cstheme="minorHAnsi"/>
        </w:rPr>
      </w:pPr>
      <w:r w:rsidRPr="00236788">
        <w:rPr>
          <w:rFonts w:cstheme="minorHAnsi"/>
        </w:rPr>
        <w:t xml:space="preserve">Participants in this study will be subject to safeguards as provided by the Privacy Act of 1974 (5 USC 552a), which requires the safeguarding of individuals against invasion of privacy. The Privacy Act also provides for the confidential treatment of records maintained by a Federal agency </w:t>
      </w:r>
      <w:r w:rsidR="00F1029B">
        <w:rPr>
          <w:rFonts w:cstheme="minorHAnsi"/>
        </w:rPr>
        <w:t>and retrieved by</w:t>
      </w:r>
      <w:r w:rsidRPr="00236788">
        <w:rPr>
          <w:rFonts w:cstheme="minorHAnsi"/>
        </w:rPr>
        <w:t xml:space="preserve"> either the individual’s name or some other </w:t>
      </w:r>
      <w:r w:rsidR="00F1029B">
        <w:rPr>
          <w:rFonts w:cstheme="minorHAnsi"/>
        </w:rPr>
        <w:t xml:space="preserve">personal </w:t>
      </w:r>
      <w:r w:rsidRPr="00236788">
        <w:rPr>
          <w:rFonts w:cstheme="minorHAnsi"/>
        </w:rPr>
        <w:t>identifier.</w:t>
      </w:r>
      <w:r w:rsidR="00E946ED">
        <w:rPr>
          <w:rFonts w:cstheme="minorHAnsi"/>
        </w:rPr>
        <w:t xml:space="preserve"> The use of these data will be allowed under the Privacy Act Systems of Record Notice, NSF-</w:t>
      </w:r>
      <w:proofErr w:type="gramStart"/>
      <w:r w:rsidR="00E946ED">
        <w:rPr>
          <w:rFonts w:cstheme="minorHAnsi"/>
        </w:rPr>
        <w:t>50</w:t>
      </w:r>
      <w:proofErr w:type="gramEnd"/>
      <w:r w:rsidR="00E946ED">
        <w:rPr>
          <w:rFonts w:cstheme="minorHAnsi"/>
        </w:rPr>
        <w:t xml:space="preserve"> and NSF-51, which have been published in the Federal Register. </w:t>
      </w:r>
      <w:r w:rsidR="00D2357B">
        <w:rPr>
          <w:rFonts w:cstheme="minorHAnsi"/>
        </w:rPr>
        <w:t xml:space="preserve">In addition, </w:t>
      </w:r>
      <w:r w:rsidR="00E923F0">
        <w:rPr>
          <w:rFonts w:cstheme="minorHAnsi"/>
        </w:rPr>
        <w:t xml:space="preserve">any </w:t>
      </w:r>
      <w:r w:rsidR="00D2357B">
        <w:t xml:space="preserve">reporting of data in aggregate form will be </w:t>
      </w:r>
      <w:r w:rsidR="00E923F0">
        <w:t>consistent with</w:t>
      </w:r>
      <w:r w:rsidR="00D2357B">
        <w:t xml:space="preserve"> OD</w:t>
      </w:r>
      <w:r w:rsidR="00F1029B">
        <w:t xml:space="preserve"> </w:t>
      </w:r>
      <w:r w:rsidR="00D2357B">
        <w:t>18</w:t>
      </w:r>
      <w:r w:rsidR="00F1029B">
        <w:t>-</w:t>
      </w:r>
      <w:r w:rsidR="00D2357B">
        <w:t xml:space="preserve">10 </w:t>
      </w:r>
      <w:r w:rsidR="00F1029B">
        <w:t xml:space="preserve">interim </w:t>
      </w:r>
      <w:r w:rsidR="00D2357B">
        <w:t xml:space="preserve">guidance. </w:t>
      </w:r>
    </w:p>
    <w:p w:rsidR="00564F07" w:rsidP="00260E24" w:rsidRDefault="00186BBA" w14:paraId="0ADA9E3D" w14:textId="59455379">
      <w:pPr>
        <w:pStyle w:val="Body12ptCalibri-IPR"/>
        <w:rPr>
          <w:rFonts w:cstheme="minorHAnsi"/>
        </w:rPr>
      </w:pPr>
      <w:r>
        <w:rPr>
          <w:rFonts w:cstheme="minorHAnsi"/>
        </w:rPr>
        <w:lastRenderedPageBreak/>
        <w:t>Potential respondents</w:t>
      </w:r>
      <w:r w:rsidR="00564F07">
        <w:rPr>
          <w:rFonts w:cstheme="minorHAnsi"/>
        </w:rPr>
        <w:t xml:space="preserve"> will be assured that their </w:t>
      </w:r>
      <w:r w:rsidR="00706562">
        <w:rPr>
          <w:rFonts w:cstheme="minorHAnsi"/>
        </w:rPr>
        <w:t xml:space="preserve">responses will be kept confidential and reported in a manner that will not identify individual respondents. </w:t>
      </w:r>
      <w:r w:rsidRPr="00564F07" w:rsidR="00564F07">
        <w:rPr>
          <w:rFonts w:cstheme="minorHAnsi"/>
        </w:rPr>
        <w:t>Th</w:t>
      </w:r>
      <w:r w:rsidR="00564F07">
        <w:rPr>
          <w:rFonts w:cstheme="minorHAnsi"/>
        </w:rPr>
        <w:t xml:space="preserve">is confidentiality </w:t>
      </w:r>
      <w:r w:rsidRPr="00564F07" w:rsidR="00564F07">
        <w:rPr>
          <w:rFonts w:cstheme="minorHAnsi"/>
        </w:rPr>
        <w:t xml:space="preserve">statement </w:t>
      </w:r>
      <w:r w:rsidR="00564F07">
        <w:rPr>
          <w:rFonts w:cstheme="minorHAnsi"/>
        </w:rPr>
        <w:t>will be provided</w:t>
      </w:r>
      <w:r w:rsidRPr="00564F07" w:rsidR="00564F07">
        <w:rPr>
          <w:rFonts w:cstheme="minorHAnsi"/>
        </w:rPr>
        <w:t xml:space="preserve"> in the </w:t>
      </w:r>
      <w:r w:rsidR="00564F07">
        <w:rPr>
          <w:rFonts w:cstheme="minorHAnsi"/>
        </w:rPr>
        <w:t xml:space="preserve">prenotification, invitation, and reminder emails as well as in the </w:t>
      </w:r>
      <w:r w:rsidRPr="00564F07" w:rsidR="00564F07">
        <w:rPr>
          <w:rFonts w:cstheme="minorHAnsi"/>
        </w:rPr>
        <w:t>“Introduction” section of</w:t>
      </w:r>
      <w:r w:rsidR="00564F07">
        <w:rPr>
          <w:rFonts w:cstheme="minorHAnsi"/>
        </w:rPr>
        <w:t xml:space="preserve"> the web survey.</w:t>
      </w:r>
      <w:r w:rsidR="0018553B">
        <w:rPr>
          <w:rFonts w:cstheme="minorHAnsi"/>
        </w:rPr>
        <w:t xml:space="preserve"> These communications will also make clear to potential respondents that their participation is voluntary.</w:t>
      </w:r>
    </w:p>
    <w:p w:rsidR="00564F07" w:rsidP="00260E24" w:rsidRDefault="00564F07" w14:paraId="1DE2E9D0" w14:textId="1190A917">
      <w:pPr>
        <w:pStyle w:val="Body12ptCalibri-IPR"/>
        <w:rPr>
          <w:rFonts w:cstheme="minorHAnsi"/>
        </w:rPr>
      </w:pPr>
      <w:r w:rsidRPr="00564F07">
        <w:rPr>
          <w:rFonts w:cstheme="minorHAnsi"/>
        </w:rPr>
        <w:t>Several specific measures will be taken to protect respondent privacy</w:t>
      </w:r>
      <w:r>
        <w:rPr>
          <w:rFonts w:cstheme="minorHAnsi"/>
        </w:rPr>
        <w:t xml:space="preserve">. </w:t>
      </w:r>
      <w:r w:rsidR="0028628A">
        <w:rPr>
          <w:rFonts w:cstheme="minorHAnsi"/>
        </w:rPr>
        <w:t xml:space="preserve">The survey contractor will use Qualtrics web survey platform to collect </w:t>
      </w:r>
      <w:r w:rsidR="006A6820">
        <w:rPr>
          <w:rFonts w:cstheme="minorHAnsi"/>
        </w:rPr>
        <w:t xml:space="preserve">the </w:t>
      </w:r>
      <w:r w:rsidR="0028628A">
        <w:rPr>
          <w:rFonts w:cstheme="minorHAnsi"/>
        </w:rPr>
        <w:t xml:space="preserve">data. </w:t>
      </w:r>
      <w:r w:rsidR="00186BBA">
        <w:rPr>
          <w:rFonts w:cstheme="minorHAnsi"/>
        </w:rPr>
        <w:t>Potential respondents</w:t>
      </w:r>
      <w:r>
        <w:rPr>
          <w:rFonts w:cstheme="minorHAnsi"/>
        </w:rPr>
        <w:t xml:space="preserve"> will receive a unique link to access the survey so that they can only enter and view their own data.  </w:t>
      </w:r>
      <w:r w:rsidRPr="00DB1FB3" w:rsidR="000C206A">
        <w:rPr>
          <w:rFonts w:cstheme="minorHAnsi"/>
          <w:color w:val="000000"/>
          <w:szCs w:val="24"/>
        </w:rPr>
        <w:t>Qualtrics’ servers are protected by high-end firewall systems and scans are performed regularly to ensure that any vulnerabilities are quickly found and patched. Application penetration tests are performed annually by an independent third-party. All services have quick failover points and redundant hardware, with backups performed daily</w:t>
      </w:r>
      <w:r w:rsidR="000C206A">
        <w:rPr>
          <w:rFonts w:cstheme="minorHAnsi"/>
          <w:color w:val="000000"/>
          <w:szCs w:val="24"/>
        </w:rPr>
        <w:t xml:space="preserve">. </w:t>
      </w:r>
      <w:r w:rsidRPr="00DB1FB3" w:rsidR="000C206A">
        <w:rPr>
          <w:rFonts w:cstheme="minorHAnsi"/>
          <w:color w:val="000000"/>
          <w:szCs w:val="24"/>
        </w:rPr>
        <w:t>Access to systems is restricted to specific individuals who have a need-to-know such information and who are bound by confidentiality obligations. Access is monitored and audited for compliance</w:t>
      </w:r>
      <w:r w:rsidR="000C206A">
        <w:rPr>
          <w:rFonts w:cstheme="minorHAnsi"/>
          <w:color w:val="000000"/>
          <w:szCs w:val="24"/>
        </w:rPr>
        <w:t xml:space="preserve">. </w:t>
      </w:r>
      <w:r w:rsidRPr="00DB1FB3" w:rsidR="000C206A">
        <w:rPr>
          <w:rFonts w:cstheme="minorHAnsi"/>
          <w:color w:val="000000"/>
          <w:szCs w:val="24"/>
        </w:rPr>
        <w:t xml:space="preserve">Qualtrics uses Transport Layer Security (TLS) encryption (also known as HTTPS) for all transmitted data. Surveys may be protected with passwords and services are hosted by trusted data centers that are independently audited using the industry standard SSAE-18 method. In addition, Qualtrics has certification for ISO 27001 and HITRUST and is </w:t>
      </w:r>
      <w:r w:rsidRPr="00DB1FB3" w:rsidR="00EB1FEE">
        <w:rPr>
          <w:rFonts w:cstheme="minorHAnsi"/>
          <w:color w:val="000000"/>
          <w:szCs w:val="24"/>
        </w:rPr>
        <w:t>FedR</w:t>
      </w:r>
      <w:r w:rsidR="00EB1FEE">
        <w:rPr>
          <w:rFonts w:cstheme="minorHAnsi"/>
          <w:color w:val="000000"/>
          <w:szCs w:val="24"/>
        </w:rPr>
        <w:t>AMP</w:t>
      </w:r>
      <w:r w:rsidRPr="00DB1FB3" w:rsidR="00EB1FEE">
        <w:rPr>
          <w:rFonts w:cstheme="minorHAnsi"/>
          <w:color w:val="000000"/>
          <w:szCs w:val="24"/>
        </w:rPr>
        <w:t xml:space="preserve"> </w:t>
      </w:r>
      <w:r w:rsidRPr="00DB1FB3" w:rsidR="000C206A">
        <w:rPr>
          <w:rFonts w:cstheme="minorHAnsi"/>
          <w:color w:val="000000"/>
          <w:szCs w:val="24"/>
        </w:rPr>
        <w:t>Authorized. FedRAMP is the standard of U.S. government security compliance, with over 300 controls based on the highly regarded NIST 800-53 that requires constant monitoring and periodic independent assessments</w:t>
      </w:r>
      <w:r w:rsidR="000C206A">
        <w:rPr>
          <w:rFonts w:cstheme="minorHAnsi"/>
          <w:color w:val="000000"/>
          <w:szCs w:val="24"/>
        </w:rPr>
        <w:t xml:space="preserve">. </w:t>
      </w:r>
    </w:p>
    <w:p w:rsidRPr="003B1004" w:rsidR="00260E24" w:rsidP="00260E24" w:rsidRDefault="00564F07" w14:paraId="6A156C25" w14:textId="0163D56A">
      <w:pPr>
        <w:pStyle w:val="Body12ptCalibri-IPR"/>
        <w:rPr>
          <w:rFonts w:cstheme="minorHAnsi"/>
        </w:rPr>
      </w:pPr>
      <w:r>
        <w:rPr>
          <w:rFonts w:cstheme="minorHAnsi"/>
        </w:rPr>
        <w:t xml:space="preserve">The </w:t>
      </w:r>
      <w:r w:rsidR="000C206A">
        <w:rPr>
          <w:rFonts w:cstheme="minorHAnsi"/>
        </w:rPr>
        <w:t xml:space="preserve">study </w:t>
      </w:r>
      <w:r>
        <w:rPr>
          <w:rFonts w:cstheme="minorHAnsi"/>
        </w:rPr>
        <w:t xml:space="preserve">contractor collecting and analyzing the survey data has established data security plans for handling all data during survey execution and processing. </w:t>
      </w:r>
      <w:r w:rsidR="00D2357B">
        <w:rPr>
          <w:rFonts w:cstheme="minorHAnsi"/>
        </w:rPr>
        <w:t xml:space="preserve">The </w:t>
      </w:r>
      <w:r w:rsidR="00D2357B">
        <w:t xml:space="preserve">information </w:t>
      </w:r>
      <w:r w:rsidR="00D2357B">
        <w:lastRenderedPageBreak/>
        <w:t>technology</w:t>
      </w:r>
      <w:r w:rsidRPr="00CA0FD6" w:rsidR="00D2357B">
        <w:t xml:space="preserve"> and security infrastructure</w:t>
      </w:r>
      <w:r w:rsidR="00D2357B">
        <w:t xml:space="preserve"> that will be used in this data collection</w:t>
      </w:r>
      <w:r w:rsidRPr="00CA0FD6" w:rsidR="00D2357B">
        <w:t xml:space="preserve"> </w:t>
      </w:r>
      <w:r w:rsidR="00D2357B">
        <w:t xml:space="preserve">is aligned </w:t>
      </w:r>
      <w:r w:rsidRPr="00CA0FD6" w:rsidR="00D2357B">
        <w:t xml:space="preserve">with the </w:t>
      </w:r>
      <w:r w:rsidRPr="00CA0FD6" w:rsidR="00D2357B">
        <w:rPr>
          <w:rFonts w:cstheme="minorHAnsi"/>
          <w:kern w:val="2"/>
        </w:rPr>
        <w:t xml:space="preserve">Federal Information Security Modernization Act </w:t>
      </w:r>
      <w:r w:rsidRPr="00CA0FD6" w:rsidR="00D2357B">
        <w:t xml:space="preserve">Moderate </w:t>
      </w:r>
      <w:r w:rsidR="00D2357B">
        <w:t>B</w:t>
      </w:r>
      <w:r w:rsidRPr="00CA0FD6" w:rsidR="00D2357B">
        <w:t xml:space="preserve">aseline standard. </w:t>
      </w:r>
      <w:r w:rsidR="00D2357B">
        <w:t xml:space="preserve">The study team will </w:t>
      </w:r>
      <w:r w:rsidRPr="00CA0FD6" w:rsidR="00D2357B">
        <w:t xml:space="preserve">implement those security controls in </w:t>
      </w:r>
      <w:r w:rsidR="00D2357B">
        <w:t>the National Institute of Standards and Technology (</w:t>
      </w:r>
      <w:r w:rsidRPr="00CA0FD6" w:rsidR="00D2357B">
        <w:t>NIST</w:t>
      </w:r>
      <w:r w:rsidR="00D2357B">
        <w:t>)</w:t>
      </w:r>
      <w:r w:rsidRPr="00CA0FD6" w:rsidR="00D2357B">
        <w:t xml:space="preserve"> SP 800-53</w:t>
      </w:r>
      <w:r w:rsidR="00D2357B">
        <w:t xml:space="preserve"> Revision </w:t>
      </w:r>
      <w:r w:rsidRPr="00CA0FD6" w:rsidR="00D2357B">
        <w:t>4 and NIST SP 800-171</w:t>
      </w:r>
      <w:r w:rsidR="00D2357B">
        <w:t xml:space="preserve"> Revision </w:t>
      </w:r>
      <w:r w:rsidRPr="00CA0FD6" w:rsidR="00D2357B">
        <w:t>1 related to protecting the confidentiality</w:t>
      </w:r>
      <w:r w:rsidR="00D2357B">
        <w:t>, integrity, and availability</w:t>
      </w:r>
      <w:r w:rsidRPr="00CA0FD6" w:rsidR="00D2357B">
        <w:t xml:space="preserve"> of </w:t>
      </w:r>
      <w:r w:rsidR="00D2357B">
        <w:t>c</w:t>
      </w:r>
      <w:r w:rsidRPr="00CA0FD6" w:rsidR="00D2357B">
        <w:t xml:space="preserve">ontrolled </w:t>
      </w:r>
      <w:r w:rsidR="00D2357B">
        <w:t>u</w:t>
      </w:r>
      <w:r w:rsidRPr="00CA0FD6" w:rsidR="00D2357B">
        <w:t xml:space="preserve">nclassified Information and other </w:t>
      </w:r>
      <w:r w:rsidR="00D2357B">
        <w:t>s</w:t>
      </w:r>
      <w:r w:rsidRPr="00CA0FD6" w:rsidR="00D2357B">
        <w:t xml:space="preserve">ensitive </w:t>
      </w:r>
      <w:r w:rsidR="00D2357B">
        <w:t>d</w:t>
      </w:r>
      <w:r w:rsidRPr="00CA0FD6" w:rsidR="00D2357B">
        <w:t>atasets</w:t>
      </w:r>
      <w:r w:rsidR="00D2357B">
        <w:t>.</w:t>
      </w:r>
      <w:r>
        <w:rPr>
          <w:rFonts w:cstheme="minorHAnsi"/>
        </w:rPr>
        <w:t xml:space="preserve"> </w:t>
      </w:r>
      <w:r w:rsidR="00706562">
        <w:rPr>
          <w:rFonts w:cstheme="minorHAnsi"/>
        </w:rPr>
        <w:t>Any information that could identify a respondent, such as name and email address will be stored separately from the survey data file</w:t>
      </w:r>
      <w:r w:rsidR="00D2357B">
        <w:rPr>
          <w:rFonts w:cstheme="minorHAnsi"/>
        </w:rPr>
        <w:t>.</w:t>
      </w:r>
      <w:r w:rsidR="00706562">
        <w:rPr>
          <w:rFonts w:cstheme="minorHAnsi"/>
        </w:rPr>
        <w:t xml:space="preserve"> </w:t>
      </w:r>
      <w:r w:rsidRPr="00316E6E" w:rsidR="00260E24">
        <w:rPr>
          <w:rFonts w:cstheme="minorHAnsi"/>
        </w:rPr>
        <w:t xml:space="preserve">Furthermore, the link between any response and any individual will be secured in </w:t>
      </w:r>
      <w:r w:rsidR="00706562">
        <w:rPr>
          <w:rFonts w:cstheme="minorHAnsi"/>
        </w:rPr>
        <w:t xml:space="preserve">an </w:t>
      </w:r>
      <w:r w:rsidRPr="00316E6E" w:rsidR="00260E24">
        <w:rPr>
          <w:rFonts w:cstheme="minorHAnsi"/>
        </w:rPr>
        <w:t xml:space="preserve">encrypted </w:t>
      </w:r>
      <w:r w:rsidR="00706562">
        <w:rPr>
          <w:rFonts w:cstheme="minorHAnsi"/>
        </w:rPr>
        <w:t xml:space="preserve">and restricted </w:t>
      </w:r>
      <w:r w:rsidRPr="00316E6E" w:rsidR="00260E24">
        <w:rPr>
          <w:rFonts w:cstheme="minorHAnsi"/>
        </w:rPr>
        <w:t>computer file and pursuant to applicable NSF regulations</w:t>
      </w:r>
      <w:r w:rsidRPr="003B1004" w:rsidR="00260E24">
        <w:rPr>
          <w:rFonts w:cstheme="minorHAnsi"/>
        </w:rPr>
        <w:t>.</w:t>
      </w:r>
      <w:r w:rsidR="0018553B">
        <w:rPr>
          <w:rFonts w:cstheme="minorHAnsi"/>
        </w:rPr>
        <w:t xml:space="preserve"> </w:t>
      </w:r>
    </w:p>
    <w:p w:rsidRPr="00740EBA" w:rsidR="005E2BF8" w:rsidP="005E2BF8" w:rsidRDefault="005E2BF8" w14:paraId="339238E1" w14:textId="77777777">
      <w:pPr>
        <w:pStyle w:val="Hdng2-IPR"/>
      </w:pPr>
      <w:bookmarkStart w:name="_Toc133208882" w:id="41"/>
      <w:bookmarkStart w:name="_Toc329426283" w:id="42"/>
      <w:bookmarkStart w:name="_Toc351666585" w:id="43"/>
      <w:bookmarkStart w:name="_Toc416426570" w:id="44"/>
      <w:r w:rsidRPr="00740EBA">
        <w:t>A.11.</w:t>
      </w:r>
      <w:r w:rsidRPr="00740EBA">
        <w:tab/>
      </w:r>
      <w:bookmarkEnd w:id="41"/>
      <w:r w:rsidRPr="00740EBA">
        <w:t>Justification for Sensitive Questions</w:t>
      </w:r>
      <w:bookmarkEnd w:id="42"/>
      <w:bookmarkEnd w:id="43"/>
      <w:bookmarkEnd w:id="44"/>
      <w:r w:rsidRPr="00740EBA">
        <w:t xml:space="preserve"> </w:t>
      </w:r>
    </w:p>
    <w:p w:rsidRPr="00236788" w:rsidR="005E2BF8" w:rsidP="005E2BF8" w:rsidRDefault="005E2BF8" w14:paraId="0B9CDA72" w14:textId="77777777">
      <w:pPr>
        <w:pStyle w:val="OMBRequirementCalibri"/>
        <w:rPr>
          <w:rFonts w:cstheme="minorHAnsi"/>
        </w:rPr>
      </w:pPr>
      <w:r w:rsidRPr="00236788">
        <w:rPr>
          <w:rFonts w:cstheme="minorHAns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B1004" w:rsidR="005E2BF8" w:rsidP="005E2BF8" w:rsidRDefault="00071141" w14:paraId="1B74FE90" w14:textId="75B388A8">
      <w:pPr>
        <w:pStyle w:val="Body12ptCalibri-IPR"/>
        <w:rPr>
          <w:rFonts w:cstheme="minorHAnsi"/>
        </w:rPr>
      </w:pPr>
      <w:r>
        <w:rPr>
          <w:rFonts w:cstheme="minorHAnsi"/>
        </w:rPr>
        <w:t>None of t</w:t>
      </w:r>
      <w:r w:rsidRPr="00475511">
        <w:rPr>
          <w:rFonts w:cstheme="minorHAnsi"/>
        </w:rPr>
        <w:t xml:space="preserve">he </w:t>
      </w:r>
      <w:r w:rsidRPr="00475511" w:rsidR="005E2BF8">
        <w:rPr>
          <w:rFonts w:cstheme="minorHAnsi"/>
        </w:rPr>
        <w:t xml:space="preserve">questions in the survey instrument are of a sensitive nature. </w:t>
      </w:r>
      <w:r w:rsidRPr="00316E6E" w:rsidR="005E2BF8">
        <w:rPr>
          <w:rFonts w:cstheme="minorHAnsi"/>
        </w:rPr>
        <w:t>Survey questions are limited to asking respondents to report their behavior (i.e., past participation in proposal submission and/or reviews, number of hours spent on a proposal) and their perceptions of their experiences (i.e., fairness of review process, quality of reviews) as relates to the merit review process. In addition, there are limited demographic questions (race</w:t>
      </w:r>
      <w:r w:rsidRPr="00316E6E" w:rsidR="00001107">
        <w:rPr>
          <w:rFonts w:cstheme="minorHAnsi"/>
        </w:rPr>
        <w:t>, ethnicity</w:t>
      </w:r>
      <w:r w:rsidRPr="00316E6E" w:rsidR="005E2BF8">
        <w:rPr>
          <w:rFonts w:cstheme="minorHAnsi"/>
        </w:rPr>
        <w:t xml:space="preserve">, gender, disability, and years since highest degree granted), all of which can be skipped by the respondent, if desired. </w:t>
      </w:r>
      <w:r w:rsidR="00000C1A">
        <w:rPr>
          <w:rFonts w:cstheme="minorHAnsi"/>
        </w:rPr>
        <w:t>R</w:t>
      </w:r>
      <w:r w:rsidRPr="00316E6E" w:rsidR="005E2BF8">
        <w:rPr>
          <w:rFonts w:cstheme="minorHAnsi"/>
        </w:rPr>
        <w:t xml:space="preserve">espondents will </w:t>
      </w:r>
      <w:r w:rsidR="00000C1A">
        <w:rPr>
          <w:rFonts w:cstheme="minorHAnsi"/>
        </w:rPr>
        <w:t xml:space="preserve">also </w:t>
      </w:r>
      <w:r w:rsidRPr="00316E6E" w:rsidR="005E2BF8">
        <w:rPr>
          <w:rFonts w:cstheme="minorHAnsi"/>
        </w:rPr>
        <w:t xml:space="preserve">be </w:t>
      </w:r>
      <w:r w:rsidR="00AF2918">
        <w:rPr>
          <w:rFonts w:cstheme="minorHAnsi"/>
        </w:rPr>
        <w:t>notified in outreach communications and at the beginning of the web survey</w:t>
      </w:r>
      <w:r w:rsidRPr="00316E6E" w:rsidR="00AF2918">
        <w:rPr>
          <w:rFonts w:cstheme="minorHAnsi"/>
        </w:rPr>
        <w:t xml:space="preserve"> </w:t>
      </w:r>
      <w:r w:rsidRPr="00316E6E" w:rsidR="005E2BF8">
        <w:rPr>
          <w:rFonts w:cstheme="minorHAnsi"/>
        </w:rPr>
        <w:t xml:space="preserve">that </w:t>
      </w:r>
      <w:r w:rsidR="00D2357B">
        <w:rPr>
          <w:rFonts w:cstheme="minorHAnsi"/>
        </w:rPr>
        <w:t xml:space="preserve">their participation is voluntary and that </w:t>
      </w:r>
      <w:r w:rsidRPr="00316E6E" w:rsidR="005E2BF8">
        <w:rPr>
          <w:rFonts w:cstheme="minorHAnsi"/>
        </w:rPr>
        <w:t xml:space="preserve">responses will be kept confidential and used only in </w:t>
      </w:r>
      <w:r w:rsidRPr="003B1004" w:rsidR="005E2BF8">
        <w:rPr>
          <w:rFonts w:cstheme="minorHAnsi"/>
        </w:rPr>
        <w:t xml:space="preserve">an aggregate form. As part of the consent process, respondents will be informed that they </w:t>
      </w:r>
      <w:r w:rsidRPr="003B1004" w:rsidR="005E2BF8">
        <w:rPr>
          <w:rFonts w:cstheme="minorHAnsi"/>
        </w:rPr>
        <w:lastRenderedPageBreak/>
        <w:t xml:space="preserve">may choose to not answer any specific questions, and as noted in A.10 above, that responses will be treated as private. </w:t>
      </w:r>
    </w:p>
    <w:p w:rsidRPr="00740EBA" w:rsidR="00E87C98" w:rsidP="00E87C98" w:rsidRDefault="00E87C98" w14:paraId="13BC0886" w14:textId="77777777">
      <w:pPr>
        <w:pStyle w:val="Hdng2-IPR"/>
      </w:pPr>
      <w:bookmarkStart w:name="_Toc133208884" w:id="45"/>
      <w:bookmarkStart w:name="_Toc329426284" w:id="46"/>
      <w:bookmarkStart w:name="_Toc351666586" w:id="47"/>
      <w:bookmarkStart w:name="_Toc416426571" w:id="48"/>
      <w:r w:rsidRPr="00740EBA">
        <w:t>A.12.</w:t>
      </w:r>
      <w:r w:rsidRPr="00740EBA">
        <w:tab/>
        <w:t>Estimates of Hour Burden</w:t>
      </w:r>
      <w:bookmarkEnd w:id="45"/>
      <w:r w:rsidRPr="00740EBA">
        <w:t xml:space="preserve"> Including Annualized Hourly Costs</w:t>
      </w:r>
      <w:bookmarkEnd w:id="46"/>
      <w:bookmarkEnd w:id="47"/>
      <w:bookmarkEnd w:id="48"/>
      <w:r w:rsidRPr="00740EBA">
        <w:t xml:space="preserve"> </w:t>
      </w:r>
    </w:p>
    <w:p w:rsidRPr="00236788" w:rsidR="00E87C98" w:rsidP="00E87C98" w:rsidRDefault="00E87C98" w14:paraId="2F9FAAE9" w14:textId="77777777">
      <w:pPr>
        <w:pStyle w:val="OMBRequirementCalibri"/>
        <w:rPr>
          <w:rFonts w:cstheme="minorHAnsi"/>
        </w:rPr>
      </w:pPr>
      <w:r w:rsidRPr="00236788">
        <w:rPr>
          <w:rFonts w:cstheme="minorHAnsi"/>
        </w:rPr>
        <w:t>Provide estimates of the hour burden of the collection of information. The statement should:</w:t>
      </w:r>
    </w:p>
    <w:p w:rsidRPr="00475511" w:rsidR="00E87C98" w:rsidP="00E87C98" w:rsidRDefault="00E87C98" w14:paraId="1B6C8942" w14:textId="77777777">
      <w:pPr>
        <w:pStyle w:val="OMBRequirementCalibri"/>
        <w:numPr>
          <w:ilvl w:val="0"/>
          <w:numId w:val="4"/>
        </w:numPr>
        <w:rPr>
          <w:rFonts w:cstheme="minorHAnsi"/>
        </w:rPr>
      </w:pPr>
      <w:r w:rsidRPr="00236788">
        <w:rPr>
          <w:rFonts w:cstheme="minorHAnsi"/>
        </w:rPr>
        <w:t>Indicate the number of respondents, frequency of response, annual hour burden, and an explanation of how the burden was estimated. If this request for approval covers more than one form, provide separate hour-burden es</w:t>
      </w:r>
      <w:r w:rsidRPr="00475511">
        <w:rPr>
          <w:rFonts w:cstheme="minorHAnsi"/>
        </w:rPr>
        <w:t>timates for each form and aggregate the hour burdens in Item 13 of OMB Form 83-I.</w:t>
      </w:r>
    </w:p>
    <w:p w:rsidRPr="00316E6E" w:rsidR="00E87C98" w:rsidP="00E87C98" w:rsidRDefault="00E87C98" w14:paraId="2DDA6FEF" w14:textId="77777777">
      <w:pPr>
        <w:pStyle w:val="OMBRequirementCalibri"/>
        <w:numPr>
          <w:ilvl w:val="0"/>
          <w:numId w:val="4"/>
        </w:numPr>
        <w:rPr>
          <w:rFonts w:cstheme="minorHAnsi"/>
        </w:rPr>
      </w:pPr>
      <w:r w:rsidRPr="00475511">
        <w:rPr>
          <w:rFonts w:cstheme="minorHAnsi"/>
        </w:rPr>
        <w:t>Provide estimates of annualized cost to respondents for the hour burdens for collections of information, identifying and using appropriate wage rate categories.</w:t>
      </w:r>
    </w:p>
    <w:p w:rsidR="00E87C98" w:rsidP="00E87C98" w:rsidRDefault="00E87C98" w14:paraId="3004FE30" w14:textId="24104575">
      <w:pPr>
        <w:pStyle w:val="Body12ptCalibri-IPR"/>
        <w:rPr>
          <w:rFonts w:cstheme="minorHAnsi"/>
        </w:rPr>
      </w:pPr>
      <w:r w:rsidRPr="00316E6E">
        <w:rPr>
          <w:rFonts w:cstheme="minorHAnsi"/>
        </w:rPr>
        <w:t xml:space="preserve">It is estimated the survey will require approximately </w:t>
      </w:r>
      <w:r w:rsidRPr="00316E6E" w:rsidR="00B163EC">
        <w:rPr>
          <w:rFonts w:cstheme="minorHAnsi"/>
        </w:rPr>
        <w:t>20</w:t>
      </w:r>
      <w:r w:rsidRPr="00316E6E">
        <w:rPr>
          <w:rFonts w:cstheme="minorHAnsi"/>
        </w:rPr>
        <w:t xml:space="preserve"> minutes (on average) to complete. </w:t>
      </w:r>
      <w:r w:rsidRPr="003B1004" w:rsidR="00B163EC">
        <w:rPr>
          <w:rFonts w:cstheme="minorHAnsi"/>
        </w:rPr>
        <w:t>The anticipated universe size</w:t>
      </w:r>
      <w:r w:rsidR="00AF2918">
        <w:rPr>
          <w:rFonts w:cstheme="minorHAnsi"/>
        </w:rPr>
        <w:t xml:space="preserve"> for each survey cycle</w:t>
      </w:r>
      <w:r w:rsidRPr="003B1004" w:rsidR="00B163EC">
        <w:rPr>
          <w:rFonts w:cstheme="minorHAnsi"/>
        </w:rPr>
        <w:t xml:space="preserve"> is 87,000 individuals, which includes </w:t>
      </w:r>
      <w:r w:rsidR="0065535C">
        <w:rPr>
          <w:rFonts w:cstheme="minorHAnsi"/>
        </w:rPr>
        <w:t xml:space="preserve">all </w:t>
      </w:r>
      <w:r w:rsidR="00AC64B5">
        <w:rPr>
          <w:rFonts w:cstheme="minorHAnsi"/>
        </w:rPr>
        <w:t>applicant</w:t>
      </w:r>
      <w:r w:rsidRPr="003B1004" w:rsidR="00B163EC">
        <w:rPr>
          <w:rFonts w:cstheme="minorHAnsi"/>
        </w:rPr>
        <w:t xml:space="preserve">s who submitted proposals and </w:t>
      </w:r>
      <w:r w:rsidR="0065535C">
        <w:rPr>
          <w:rFonts w:cstheme="minorHAnsi"/>
        </w:rPr>
        <w:t xml:space="preserve">all </w:t>
      </w:r>
      <w:r w:rsidRPr="003B1004" w:rsidR="00B163EC">
        <w:rPr>
          <w:rFonts w:cstheme="minorHAnsi"/>
        </w:rPr>
        <w:t>reviewers between FY 2018 and FY 2020</w:t>
      </w:r>
      <w:r w:rsidR="00AF2918">
        <w:rPr>
          <w:rFonts w:cstheme="minorHAnsi"/>
        </w:rPr>
        <w:t xml:space="preserve"> (for the 2021 survey) and between FY 2020 and FY 2022 (for the 2023 survey)</w:t>
      </w:r>
      <w:r w:rsidRPr="003B1004">
        <w:rPr>
          <w:rFonts w:cstheme="minorHAnsi"/>
        </w:rPr>
        <w:t xml:space="preserve">. </w:t>
      </w:r>
      <w:r w:rsidRPr="003B1004" w:rsidR="00B163EC">
        <w:rPr>
          <w:rFonts w:cstheme="minorHAnsi"/>
        </w:rPr>
        <w:t xml:space="preserve"> The </w:t>
      </w:r>
      <w:r w:rsidRPr="003B1004">
        <w:rPr>
          <w:rFonts w:cstheme="minorHAnsi"/>
        </w:rPr>
        <w:t>2015</w:t>
      </w:r>
      <w:r w:rsidR="00AC64B5">
        <w:rPr>
          <w:rFonts w:cstheme="minorHAnsi"/>
        </w:rPr>
        <w:t>,</w:t>
      </w:r>
      <w:r w:rsidRPr="003B1004">
        <w:rPr>
          <w:rFonts w:cstheme="minorHAnsi"/>
        </w:rPr>
        <w:t xml:space="preserve"> 2017</w:t>
      </w:r>
      <w:r w:rsidR="00AC64B5">
        <w:rPr>
          <w:rFonts w:cstheme="minorHAnsi"/>
        </w:rPr>
        <w:t>, and 2019</w:t>
      </w:r>
      <w:r w:rsidRPr="003B1004">
        <w:rPr>
          <w:rFonts w:cstheme="minorHAnsi"/>
        </w:rPr>
        <w:t xml:space="preserve"> iterations of the “Assessment of Investigator and Reviewer Experiences Survey” (OMB # 3145-0215) garnered </w:t>
      </w:r>
      <w:r w:rsidR="00AC64B5">
        <w:rPr>
          <w:rFonts w:cstheme="minorHAnsi"/>
        </w:rPr>
        <w:t xml:space="preserve">30 percent, </w:t>
      </w:r>
      <w:r w:rsidRPr="003B1004">
        <w:rPr>
          <w:rFonts w:cstheme="minorHAnsi"/>
        </w:rPr>
        <w:t>36 percent</w:t>
      </w:r>
      <w:r w:rsidR="00AC64B5">
        <w:rPr>
          <w:rFonts w:cstheme="minorHAnsi"/>
        </w:rPr>
        <w:t>, and 30 percent</w:t>
      </w:r>
      <w:r w:rsidRPr="003B1004">
        <w:rPr>
          <w:rFonts w:cstheme="minorHAnsi"/>
        </w:rPr>
        <w:t xml:space="preserve"> response rate</w:t>
      </w:r>
      <w:r w:rsidR="00AC64B5">
        <w:rPr>
          <w:rFonts w:cstheme="minorHAnsi"/>
        </w:rPr>
        <w:t>s</w:t>
      </w:r>
      <w:r w:rsidRPr="003B1004" w:rsidR="00B163EC">
        <w:rPr>
          <w:rFonts w:cstheme="minorHAnsi"/>
        </w:rPr>
        <w:t xml:space="preserve">, </w:t>
      </w:r>
      <w:r w:rsidR="00AC64B5">
        <w:rPr>
          <w:rFonts w:cstheme="minorHAnsi"/>
        </w:rPr>
        <w:t>respectively.</w:t>
      </w:r>
      <w:r w:rsidRPr="003B1004">
        <w:rPr>
          <w:rFonts w:cstheme="minorHAnsi"/>
        </w:rPr>
        <w:t xml:space="preserve"> </w:t>
      </w:r>
      <w:r w:rsidR="00B52CD3">
        <w:rPr>
          <w:rFonts w:cstheme="minorHAnsi"/>
        </w:rPr>
        <w:t>Beginning with the 2021 iteration, the Merit Review Survey will employ enhanced outreach strategies intended to improve response</w:t>
      </w:r>
      <w:r w:rsidR="007604F0">
        <w:rPr>
          <w:rFonts w:cstheme="minorHAnsi"/>
        </w:rPr>
        <w:t xml:space="preserve"> rate</w:t>
      </w:r>
      <w:r w:rsidR="00B52CD3">
        <w:rPr>
          <w:rFonts w:cstheme="minorHAnsi"/>
        </w:rPr>
        <w:t>, including: 1) capitalization of existing NSF communication platforms to convey legitimacy and importance of the survey; 2) increased advanced confirmation of email</w:t>
      </w:r>
      <w:r w:rsidR="00687017">
        <w:rPr>
          <w:rFonts w:cstheme="minorHAnsi"/>
        </w:rPr>
        <w:t xml:space="preserve"> </w:t>
      </w:r>
      <w:r w:rsidR="006A6820">
        <w:rPr>
          <w:rFonts w:cstheme="minorHAnsi"/>
        </w:rPr>
        <w:t>address</w:t>
      </w:r>
      <w:r w:rsidR="00B52CD3">
        <w:rPr>
          <w:rFonts w:cstheme="minorHAnsi"/>
        </w:rPr>
        <w:t xml:space="preserve"> quality by third-party vendors; and 3) use of secondary email addresses, when available, to contact </w:t>
      </w:r>
      <w:r w:rsidR="00AF1D3A">
        <w:rPr>
          <w:rFonts w:cstheme="minorHAnsi"/>
        </w:rPr>
        <w:t xml:space="preserve">nonresponsive </w:t>
      </w:r>
      <w:r w:rsidR="00B52CD3">
        <w:rPr>
          <w:rFonts w:cstheme="minorHAnsi"/>
        </w:rPr>
        <w:t xml:space="preserve">universe members. </w:t>
      </w:r>
      <w:r w:rsidR="00644392">
        <w:rPr>
          <w:rFonts w:cstheme="minorHAnsi"/>
        </w:rPr>
        <w:t xml:space="preserve">In addition, the 2021 survey instrument has been shortened </w:t>
      </w:r>
      <w:r w:rsidR="00FE3B16">
        <w:rPr>
          <w:rFonts w:cstheme="minorHAnsi"/>
        </w:rPr>
        <w:t xml:space="preserve">from </w:t>
      </w:r>
      <w:r w:rsidR="00644392">
        <w:rPr>
          <w:rFonts w:cstheme="minorHAnsi"/>
        </w:rPr>
        <w:t xml:space="preserve">prior iterations to drop items that are not necessary </w:t>
      </w:r>
      <w:r w:rsidR="007604F0">
        <w:rPr>
          <w:rFonts w:cstheme="minorHAnsi"/>
        </w:rPr>
        <w:t xml:space="preserve">for </w:t>
      </w:r>
      <w:r w:rsidR="00644392">
        <w:rPr>
          <w:rFonts w:cstheme="minorHAnsi"/>
        </w:rPr>
        <w:t xml:space="preserve">analyses </w:t>
      </w:r>
      <w:r w:rsidR="007604F0">
        <w:rPr>
          <w:rFonts w:cstheme="minorHAnsi"/>
        </w:rPr>
        <w:t xml:space="preserve">to </w:t>
      </w:r>
      <w:r w:rsidR="00644392">
        <w:rPr>
          <w:rFonts w:cstheme="minorHAnsi"/>
        </w:rPr>
        <w:t xml:space="preserve">streamline questions. Demographic questions have also been revised to align with NSF-wide standards, providing more inclusive response options to increase item response rate. </w:t>
      </w:r>
      <w:r w:rsidRPr="003B1004">
        <w:rPr>
          <w:rFonts w:cstheme="minorHAnsi"/>
        </w:rPr>
        <w:lastRenderedPageBreak/>
        <w:t xml:space="preserve">Based on the response rate </w:t>
      </w:r>
      <w:r w:rsidR="0065535C">
        <w:rPr>
          <w:rFonts w:cstheme="minorHAnsi"/>
        </w:rPr>
        <w:t>associated with</w:t>
      </w:r>
      <w:r w:rsidRPr="003B1004">
        <w:rPr>
          <w:rFonts w:cstheme="minorHAnsi"/>
        </w:rPr>
        <w:t xml:space="preserve"> </w:t>
      </w:r>
      <w:r w:rsidR="00687017">
        <w:rPr>
          <w:rFonts w:cstheme="minorHAnsi"/>
        </w:rPr>
        <w:t>prior</w:t>
      </w:r>
      <w:r w:rsidR="0065535C">
        <w:rPr>
          <w:rFonts w:cstheme="minorHAnsi"/>
        </w:rPr>
        <w:t xml:space="preserve"> </w:t>
      </w:r>
      <w:r w:rsidRPr="003B1004">
        <w:rPr>
          <w:rFonts w:cstheme="minorHAnsi"/>
        </w:rPr>
        <w:t>iteration</w:t>
      </w:r>
      <w:r w:rsidR="00687017">
        <w:rPr>
          <w:rFonts w:cstheme="minorHAnsi"/>
        </w:rPr>
        <w:t>s</w:t>
      </w:r>
      <w:r w:rsidRPr="003B1004">
        <w:rPr>
          <w:rFonts w:cstheme="minorHAnsi"/>
        </w:rPr>
        <w:t xml:space="preserve"> of the survey</w:t>
      </w:r>
      <w:r w:rsidR="00B52CD3">
        <w:rPr>
          <w:rFonts w:cstheme="minorHAnsi"/>
        </w:rPr>
        <w:t xml:space="preserve"> and these changes to outreach efforts</w:t>
      </w:r>
      <w:r w:rsidR="007604F0">
        <w:rPr>
          <w:rFonts w:cstheme="minorHAnsi"/>
        </w:rPr>
        <w:t>,</w:t>
      </w:r>
      <w:r w:rsidRPr="003B1004">
        <w:rPr>
          <w:rFonts w:cstheme="minorHAnsi"/>
        </w:rPr>
        <w:t xml:space="preserve"> the estimated survey response rate for </w:t>
      </w:r>
      <w:r w:rsidR="00AF2918">
        <w:rPr>
          <w:rFonts w:cstheme="minorHAnsi"/>
        </w:rPr>
        <w:t xml:space="preserve">each the </w:t>
      </w:r>
      <w:r w:rsidR="0065535C">
        <w:rPr>
          <w:rFonts w:cstheme="minorHAnsi"/>
        </w:rPr>
        <w:t xml:space="preserve">2021 </w:t>
      </w:r>
      <w:r w:rsidR="00AF2918">
        <w:rPr>
          <w:rFonts w:cstheme="minorHAnsi"/>
        </w:rPr>
        <w:t>and 2023 survey rounds</w:t>
      </w:r>
      <w:r w:rsidRPr="003B1004">
        <w:rPr>
          <w:rFonts w:cstheme="minorHAnsi"/>
        </w:rPr>
        <w:t xml:space="preserve"> </w:t>
      </w:r>
      <w:proofErr w:type="gramStart"/>
      <w:r w:rsidRPr="003B1004">
        <w:rPr>
          <w:rFonts w:cstheme="minorHAnsi"/>
        </w:rPr>
        <w:t>is</w:t>
      </w:r>
      <w:proofErr w:type="gramEnd"/>
      <w:r w:rsidRPr="003B1004">
        <w:rPr>
          <w:rFonts w:cstheme="minorHAnsi"/>
        </w:rPr>
        <w:t xml:space="preserve"> </w:t>
      </w:r>
      <w:r w:rsidR="00B52CD3">
        <w:rPr>
          <w:rFonts w:cstheme="minorHAnsi"/>
        </w:rPr>
        <w:t>40</w:t>
      </w:r>
      <w:r w:rsidRPr="00740EBA">
        <w:rPr>
          <w:rFonts w:cstheme="minorHAnsi"/>
        </w:rPr>
        <w:t xml:space="preserve"> percent. Thus, we project </w:t>
      </w:r>
      <w:r w:rsidR="0065535C">
        <w:rPr>
          <w:rFonts w:cstheme="minorHAnsi"/>
        </w:rPr>
        <w:t xml:space="preserve">the total burden is </w:t>
      </w:r>
      <w:r w:rsidR="00687017">
        <w:rPr>
          <w:rFonts w:cstheme="minorHAnsi"/>
        </w:rPr>
        <w:t>23,200</w:t>
      </w:r>
      <w:r w:rsidR="0065535C">
        <w:rPr>
          <w:rFonts w:cstheme="minorHAnsi"/>
        </w:rPr>
        <w:t xml:space="preserve"> hours</w:t>
      </w:r>
      <w:r w:rsidR="00687017">
        <w:rPr>
          <w:rFonts w:cstheme="minorHAnsi"/>
        </w:rPr>
        <w:t xml:space="preserve">; this is a </w:t>
      </w:r>
      <w:r w:rsidR="00A63794">
        <w:rPr>
          <w:rFonts w:cstheme="minorHAnsi"/>
        </w:rPr>
        <w:t xml:space="preserve">respondent </w:t>
      </w:r>
      <w:r w:rsidR="00687017">
        <w:rPr>
          <w:rFonts w:cstheme="minorHAnsi"/>
        </w:rPr>
        <w:t>burden of 11,600 hours</w:t>
      </w:r>
      <w:r w:rsidR="00A63794">
        <w:rPr>
          <w:rFonts w:cstheme="minorHAnsi"/>
        </w:rPr>
        <w:t xml:space="preserve"> per survey year (2021 and 2023)</w:t>
      </w:r>
      <w:r w:rsidRPr="00740EBA">
        <w:rPr>
          <w:rFonts w:cstheme="minorHAnsi"/>
        </w:rPr>
        <w:t>.</w:t>
      </w:r>
    </w:p>
    <w:p w:rsidR="0026749A" w:rsidP="00510CFB" w:rsidRDefault="00AF1D3A" w14:paraId="631D2318" w14:textId="68FFEFB4">
      <w:pPr>
        <w:spacing w:line="480" w:lineRule="auto"/>
        <w:ind w:firstLine="720"/>
        <w:rPr>
          <w:rFonts w:cstheme="minorHAnsi"/>
        </w:rPr>
      </w:pPr>
      <w:r w:rsidRPr="00383CA0">
        <w:rPr>
          <w:rFonts w:cstheme="minorHAnsi"/>
          <w:sz w:val="24"/>
          <w:szCs w:val="24"/>
        </w:rPr>
        <w:t xml:space="preserve">Based on 2019 merit review survey data, we expect that most survey respondents </w:t>
      </w:r>
      <w:r w:rsidR="00687017">
        <w:rPr>
          <w:rFonts w:cstheme="minorHAnsi"/>
          <w:sz w:val="24"/>
          <w:szCs w:val="24"/>
        </w:rPr>
        <w:t xml:space="preserve">will </w:t>
      </w:r>
      <w:r w:rsidRPr="00383CA0">
        <w:rPr>
          <w:rFonts w:cstheme="minorHAnsi"/>
          <w:sz w:val="24"/>
          <w:szCs w:val="24"/>
        </w:rPr>
        <w:t>be working at an academic institution, likely</w:t>
      </w:r>
      <w:r w:rsidR="00687017">
        <w:rPr>
          <w:rFonts w:cstheme="minorHAnsi"/>
          <w:sz w:val="24"/>
          <w:szCs w:val="24"/>
        </w:rPr>
        <w:t xml:space="preserve"> in</w:t>
      </w:r>
      <w:r w:rsidRPr="00383CA0">
        <w:rPr>
          <w:rFonts w:cstheme="minorHAnsi"/>
          <w:sz w:val="24"/>
          <w:szCs w:val="24"/>
        </w:rPr>
        <w:t xml:space="preserve"> a teaching and/or research capacity.</w:t>
      </w:r>
      <w:r w:rsidRPr="00CB19DE" w:rsidR="00CB19DE">
        <w:rPr>
          <w:rStyle w:val="FootnoteReference"/>
          <w:rFonts w:cstheme="minorHAnsi"/>
          <w:vertAlign w:val="superscript"/>
        </w:rPr>
        <w:t xml:space="preserve"> </w:t>
      </w:r>
      <w:r w:rsidRPr="00236788" w:rsidR="00CB19DE">
        <w:rPr>
          <w:rStyle w:val="FootnoteReference"/>
          <w:rFonts w:cstheme="minorHAnsi"/>
          <w:vertAlign w:val="superscript"/>
        </w:rPr>
        <w:footnoteReference w:id="8"/>
      </w:r>
      <w:r w:rsidRPr="00383CA0">
        <w:rPr>
          <w:rFonts w:cstheme="minorHAnsi"/>
          <w:sz w:val="24"/>
          <w:szCs w:val="24"/>
        </w:rPr>
        <w:t xml:space="preserve"> Therefore, for the purpose of burden estimates, we have used the annual mean wage for postsecondary teachers from Bureau of Labor Statistics, which is $79,540.</w:t>
      </w:r>
      <w:r w:rsidRPr="00236788" w:rsidR="00644392">
        <w:rPr>
          <w:rStyle w:val="FootnoteReference"/>
          <w:rFonts w:cstheme="minorHAnsi"/>
          <w:vertAlign w:val="superscript"/>
        </w:rPr>
        <w:footnoteReference w:id="9"/>
      </w:r>
      <w:r w:rsidRPr="00383CA0">
        <w:rPr>
          <w:rFonts w:cstheme="minorHAnsi"/>
          <w:sz w:val="24"/>
          <w:szCs w:val="24"/>
        </w:rPr>
        <w:t xml:space="preserve"> Assuming a 40-hour workweek over the course of 52 weeks annually, the hourly wage for this occupation is approximately $38.00. Therefore, the overall cost to survey respondents for each survey year </w:t>
      </w:r>
      <w:r w:rsidR="00A63794">
        <w:rPr>
          <w:rFonts w:cstheme="minorHAnsi"/>
          <w:sz w:val="24"/>
          <w:szCs w:val="24"/>
        </w:rPr>
        <w:t xml:space="preserve">(2021 and 2023) </w:t>
      </w:r>
      <w:r w:rsidRPr="00383CA0">
        <w:rPr>
          <w:rFonts w:cstheme="minorHAnsi"/>
          <w:sz w:val="24"/>
          <w:szCs w:val="24"/>
        </w:rPr>
        <w:t>would be approximately $</w:t>
      </w:r>
      <w:r w:rsidR="00687017">
        <w:rPr>
          <w:rFonts w:cstheme="minorHAnsi"/>
          <w:sz w:val="24"/>
          <w:szCs w:val="24"/>
        </w:rPr>
        <w:t>440,800</w:t>
      </w:r>
      <w:r w:rsidRPr="00383CA0">
        <w:rPr>
          <w:rFonts w:cstheme="minorHAnsi"/>
          <w:sz w:val="24"/>
          <w:szCs w:val="24"/>
        </w:rPr>
        <w:t xml:space="preserve"> (</w:t>
      </w:r>
      <w:r>
        <w:rPr>
          <w:rFonts w:cstheme="minorHAnsi"/>
          <w:sz w:val="24"/>
          <w:szCs w:val="24"/>
        </w:rPr>
        <w:t>11,600</w:t>
      </w:r>
      <w:r w:rsidRPr="00383CA0">
        <w:rPr>
          <w:rFonts w:cstheme="minorHAnsi"/>
          <w:sz w:val="24"/>
          <w:szCs w:val="24"/>
        </w:rPr>
        <w:t xml:space="preserve"> burden hours x $38.00 per hour)</w:t>
      </w:r>
      <w:r w:rsidR="007E42FD">
        <w:rPr>
          <w:rFonts w:cstheme="minorHAnsi"/>
          <w:sz w:val="24"/>
          <w:szCs w:val="24"/>
        </w:rPr>
        <w:t>, as shown in table A.12.1 below</w:t>
      </w:r>
      <w:r w:rsidRPr="00383CA0">
        <w:rPr>
          <w:rFonts w:cstheme="minorHAnsi"/>
          <w:sz w:val="24"/>
          <w:szCs w:val="24"/>
        </w:rPr>
        <w:t>.</w:t>
      </w:r>
    </w:p>
    <w:p w:rsidR="00A63D7F" w:rsidP="00A63D7F" w:rsidRDefault="00A63D7F" w14:paraId="2AE0ED17" w14:textId="36DD2F32">
      <w:pPr>
        <w:pStyle w:val="MarkforTableHeading"/>
        <w:rPr>
          <w:sz w:val="20"/>
          <w:szCs w:val="20"/>
        </w:rPr>
      </w:pPr>
      <w:r>
        <w:rPr>
          <w:sz w:val="20"/>
          <w:szCs w:val="20"/>
        </w:rPr>
        <w:t xml:space="preserve">Table </w:t>
      </w:r>
      <w:r w:rsidR="007E42FD">
        <w:rPr>
          <w:sz w:val="20"/>
          <w:szCs w:val="20"/>
        </w:rPr>
        <w:t>A.12.1</w:t>
      </w:r>
      <w:r>
        <w:rPr>
          <w:sz w:val="20"/>
          <w:szCs w:val="20"/>
        </w:rPr>
        <w:t xml:space="preserve">. Estimate of </w:t>
      </w:r>
      <w:r w:rsidR="00A63794">
        <w:rPr>
          <w:sz w:val="20"/>
          <w:szCs w:val="20"/>
        </w:rPr>
        <w:t xml:space="preserve">Respondent </w:t>
      </w:r>
      <w:r>
        <w:rPr>
          <w:sz w:val="20"/>
          <w:szCs w:val="20"/>
        </w:rPr>
        <w:t xml:space="preserve">Burden and Cost </w:t>
      </w:r>
      <w:r w:rsidR="00A63794">
        <w:rPr>
          <w:sz w:val="20"/>
          <w:szCs w:val="20"/>
        </w:rPr>
        <w:t>by Year</w:t>
      </w:r>
    </w:p>
    <w:tbl>
      <w:tblPr>
        <w:tblStyle w:val="SMPRTableBlack"/>
        <w:tblW w:w="5038" w:type="pct"/>
        <w:tblInd w:w="0" w:type="dxa"/>
        <w:tblLayout w:type="fixed"/>
        <w:tblLook w:val="04A0" w:firstRow="1" w:lastRow="0" w:firstColumn="1" w:lastColumn="0" w:noHBand="0" w:noVBand="1"/>
      </w:tblPr>
      <w:tblGrid>
        <w:gridCol w:w="1439"/>
        <w:gridCol w:w="1515"/>
        <w:gridCol w:w="1503"/>
        <w:gridCol w:w="1464"/>
        <w:gridCol w:w="1262"/>
        <w:gridCol w:w="990"/>
        <w:gridCol w:w="1258"/>
      </w:tblGrid>
      <w:tr w:rsidR="00A63D7F" w:rsidTr="00EB59C0" w14:paraId="1EC3E396" w14:textId="77777777">
        <w:trPr>
          <w:cnfStyle w:val="100000000000" w:firstRow="1" w:lastRow="0" w:firstColumn="0" w:lastColumn="0" w:oddVBand="0" w:evenVBand="0" w:oddHBand="0" w:evenHBand="0" w:firstRowFirstColumn="0" w:firstRowLastColumn="0" w:lastRowFirstColumn="0" w:lastRowLastColumn="0"/>
        </w:trPr>
        <w:tc>
          <w:tcPr>
            <w:tcW w:w="763" w:type="pct"/>
            <w:vAlign w:val="center"/>
            <w:hideMark/>
          </w:tcPr>
          <w:p w:rsidR="00A63D7F" w:rsidP="00510CFB" w:rsidRDefault="00990AE5" w14:paraId="11F46233" w14:textId="3D9BACAD">
            <w:pPr>
              <w:pStyle w:val="TableHeaderLeft"/>
              <w:tabs>
                <w:tab w:val="clear" w:pos="432"/>
                <w:tab w:val="left" w:pos="720"/>
              </w:tabs>
              <w:ind w:firstLine="0"/>
              <w:rPr>
                <w:sz w:val="16"/>
                <w:szCs w:val="16"/>
              </w:rPr>
            </w:pPr>
            <w:bookmarkStart w:name="_Hlk57190837" w:id="49"/>
            <w:r>
              <w:rPr>
                <w:sz w:val="16"/>
                <w:szCs w:val="16"/>
              </w:rPr>
              <w:t>Year</w:t>
            </w:r>
          </w:p>
        </w:tc>
        <w:tc>
          <w:tcPr>
            <w:tcW w:w="803" w:type="pct"/>
            <w:vAlign w:val="center"/>
            <w:hideMark/>
          </w:tcPr>
          <w:p w:rsidR="00A63D7F" w:rsidP="00A63D7F" w:rsidRDefault="00A63D7F" w14:paraId="67680602" w14:textId="183C2BFC">
            <w:pPr>
              <w:pStyle w:val="TableHeaderCenter"/>
              <w:ind w:firstLine="0"/>
              <w:jc w:val="left"/>
              <w:rPr>
                <w:sz w:val="16"/>
                <w:szCs w:val="16"/>
              </w:rPr>
            </w:pPr>
            <w:r>
              <w:rPr>
                <w:sz w:val="16"/>
                <w:szCs w:val="16"/>
              </w:rPr>
              <w:t>Number of Respondents</w:t>
            </w:r>
          </w:p>
        </w:tc>
        <w:tc>
          <w:tcPr>
            <w:tcW w:w="797" w:type="pct"/>
            <w:vAlign w:val="center"/>
            <w:hideMark/>
          </w:tcPr>
          <w:p w:rsidR="00A63D7F" w:rsidP="00A63D7F" w:rsidRDefault="00A63D7F" w14:paraId="1CBB5F82" w14:textId="77777777">
            <w:pPr>
              <w:pStyle w:val="TableHeaderCenter"/>
              <w:ind w:firstLine="0"/>
              <w:jc w:val="left"/>
              <w:rPr>
                <w:sz w:val="16"/>
                <w:szCs w:val="16"/>
              </w:rPr>
            </w:pPr>
            <w:r>
              <w:rPr>
                <w:sz w:val="16"/>
                <w:szCs w:val="16"/>
              </w:rPr>
              <w:t>Number of Responses per Respondent</w:t>
            </w:r>
          </w:p>
        </w:tc>
        <w:tc>
          <w:tcPr>
            <w:tcW w:w="776" w:type="pct"/>
            <w:vAlign w:val="center"/>
            <w:hideMark/>
          </w:tcPr>
          <w:p w:rsidR="00A63D7F" w:rsidP="00A63D7F" w:rsidRDefault="00A63D7F" w14:paraId="5B4BBD77" w14:textId="77777777">
            <w:pPr>
              <w:pStyle w:val="TableHeaderCenter"/>
              <w:ind w:firstLine="0"/>
              <w:jc w:val="left"/>
              <w:rPr>
                <w:sz w:val="16"/>
                <w:szCs w:val="16"/>
              </w:rPr>
            </w:pPr>
            <w:r>
              <w:rPr>
                <w:sz w:val="16"/>
                <w:szCs w:val="16"/>
              </w:rPr>
              <w:t>Average Burden per Response (hours)</w:t>
            </w:r>
          </w:p>
        </w:tc>
        <w:tc>
          <w:tcPr>
            <w:tcW w:w="669" w:type="pct"/>
            <w:vAlign w:val="center"/>
            <w:hideMark/>
          </w:tcPr>
          <w:p w:rsidR="00A63D7F" w:rsidP="00A63D7F" w:rsidRDefault="00A63D7F" w14:paraId="03B063C3" w14:textId="577032CB">
            <w:pPr>
              <w:pStyle w:val="TableHeaderCenter"/>
              <w:ind w:firstLine="0"/>
              <w:jc w:val="left"/>
              <w:rPr>
                <w:sz w:val="16"/>
                <w:szCs w:val="16"/>
              </w:rPr>
            </w:pPr>
            <w:r>
              <w:rPr>
                <w:sz w:val="16"/>
                <w:szCs w:val="16"/>
              </w:rPr>
              <w:t xml:space="preserve">Total Burden </w:t>
            </w:r>
            <w:proofErr w:type="spellStart"/>
            <w:r>
              <w:rPr>
                <w:sz w:val="16"/>
                <w:szCs w:val="16"/>
              </w:rPr>
              <w:t>Hours</w:t>
            </w:r>
            <w:r>
              <w:rPr>
                <w:sz w:val="16"/>
                <w:szCs w:val="16"/>
                <w:vertAlign w:val="superscript"/>
              </w:rPr>
              <w:t>a</w:t>
            </w:r>
            <w:proofErr w:type="spellEnd"/>
          </w:p>
        </w:tc>
        <w:tc>
          <w:tcPr>
            <w:tcW w:w="525" w:type="pct"/>
            <w:vAlign w:val="center"/>
            <w:hideMark/>
          </w:tcPr>
          <w:p w:rsidR="00A63D7F" w:rsidP="00A63D7F" w:rsidRDefault="00A63D7F" w14:paraId="20EFE80A" w14:textId="77777777">
            <w:pPr>
              <w:pStyle w:val="TableHeaderCenter"/>
              <w:ind w:firstLine="0"/>
              <w:jc w:val="left"/>
              <w:rPr>
                <w:sz w:val="16"/>
                <w:szCs w:val="16"/>
              </w:rPr>
            </w:pPr>
            <w:r>
              <w:rPr>
                <w:sz w:val="16"/>
                <w:szCs w:val="16"/>
              </w:rPr>
              <w:t>Average Hourly Wage</w:t>
            </w:r>
          </w:p>
        </w:tc>
        <w:tc>
          <w:tcPr>
            <w:tcW w:w="667" w:type="pct"/>
            <w:vAlign w:val="center"/>
            <w:hideMark/>
          </w:tcPr>
          <w:p w:rsidR="00A63D7F" w:rsidP="00A63D7F" w:rsidRDefault="00A63D7F" w14:paraId="2EA583F4" w14:textId="06598432">
            <w:pPr>
              <w:pStyle w:val="TableHeaderCenter"/>
              <w:ind w:firstLine="0"/>
              <w:jc w:val="left"/>
              <w:rPr>
                <w:sz w:val="16"/>
                <w:szCs w:val="16"/>
              </w:rPr>
            </w:pPr>
            <w:r>
              <w:rPr>
                <w:sz w:val="16"/>
                <w:szCs w:val="16"/>
              </w:rPr>
              <w:t>Total Cost</w:t>
            </w:r>
          </w:p>
        </w:tc>
      </w:tr>
      <w:tr w:rsidR="00A63D7F" w:rsidTr="00EB59C0" w14:paraId="4C10209E" w14:textId="77777777">
        <w:tc>
          <w:tcPr>
            <w:tcW w:w="763" w:type="pct"/>
            <w:tcBorders>
              <w:top w:val="nil"/>
              <w:left w:val="nil"/>
              <w:bottom w:val="nil"/>
              <w:right w:val="nil"/>
            </w:tcBorders>
            <w:vAlign w:val="center"/>
            <w:hideMark/>
          </w:tcPr>
          <w:p w:rsidR="00A63D7F" w:rsidP="00A63D7F" w:rsidRDefault="00AF2918" w14:paraId="5B59F2C7" w14:textId="33311B9A">
            <w:pPr>
              <w:pStyle w:val="TableText"/>
              <w:ind w:firstLine="0"/>
              <w:rPr>
                <w:szCs w:val="16"/>
              </w:rPr>
            </w:pPr>
            <w:r>
              <w:rPr>
                <w:b/>
                <w:szCs w:val="16"/>
              </w:rPr>
              <w:t xml:space="preserve">2021 </w:t>
            </w:r>
          </w:p>
        </w:tc>
        <w:tc>
          <w:tcPr>
            <w:tcW w:w="803" w:type="pct"/>
            <w:tcBorders>
              <w:top w:val="nil"/>
              <w:left w:val="nil"/>
              <w:bottom w:val="nil"/>
              <w:right w:val="nil"/>
            </w:tcBorders>
            <w:vAlign w:val="center"/>
            <w:hideMark/>
          </w:tcPr>
          <w:p w:rsidR="00A63D7F" w:rsidP="00EB59C0" w:rsidRDefault="00687017" w14:paraId="24C3A618" w14:textId="66C7B9C0">
            <w:pPr>
              <w:pStyle w:val="TableText"/>
              <w:ind w:firstLine="0"/>
              <w:rPr>
                <w:szCs w:val="16"/>
              </w:rPr>
            </w:pPr>
            <w:r>
              <w:rPr>
                <w:rFonts w:cstheme="minorHAnsi"/>
              </w:rPr>
              <w:t>34,800</w:t>
            </w:r>
          </w:p>
        </w:tc>
        <w:tc>
          <w:tcPr>
            <w:tcW w:w="797" w:type="pct"/>
            <w:tcBorders>
              <w:top w:val="nil"/>
              <w:left w:val="nil"/>
              <w:bottom w:val="nil"/>
              <w:right w:val="nil"/>
            </w:tcBorders>
            <w:vAlign w:val="center"/>
            <w:hideMark/>
          </w:tcPr>
          <w:p w:rsidR="00A63D7F" w:rsidRDefault="00A63D7F" w14:paraId="00C7AC7B" w14:textId="5D654FF2">
            <w:pPr>
              <w:pStyle w:val="TableText"/>
              <w:rPr>
                <w:szCs w:val="16"/>
              </w:rPr>
            </w:pPr>
            <w:r>
              <w:rPr>
                <w:szCs w:val="16"/>
              </w:rPr>
              <w:t>1</w:t>
            </w:r>
          </w:p>
        </w:tc>
        <w:tc>
          <w:tcPr>
            <w:tcW w:w="776" w:type="pct"/>
            <w:tcBorders>
              <w:top w:val="nil"/>
              <w:left w:val="nil"/>
              <w:bottom w:val="nil"/>
              <w:right w:val="nil"/>
            </w:tcBorders>
            <w:vAlign w:val="center"/>
            <w:hideMark/>
          </w:tcPr>
          <w:p w:rsidR="00A63D7F" w:rsidP="00510CFB" w:rsidRDefault="00A63D7F" w14:paraId="0730A249" w14:textId="485CC254">
            <w:pPr>
              <w:pStyle w:val="TableText"/>
              <w:ind w:firstLine="0"/>
              <w:rPr>
                <w:szCs w:val="16"/>
              </w:rPr>
            </w:pPr>
            <w:r>
              <w:rPr>
                <w:szCs w:val="16"/>
              </w:rPr>
              <w:t>0.33333</w:t>
            </w:r>
          </w:p>
        </w:tc>
        <w:tc>
          <w:tcPr>
            <w:tcW w:w="669" w:type="pct"/>
            <w:tcBorders>
              <w:top w:val="nil"/>
              <w:left w:val="nil"/>
              <w:bottom w:val="nil"/>
              <w:right w:val="nil"/>
            </w:tcBorders>
            <w:vAlign w:val="center"/>
            <w:hideMark/>
          </w:tcPr>
          <w:p w:rsidR="00A63D7F" w:rsidP="00510CFB" w:rsidRDefault="00B52CD3" w14:paraId="6FCE7574" w14:textId="172DF676">
            <w:pPr>
              <w:pStyle w:val="TableText"/>
              <w:ind w:firstLine="0"/>
              <w:rPr>
                <w:szCs w:val="16"/>
              </w:rPr>
            </w:pPr>
            <w:r>
              <w:rPr>
                <w:szCs w:val="16"/>
              </w:rPr>
              <w:t>11,600</w:t>
            </w:r>
          </w:p>
        </w:tc>
        <w:tc>
          <w:tcPr>
            <w:tcW w:w="525" w:type="pct"/>
            <w:tcBorders>
              <w:top w:val="nil"/>
              <w:left w:val="nil"/>
              <w:bottom w:val="nil"/>
              <w:right w:val="nil"/>
            </w:tcBorders>
            <w:vAlign w:val="center"/>
            <w:hideMark/>
          </w:tcPr>
          <w:p w:rsidR="00A63D7F" w:rsidP="00510CFB" w:rsidRDefault="00A63D7F" w14:paraId="5E7CCB8D" w14:textId="030E41CA">
            <w:pPr>
              <w:pStyle w:val="TableText"/>
              <w:ind w:firstLine="0"/>
              <w:rPr>
                <w:szCs w:val="16"/>
              </w:rPr>
            </w:pPr>
            <w:r>
              <w:rPr>
                <w:szCs w:val="16"/>
              </w:rPr>
              <w:t>$</w:t>
            </w:r>
            <w:r w:rsidR="00510CFB">
              <w:rPr>
                <w:szCs w:val="16"/>
              </w:rPr>
              <w:t>38</w:t>
            </w:r>
          </w:p>
        </w:tc>
        <w:tc>
          <w:tcPr>
            <w:tcW w:w="667" w:type="pct"/>
            <w:tcBorders>
              <w:top w:val="nil"/>
              <w:left w:val="nil"/>
              <w:bottom w:val="nil"/>
              <w:right w:val="nil"/>
            </w:tcBorders>
            <w:vAlign w:val="center"/>
            <w:hideMark/>
          </w:tcPr>
          <w:p w:rsidR="00A63D7F" w:rsidP="00510CFB" w:rsidRDefault="00A63D7F" w14:paraId="7499D1BC" w14:textId="42E0AD47">
            <w:pPr>
              <w:pStyle w:val="TableText"/>
              <w:ind w:firstLine="0"/>
              <w:rPr>
                <w:szCs w:val="16"/>
              </w:rPr>
            </w:pPr>
            <w:r>
              <w:rPr>
                <w:szCs w:val="16"/>
              </w:rPr>
              <w:t>$</w:t>
            </w:r>
            <w:r w:rsidR="00B52CD3">
              <w:rPr>
                <w:szCs w:val="16"/>
              </w:rPr>
              <w:t>440,800</w:t>
            </w:r>
          </w:p>
        </w:tc>
      </w:tr>
      <w:tr w:rsidR="00AF2918" w:rsidTr="00EB59C0" w14:paraId="23A7BCE2" w14:textId="77777777">
        <w:tc>
          <w:tcPr>
            <w:tcW w:w="763" w:type="pct"/>
            <w:tcBorders>
              <w:top w:val="nil"/>
              <w:left w:val="nil"/>
              <w:bottom w:val="nil"/>
              <w:right w:val="nil"/>
            </w:tcBorders>
            <w:vAlign w:val="center"/>
          </w:tcPr>
          <w:p w:rsidR="00AF2918" w:rsidP="00510CFB" w:rsidRDefault="00990AE5" w14:paraId="6D27D2BA" w14:textId="7DFCA794">
            <w:pPr>
              <w:pStyle w:val="TableText"/>
              <w:ind w:firstLine="0"/>
              <w:rPr>
                <w:b/>
                <w:szCs w:val="16"/>
              </w:rPr>
            </w:pPr>
            <w:r>
              <w:rPr>
                <w:b/>
                <w:szCs w:val="16"/>
              </w:rPr>
              <w:t xml:space="preserve">2022 </w:t>
            </w:r>
          </w:p>
        </w:tc>
        <w:tc>
          <w:tcPr>
            <w:tcW w:w="803" w:type="pct"/>
            <w:tcBorders>
              <w:top w:val="nil"/>
              <w:left w:val="nil"/>
              <w:bottom w:val="nil"/>
              <w:right w:val="nil"/>
            </w:tcBorders>
            <w:vAlign w:val="center"/>
          </w:tcPr>
          <w:p w:rsidR="00AF2918" w:rsidP="00EB59C0" w:rsidRDefault="00990AE5" w14:paraId="2BCC1EC2" w14:textId="60B5C14A">
            <w:pPr>
              <w:pStyle w:val="TableText"/>
              <w:ind w:firstLine="0"/>
              <w:rPr>
                <w:rFonts w:cstheme="minorHAnsi"/>
              </w:rPr>
            </w:pPr>
            <w:r>
              <w:rPr>
                <w:rFonts w:cstheme="minorHAnsi"/>
              </w:rPr>
              <w:t>0</w:t>
            </w:r>
          </w:p>
        </w:tc>
        <w:tc>
          <w:tcPr>
            <w:tcW w:w="797" w:type="pct"/>
            <w:tcBorders>
              <w:top w:val="nil"/>
              <w:left w:val="nil"/>
              <w:bottom w:val="nil"/>
              <w:right w:val="nil"/>
            </w:tcBorders>
            <w:vAlign w:val="center"/>
          </w:tcPr>
          <w:p w:rsidR="00AF2918" w:rsidP="00AF2918" w:rsidRDefault="00990AE5" w14:paraId="50C4D59D" w14:textId="37C51CB5">
            <w:pPr>
              <w:pStyle w:val="TableText"/>
              <w:rPr>
                <w:szCs w:val="16"/>
              </w:rPr>
            </w:pPr>
            <w:r>
              <w:rPr>
                <w:szCs w:val="16"/>
              </w:rPr>
              <w:t>0</w:t>
            </w:r>
          </w:p>
        </w:tc>
        <w:tc>
          <w:tcPr>
            <w:tcW w:w="776" w:type="pct"/>
            <w:tcBorders>
              <w:top w:val="nil"/>
              <w:left w:val="nil"/>
              <w:bottom w:val="nil"/>
              <w:right w:val="nil"/>
            </w:tcBorders>
            <w:vAlign w:val="center"/>
          </w:tcPr>
          <w:p w:rsidR="00AF2918" w:rsidP="00510CFB" w:rsidRDefault="00990AE5" w14:paraId="2A43B969" w14:textId="1FEB2A04">
            <w:pPr>
              <w:pStyle w:val="TableText"/>
              <w:ind w:firstLine="0"/>
              <w:rPr>
                <w:szCs w:val="16"/>
              </w:rPr>
            </w:pPr>
            <w:r>
              <w:rPr>
                <w:szCs w:val="16"/>
              </w:rPr>
              <w:t>0</w:t>
            </w:r>
          </w:p>
        </w:tc>
        <w:tc>
          <w:tcPr>
            <w:tcW w:w="669" w:type="pct"/>
            <w:tcBorders>
              <w:top w:val="nil"/>
              <w:left w:val="nil"/>
              <w:bottom w:val="nil"/>
              <w:right w:val="nil"/>
            </w:tcBorders>
            <w:vAlign w:val="center"/>
          </w:tcPr>
          <w:p w:rsidR="00AF2918" w:rsidP="00510CFB" w:rsidRDefault="00990AE5" w14:paraId="032CAEAA" w14:textId="1BB7A243">
            <w:pPr>
              <w:pStyle w:val="TableText"/>
              <w:ind w:firstLine="0"/>
              <w:rPr>
                <w:szCs w:val="16"/>
              </w:rPr>
            </w:pPr>
            <w:r>
              <w:rPr>
                <w:szCs w:val="16"/>
              </w:rPr>
              <w:t>0</w:t>
            </w:r>
          </w:p>
        </w:tc>
        <w:tc>
          <w:tcPr>
            <w:tcW w:w="525" w:type="pct"/>
            <w:tcBorders>
              <w:top w:val="nil"/>
              <w:left w:val="nil"/>
              <w:bottom w:val="nil"/>
              <w:right w:val="nil"/>
            </w:tcBorders>
            <w:vAlign w:val="center"/>
          </w:tcPr>
          <w:p w:rsidR="00AF2918" w:rsidP="00510CFB" w:rsidRDefault="00990AE5" w14:paraId="6435681A" w14:textId="0A023389">
            <w:pPr>
              <w:pStyle w:val="TableText"/>
              <w:ind w:firstLine="0"/>
              <w:rPr>
                <w:szCs w:val="16"/>
              </w:rPr>
            </w:pPr>
            <w:r>
              <w:rPr>
                <w:szCs w:val="16"/>
              </w:rPr>
              <w:t>0</w:t>
            </w:r>
          </w:p>
        </w:tc>
        <w:tc>
          <w:tcPr>
            <w:tcW w:w="667" w:type="pct"/>
            <w:tcBorders>
              <w:top w:val="nil"/>
              <w:left w:val="nil"/>
              <w:bottom w:val="nil"/>
              <w:right w:val="nil"/>
            </w:tcBorders>
            <w:vAlign w:val="center"/>
          </w:tcPr>
          <w:p w:rsidR="00AF2918" w:rsidP="00510CFB" w:rsidRDefault="00990AE5" w14:paraId="6FE79E10" w14:textId="117FCAA4">
            <w:pPr>
              <w:pStyle w:val="TableText"/>
              <w:ind w:firstLine="0"/>
              <w:rPr>
                <w:szCs w:val="16"/>
              </w:rPr>
            </w:pPr>
            <w:r>
              <w:rPr>
                <w:szCs w:val="16"/>
              </w:rPr>
              <w:t>$0</w:t>
            </w:r>
          </w:p>
        </w:tc>
      </w:tr>
      <w:tr w:rsidR="00990AE5" w:rsidTr="00EB59C0" w14:paraId="5747DE91" w14:textId="77777777">
        <w:tc>
          <w:tcPr>
            <w:tcW w:w="763" w:type="pct"/>
            <w:tcBorders>
              <w:top w:val="nil"/>
              <w:left w:val="nil"/>
              <w:bottom w:val="nil"/>
              <w:right w:val="nil"/>
            </w:tcBorders>
            <w:vAlign w:val="center"/>
          </w:tcPr>
          <w:p w:rsidR="00990AE5" w:rsidP="00EB59C0" w:rsidRDefault="00990AE5" w14:paraId="1177A49A" w14:textId="7204D916">
            <w:pPr>
              <w:pStyle w:val="TableText"/>
              <w:ind w:firstLine="0"/>
              <w:rPr>
                <w:b/>
                <w:szCs w:val="16"/>
              </w:rPr>
            </w:pPr>
            <w:r>
              <w:rPr>
                <w:b/>
                <w:szCs w:val="16"/>
              </w:rPr>
              <w:t xml:space="preserve">2023 </w:t>
            </w:r>
          </w:p>
        </w:tc>
        <w:tc>
          <w:tcPr>
            <w:tcW w:w="803" w:type="pct"/>
            <w:tcBorders>
              <w:top w:val="nil"/>
              <w:left w:val="nil"/>
              <w:bottom w:val="nil"/>
              <w:right w:val="nil"/>
            </w:tcBorders>
            <w:vAlign w:val="center"/>
          </w:tcPr>
          <w:p w:rsidR="00990AE5" w:rsidP="00EB59C0" w:rsidRDefault="00990AE5" w14:paraId="35F26F34" w14:textId="46D19230">
            <w:pPr>
              <w:pStyle w:val="TableText"/>
              <w:ind w:firstLine="0"/>
              <w:rPr>
                <w:rFonts w:cstheme="minorHAnsi"/>
              </w:rPr>
            </w:pPr>
            <w:r>
              <w:rPr>
                <w:rFonts w:cstheme="minorHAnsi"/>
              </w:rPr>
              <w:t>34,800</w:t>
            </w:r>
          </w:p>
        </w:tc>
        <w:tc>
          <w:tcPr>
            <w:tcW w:w="797" w:type="pct"/>
            <w:tcBorders>
              <w:top w:val="nil"/>
              <w:left w:val="nil"/>
              <w:bottom w:val="nil"/>
              <w:right w:val="nil"/>
            </w:tcBorders>
            <w:vAlign w:val="center"/>
          </w:tcPr>
          <w:p w:rsidR="00990AE5" w:rsidP="00990AE5" w:rsidRDefault="00990AE5" w14:paraId="30A0EDC4" w14:textId="70E223E3">
            <w:pPr>
              <w:pStyle w:val="TableText"/>
              <w:rPr>
                <w:szCs w:val="16"/>
              </w:rPr>
            </w:pPr>
            <w:r>
              <w:rPr>
                <w:szCs w:val="16"/>
              </w:rPr>
              <w:t>1</w:t>
            </w:r>
          </w:p>
        </w:tc>
        <w:tc>
          <w:tcPr>
            <w:tcW w:w="776" w:type="pct"/>
            <w:tcBorders>
              <w:top w:val="nil"/>
              <w:left w:val="nil"/>
              <w:bottom w:val="nil"/>
              <w:right w:val="nil"/>
            </w:tcBorders>
            <w:vAlign w:val="center"/>
          </w:tcPr>
          <w:p w:rsidR="00990AE5" w:rsidP="00EB59C0" w:rsidRDefault="00990AE5" w14:paraId="28CE43CF" w14:textId="2E879D3F">
            <w:pPr>
              <w:pStyle w:val="TableText"/>
              <w:ind w:firstLine="0"/>
              <w:rPr>
                <w:szCs w:val="16"/>
              </w:rPr>
            </w:pPr>
            <w:r>
              <w:rPr>
                <w:szCs w:val="16"/>
              </w:rPr>
              <w:t>0.33333</w:t>
            </w:r>
          </w:p>
        </w:tc>
        <w:tc>
          <w:tcPr>
            <w:tcW w:w="669" w:type="pct"/>
            <w:tcBorders>
              <w:top w:val="nil"/>
              <w:left w:val="nil"/>
              <w:bottom w:val="nil"/>
              <w:right w:val="nil"/>
            </w:tcBorders>
            <w:vAlign w:val="center"/>
          </w:tcPr>
          <w:p w:rsidR="00990AE5" w:rsidP="00EB59C0" w:rsidRDefault="00990AE5" w14:paraId="0C0C1A3E" w14:textId="23A85560">
            <w:pPr>
              <w:pStyle w:val="TableText"/>
              <w:ind w:firstLine="0"/>
              <w:rPr>
                <w:szCs w:val="16"/>
              </w:rPr>
            </w:pPr>
            <w:r>
              <w:rPr>
                <w:szCs w:val="16"/>
              </w:rPr>
              <w:t>11,600</w:t>
            </w:r>
          </w:p>
        </w:tc>
        <w:tc>
          <w:tcPr>
            <w:tcW w:w="525" w:type="pct"/>
            <w:tcBorders>
              <w:top w:val="nil"/>
              <w:left w:val="nil"/>
              <w:bottom w:val="nil"/>
              <w:right w:val="nil"/>
            </w:tcBorders>
            <w:vAlign w:val="center"/>
          </w:tcPr>
          <w:p w:rsidR="00990AE5" w:rsidP="00EB59C0" w:rsidRDefault="00990AE5" w14:paraId="47577F49" w14:textId="0BE01567">
            <w:pPr>
              <w:pStyle w:val="TableText"/>
              <w:ind w:firstLine="0"/>
              <w:rPr>
                <w:szCs w:val="16"/>
              </w:rPr>
            </w:pPr>
            <w:r>
              <w:rPr>
                <w:szCs w:val="16"/>
              </w:rPr>
              <w:t>$38</w:t>
            </w:r>
          </w:p>
        </w:tc>
        <w:tc>
          <w:tcPr>
            <w:tcW w:w="667" w:type="pct"/>
            <w:tcBorders>
              <w:top w:val="nil"/>
              <w:left w:val="nil"/>
              <w:bottom w:val="nil"/>
              <w:right w:val="nil"/>
            </w:tcBorders>
            <w:vAlign w:val="center"/>
          </w:tcPr>
          <w:p w:rsidR="00990AE5" w:rsidP="00EB59C0" w:rsidRDefault="00990AE5" w14:paraId="02BAE74B" w14:textId="2EA1B582">
            <w:pPr>
              <w:pStyle w:val="TableText"/>
              <w:ind w:firstLine="0"/>
              <w:rPr>
                <w:szCs w:val="16"/>
              </w:rPr>
            </w:pPr>
            <w:r>
              <w:rPr>
                <w:szCs w:val="16"/>
              </w:rPr>
              <w:t>$440,800</w:t>
            </w:r>
          </w:p>
        </w:tc>
      </w:tr>
      <w:tr w:rsidR="00A63794" w:rsidTr="00EB59C0" w14:paraId="4B329EA7" w14:textId="77777777">
        <w:trPr>
          <w:trHeight w:val="80"/>
        </w:trPr>
        <w:tc>
          <w:tcPr>
            <w:tcW w:w="763" w:type="pct"/>
            <w:tcBorders>
              <w:top w:val="nil"/>
              <w:left w:val="nil"/>
              <w:bottom w:val="nil"/>
              <w:right w:val="nil"/>
            </w:tcBorders>
            <w:vAlign w:val="center"/>
          </w:tcPr>
          <w:p w:rsidR="00A63794" w:rsidP="00EB59C0" w:rsidRDefault="00A63794" w14:paraId="62567C26" w14:textId="5956FDEE">
            <w:pPr>
              <w:pStyle w:val="TableText"/>
              <w:ind w:firstLine="0"/>
              <w:rPr>
                <w:b/>
                <w:szCs w:val="16"/>
              </w:rPr>
            </w:pPr>
            <w:r>
              <w:rPr>
                <w:b/>
                <w:szCs w:val="16"/>
              </w:rPr>
              <w:t>Total</w:t>
            </w:r>
          </w:p>
        </w:tc>
        <w:tc>
          <w:tcPr>
            <w:tcW w:w="803" w:type="pct"/>
            <w:tcBorders>
              <w:top w:val="nil"/>
              <w:left w:val="nil"/>
              <w:bottom w:val="nil"/>
              <w:right w:val="nil"/>
            </w:tcBorders>
            <w:vAlign w:val="center"/>
          </w:tcPr>
          <w:p w:rsidR="00A63794" w:rsidP="00EB59C0" w:rsidRDefault="00EB59C0" w14:paraId="2AE5B278" w14:textId="50F18402">
            <w:pPr>
              <w:pStyle w:val="TableText"/>
              <w:ind w:firstLine="0"/>
              <w:rPr>
                <w:rFonts w:cstheme="minorHAnsi"/>
              </w:rPr>
            </w:pPr>
            <w:r>
              <w:rPr>
                <w:rFonts w:cstheme="minorHAnsi"/>
              </w:rPr>
              <w:t>69,600</w:t>
            </w:r>
          </w:p>
        </w:tc>
        <w:tc>
          <w:tcPr>
            <w:tcW w:w="797" w:type="pct"/>
            <w:tcBorders>
              <w:top w:val="nil"/>
              <w:left w:val="nil"/>
              <w:bottom w:val="nil"/>
              <w:right w:val="nil"/>
            </w:tcBorders>
            <w:vAlign w:val="center"/>
          </w:tcPr>
          <w:p w:rsidR="00A63794" w:rsidP="00990AE5" w:rsidRDefault="00EB59C0" w14:paraId="48FC7850" w14:textId="3D98DC35">
            <w:pPr>
              <w:pStyle w:val="TableText"/>
              <w:rPr>
                <w:szCs w:val="16"/>
              </w:rPr>
            </w:pPr>
            <w:r>
              <w:rPr>
                <w:szCs w:val="16"/>
              </w:rPr>
              <w:t>1</w:t>
            </w:r>
          </w:p>
        </w:tc>
        <w:tc>
          <w:tcPr>
            <w:tcW w:w="776" w:type="pct"/>
            <w:tcBorders>
              <w:top w:val="nil"/>
              <w:left w:val="nil"/>
              <w:bottom w:val="nil"/>
              <w:right w:val="nil"/>
            </w:tcBorders>
            <w:vAlign w:val="center"/>
          </w:tcPr>
          <w:p w:rsidR="00A63794" w:rsidP="00EB59C0" w:rsidRDefault="00EB59C0" w14:paraId="18A08349" w14:textId="78B4088A">
            <w:pPr>
              <w:pStyle w:val="TableText"/>
              <w:ind w:firstLine="0"/>
              <w:rPr>
                <w:szCs w:val="16"/>
              </w:rPr>
            </w:pPr>
            <w:r>
              <w:rPr>
                <w:szCs w:val="16"/>
              </w:rPr>
              <w:t>0.33333</w:t>
            </w:r>
          </w:p>
        </w:tc>
        <w:tc>
          <w:tcPr>
            <w:tcW w:w="669" w:type="pct"/>
            <w:tcBorders>
              <w:top w:val="nil"/>
              <w:left w:val="nil"/>
              <w:bottom w:val="nil"/>
              <w:right w:val="nil"/>
            </w:tcBorders>
            <w:vAlign w:val="center"/>
          </w:tcPr>
          <w:p w:rsidR="00A63794" w:rsidP="00EB59C0" w:rsidRDefault="00EB59C0" w14:paraId="60D94269" w14:textId="4D285F6B">
            <w:pPr>
              <w:pStyle w:val="TableText"/>
              <w:ind w:firstLine="0"/>
              <w:rPr>
                <w:szCs w:val="16"/>
              </w:rPr>
            </w:pPr>
            <w:r>
              <w:rPr>
                <w:szCs w:val="16"/>
              </w:rPr>
              <w:t>23,200</w:t>
            </w:r>
          </w:p>
        </w:tc>
        <w:tc>
          <w:tcPr>
            <w:tcW w:w="525" w:type="pct"/>
            <w:tcBorders>
              <w:top w:val="nil"/>
              <w:left w:val="nil"/>
              <w:bottom w:val="nil"/>
              <w:right w:val="nil"/>
            </w:tcBorders>
            <w:vAlign w:val="center"/>
          </w:tcPr>
          <w:p w:rsidR="00A63794" w:rsidP="00EB59C0" w:rsidRDefault="00EB59C0" w14:paraId="09D5AD82" w14:textId="61B20C88">
            <w:pPr>
              <w:pStyle w:val="TableText"/>
              <w:ind w:firstLine="0"/>
              <w:rPr>
                <w:szCs w:val="16"/>
              </w:rPr>
            </w:pPr>
            <w:r>
              <w:rPr>
                <w:szCs w:val="16"/>
              </w:rPr>
              <w:t>$38</w:t>
            </w:r>
          </w:p>
        </w:tc>
        <w:tc>
          <w:tcPr>
            <w:tcW w:w="667" w:type="pct"/>
            <w:tcBorders>
              <w:top w:val="nil"/>
              <w:left w:val="nil"/>
              <w:bottom w:val="nil"/>
              <w:right w:val="nil"/>
            </w:tcBorders>
            <w:vAlign w:val="center"/>
          </w:tcPr>
          <w:p w:rsidR="00A63794" w:rsidP="00EB59C0" w:rsidRDefault="00EB59C0" w14:paraId="656E1543" w14:textId="0DF9D7E2">
            <w:pPr>
              <w:pStyle w:val="TableText"/>
              <w:ind w:firstLine="0"/>
              <w:rPr>
                <w:szCs w:val="16"/>
              </w:rPr>
            </w:pPr>
            <w:r>
              <w:rPr>
                <w:szCs w:val="16"/>
              </w:rPr>
              <w:t>$881,600</w:t>
            </w:r>
          </w:p>
        </w:tc>
      </w:tr>
      <w:bookmarkEnd w:id="49"/>
    </w:tbl>
    <w:p w:rsidRPr="008C18BF" w:rsidR="00A63D7F" w:rsidP="00E87C98" w:rsidRDefault="00A63D7F" w14:paraId="13D42FA4" w14:textId="77777777">
      <w:pPr>
        <w:pStyle w:val="Body12ptCalibri-IPR"/>
        <w:rPr>
          <w:rFonts w:cstheme="minorHAnsi"/>
        </w:rPr>
      </w:pPr>
    </w:p>
    <w:p w:rsidRPr="008C18BF" w:rsidR="00181B91" w:rsidP="00181B91" w:rsidRDefault="00181B91" w14:paraId="3EB64812" w14:textId="1AF10296">
      <w:pPr>
        <w:pStyle w:val="Hdng2-IPR"/>
      </w:pPr>
      <w:bookmarkStart w:name="_Toc351666587" w:id="50"/>
      <w:bookmarkStart w:name="_Toc416426572" w:id="51"/>
      <w:r w:rsidRPr="008C18BF">
        <w:t>A.13.</w:t>
      </w:r>
      <w:r w:rsidRPr="008C18BF">
        <w:tab/>
        <w:t>Estimates of Other Total Annual Cost Burden to Respondents or Record Keepers</w:t>
      </w:r>
      <w:bookmarkEnd w:id="50"/>
      <w:bookmarkEnd w:id="51"/>
    </w:p>
    <w:p w:rsidRPr="00236788" w:rsidR="00181B91" w:rsidP="00181B91" w:rsidRDefault="00181B91" w14:paraId="71F7BA85" w14:textId="77777777">
      <w:pPr>
        <w:pStyle w:val="OMBRequirementCalibri"/>
        <w:rPr>
          <w:rFonts w:cstheme="minorHAnsi"/>
        </w:rPr>
      </w:pPr>
      <w:r w:rsidRPr="00236788">
        <w:rPr>
          <w:rFonts w:cstheme="minorHAnsi"/>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475511" w:rsidR="00181B91" w:rsidP="00181B91" w:rsidRDefault="00644E85" w14:paraId="47BB744E" w14:textId="7317767F">
      <w:pPr>
        <w:pStyle w:val="Body12ptCalibri-IPR"/>
        <w:rPr>
          <w:rFonts w:cstheme="minorHAnsi"/>
        </w:rPr>
      </w:pPr>
      <w:r w:rsidRPr="00644E85">
        <w:rPr>
          <w:rFonts w:cstheme="minorHAnsi"/>
          <w:color w:val="000000"/>
          <w:lang w:bidi="he-IL"/>
        </w:rPr>
        <w:lastRenderedPageBreak/>
        <w:t xml:space="preserve">These information collection activities do not place any additional costs on respondents or record keepers. </w:t>
      </w:r>
      <w:r w:rsidRPr="00475511" w:rsidR="00181B91">
        <w:rPr>
          <w:rFonts w:cstheme="minorHAnsi"/>
          <w:color w:val="000000"/>
          <w:lang w:bidi="he-IL"/>
        </w:rPr>
        <w:t xml:space="preserve"> </w:t>
      </w:r>
    </w:p>
    <w:p w:rsidRPr="00740EBA" w:rsidR="00181B91" w:rsidP="00181B91" w:rsidRDefault="00181B91" w14:paraId="7D69B511" w14:textId="2A0ACE87">
      <w:pPr>
        <w:pStyle w:val="Hdng2-IPR"/>
      </w:pPr>
      <w:bookmarkStart w:name="_Toc133208887" w:id="52"/>
      <w:bookmarkStart w:name="_Toc329426286" w:id="53"/>
      <w:bookmarkStart w:name="_Toc335320956" w:id="54"/>
      <w:bookmarkStart w:name="_Toc351666588" w:id="55"/>
      <w:bookmarkStart w:name="_Toc416426573" w:id="56"/>
      <w:r w:rsidRPr="00740EBA">
        <w:t>A.14.</w:t>
      </w:r>
      <w:r w:rsidRPr="00740EBA">
        <w:tab/>
        <w:t>Annualized Cost to Federal Government</w:t>
      </w:r>
      <w:bookmarkEnd w:id="52"/>
      <w:bookmarkEnd w:id="53"/>
      <w:bookmarkEnd w:id="54"/>
      <w:bookmarkEnd w:id="55"/>
      <w:bookmarkEnd w:id="56"/>
    </w:p>
    <w:p w:rsidRPr="00236788" w:rsidR="00181B91" w:rsidP="00181B91" w:rsidRDefault="00181B91" w14:paraId="5B543A1F" w14:textId="77777777">
      <w:pPr>
        <w:pStyle w:val="OMBRequirementCalibri"/>
        <w:rPr>
          <w:rFonts w:cstheme="minorHAnsi"/>
        </w:rPr>
      </w:pPr>
      <w:r w:rsidRPr="00236788">
        <w:rPr>
          <w:rFonts w:cstheme="minorHAnsi"/>
        </w:rPr>
        <w:t>Provide estimates of annualized cost to the Federal government. Also, provide a description of the method used to estimate cost and any other expense that would not have been incurred without this collection of information.</w:t>
      </w:r>
    </w:p>
    <w:p w:rsidRPr="00475511" w:rsidR="00181B91" w:rsidP="00181B91" w:rsidRDefault="00181B91" w14:paraId="4946954C" w14:textId="412D7C17">
      <w:pPr>
        <w:pStyle w:val="Body12ptCalibri-IPR"/>
        <w:rPr>
          <w:rFonts w:cstheme="minorHAnsi"/>
        </w:rPr>
      </w:pPr>
      <w:bookmarkStart w:name="_Hlk57191883" w:id="57"/>
      <w:r w:rsidRPr="00236788">
        <w:rPr>
          <w:rFonts w:cstheme="minorHAnsi"/>
        </w:rPr>
        <w:t>The</w:t>
      </w:r>
      <w:r w:rsidR="00040027">
        <w:rPr>
          <w:rFonts w:cstheme="minorHAnsi"/>
        </w:rPr>
        <w:t xml:space="preserve"> estimated</w:t>
      </w:r>
      <w:r w:rsidRPr="00236788">
        <w:rPr>
          <w:rFonts w:cstheme="minorHAnsi"/>
        </w:rPr>
        <w:t xml:space="preserve"> </w:t>
      </w:r>
      <w:r w:rsidR="00B478BE">
        <w:rPr>
          <w:rFonts w:cstheme="minorHAnsi"/>
        </w:rPr>
        <w:t>annualized</w:t>
      </w:r>
      <w:r w:rsidR="00644E85">
        <w:rPr>
          <w:rFonts w:cstheme="minorHAnsi"/>
        </w:rPr>
        <w:t xml:space="preserve"> cost of this study to the Federal Government </w:t>
      </w:r>
      <w:r w:rsidR="00A63794">
        <w:rPr>
          <w:rFonts w:cstheme="minorHAnsi"/>
        </w:rPr>
        <w:t>to conduct the 2021 and 2023 Merit Review Surve</w:t>
      </w:r>
      <w:r w:rsidRPr="00B478BE" w:rsidR="00A63794">
        <w:rPr>
          <w:rFonts w:cstheme="minorHAnsi"/>
        </w:rPr>
        <w:t xml:space="preserve">y </w:t>
      </w:r>
      <w:r w:rsidRPr="00B478BE" w:rsidR="007E42FD">
        <w:rPr>
          <w:rFonts w:cstheme="minorHAnsi"/>
        </w:rPr>
        <w:t>$</w:t>
      </w:r>
      <w:r w:rsidRPr="00B478BE" w:rsidR="00B478BE">
        <w:t>339,433</w:t>
      </w:r>
      <w:r w:rsidRPr="00D10263" w:rsidR="00644E85">
        <w:rPr>
          <w:rFonts w:cstheme="minorHAnsi"/>
        </w:rPr>
        <w:t>.</w:t>
      </w:r>
      <w:r w:rsidR="00644E85">
        <w:rPr>
          <w:rFonts w:cstheme="minorHAnsi"/>
        </w:rPr>
        <w:t xml:space="preserve"> </w:t>
      </w:r>
      <w:r w:rsidRPr="00236788">
        <w:rPr>
          <w:rFonts w:cstheme="minorHAnsi"/>
        </w:rPr>
        <w:t xml:space="preserve">This total includes costs associated with the study design, instrument development, survey programming, information collection, analysis, reporting, and presentation/publication of the results. </w:t>
      </w:r>
      <w:bookmarkEnd w:id="57"/>
    </w:p>
    <w:p w:rsidRPr="00740EBA" w:rsidR="00181B91" w:rsidP="00181B91" w:rsidRDefault="00181B91" w14:paraId="33DA5CE0" w14:textId="7A6B6C6D">
      <w:pPr>
        <w:pStyle w:val="Hdng2-IPR"/>
      </w:pPr>
      <w:bookmarkStart w:name="_Toc133208888" w:id="58"/>
      <w:bookmarkStart w:name="_Toc329426287" w:id="59"/>
      <w:bookmarkStart w:name="_Toc335320957" w:id="60"/>
      <w:bookmarkStart w:name="_Toc351666589" w:id="61"/>
      <w:bookmarkStart w:name="_Toc416426574" w:id="62"/>
      <w:r w:rsidRPr="00740EBA">
        <w:t>A.15.</w:t>
      </w:r>
      <w:r w:rsidRPr="00740EBA">
        <w:tab/>
      </w:r>
      <w:bookmarkEnd w:id="58"/>
      <w:r w:rsidRPr="00740EBA">
        <w:t>Explanation for Program Changes or Adjustments</w:t>
      </w:r>
      <w:bookmarkEnd w:id="59"/>
      <w:bookmarkEnd w:id="60"/>
      <w:bookmarkEnd w:id="61"/>
      <w:bookmarkEnd w:id="62"/>
    </w:p>
    <w:p w:rsidRPr="00236788" w:rsidR="00181B91" w:rsidP="00181B91" w:rsidRDefault="00181B91" w14:paraId="5B29D62A" w14:textId="77777777">
      <w:pPr>
        <w:pStyle w:val="OMBRequirementCalibri"/>
        <w:rPr>
          <w:rFonts w:cstheme="minorHAnsi"/>
        </w:rPr>
      </w:pPr>
      <w:r w:rsidRPr="00236788">
        <w:rPr>
          <w:rFonts w:cstheme="minorHAnsi"/>
        </w:rPr>
        <w:t>Explain the reasons for any program changes or adjustments reported in Items 13 or 14 of the OMB Form 83-1.</w:t>
      </w:r>
    </w:p>
    <w:p w:rsidRPr="00475511" w:rsidR="00181B91" w:rsidP="00181B91" w:rsidRDefault="00644E85" w14:paraId="6F09EC76" w14:textId="2F4DC68B">
      <w:pPr>
        <w:pStyle w:val="Body12ptCalibri-IPR"/>
        <w:rPr>
          <w:rFonts w:cstheme="minorHAnsi"/>
        </w:rPr>
      </w:pPr>
      <w:r w:rsidRPr="00644E85">
        <w:rPr>
          <w:rFonts w:cstheme="minorHAnsi"/>
        </w:rPr>
        <w:t xml:space="preserve">This is a new submission. There is no request for program changes or adjustments. </w:t>
      </w:r>
    </w:p>
    <w:p w:rsidRPr="00740EBA" w:rsidR="00181B91" w:rsidP="00181B91" w:rsidRDefault="00181B91" w14:paraId="1102442F" w14:textId="2E2F3674">
      <w:pPr>
        <w:pStyle w:val="Hdng2-IPR"/>
      </w:pPr>
      <w:bookmarkStart w:name="_Toc133208890" w:id="63"/>
      <w:bookmarkStart w:name="_Toc329426288" w:id="64"/>
      <w:bookmarkStart w:name="_Toc335320958" w:id="65"/>
      <w:bookmarkStart w:name="_Toc351666590" w:id="66"/>
      <w:bookmarkStart w:name="_Toc416426575" w:id="67"/>
      <w:r w:rsidRPr="00740EBA">
        <w:t>A.16.</w:t>
      </w:r>
      <w:r w:rsidRPr="00740EBA">
        <w:tab/>
      </w:r>
      <w:bookmarkEnd w:id="63"/>
      <w:r w:rsidRPr="00740EBA">
        <w:t>Plans for Tabulation and Publication and Project Time Schedule</w:t>
      </w:r>
      <w:bookmarkEnd w:id="64"/>
      <w:bookmarkEnd w:id="65"/>
      <w:bookmarkEnd w:id="66"/>
      <w:bookmarkEnd w:id="67"/>
    </w:p>
    <w:p w:rsidRPr="00236788" w:rsidR="00181B91" w:rsidP="00181B91" w:rsidRDefault="00181B91" w14:paraId="1EFE88BB" w14:textId="77777777">
      <w:pPr>
        <w:pStyle w:val="OMBRequirementCalibri"/>
        <w:rPr>
          <w:rFonts w:cstheme="minorHAnsi"/>
        </w:rPr>
      </w:pPr>
      <w:r w:rsidRPr="00236788">
        <w:rPr>
          <w:rFonts w:cstheme="minorHAnsi"/>
        </w:rPr>
        <w:t>For collections of information whose results are planned to be published, outline plans for tabulation and publication.</w:t>
      </w:r>
    </w:p>
    <w:p w:rsidR="00644E85" w:rsidP="00181B91" w:rsidRDefault="00902A55" w14:paraId="085946E5" w14:textId="19381646">
      <w:pPr>
        <w:pStyle w:val="Body12ptCalibri-IPR"/>
      </w:pPr>
      <w:r>
        <w:rPr>
          <w:rFonts w:cstheme="minorHAnsi"/>
        </w:rPr>
        <w:t>T</w:t>
      </w:r>
      <w:r w:rsidRPr="00644E85" w:rsidR="00644E85">
        <w:rPr>
          <w:rFonts w:cstheme="minorHAnsi"/>
        </w:rPr>
        <w:t>he</w:t>
      </w:r>
      <w:r w:rsidR="00C5594F">
        <w:rPr>
          <w:rFonts w:cstheme="minorHAnsi"/>
        </w:rPr>
        <w:t xml:space="preserve"> survey data obtained from the</w:t>
      </w:r>
      <w:r w:rsidRPr="00644E85" w:rsidR="00644E85">
        <w:rPr>
          <w:rFonts w:cstheme="minorHAnsi"/>
        </w:rPr>
        <w:t xml:space="preserve"> instrument included in this </w:t>
      </w:r>
      <w:r>
        <w:rPr>
          <w:rFonts w:cstheme="minorHAnsi"/>
        </w:rPr>
        <w:t>IRC</w:t>
      </w:r>
      <w:r w:rsidRPr="00644E85" w:rsidR="00644E85">
        <w:rPr>
          <w:rFonts w:cstheme="minorHAnsi"/>
        </w:rPr>
        <w:t xml:space="preserve"> will </w:t>
      </w:r>
      <w:r w:rsidR="00C5594F">
        <w:rPr>
          <w:rFonts w:cstheme="minorHAnsi"/>
        </w:rPr>
        <w:t xml:space="preserve">be used to </w:t>
      </w:r>
      <w:r w:rsidRPr="00644E85" w:rsidR="00644E85">
        <w:rPr>
          <w:rFonts w:cstheme="minorHAnsi"/>
        </w:rPr>
        <w:t xml:space="preserve">describe </w:t>
      </w:r>
      <w:r w:rsidR="00644E85">
        <w:rPr>
          <w:rFonts w:cstheme="minorHAnsi"/>
        </w:rPr>
        <w:t>applicant and reviewer satisfaction and experiences</w:t>
      </w:r>
      <w:r w:rsidRPr="00644E85" w:rsidR="00644E85">
        <w:rPr>
          <w:rFonts w:cstheme="minorHAnsi"/>
        </w:rPr>
        <w:t xml:space="preserve"> and identify </w:t>
      </w:r>
      <w:r w:rsidR="00D867DD">
        <w:rPr>
          <w:rFonts w:cstheme="minorHAnsi"/>
        </w:rPr>
        <w:t xml:space="preserve">trends </w:t>
      </w:r>
      <w:r w:rsidR="00C5594F">
        <w:rPr>
          <w:rFonts w:cstheme="minorHAnsi"/>
        </w:rPr>
        <w:t>over time</w:t>
      </w:r>
      <w:r w:rsidR="00D867DD">
        <w:rPr>
          <w:rFonts w:cstheme="minorHAnsi"/>
        </w:rPr>
        <w:t xml:space="preserve">. </w:t>
      </w:r>
      <w:r w:rsidR="00C5594F">
        <w:rPr>
          <w:rFonts w:cstheme="minorHAnsi"/>
        </w:rPr>
        <w:t>The</w:t>
      </w:r>
      <w:r w:rsidRPr="00412B2B" w:rsidR="00412B2B">
        <w:rPr>
          <w:rFonts w:cstheme="minorHAnsi"/>
        </w:rPr>
        <w:t xml:space="preserve"> data will be summarized using basic descriptive methods. Data </w:t>
      </w:r>
      <w:r w:rsidR="00412B2B">
        <w:rPr>
          <w:rFonts w:cstheme="minorHAnsi"/>
        </w:rPr>
        <w:t xml:space="preserve">preparation will include </w:t>
      </w:r>
      <w:r w:rsidRPr="00412B2B" w:rsidR="00412B2B">
        <w:rPr>
          <w:rFonts w:cstheme="minorHAnsi"/>
        </w:rPr>
        <w:t>data cleaning, variable construction, computing descriptive statistics</w:t>
      </w:r>
      <w:r w:rsidR="00551D49">
        <w:rPr>
          <w:rFonts w:cstheme="minorHAnsi"/>
        </w:rPr>
        <w:t>, nonresponse bias analyses, and weighting calculation</w:t>
      </w:r>
      <w:r w:rsidRPr="00412B2B" w:rsidR="00412B2B">
        <w:rPr>
          <w:rFonts w:cstheme="minorHAnsi"/>
        </w:rPr>
        <w:t xml:space="preserve">. To facilitate analysis of each data source we will create variables to address the study’s research questions. </w:t>
      </w:r>
      <w:r w:rsidR="005C6405">
        <w:rPr>
          <w:rFonts w:cstheme="minorHAnsi"/>
        </w:rPr>
        <w:t xml:space="preserve">These analyses will focus on examining applicant and reviewer burden, perception of proposal and review quality and fairness, and overall satisfaction with the merit review process.  </w:t>
      </w:r>
      <w:r w:rsidR="00251581">
        <w:rPr>
          <w:rFonts w:cstheme="minorHAnsi"/>
        </w:rPr>
        <w:t>A</w:t>
      </w:r>
      <w:r w:rsidR="005C6405">
        <w:rPr>
          <w:rFonts w:cstheme="minorHAnsi"/>
        </w:rPr>
        <w:t xml:space="preserve">nalyses will </w:t>
      </w:r>
      <w:r w:rsidR="00251581">
        <w:rPr>
          <w:rFonts w:cstheme="minorHAnsi"/>
        </w:rPr>
        <w:t xml:space="preserve">also </w:t>
      </w:r>
      <w:r w:rsidR="005C6405">
        <w:rPr>
          <w:rFonts w:cstheme="minorHAnsi"/>
        </w:rPr>
        <w:t>examine change</w:t>
      </w:r>
      <w:r w:rsidR="006E6175">
        <w:rPr>
          <w:rFonts w:cstheme="minorHAnsi"/>
        </w:rPr>
        <w:t>s</w:t>
      </w:r>
      <w:r w:rsidR="005C6405">
        <w:rPr>
          <w:rFonts w:cstheme="minorHAnsi"/>
        </w:rPr>
        <w:t xml:space="preserve"> in these findings from the prior survey </w:t>
      </w:r>
      <w:r w:rsidR="005C6405">
        <w:rPr>
          <w:rFonts w:cstheme="minorHAnsi"/>
        </w:rPr>
        <w:lastRenderedPageBreak/>
        <w:t xml:space="preserve">cycle. </w:t>
      </w:r>
      <w:r w:rsidR="00ED272A">
        <w:rPr>
          <w:rFonts w:cstheme="minorHAnsi"/>
        </w:rPr>
        <w:t>For example, t</w:t>
      </w:r>
      <w:r w:rsidR="00ED272A">
        <w:t xml:space="preserve">o assess reviewer and </w:t>
      </w:r>
      <w:r w:rsidRPr="00A51D0C" w:rsidR="00ED272A">
        <w:t xml:space="preserve">applicant </w:t>
      </w:r>
      <w:r w:rsidR="00ED272A">
        <w:t xml:space="preserve">experiences with and perceptions of the merit review process, the study contractor will conduct descriptive analyses including the calculation of frequencies for categorical variables and means for continuous and discrete variables. To assess whether </w:t>
      </w:r>
      <w:r w:rsidR="00251581">
        <w:t>experience</w:t>
      </w:r>
      <w:r w:rsidR="00ED272A">
        <w:t xml:space="preserve"> varies by race/ethnicity, gender, disability status, early career status, or reviewer type subgroups</w:t>
      </w:r>
      <w:r w:rsidR="00251581">
        <w:t xml:space="preserve"> (obtained through NSF administrative data)</w:t>
      </w:r>
      <w:r w:rsidR="00ED272A">
        <w:t>, the study contractor will conduct a variety of statistical tests depending on the type of variable (e.g., conduct z-tests for each continuous variable, chi-square tests for each binary or nominal variable, and Mann-Whitney tests for each ordinal variable)</w:t>
      </w:r>
      <w:r w:rsidR="006E6175">
        <w:t>.</w:t>
      </w:r>
      <w:r w:rsidR="00ED272A">
        <w:t xml:space="preserve"> Findings will be displayed in predetermined table shells which will display calculation of frequencies and means </w:t>
      </w:r>
      <w:r w:rsidR="005C6405">
        <w:t xml:space="preserve">for descriptive analyses </w:t>
      </w:r>
      <w:r w:rsidR="00ED272A">
        <w:t xml:space="preserve">and </w:t>
      </w:r>
      <w:r w:rsidR="005C6405">
        <w:t xml:space="preserve">results of statistical analyses. </w:t>
      </w:r>
    </w:p>
    <w:p w:rsidR="00C8671B" w:rsidP="00181B91" w:rsidRDefault="00C8671B" w14:paraId="72DF803E" w14:textId="07531A4C">
      <w:pPr>
        <w:pStyle w:val="Body12ptCalibri-IPR"/>
        <w:rPr>
          <w:rFonts w:cstheme="minorHAnsi"/>
        </w:rPr>
      </w:pPr>
      <w:r w:rsidRPr="00C8671B">
        <w:rPr>
          <w:rFonts w:cstheme="minorHAnsi"/>
        </w:rPr>
        <w:t xml:space="preserve">The study contractor will also use administrative data provided by NSF to identify how many proposal reviews </w:t>
      </w:r>
      <w:r w:rsidR="00C5594F">
        <w:rPr>
          <w:rFonts w:cstheme="minorHAnsi"/>
        </w:rPr>
        <w:t>were</w:t>
      </w:r>
      <w:r w:rsidRPr="00C8671B">
        <w:rPr>
          <w:rFonts w:cstheme="minorHAnsi"/>
        </w:rPr>
        <w:t xml:space="preserve"> completed for NSF, how many proposals were submitted to NSF, the applicant funding success rate (number of proposals</w:t>
      </w:r>
      <w:r w:rsidR="006E6175">
        <w:rPr>
          <w:rFonts w:cstheme="minorHAnsi"/>
        </w:rPr>
        <w:t xml:space="preserve"> </w:t>
      </w:r>
      <w:r w:rsidRPr="00C8671B">
        <w:rPr>
          <w:rFonts w:cstheme="minorHAnsi"/>
        </w:rPr>
        <w:t>awarded/number of proposals submitted), and how much funding applicants have obtained from NSF to date. Administrative data will be combined with the survey data collected to examine the relationship between the NSF application and funding outcomes and self-reported receipt of financial support from NSF as an undergraduate or graduate student. Prior to conducting these analyses, administrative data may also be used to populate demographic data for nonresponse items in the annual survey in order to conduct more robust subgroup analyses.</w:t>
      </w:r>
    </w:p>
    <w:p w:rsidRPr="00236788" w:rsidR="00181B91" w:rsidP="00181B91" w:rsidRDefault="00181B91" w14:paraId="25D0369E" w14:textId="70180168">
      <w:pPr>
        <w:pStyle w:val="Body12ptCalibri-IPR"/>
        <w:rPr>
          <w:rFonts w:cstheme="minorHAnsi"/>
        </w:rPr>
      </w:pPr>
      <w:r w:rsidRPr="00236788">
        <w:rPr>
          <w:rFonts w:cstheme="minorHAnsi"/>
        </w:rPr>
        <w:t>Survey data will be tabulated in SAS</w:t>
      </w:r>
      <w:r w:rsidRPr="00475511">
        <w:rPr>
          <w:rStyle w:val="CommentReference"/>
          <w:rFonts w:cstheme="minorHAnsi"/>
          <w:szCs w:val="24"/>
        </w:rPr>
        <w:t> </w:t>
      </w:r>
      <w:r w:rsidRPr="00475511">
        <w:rPr>
          <w:rFonts w:cstheme="minorHAnsi"/>
        </w:rPr>
        <w:t xml:space="preserve">with results presented in tabular form appropriate to the data type with selected </w:t>
      </w:r>
      <w:r w:rsidR="00DA025E">
        <w:rPr>
          <w:rFonts w:cstheme="minorHAnsi"/>
        </w:rPr>
        <w:t>applicant</w:t>
      </w:r>
      <w:r w:rsidRPr="00475511" w:rsidR="00DA025E">
        <w:rPr>
          <w:rFonts w:cstheme="minorHAnsi"/>
        </w:rPr>
        <w:t xml:space="preserve"> </w:t>
      </w:r>
      <w:r w:rsidRPr="00475511">
        <w:rPr>
          <w:rFonts w:cstheme="minorHAnsi"/>
        </w:rPr>
        <w:t xml:space="preserve">or reviewer characteristics. A final report combining the survey results with </w:t>
      </w:r>
      <w:r w:rsidR="00CE7B0A">
        <w:rPr>
          <w:rFonts w:cstheme="minorHAnsi"/>
        </w:rPr>
        <w:t xml:space="preserve">administrative </w:t>
      </w:r>
      <w:r w:rsidRPr="00475511">
        <w:rPr>
          <w:rFonts w:cstheme="minorHAnsi"/>
        </w:rPr>
        <w:t xml:space="preserve">data </w:t>
      </w:r>
      <w:r w:rsidR="00CE7B0A">
        <w:rPr>
          <w:rFonts w:cstheme="minorHAnsi"/>
        </w:rPr>
        <w:t>on proposal subm</w:t>
      </w:r>
      <w:r w:rsidRPr="00CE7B0A" w:rsidR="00CE7B0A">
        <w:rPr>
          <w:rFonts w:cstheme="minorHAnsi"/>
        </w:rPr>
        <w:t xml:space="preserve">issions and reviews </w:t>
      </w:r>
      <w:r w:rsidRPr="00CE7B0A">
        <w:rPr>
          <w:rFonts w:cstheme="minorHAnsi"/>
        </w:rPr>
        <w:t>from NSF records</w:t>
      </w:r>
      <w:r w:rsidRPr="00236788">
        <w:rPr>
          <w:rFonts w:cstheme="minorHAnsi"/>
        </w:rPr>
        <w:t xml:space="preserve"> </w:t>
      </w:r>
      <w:r w:rsidRPr="00236788">
        <w:rPr>
          <w:rFonts w:cstheme="minorHAnsi"/>
        </w:rPr>
        <w:lastRenderedPageBreak/>
        <w:t xml:space="preserve">will be submitted to NSF. </w:t>
      </w:r>
      <w:r w:rsidRPr="00236788">
        <w:rPr>
          <w:rFonts w:cstheme="minorHAnsi"/>
          <w:lang w:bidi="he-IL"/>
        </w:rPr>
        <w:t>The schedule for data collection, analysis, and reporting appears in table A.16.1 below.</w:t>
      </w:r>
    </w:p>
    <w:p w:rsidRPr="008C18BF" w:rsidR="00181B91" w:rsidP="00181B91" w:rsidRDefault="00181B91" w14:paraId="3FCC0638" w14:textId="77777777">
      <w:pPr>
        <w:pStyle w:val="TableTitle"/>
      </w:pPr>
      <w:r w:rsidRPr="008C18BF">
        <w:t>Table A.16.1</w:t>
      </w:r>
    </w:p>
    <w:p w:rsidRPr="008C18BF" w:rsidR="00181B91" w:rsidP="00181B91" w:rsidRDefault="00BC5608" w14:paraId="11175C60" w14:textId="4188BF62">
      <w:pPr>
        <w:pStyle w:val="TableTitle"/>
      </w:pPr>
      <w:r>
        <w:t xml:space="preserve">2021 Merit Review Survey </w:t>
      </w:r>
      <w:r w:rsidRPr="008C18BF" w:rsidR="00181B91">
        <w:t>Project Time Schedule</w:t>
      </w:r>
    </w:p>
    <w:tbl>
      <w:tblPr>
        <w:tblW w:w="0" w:type="auto"/>
        <w:jc w:val="center"/>
        <w:tblBorders>
          <w:top w:val="single" w:color="000000" w:sz="4" w:space="0"/>
          <w:bottom w:val="single" w:color="000000" w:sz="4" w:space="0"/>
          <w:insideH w:val="single" w:color="000000" w:sz="4" w:space="0"/>
          <w:insideV w:val="single" w:color="000000" w:sz="4" w:space="0"/>
        </w:tblBorders>
        <w:tblCellMar>
          <w:left w:w="120" w:type="dxa"/>
          <w:right w:w="120" w:type="dxa"/>
        </w:tblCellMar>
        <w:tblLook w:val="0000" w:firstRow="0" w:lastRow="0" w:firstColumn="0" w:lastColumn="0" w:noHBand="0" w:noVBand="0"/>
      </w:tblPr>
      <w:tblGrid>
        <w:gridCol w:w="4746"/>
        <w:gridCol w:w="2717"/>
      </w:tblGrid>
      <w:tr w:rsidRPr="008C18BF" w:rsidR="00334916" w:rsidTr="00AC64B5" w14:paraId="1EFDF5BD" w14:textId="77777777">
        <w:trPr>
          <w:trHeight w:val="144"/>
          <w:jc w:val="center"/>
        </w:trPr>
        <w:tc>
          <w:tcPr>
            <w:tcW w:w="0" w:type="auto"/>
            <w:shd w:val="clear" w:color="auto" w:fill="8496B0" w:themeFill="text2" w:themeFillTint="99"/>
            <w:vAlign w:val="center"/>
          </w:tcPr>
          <w:p w:rsidRPr="008C18BF" w:rsidR="00181B91" w:rsidP="00AC64B5" w:rsidRDefault="00181B91" w14:paraId="483F9409" w14:textId="77777777">
            <w:pPr>
              <w:pStyle w:val="TableText-IPR"/>
              <w:rPr>
                <w:b/>
                <w:color w:val="FFFFFF" w:themeColor="background1"/>
              </w:rPr>
            </w:pPr>
            <w:r w:rsidRPr="008C18BF">
              <w:rPr>
                <w:b/>
                <w:color w:val="FFFFFF" w:themeColor="background1"/>
              </w:rPr>
              <w:t>Activity</w:t>
            </w:r>
          </w:p>
        </w:tc>
        <w:tc>
          <w:tcPr>
            <w:tcW w:w="0" w:type="auto"/>
            <w:shd w:val="clear" w:color="auto" w:fill="8496B0" w:themeFill="text2" w:themeFillTint="99"/>
            <w:vAlign w:val="center"/>
          </w:tcPr>
          <w:p w:rsidRPr="008C18BF" w:rsidR="00181B91" w:rsidP="00AC64B5" w:rsidRDefault="00181B91" w14:paraId="4A1EE9D9" w14:textId="77777777">
            <w:pPr>
              <w:pStyle w:val="TableText-IPR"/>
              <w:rPr>
                <w:b/>
                <w:color w:val="FFFFFF" w:themeColor="background1"/>
              </w:rPr>
            </w:pPr>
            <w:r w:rsidRPr="008C18BF">
              <w:rPr>
                <w:b/>
                <w:color w:val="FFFFFF" w:themeColor="background1"/>
              </w:rPr>
              <w:t>Expected Activity Period</w:t>
            </w:r>
          </w:p>
        </w:tc>
      </w:tr>
      <w:tr w:rsidRPr="008C18BF" w:rsidR="00334916" w:rsidTr="00AC64B5" w14:paraId="1553683F" w14:textId="77777777">
        <w:trPr>
          <w:trHeight w:val="144"/>
          <w:jc w:val="center"/>
        </w:trPr>
        <w:tc>
          <w:tcPr>
            <w:tcW w:w="0" w:type="auto"/>
            <w:vAlign w:val="center"/>
          </w:tcPr>
          <w:p w:rsidRPr="008C18BF" w:rsidR="00181B91" w:rsidP="00AC64B5" w:rsidRDefault="00181B91" w14:paraId="0FC90737" w14:textId="77777777">
            <w:pPr>
              <w:pStyle w:val="TableText-IPR"/>
            </w:pPr>
            <w:r w:rsidRPr="008C18BF">
              <w:t>Develop and test web-based data collection instrument</w:t>
            </w:r>
          </w:p>
        </w:tc>
        <w:tc>
          <w:tcPr>
            <w:tcW w:w="0" w:type="auto"/>
            <w:vAlign w:val="center"/>
          </w:tcPr>
          <w:p w:rsidRPr="008C18BF" w:rsidR="00181B91" w:rsidP="00AC64B5" w:rsidRDefault="00181B91" w14:paraId="2E267B42" w14:textId="6EBF8679">
            <w:pPr>
              <w:pStyle w:val="TableText-IPR"/>
            </w:pPr>
            <w:r w:rsidRPr="008C18BF">
              <w:t xml:space="preserve">September 2020 – </w:t>
            </w:r>
            <w:r w:rsidRPr="008C18BF" w:rsidR="00334916">
              <w:t>July</w:t>
            </w:r>
            <w:r w:rsidRPr="008C18BF">
              <w:t xml:space="preserve"> 202</w:t>
            </w:r>
            <w:r w:rsidRPr="008C18BF" w:rsidR="00334916">
              <w:t>1</w:t>
            </w:r>
          </w:p>
        </w:tc>
      </w:tr>
      <w:tr w:rsidRPr="008C18BF" w:rsidR="00334916" w:rsidTr="00AC64B5" w14:paraId="20E58751" w14:textId="77777777">
        <w:trPr>
          <w:trHeight w:val="144"/>
          <w:jc w:val="center"/>
        </w:trPr>
        <w:tc>
          <w:tcPr>
            <w:tcW w:w="0" w:type="auto"/>
            <w:vAlign w:val="center"/>
          </w:tcPr>
          <w:p w:rsidRPr="008C18BF" w:rsidR="00181B91" w:rsidP="00AC64B5" w:rsidRDefault="00181B91" w14:paraId="3BD3077D" w14:textId="041E02C9">
            <w:pPr>
              <w:pStyle w:val="TableText-IPR"/>
            </w:pPr>
            <w:r w:rsidRPr="008C18BF">
              <w:t>Conduct survey</w:t>
            </w:r>
          </w:p>
        </w:tc>
        <w:tc>
          <w:tcPr>
            <w:tcW w:w="0" w:type="auto"/>
            <w:vAlign w:val="center"/>
          </w:tcPr>
          <w:p w:rsidRPr="008C18BF" w:rsidR="00181B91" w:rsidP="00AC64B5" w:rsidRDefault="00334916" w14:paraId="29D30EA5" w14:textId="44FB09AC">
            <w:pPr>
              <w:pStyle w:val="TableText-IPR"/>
            </w:pPr>
            <w:r w:rsidRPr="008C18BF">
              <w:t xml:space="preserve">August </w:t>
            </w:r>
            <w:r w:rsidRPr="008C18BF" w:rsidR="00181B91">
              <w:t xml:space="preserve">– </w:t>
            </w:r>
            <w:r w:rsidR="0024143E">
              <w:t>November</w:t>
            </w:r>
            <w:r w:rsidRPr="008C18BF" w:rsidR="0024143E">
              <w:t xml:space="preserve"> </w:t>
            </w:r>
            <w:r w:rsidRPr="008C18BF" w:rsidR="00181B91">
              <w:t>20</w:t>
            </w:r>
            <w:r w:rsidRPr="008C18BF">
              <w:t>2</w:t>
            </w:r>
            <w:r w:rsidR="00BC5608">
              <w:t>1</w:t>
            </w:r>
          </w:p>
        </w:tc>
      </w:tr>
      <w:tr w:rsidRPr="008C18BF" w:rsidR="00334916" w:rsidTr="00AC64B5" w14:paraId="4A05AF3C" w14:textId="77777777">
        <w:trPr>
          <w:trHeight w:val="144"/>
          <w:jc w:val="center"/>
        </w:trPr>
        <w:tc>
          <w:tcPr>
            <w:tcW w:w="0" w:type="auto"/>
            <w:vAlign w:val="center"/>
          </w:tcPr>
          <w:p w:rsidRPr="008C18BF" w:rsidR="00181B91" w:rsidP="00AC64B5" w:rsidRDefault="00AC149D" w14:paraId="2084EAD2" w14:textId="0E5D8E4C">
            <w:pPr>
              <w:pStyle w:val="TableText-IPR"/>
            </w:pPr>
            <w:r>
              <w:t>A</w:t>
            </w:r>
            <w:r w:rsidRPr="008C18BF" w:rsidR="00181B91">
              <w:t>nalysis of survey data</w:t>
            </w:r>
          </w:p>
        </w:tc>
        <w:tc>
          <w:tcPr>
            <w:tcW w:w="0" w:type="auto"/>
            <w:vAlign w:val="center"/>
          </w:tcPr>
          <w:p w:rsidRPr="008C18BF" w:rsidR="00181B91" w:rsidP="00AC64B5" w:rsidRDefault="0024143E" w14:paraId="26313D34" w14:textId="58F058B4">
            <w:pPr>
              <w:pStyle w:val="TableText-IPR"/>
            </w:pPr>
            <w:r>
              <w:t>November</w:t>
            </w:r>
            <w:r w:rsidRPr="008C18BF">
              <w:t xml:space="preserve"> </w:t>
            </w:r>
            <w:r w:rsidRPr="008C18BF" w:rsidR="00334916">
              <w:t>2021</w:t>
            </w:r>
            <w:r w:rsidRPr="008C18BF" w:rsidR="00181B91">
              <w:t xml:space="preserve"> – </w:t>
            </w:r>
            <w:r>
              <w:t>March</w:t>
            </w:r>
            <w:r w:rsidRPr="008C18BF">
              <w:t xml:space="preserve"> </w:t>
            </w:r>
            <w:r w:rsidRPr="008C18BF" w:rsidR="00181B91">
              <w:t>20</w:t>
            </w:r>
            <w:r w:rsidRPr="008C18BF" w:rsidR="00334916">
              <w:t>22</w:t>
            </w:r>
          </w:p>
        </w:tc>
      </w:tr>
      <w:tr w:rsidRPr="008C18BF" w:rsidR="00334916" w:rsidTr="00AC64B5" w14:paraId="67D1D5B9" w14:textId="77777777">
        <w:trPr>
          <w:trHeight w:val="144"/>
          <w:jc w:val="center"/>
        </w:trPr>
        <w:tc>
          <w:tcPr>
            <w:tcW w:w="0" w:type="auto"/>
            <w:tcBorders>
              <w:bottom w:val="single" w:color="000000" w:sz="4" w:space="0"/>
            </w:tcBorders>
            <w:vAlign w:val="center"/>
          </w:tcPr>
          <w:p w:rsidRPr="008C18BF" w:rsidR="00181B91" w:rsidP="00AC64B5" w:rsidRDefault="00181B91" w14:paraId="5720653D" w14:textId="77777777">
            <w:pPr>
              <w:pStyle w:val="TableText-IPR"/>
            </w:pPr>
            <w:r w:rsidRPr="008C18BF">
              <w:t>Submit final report to NSF</w:t>
            </w:r>
          </w:p>
        </w:tc>
        <w:tc>
          <w:tcPr>
            <w:tcW w:w="0" w:type="auto"/>
            <w:tcBorders>
              <w:bottom w:val="single" w:color="000000" w:sz="4" w:space="0"/>
            </w:tcBorders>
            <w:vAlign w:val="center"/>
          </w:tcPr>
          <w:p w:rsidRPr="008C18BF" w:rsidR="00181B91" w:rsidP="00AC64B5" w:rsidRDefault="0024143E" w14:paraId="10D8CA34" w14:textId="1787C709">
            <w:pPr>
              <w:pStyle w:val="TableText-IPR"/>
            </w:pPr>
            <w:r>
              <w:t>April</w:t>
            </w:r>
            <w:r w:rsidRPr="008C18BF">
              <w:t xml:space="preserve"> </w:t>
            </w:r>
            <w:r w:rsidRPr="008C18BF" w:rsidR="00334916">
              <w:t>2022</w:t>
            </w:r>
          </w:p>
        </w:tc>
      </w:tr>
    </w:tbl>
    <w:p w:rsidR="00181B91" w:rsidP="00181B91" w:rsidRDefault="00181B91" w14:paraId="78011A2E" w14:textId="66AD5FE5">
      <w:pPr>
        <w:pStyle w:val="Hdng2-IPR"/>
      </w:pPr>
      <w:bookmarkStart w:name="_Toc133208891" w:id="68"/>
      <w:bookmarkStart w:name="_Toc329426289" w:id="69"/>
      <w:bookmarkStart w:name="_Toc335320959" w:id="70"/>
      <w:bookmarkStart w:name="_Toc351666591" w:id="71"/>
    </w:p>
    <w:p w:rsidRPr="008C18BF" w:rsidR="00BC5608" w:rsidP="00BC5608" w:rsidRDefault="00BC5608" w14:paraId="1D71C5C6" w14:textId="5A34ABF3">
      <w:pPr>
        <w:pStyle w:val="TableTitle"/>
      </w:pPr>
      <w:r w:rsidRPr="008C18BF">
        <w:t>Table A.16.</w:t>
      </w:r>
      <w:r>
        <w:t>2</w:t>
      </w:r>
    </w:p>
    <w:p w:rsidRPr="008C18BF" w:rsidR="00BC5608" w:rsidP="00BC5608" w:rsidRDefault="00BC5608" w14:paraId="30BCF7D4" w14:textId="1AAA7967">
      <w:pPr>
        <w:pStyle w:val="TableTitle"/>
      </w:pPr>
      <w:r>
        <w:t xml:space="preserve">2023 Merit Review Survey </w:t>
      </w:r>
      <w:r w:rsidRPr="008C18BF">
        <w:t>Project Time Schedule</w:t>
      </w:r>
    </w:p>
    <w:tbl>
      <w:tblPr>
        <w:tblW w:w="0" w:type="auto"/>
        <w:jc w:val="center"/>
        <w:tblBorders>
          <w:top w:val="single" w:color="000000" w:sz="4" w:space="0"/>
          <w:bottom w:val="single" w:color="000000" w:sz="4" w:space="0"/>
          <w:insideH w:val="single" w:color="000000" w:sz="4" w:space="0"/>
          <w:insideV w:val="single" w:color="000000" w:sz="4" w:space="0"/>
        </w:tblBorders>
        <w:tblCellMar>
          <w:left w:w="120" w:type="dxa"/>
          <w:right w:w="120" w:type="dxa"/>
        </w:tblCellMar>
        <w:tblLook w:val="0000" w:firstRow="0" w:lastRow="0" w:firstColumn="0" w:lastColumn="0" w:noHBand="0" w:noVBand="0"/>
      </w:tblPr>
      <w:tblGrid>
        <w:gridCol w:w="4746"/>
        <w:gridCol w:w="2723"/>
      </w:tblGrid>
      <w:tr w:rsidRPr="008C18BF" w:rsidR="00BC5608" w:rsidTr="007C3562" w14:paraId="705B2E23" w14:textId="77777777">
        <w:trPr>
          <w:trHeight w:val="144"/>
          <w:jc w:val="center"/>
        </w:trPr>
        <w:tc>
          <w:tcPr>
            <w:tcW w:w="0" w:type="auto"/>
            <w:shd w:val="clear" w:color="auto" w:fill="8496B0" w:themeFill="text2" w:themeFillTint="99"/>
            <w:vAlign w:val="center"/>
          </w:tcPr>
          <w:p w:rsidRPr="008C18BF" w:rsidR="00BC5608" w:rsidP="007C3562" w:rsidRDefault="00BC5608" w14:paraId="5C7C41A7" w14:textId="77777777">
            <w:pPr>
              <w:pStyle w:val="TableText-IPR"/>
              <w:rPr>
                <w:b/>
                <w:color w:val="FFFFFF" w:themeColor="background1"/>
              </w:rPr>
            </w:pPr>
            <w:r w:rsidRPr="008C18BF">
              <w:rPr>
                <w:b/>
                <w:color w:val="FFFFFF" w:themeColor="background1"/>
              </w:rPr>
              <w:t>Activity</w:t>
            </w:r>
          </w:p>
        </w:tc>
        <w:tc>
          <w:tcPr>
            <w:tcW w:w="0" w:type="auto"/>
            <w:shd w:val="clear" w:color="auto" w:fill="8496B0" w:themeFill="text2" w:themeFillTint="99"/>
            <w:vAlign w:val="center"/>
          </w:tcPr>
          <w:p w:rsidRPr="008C18BF" w:rsidR="00BC5608" w:rsidP="007C3562" w:rsidRDefault="00BC5608" w14:paraId="25EF8201" w14:textId="77777777">
            <w:pPr>
              <w:pStyle w:val="TableText-IPR"/>
              <w:rPr>
                <w:b/>
                <w:color w:val="FFFFFF" w:themeColor="background1"/>
              </w:rPr>
            </w:pPr>
            <w:r w:rsidRPr="008C18BF">
              <w:rPr>
                <w:b/>
                <w:color w:val="FFFFFF" w:themeColor="background1"/>
              </w:rPr>
              <w:t>Expected Activity Period</w:t>
            </w:r>
          </w:p>
        </w:tc>
      </w:tr>
      <w:tr w:rsidRPr="008C18BF" w:rsidR="00BC5608" w:rsidTr="007C3562" w14:paraId="234E6DEB" w14:textId="77777777">
        <w:trPr>
          <w:trHeight w:val="144"/>
          <w:jc w:val="center"/>
        </w:trPr>
        <w:tc>
          <w:tcPr>
            <w:tcW w:w="0" w:type="auto"/>
            <w:vAlign w:val="center"/>
          </w:tcPr>
          <w:p w:rsidRPr="008C18BF" w:rsidR="00BC5608" w:rsidP="007C3562" w:rsidRDefault="00BC5608" w14:paraId="7505E362" w14:textId="77777777">
            <w:pPr>
              <w:pStyle w:val="TableText-IPR"/>
            </w:pPr>
            <w:r w:rsidRPr="008C18BF">
              <w:t>Develop and test web-based data collection instrument</w:t>
            </w:r>
          </w:p>
        </w:tc>
        <w:tc>
          <w:tcPr>
            <w:tcW w:w="0" w:type="auto"/>
            <w:vAlign w:val="center"/>
          </w:tcPr>
          <w:p w:rsidRPr="008C18BF" w:rsidR="00BC5608" w:rsidP="007C3562" w:rsidRDefault="00BC5608" w14:paraId="7DF10B60" w14:textId="0A120D62">
            <w:pPr>
              <w:pStyle w:val="TableText-IPR"/>
            </w:pPr>
            <w:r w:rsidRPr="008C18BF">
              <w:t>September 202</w:t>
            </w:r>
            <w:r>
              <w:t>2</w:t>
            </w:r>
            <w:r w:rsidRPr="008C18BF">
              <w:t xml:space="preserve"> – July 202</w:t>
            </w:r>
            <w:r>
              <w:t>3</w:t>
            </w:r>
          </w:p>
        </w:tc>
      </w:tr>
      <w:tr w:rsidRPr="008C18BF" w:rsidR="00BC5608" w:rsidTr="007C3562" w14:paraId="0130AFEC" w14:textId="77777777">
        <w:trPr>
          <w:trHeight w:val="144"/>
          <w:jc w:val="center"/>
        </w:trPr>
        <w:tc>
          <w:tcPr>
            <w:tcW w:w="0" w:type="auto"/>
            <w:vAlign w:val="center"/>
          </w:tcPr>
          <w:p w:rsidRPr="008C18BF" w:rsidR="00BC5608" w:rsidP="007C3562" w:rsidRDefault="00BC5608" w14:paraId="12DB9695" w14:textId="77777777">
            <w:pPr>
              <w:pStyle w:val="TableText-IPR"/>
            </w:pPr>
            <w:r w:rsidRPr="008C18BF">
              <w:t>Conduct survey</w:t>
            </w:r>
          </w:p>
        </w:tc>
        <w:tc>
          <w:tcPr>
            <w:tcW w:w="0" w:type="auto"/>
            <w:vAlign w:val="center"/>
          </w:tcPr>
          <w:p w:rsidRPr="008C18BF" w:rsidR="00BC5608" w:rsidP="007C3562" w:rsidRDefault="00BC5608" w14:paraId="0D2C8D2D" w14:textId="7143B669">
            <w:pPr>
              <w:pStyle w:val="TableText-IPR"/>
            </w:pPr>
            <w:r w:rsidRPr="008C18BF">
              <w:t>August – October 202</w:t>
            </w:r>
            <w:r>
              <w:t>3</w:t>
            </w:r>
          </w:p>
        </w:tc>
      </w:tr>
      <w:tr w:rsidRPr="008C18BF" w:rsidR="00BC5608" w:rsidTr="007C3562" w14:paraId="71C3C2F8" w14:textId="77777777">
        <w:trPr>
          <w:trHeight w:val="144"/>
          <w:jc w:val="center"/>
        </w:trPr>
        <w:tc>
          <w:tcPr>
            <w:tcW w:w="0" w:type="auto"/>
            <w:vAlign w:val="center"/>
          </w:tcPr>
          <w:p w:rsidRPr="008C18BF" w:rsidR="00BC5608" w:rsidP="007C3562" w:rsidRDefault="00BC5608" w14:paraId="43D9A988" w14:textId="77777777">
            <w:pPr>
              <w:pStyle w:val="TableText-IPR"/>
            </w:pPr>
            <w:r>
              <w:t>A</w:t>
            </w:r>
            <w:r w:rsidRPr="008C18BF">
              <w:t>nalysis of survey data</w:t>
            </w:r>
          </w:p>
        </w:tc>
        <w:tc>
          <w:tcPr>
            <w:tcW w:w="0" w:type="auto"/>
            <w:vAlign w:val="center"/>
          </w:tcPr>
          <w:p w:rsidRPr="008C18BF" w:rsidR="00BC5608" w:rsidP="007C3562" w:rsidRDefault="00BC5608" w14:paraId="1049941C" w14:textId="660BAF78">
            <w:pPr>
              <w:pStyle w:val="TableText-IPR"/>
            </w:pPr>
            <w:r w:rsidRPr="008C18BF">
              <w:t>October 202</w:t>
            </w:r>
            <w:r>
              <w:t>3</w:t>
            </w:r>
            <w:r w:rsidRPr="008C18BF">
              <w:t xml:space="preserve"> – February 202</w:t>
            </w:r>
            <w:r>
              <w:t>4</w:t>
            </w:r>
          </w:p>
        </w:tc>
      </w:tr>
      <w:tr w:rsidRPr="008C18BF" w:rsidR="00BC5608" w:rsidTr="007C3562" w14:paraId="621D2073" w14:textId="77777777">
        <w:trPr>
          <w:trHeight w:val="144"/>
          <w:jc w:val="center"/>
        </w:trPr>
        <w:tc>
          <w:tcPr>
            <w:tcW w:w="0" w:type="auto"/>
            <w:tcBorders>
              <w:bottom w:val="single" w:color="000000" w:sz="4" w:space="0"/>
            </w:tcBorders>
            <w:vAlign w:val="center"/>
          </w:tcPr>
          <w:p w:rsidRPr="008C18BF" w:rsidR="00BC5608" w:rsidP="007C3562" w:rsidRDefault="00BC5608" w14:paraId="7E1BAB43" w14:textId="77777777">
            <w:pPr>
              <w:pStyle w:val="TableText-IPR"/>
            </w:pPr>
            <w:r w:rsidRPr="008C18BF">
              <w:t>Submit final report to NSF</w:t>
            </w:r>
          </w:p>
        </w:tc>
        <w:tc>
          <w:tcPr>
            <w:tcW w:w="0" w:type="auto"/>
            <w:tcBorders>
              <w:bottom w:val="single" w:color="000000" w:sz="4" w:space="0"/>
            </w:tcBorders>
            <w:vAlign w:val="center"/>
          </w:tcPr>
          <w:p w:rsidRPr="008C18BF" w:rsidR="00BC5608" w:rsidP="007C3562" w:rsidRDefault="00BC5608" w14:paraId="06861D42" w14:textId="5BEBFDDD">
            <w:pPr>
              <w:pStyle w:val="TableText-IPR"/>
            </w:pPr>
            <w:r w:rsidRPr="008C18BF">
              <w:t>March 202</w:t>
            </w:r>
            <w:r>
              <w:t>4</w:t>
            </w:r>
          </w:p>
        </w:tc>
      </w:tr>
    </w:tbl>
    <w:p w:rsidRPr="008C18BF" w:rsidR="00BC5608" w:rsidP="00181B91" w:rsidRDefault="00BC5608" w14:paraId="2444BEE4" w14:textId="77777777">
      <w:pPr>
        <w:pStyle w:val="Hdng2-IPR"/>
      </w:pPr>
    </w:p>
    <w:p w:rsidRPr="008C18BF" w:rsidR="00181B91" w:rsidP="00181B91" w:rsidRDefault="00181B91" w14:paraId="5D566034" w14:textId="1DF4B587">
      <w:pPr>
        <w:pStyle w:val="Hdng2-IPR"/>
      </w:pPr>
      <w:bookmarkStart w:name="_Toc416426576" w:id="72"/>
      <w:r w:rsidRPr="00740EBA">
        <w:t>A.17.</w:t>
      </w:r>
      <w:r w:rsidRPr="00740EBA">
        <w:tab/>
      </w:r>
      <w:bookmarkEnd w:id="68"/>
      <w:r w:rsidRPr="00740EBA">
        <w:t>R</w:t>
      </w:r>
      <w:r w:rsidRPr="008C18BF">
        <w:rPr>
          <w:rFonts w:eastAsiaTheme="minorHAnsi"/>
        </w:rPr>
        <w:t>e</w:t>
      </w:r>
      <w:r w:rsidRPr="008C18BF">
        <w:t>ason(s) Display of OMB Expiration Date is Inappropriate</w:t>
      </w:r>
      <w:bookmarkEnd w:id="69"/>
      <w:bookmarkEnd w:id="70"/>
      <w:bookmarkEnd w:id="71"/>
      <w:bookmarkEnd w:id="72"/>
    </w:p>
    <w:p w:rsidRPr="00236788" w:rsidR="00181B91" w:rsidP="00181B91" w:rsidRDefault="00181B91" w14:paraId="55B590B8" w14:textId="77777777">
      <w:pPr>
        <w:pStyle w:val="OMBRequirementCalibri"/>
        <w:rPr>
          <w:rFonts w:cstheme="minorHAnsi"/>
        </w:rPr>
      </w:pPr>
      <w:r w:rsidRPr="00236788">
        <w:rPr>
          <w:rFonts w:cstheme="minorHAnsi"/>
        </w:rPr>
        <w:t>If seeking approval to not display the expiration date for OMB approval of the information collection, explain the reasons that display would be inappropriate.</w:t>
      </w:r>
    </w:p>
    <w:p w:rsidRPr="00236788" w:rsidR="00181B91" w:rsidP="00181B91" w:rsidRDefault="00181B91" w14:paraId="317DB6EA" w14:textId="77777777">
      <w:pPr>
        <w:pStyle w:val="Body12ptCalibri-IPR"/>
        <w:rPr>
          <w:rFonts w:cstheme="minorHAnsi"/>
        </w:rPr>
      </w:pPr>
      <w:r w:rsidRPr="00236788">
        <w:rPr>
          <w:rFonts w:cstheme="minorHAnsi"/>
        </w:rPr>
        <w:t>The agency plans to display the expiration date of OMB approval on all forms/questionnaires associated with this information collection.</w:t>
      </w:r>
    </w:p>
    <w:p w:rsidRPr="00740EBA" w:rsidR="00181B91" w:rsidP="00181B91" w:rsidRDefault="00181B91" w14:paraId="3EDF0134" w14:textId="40557181">
      <w:pPr>
        <w:pStyle w:val="Hdng2-IPR"/>
      </w:pPr>
      <w:bookmarkStart w:name="_Toc133208893" w:id="73"/>
      <w:bookmarkStart w:name="_Toc329426290" w:id="74"/>
      <w:bookmarkStart w:name="_Toc335320960" w:id="75"/>
      <w:bookmarkStart w:name="_Toc351666592" w:id="76"/>
      <w:bookmarkStart w:name="_Toc416426577" w:id="77"/>
      <w:r w:rsidRPr="00740EBA">
        <w:t>A.18.</w:t>
      </w:r>
      <w:r w:rsidRPr="00740EBA">
        <w:tab/>
        <w:t>Exceptions to Certification for Paperwork Reduction Act Submissions</w:t>
      </w:r>
      <w:bookmarkEnd w:id="73"/>
      <w:bookmarkEnd w:id="74"/>
      <w:bookmarkEnd w:id="75"/>
      <w:bookmarkEnd w:id="76"/>
      <w:bookmarkEnd w:id="77"/>
    </w:p>
    <w:p w:rsidRPr="00236788" w:rsidR="00181B91" w:rsidP="00181B91" w:rsidRDefault="00181B91" w14:paraId="0C3E0BB3" w14:textId="77777777">
      <w:pPr>
        <w:pStyle w:val="OMBRequirementCalibri"/>
        <w:rPr>
          <w:rFonts w:cstheme="minorHAnsi"/>
        </w:rPr>
      </w:pPr>
      <w:r w:rsidRPr="00236788">
        <w:rPr>
          <w:rFonts w:cstheme="minorHAnsi"/>
        </w:rPr>
        <w:t>Explain each exception to the certification statement identified in Item 19 “Certification for Paperwork Reduction Act.”</w:t>
      </w:r>
    </w:p>
    <w:p w:rsidRPr="00316E6E" w:rsidR="00E52E67" w:rsidP="00CE7B0A" w:rsidRDefault="00181B91" w14:paraId="78BF2561" w14:textId="0B1C9B0C">
      <w:pPr>
        <w:pStyle w:val="Body12ptCalibri-IPR"/>
        <w:rPr>
          <w:rFonts w:cstheme="minorHAnsi"/>
        </w:rPr>
      </w:pPr>
      <w:r w:rsidRPr="00236788">
        <w:rPr>
          <w:rStyle w:val="FootnoteReference"/>
          <w:rFonts w:cstheme="minorHAnsi"/>
        </w:rPr>
        <w:t>There are no exceptions to the certification statement</w:t>
      </w:r>
      <w:bookmarkStart w:name="here" w:id="78"/>
      <w:bookmarkEnd w:id="78"/>
      <w:r w:rsidRPr="00236788">
        <w:rPr>
          <w:rStyle w:val="FootnoteReference"/>
          <w:rFonts w:cstheme="minorHAnsi"/>
        </w:rPr>
        <w:t>.</w:t>
      </w:r>
    </w:p>
    <w:p w:rsidRPr="00316E6E" w:rsidR="006561A1" w:rsidP="006561A1" w:rsidRDefault="006561A1" w14:paraId="7661D1F0" w14:textId="77777777">
      <w:pPr>
        <w:pStyle w:val="Body12ptCalibri-IPR"/>
        <w:ind w:firstLine="0"/>
        <w:rPr>
          <w:rFonts w:cstheme="minorHAnsi"/>
        </w:rPr>
      </w:pPr>
    </w:p>
    <w:p w:rsidRPr="003B1004" w:rsidR="00C21F61" w:rsidRDefault="00C21F61" w14:paraId="22C8E224" w14:textId="77777777">
      <w:pPr>
        <w:rPr>
          <w:rFonts w:cstheme="minorHAnsi"/>
        </w:rPr>
      </w:pPr>
    </w:p>
    <w:sectPr w:rsidRPr="003B1004" w:rsidR="00C21F61" w:rsidSect="00BB6B0A">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621D3" w14:textId="77777777" w:rsidR="00C164B2" w:rsidRDefault="00C164B2" w:rsidP="00EE364F">
      <w:pPr>
        <w:spacing w:after="0" w:line="240" w:lineRule="auto"/>
      </w:pPr>
      <w:r>
        <w:separator/>
      </w:r>
    </w:p>
  </w:endnote>
  <w:endnote w:type="continuationSeparator" w:id="0">
    <w:p w14:paraId="334C5BEE" w14:textId="77777777" w:rsidR="00C164B2" w:rsidRDefault="00C164B2" w:rsidP="00EE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190C2" w14:textId="77777777" w:rsidR="00C164B2" w:rsidRDefault="00C164B2" w:rsidP="00EE364F">
      <w:pPr>
        <w:spacing w:after="0" w:line="240" w:lineRule="auto"/>
      </w:pPr>
      <w:r>
        <w:separator/>
      </w:r>
    </w:p>
  </w:footnote>
  <w:footnote w:type="continuationSeparator" w:id="0">
    <w:p w14:paraId="28C48C47" w14:textId="77777777" w:rsidR="00C164B2" w:rsidRDefault="00C164B2" w:rsidP="00EE364F">
      <w:pPr>
        <w:spacing w:after="0" w:line="240" w:lineRule="auto"/>
      </w:pPr>
      <w:r>
        <w:continuationSeparator/>
      </w:r>
    </w:p>
  </w:footnote>
  <w:footnote w:id="1">
    <w:p w14:paraId="727AC1F1" w14:textId="0A3D95B9" w:rsidR="00D10263" w:rsidRDefault="00D10263" w:rsidP="00D10263">
      <w:pPr>
        <w:pStyle w:val="FtnteBodyText-IPR"/>
      </w:pPr>
      <w:r w:rsidRPr="00402402">
        <w:rPr>
          <w:rStyle w:val="FootnoteReference"/>
          <w:vertAlign w:val="superscript"/>
        </w:rPr>
        <w:footnoteRef/>
      </w:r>
      <w:r>
        <w:t xml:space="preserve"> Source: </w:t>
      </w:r>
      <w:r w:rsidRPr="00E07C58">
        <w:t>https://nsf.gov/about/budget/index.jsp</w:t>
      </w:r>
      <w:r>
        <w:t xml:space="preserve">  </w:t>
      </w:r>
    </w:p>
  </w:footnote>
  <w:footnote w:id="2">
    <w:p w14:paraId="0B7ADAD1" w14:textId="062662CC" w:rsidR="00AC64B5" w:rsidRDefault="00AC64B5" w:rsidP="00EE364F">
      <w:pPr>
        <w:pStyle w:val="FtnteBodyText-IPR"/>
      </w:pPr>
      <w:r w:rsidRPr="00402402">
        <w:rPr>
          <w:rStyle w:val="FootnoteReference"/>
          <w:vertAlign w:val="superscript"/>
        </w:rPr>
        <w:footnoteRef/>
      </w:r>
      <w:r>
        <w:t xml:space="preserve"> Source: </w:t>
      </w:r>
      <w:hyperlink r:id="rId1" w:history="1">
        <w:r w:rsidRPr="00602A0F">
          <w:rPr>
            <w:rStyle w:val="Hyperlink"/>
          </w:rPr>
          <w:t>https://www.nsf.gov/pubs/2020/nsf20002/pdf/nsf20002.pdf</w:t>
        </w:r>
      </w:hyperlink>
      <w:r>
        <w:t xml:space="preserve">  </w:t>
      </w:r>
    </w:p>
  </w:footnote>
  <w:footnote w:id="3">
    <w:p w14:paraId="03292B58" w14:textId="77777777" w:rsidR="00AC64B5" w:rsidRDefault="00AC64B5" w:rsidP="00EE364F">
      <w:pPr>
        <w:pStyle w:val="FtnteBodyText-IPR"/>
      </w:pPr>
      <w:r w:rsidRPr="001B52B5">
        <w:rPr>
          <w:rStyle w:val="FootnoteReference"/>
          <w:vertAlign w:val="superscript"/>
        </w:rPr>
        <w:footnoteRef/>
      </w:r>
      <w:r>
        <w:t xml:space="preserve"> Source: </w:t>
      </w:r>
      <w:r w:rsidRPr="001B52B5">
        <w:t>https://www.nsf.gov/nsb/publications/2017/nsb201726.pdf</w:t>
      </w:r>
    </w:p>
  </w:footnote>
  <w:footnote w:id="4">
    <w:p w14:paraId="4E90A77B" w14:textId="007F0D6C" w:rsidR="00D10263" w:rsidRDefault="00D10263" w:rsidP="00D10263">
      <w:pPr>
        <w:pStyle w:val="FtnteBodyText-IPR"/>
      </w:pPr>
      <w:r w:rsidRPr="00402402">
        <w:rPr>
          <w:rStyle w:val="FootnoteReference"/>
          <w:vertAlign w:val="superscript"/>
        </w:rPr>
        <w:footnoteRef/>
      </w:r>
      <w:r>
        <w:t xml:space="preserve"> Source: </w:t>
      </w:r>
      <w:hyperlink r:id="rId2" w:history="1">
        <w:r w:rsidRPr="00C53770">
          <w:rPr>
            <w:rStyle w:val="Hyperlink"/>
          </w:rPr>
          <w:t>https://www.nsf.gov/about/performance/strategic_plan.jsp</w:t>
        </w:r>
      </w:hyperlink>
      <w:r>
        <w:t xml:space="preserve">  </w:t>
      </w:r>
    </w:p>
  </w:footnote>
  <w:footnote w:id="5">
    <w:p w14:paraId="2BEC00F0" w14:textId="4CEF849A" w:rsidR="00F47924" w:rsidRDefault="00F47924" w:rsidP="00F47924">
      <w:pPr>
        <w:pStyle w:val="FtnteBodyText-IPR"/>
      </w:pPr>
      <w:r w:rsidRPr="001B52B5">
        <w:rPr>
          <w:rStyle w:val="FootnoteReference"/>
          <w:vertAlign w:val="superscript"/>
        </w:rPr>
        <w:footnoteRef/>
      </w:r>
      <w:r>
        <w:t xml:space="preserve"> Source: </w:t>
      </w:r>
      <w:hyperlink r:id="rId3" w:history="1">
        <w:r w:rsidRPr="00F47924">
          <w:rPr>
            <w:rStyle w:val="Hyperlink"/>
          </w:rPr>
          <w:t>https://www.nsf.gov/about/budget/fy2021/pdf/fy2021budget.pdf</w:t>
        </w:r>
      </w:hyperlink>
      <w:r>
        <w:rPr>
          <w:rStyle w:val="Hyperlink"/>
        </w:rPr>
        <w:t xml:space="preserve"> (</w:t>
      </w:r>
      <w:r>
        <w:t>see “Performance and management</w:t>
      </w:r>
      <w:r w:rsidR="00A34F63">
        <w:t>, p.</w:t>
      </w:r>
      <w:r>
        <w:t xml:space="preserve"> 17”</w:t>
      </w:r>
      <w:r w:rsidR="00A34F63">
        <w:t>)</w:t>
      </w:r>
    </w:p>
  </w:footnote>
  <w:footnote w:id="6">
    <w:p w14:paraId="4DB08C16" w14:textId="40B077C5" w:rsidR="00A34F63" w:rsidRDefault="00A34F63" w:rsidP="00A34F63">
      <w:pPr>
        <w:pStyle w:val="FtnteBodyText-IPR"/>
      </w:pPr>
      <w:r w:rsidRPr="001B52B5">
        <w:rPr>
          <w:rStyle w:val="FootnoteReference"/>
          <w:vertAlign w:val="superscript"/>
        </w:rPr>
        <w:footnoteRef/>
      </w:r>
      <w:r>
        <w:t xml:space="preserve"> Source: </w:t>
      </w:r>
      <w:hyperlink r:id="rId4" w:history="1">
        <w:r w:rsidRPr="00F47924">
          <w:rPr>
            <w:rStyle w:val="Hyperlink"/>
          </w:rPr>
          <w:t>https://www.nsf.gov/about/budget/fy2021/pdf/fy2021budget.pdf</w:t>
        </w:r>
      </w:hyperlink>
      <w:r>
        <w:rPr>
          <w:rStyle w:val="Hyperlink"/>
        </w:rPr>
        <w:t xml:space="preserve"> (</w:t>
      </w:r>
      <w:r>
        <w:t>see “Integrative Activities, p. 4”)</w:t>
      </w:r>
    </w:p>
  </w:footnote>
  <w:footnote w:id="7">
    <w:p w14:paraId="0BFE89F2" w14:textId="77777777" w:rsidR="00D10263" w:rsidRDefault="00D10263" w:rsidP="00D10263">
      <w:pPr>
        <w:pStyle w:val="FtnteBodyText-IPR"/>
      </w:pPr>
      <w:r w:rsidRPr="001B52B5">
        <w:rPr>
          <w:rStyle w:val="FootnoteReference"/>
          <w:vertAlign w:val="superscript"/>
        </w:rPr>
        <w:footnoteRef/>
      </w:r>
      <w:r>
        <w:t xml:space="preserve"> Source: </w:t>
      </w:r>
      <w:r>
        <w:rPr>
          <w:rFonts w:cstheme="minorHAnsi"/>
        </w:rPr>
        <w:t>Comparable work on the 2023 Merit Review Survey will be conducted under a separate contract solicitation.</w:t>
      </w:r>
    </w:p>
  </w:footnote>
  <w:footnote w:id="8">
    <w:p w14:paraId="7A5FBF81" w14:textId="77894A9A" w:rsidR="00CB19DE" w:rsidRDefault="00CB19DE" w:rsidP="00CB19DE">
      <w:pPr>
        <w:pStyle w:val="FtnteBodyText-IPR"/>
      </w:pPr>
      <w:r w:rsidRPr="001B52B5">
        <w:rPr>
          <w:rStyle w:val="FootnoteReference"/>
          <w:vertAlign w:val="superscript"/>
        </w:rPr>
        <w:footnoteRef/>
      </w:r>
      <w:r>
        <w:t xml:space="preserve"> </w:t>
      </w:r>
      <w:r w:rsidRPr="00CB19DE">
        <w:rPr>
          <w:rFonts w:cstheme="minorHAnsi"/>
        </w:rPr>
        <w:t>The 2019 Merit Review Survey data found that nearly 90 percent of respondents were employed by an institution of higher education and nearly 90 percent of those individuals worked in a teaching capacity.</w:t>
      </w:r>
    </w:p>
  </w:footnote>
  <w:footnote w:id="9">
    <w:p w14:paraId="24CFD25E" w14:textId="6D2F9AC0" w:rsidR="00644392" w:rsidRDefault="00644392" w:rsidP="00644392">
      <w:pPr>
        <w:pStyle w:val="FtnteBodyText-IPR"/>
      </w:pPr>
      <w:r w:rsidRPr="001B52B5">
        <w:rPr>
          <w:rStyle w:val="FootnoteReference"/>
          <w:vertAlign w:val="superscript"/>
        </w:rPr>
        <w:footnoteRef/>
      </w:r>
      <w:r>
        <w:t xml:space="preserve"> Source: </w:t>
      </w:r>
      <w:hyperlink r:id="rId5" w:history="1">
        <w:r w:rsidRPr="00644392">
          <w:rPr>
            <w:rStyle w:val="Hyperlink"/>
          </w:rPr>
          <w:t>https://www.bls.gov/ooh/education-training-and-library/postsecondary-teachers.htm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002AA"/>
    <w:multiLevelType w:val="hybridMultilevel"/>
    <w:tmpl w:val="E06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A852C3"/>
    <w:multiLevelType w:val="hybridMultilevel"/>
    <w:tmpl w:val="085C0BC8"/>
    <w:lvl w:ilvl="0" w:tplc="79B0D2CC">
      <w:start w:val="1"/>
      <w:numFmt w:val="decimal"/>
      <w:pStyle w:val="Numbers12ptCalibri-IP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42391D"/>
    <w:multiLevelType w:val="hybridMultilevel"/>
    <w:tmpl w:val="212E44EA"/>
    <w:lvl w:ilvl="0" w:tplc="3E3A8E50">
      <w:start w:val="1"/>
      <w:numFmt w:val="bullet"/>
      <w:pStyle w:val="Bullets12ptCalibri-IP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B16F59"/>
    <w:multiLevelType w:val="hybridMultilevel"/>
    <w:tmpl w:val="2550FAEE"/>
    <w:lvl w:ilvl="0" w:tplc="1F704C1E">
      <w:start w:val="1"/>
      <w:numFmt w:val="lowerLetter"/>
      <w:lvlText w:val="%1."/>
      <w:lvlJc w:val="left"/>
      <w:pPr>
        <w:ind w:left="720" w:hanging="360"/>
      </w:pPr>
      <w:rPr>
        <w:rFonts w:asciiTheme="minorHAnsi" w:hAnsiTheme="minorHAnsi" w:cstheme="minorHAns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61"/>
    <w:rsid w:val="00000C1A"/>
    <w:rsid w:val="00001107"/>
    <w:rsid w:val="00015785"/>
    <w:rsid w:val="000160E6"/>
    <w:rsid w:val="00016258"/>
    <w:rsid w:val="000166E4"/>
    <w:rsid w:val="000276F4"/>
    <w:rsid w:val="00040027"/>
    <w:rsid w:val="00047328"/>
    <w:rsid w:val="00060541"/>
    <w:rsid w:val="00067638"/>
    <w:rsid w:val="00071141"/>
    <w:rsid w:val="000850A5"/>
    <w:rsid w:val="000C206A"/>
    <w:rsid w:val="000C7F50"/>
    <w:rsid w:val="00107B3F"/>
    <w:rsid w:val="00123402"/>
    <w:rsid w:val="00136653"/>
    <w:rsid w:val="00142339"/>
    <w:rsid w:val="00181B91"/>
    <w:rsid w:val="0018553B"/>
    <w:rsid w:val="00186BBA"/>
    <w:rsid w:val="001909B2"/>
    <w:rsid w:val="00195315"/>
    <w:rsid w:val="001B7544"/>
    <w:rsid w:val="001C4114"/>
    <w:rsid w:val="001D6B90"/>
    <w:rsid w:val="001F59FD"/>
    <w:rsid w:val="002053F0"/>
    <w:rsid w:val="00206B51"/>
    <w:rsid w:val="00210989"/>
    <w:rsid w:val="002314E1"/>
    <w:rsid w:val="00236788"/>
    <w:rsid w:val="002405C2"/>
    <w:rsid w:val="0024143E"/>
    <w:rsid w:val="00241BD8"/>
    <w:rsid w:val="00251581"/>
    <w:rsid w:val="0025216E"/>
    <w:rsid w:val="00260E24"/>
    <w:rsid w:val="0026749A"/>
    <w:rsid w:val="002819F7"/>
    <w:rsid w:val="0028628A"/>
    <w:rsid w:val="002B1DB5"/>
    <w:rsid w:val="002D16AB"/>
    <w:rsid w:val="002E5859"/>
    <w:rsid w:val="002F58F5"/>
    <w:rsid w:val="00312102"/>
    <w:rsid w:val="00315DF5"/>
    <w:rsid w:val="00315F9E"/>
    <w:rsid w:val="00316E6E"/>
    <w:rsid w:val="00321AC5"/>
    <w:rsid w:val="00334916"/>
    <w:rsid w:val="00334B2C"/>
    <w:rsid w:val="00340524"/>
    <w:rsid w:val="003568C1"/>
    <w:rsid w:val="003932B8"/>
    <w:rsid w:val="003B1004"/>
    <w:rsid w:val="003C29F2"/>
    <w:rsid w:val="00412B2B"/>
    <w:rsid w:val="0044392D"/>
    <w:rsid w:val="004456CE"/>
    <w:rsid w:val="00470E22"/>
    <w:rsid w:val="00475511"/>
    <w:rsid w:val="004919EE"/>
    <w:rsid w:val="004D730B"/>
    <w:rsid w:val="004E5AC9"/>
    <w:rsid w:val="004F3F7C"/>
    <w:rsid w:val="004F6138"/>
    <w:rsid w:val="00510CFB"/>
    <w:rsid w:val="0051268B"/>
    <w:rsid w:val="00520CA1"/>
    <w:rsid w:val="00523CDE"/>
    <w:rsid w:val="00551D49"/>
    <w:rsid w:val="0056075B"/>
    <w:rsid w:val="00564F07"/>
    <w:rsid w:val="0057508A"/>
    <w:rsid w:val="005A3E10"/>
    <w:rsid w:val="005C6405"/>
    <w:rsid w:val="005D2853"/>
    <w:rsid w:val="005D6C8F"/>
    <w:rsid w:val="005E2BF8"/>
    <w:rsid w:val="005F08FD"/>
    <w:rsid w:val="00603B51"/>
    <w:rsid w:val="006157EC"/>
    <w:rsid w:val="00644392"/>
    <w:rsid w:val="00644E85"/>
    <w:rsid w:val="00647434"/>
    <w:rsid w:val="0065535C"/>
    <w:rsid w:val="006561A1"/>
    <w:rsid w:val="00687017"/>
    <w:rsid w:val="006A6820"/>
    <w:rsid w:val="006B65FF"/>
    <w:rsid w:val="006C5C29"/>
    <w:rsid w:val="006E6175"/>
    <w:rsid w:val="007007C4"/>
    <w:rsid w:val="00701313"/>
    <w:rsid w:val="00706562"/>
    <w:rsid w:val="00732FFD"/>
    <w:rsid w:val="00740EBA"/>
    <w:rsid w:val="00740F3C"/>
    <w:rsid w:val="0074524B"/>
    <w:rsid w:val="00753855"/>
    <w:rsid w:val="007604F0"/>
    <w:rsid w:val="00771B4A"/>
    <w:rsid w:val="00773C63"/>
    <w:rsid w:val="00780F19"/>
    <w:rsid w:val="00781FA2"/>
    <w:rsid w:val="0079237D"/>
    <w:rsid w:val="007C7A65"/>
    <w:rsid w:val="007E42FD"/>
    <w:rsid w:val="00827D3B"/>
    <w:rsid w:val="00876041"/>
    <w:rsid w:val="0088328C"/>
    <w:rsid w:val="008832EB"/>
    <w:rsid w:val="008A2315"/>
    <w:rsid w:val="008A4D32"/>
    <w:rsid w:val="008A5C99"/>
    <w:rsid w:val="008A6656"/>
    <w:rsid w:val="008C03D8"/>
    <w:rsid w:val="008C18BF"/>
    <w:rsid w:val="008C2097"/>
    <w:rsid w:val="008D3F20"/>
    <w:rsid w:val="008F3F19"/>
    <w:rsid w:val="008F5C8C"/>
    <w:rsid w:val="00902A55"/>
    <w:rsid w:val="00922991"/>
    <w:rsid w:val="009312FE"/>
    <w:rsid w:val="00934FA7"/>
    <w:rsid w:val="009520EC"/>
    <w:rsid w:val="0095748A"/>
    <w:rsid w:val="009635C3"/>
    <w:rsid w:val="009776F8"/>
    <w:rsid w:val="009807F5"/>
    <w:rsid w:val="00984A08"/>
    <w:rsid w:val="00984A2A"/>
    <w:rsid w:val="00990AE5"/>
    <w:rsid w:val="009A1439"/>
    <w:rsid w:val="009A5D1F"/>
    <w:rsid w:val="009D1C7C"/>
    <w:rsid w:val="009E5A55"/>
    <w:rsid w:val="009E7A81"/>
    <w:rsid w:val="00A1583B"/>
    <w:rsid w:val="00A34F63"/>
    <w:rsid w:val="00A63794"/>
    <w:rsid w:val="00A63D7F"/>
    <w:rsid w:val="00A8530F"/>
    <w:rsid w:val="00A960F2"/>
    <w:rsid w:val="00AA4175"/>
    <w:rsid w:val="00AA4766"/>
    <w:rsid w:val="00AC149D"/>
    <w:rsid w:val="00AC64B5"/>
    <w:rsid w:val="00AD627A"/>
    <w:rsid w:val="00AD6F07"/>
    <w:rsid w:val="00AF1D3A"/>
    <w:rsid w:val="00AF2918"/>
    <w:rsid w:val="00B163EC"/>
    <w:rsid w:val="00B24808"/>
    <w:rsid w:val="00B478BE"/>
    <w:rsid w:val="00B506DC"/>
    <w:rsid w:val="00B52CD3"/>
    <w:rsid w:val="00B60BB1"/>
    <w:rsid w:val="00B86D96"/>
    <w:rsid w:val="00B95E94"/>
    <w:rsid w:val="00BA7A0B"/>
    <w:rsid w:val="00BB6B0A"/>
    <w:rsid w:val="00BC21CD"/>
    <w:rsid w:val="00BC2D88"/>
    <w:rsid w:val="00BC5608"/>
    <w:rsid w:val="00BE1735"/>
    <w:rsid w:val="00BE6A37"/>
    <w:rsid w:val="00BF0AAD"/>
    <w:rsid w:val="00C164B2"/>
    <w:rsid w:val="00C21F61"/>
    <w:rsid w:val="00C31D81"/>
    <w:rsid w:val="00C378BC"/>
    <w:rsid w:val="00C41172"/>
    <w:rsid w:val="00C44A68"/>
    <w:rsid w:val="00C52F68"/>
    <w:rsid w:val="00C5594F"/>
    <w:rsid w:val="00C60605"/>
    <w:rsid w:val="00C732B2"/>
    <w:rsid w:val="00C75B50"/>
    <w:rsid w:val="00C8671B"/>
    <w:rsid w:val="00CB19DE"/>
    <w:rsid w:val="00CB3D12"/>
    <w:rsid w:val="00CE7B0A"/>
    <w:rsid w:val="00D10263"/>
    <w:rsid w:val="00D2357B"/>
    <w:rsid w:val="00D26D9D"/>
    <w:rsid w:val="00D33C14"/>
    <w:rsid w:val="00D35D50"/>
    <w:rsid w:val="00D52621"/>
    <w:rsid w:val="00D57A52"/>
    <w:rsid w:val="00D867DD"/>
    <w:rsid w:val="00D87E80"/>
    <w:rsid w:val="00DA025E"/>
    <w:rsid w:val="00DD190E"/>
    <w:rsid w:val="00E07C58"/>
    <w:rsid w:val="00E24436"/>
    <w:rsid w:val="00E40453"/>
    <w:rsid w:val="00E52E67"/>
    <w:rsid w:val="00E8072B"/>
    <w:rsid w:val="00E87C98"/>
    <w:rsid w:val="00E923F0"/>
    <w:rsid w:val="00E946ED"/>
    <w:rsid w:val="00EA57BF"/>
    <w:rsid w:val="00EB1FEE"/>
    <w:rsid w:val="00EB59C0"/>
    <w:rsid w:val="00ED272A"/>
    <w:rsid w:val="00EE364F"/>
    <w:rsid w:val="00F1029B"/>
    <w:rsid w:val="00F11A6F"/>
    <w:rsid w:val="00F47924"/>
    <w:rsid w:val="00F75F7C"/>
    <w:rsid w:val="00F92AA7"/>
    <w:rsid w:val="00F97681"/>
    <w:rsid w:val="00FA071E"/>
    <w:rsid w:val="00FB5078"/>
    <w:rsid w:val="00FE168B"/>
    <w:rsid w:val="00FE3B16"/>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C49D"/>
  <w15:chartTrackingRefBased/>
  <w15:docId w15:val="{6D2AC69D-0D28-40C6-82D1-E43F3CF0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RequirementCalibri">
    <w:name w:val="OMB RequirementCalibri"/>
    <w:qFormat/>
    <w:rsid w:val="00EE364F"/>
    <w:pPr>
      <w:spacing w:after="240" w:line="240" w:lineRule="auto"/>
    </w:pPr>
    <w:rPr>
      <w:rFonts w:eastAsia="Times New Roman" w:cs="Calibri"/>
      <w:b/>
      <w:sz w:val="24"/>
      <w:szCs w:val="24"/>
    </w:rPr>
  </w:style>
  <w:style w:type="paragraph" w:customStyle="1" w:styleId="Hdng2-IPR">
    <w:name w:val="Hdng2-IPR"/>
    <w:link w:val="Hdng2-IPRChar"/>
    <w:qFormat/>
    <w:rsid w:val="00EE364F"/>
    <w:pPr>
      <w:keepNext/>
      <w:spacing w:after="240" w:line="240" w:lineRule="auto"/>
      <w:ind w:left="720" w:hanging="720"/>
      <w:outlineLvl w:val="1"/>
    </w:pPr>
    <w:rPr>
      <w:rFonts w:ascii="Arial Bold" w:eastAsia="Calibri" w:hAnsi="Arial Bold" w:cs="Arial"/>
      <w:b/>
      <w:caps/>
      <w:color w:val="44546A" w:themeColor="text2"/>
      <w:sz w:val="24"/>
      <w:szCs w:val="24"/>
    </w:rPr>
  </w:style>
  <w:style w:type="character" w:customStyle="1" w:styleId="Hdng2-IPRChar">
    <w:name w:val="Hdng2-IPR Char"/>
    <w:basedOn w:val="DefaultParagraphFont"/>
    <w:link w:val="Hdng2-IPR"/>
    <w:rsid w:val="00EE364F"/>
    <w:rPr>
      <w:rFonts w:ascii="Arial Bold" w:eastAsia="Calibri" w:hAnsi="Arial Bold" w:cs="Arial"/>
      <w:b/>
      <w:caps/>
      <w:color w:val="44546A" w:themeColor="text2"/>
      <w:sz w:val="24"/>
      <w:szCs w:val="24"/>
    </w:rPr>
  </w:style>
  <w:style w:type="character" w:styleId="FootnoteReference">
    <w:name w:val="footnote reference"/>
    <w:rsid w:val="00EE364F"/>
  </w:style>
  <w:style w:type="paragraph" w:styleId="FootnoteText">
    <w:name w:val="footnote text"/>
    <w:aliases w:val="F1"/>
    <w:basedOn w:val="Normal"/>
    <w:link w:val="FootnoteTextChar"/>
    <w:rsid w:val="00EE364F"/>
    <w:pPr>
      <w:spacing w:after="0" w:line="276" w:lineRule="auto"/>
    </w:pPr>
    <w:rPr>
      <w:rFonts w:ascii="Times New Roman" w:eastAsia="Times New Roman" w:hAnsi="Times New Roman" w:cs="Times New Roman"/>
      <w:sz w:val="16"/>
    </w:rPr>
  </w:style>
  <w:style w:type="character" w:customStyle="1" w:styleId="FootnoteTextChar">
    <w:name w:val="Footnote Text Char"/>
    <w:aliases w:val="F1 Char"/>
    <w:basedOn w:val="DefaultParagraphFont"/>
    <w:link w:val="FootnoteText"/>
    <w:rsid w:val="00EE364F"/>
    <w:rPr>
      <w:rFonts w:ascii="Times New Roman" w:eastAsia="Times New Roman" w:hAnsi="Times New Roman" w:cs="Times New Roman"/>
      <w:sz w:val="16"/>
    </w:rPr>
  </w:style>
  <w:style w:type="character" w:styleId="Hyperlink">
    <w:name w:val="Hyperlink"/>
    <w:uiPriority w:val="99"/>
    <w:rsid w:val="00EE364F"/>
    <w:rPr>
      <w:color w:val="0000FF"/>
      <w:u w:val="single"/>
    </w:rPr>
  </w:style>
  <w:style w:type="paragraph" w:customStyle="1" w:styleId="Body12ptCalibri-IPR">
    <w:name w:val="Body12ptCalibri-IPR"/>
    <w:link w:val="Body12ptCalibri-IPRChar"/>
    <w:qFormat/>
    <w:rsid w:val="00EE364F"/>
    <w:pPr>
      <w:autoSpaceDE w:val="0"/>
      <w:autoSpaceDN w:val="0"/>
      <w:adjustRightInd w:val="0"/>
      <w:spacing w:after="0" w:line="480" w:lineRule="auto"/>
      <w:ind w:firstLine="720"/>
      <w:jc w:val="both"/>
    </w:pPr>
    <w:rPr>
      <w:rFonts w:eastAsia="Calibri" w:cs="Times New Roman"/>
      <w:sz w:val="24"/>
    </w:rPr>
  </w:style>
  <w:style w:type="character" w:customStyle="1" w:styleId="Body12ptCalibri-IPRChar">
    <w:name w:val="Body12ptCalibri-IPR Char"/>
    <w:link w:val="Body12ptCalibri-IPR"/>
    <w:rsid w:val="00EE364F"/>
    <w:rPr>
      <w:rFonts w:eastAsia="Calibri" w:cs="Times New Roman"/>
      <w:sz w:val="24"/>
    </w:rPr>
  </w:style>
  <w:style w:type="paragraph" w:customStyle="1" w:styleId="FtnteBodyText-IPR">
    <w:name w:val="FtnteBodyText-IPR"/>
    <w:link w:val="FtnteBodyText-IPRChar"/>
    <w:qFormat/>
    <w:rsid w:val="00EE364F"/>
    <w:pPr>
      <w:spacing w:after="0" w:line="240" w:lineRule="auto"/>
    </w:pPr>
    <w:rPr>
      <w:rFonts w:ascii="Times New Roman" w:eastAsia="Calibri" w:hAnsi="Times New Roman" w:cs="Times New Roman"/>
      <w:sz w:val="16"/>
      <w:szCs w:val="16"/>
    </w:rPr>
  </w:style>
  <w:style w:type="character" w:customStyle="1" w:styleId="FtnteBodyText-IPRChar">
    <w:name w:val="FtnteBodyText-IPR Char"/>
    <w:basedOn w:val="DefaultParagraphFont"/>
    <w:link w:val="FtnteBodyText-IPR"/>
    <w:rsid w:val="00EE364F"/>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EE364F"/>
    <w:rPr>
      <w:sz w:val="16"/>
      <w:szCs w:val="16"/>
    </w:rPr>
  </w:style>
  <w:style w:type="paragraph" w:styleId="CommentText">
    <w:name w:val="annotation text"/>
    <w:basedOn w:val="Normal"/>
    <w:link w:val="CommentTextChar"/>
    <w:uiPriority w:val="99"/>
    <w:unhideWhenUsed/>
    <w:rsid w:val="00EE364F"/>
    <w:pPr>
      <w:spacing w:line="240" w:lineRule="auto"/>
    </w:pPr>
    <w:rPr>
      <w:sz w:val="20"/>
      <w:szCs w:val="20"/>
    </w:rPr>
  </w:style>
  <w:style w:type="character" w:customStyle="1" w:styleId="CommentTextChar">
    <w:name w:val="Comment Text Char"/>
    <w:basedOn w:val="DefaultParagraphFont"/>
    <w:link w:val="CommentText"/>
    <w:uiPriority w:val="99"/>
    <w:rsid w:val="00EE364F"/>
    <w:rPr>
      <w:sz w:val="20"/>
      <w:szCs w:val="20"/>
    </w:rPr>
  </w:style>
  <w:style w:type="paragraph" w:styleId="CommentSubject">
    <w:name w:val="annotation subject"/>
    <w:basedOn w:val="CommentText"/>
    <w:next w:val="CommentText"/>
    <w:link w:val="CommentSubjectChar"/>
    <w:uiPriority w:val="99"/>
    <w:semiHidden/>
    <w:unhideWhenUsed/>
    <w:rsid w:val="00EE364F"/>
    <w:rPr>
      <w:b/>
      <w:bCs/>
    </w:rPr>
  </w:style>
  <w:style w:type="character" w:customStyle="1" w:styleId="CommentSubjectChar">
    <w:name w:val="Comment Subject Char"/>
    <w:basedOn w:val="CommentTextChar"/>
    <w:link w:val="CommentSubject"/>
    <w:uiPriority w:val="99"/>
    <w:semiHidden/>
    <w:rsid w:val="00EE364F"/>
    <w:rPr>
      <w:b/>
      <w:bCs/>
      <w:sz w:val="20"/>
      <w:szCs w:val="20"/>
    </w:rPr>
  </w:style>
  <w:style w:type="paragraph" w:styleId="BalloonText">
    <w:name w:val="Balloon Text"/>
    <w:basedOn w:val="Normal"/>
    <w:link w:val="BalloonTextChar"/>
    <w:uiPriority w:val="99"/>
    <w:semiHidden/>
    <w:unhideWhenUsed/>
    <w:rsid w:val="00EE3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64F"/>
    <w:rPr>
      <w:rFonts w:ascii="Segoe UI" w:hAnsi="Segoe UI" w:cs="Segoe UI"/>
      <w:sz w:val="18"/>
      <w:szCs w:val="18"/>
    </w:rPr>
  </w:style>
  <w:style w:type="character" w:styleId="UnresolvedMention">
    <w:name w:val="Unresolved Mention"/>
    <w:basedOn w:val="DefaultParagraphFont"/>
    <w:uiPriority w:val="99"/>
    <w:semiHidden/>
    <w:unhideWhenUsed/>
    <w:rsid w:val="00AA4766"/>
    <w:rPr>
      <w:color w:val="605E5C"/>
      <w:shd w:val="clear" w:color="auto" w:fill="E1DFDD"/>
    </w:rPr>
  </w:style>
  <w:style w:type="paragraph" w:customStyle="1" w:styleId="Numbers12ptCalibri-IPR">
    <w:name w:val="Numbers12ptCalibri-IPR"/>
    <w:link w:val="Numbers12ptCalibri-IPRChar"/>
    <w:qFormat/>
    <w:rsid w:val="00BC2D88"/>
    <w:pPr>
      <w:numPr>
        <w:numId w:val="1"/>
      </w:numPr>
      <w:spacing w:after="240" w:line="240" w:lineRule="auto"/>
      <w:ind w:left="720"/>
    </w:pPr>
    <w:rPr>
      <w:rFonts w:ascii="Calibri" w:hAnsi="Calibri"/>
      <w:sz w:val="24"/>
    </w:rPr>
  </w:style>
  <w:style w:type="character" w:customStyle="1" w:styleId="Numbers12ptCalibri-IPRChar">
    <w:name w:val="Numbers12ptCalibri-IPR Char"/>
    <w:basedOn w:val="DefaultParagraphFont"/>
    <w:link w:val="Numbers12ptCalibri-IPR"/>
    <w:rsid w:val="00BC2D88"/>
    <w:rPr>
      <w:rFonts w:ascii="Calibri" w:hAnsi="Calibri"/>
      <w:sz w:val="24"/>
    </w:rPr>
  </w:style>
  <w:style w:type="paragraph" w:customStyle="1" w:styleId="Bullets12ptCalibri-IPR">
    <w:name w:val="Bullets12ptCalibri-IPR"/>
    <w:link w:val="Bullets12ptCalibri-IPRChar"/>
    <w:qFormat/>
    <w:rsid w:val="00E52E67"/>
    <w:pPr>
      <w:numPr>
        <w:numId w:val="2"/>
      </w:numPr>
      <w:spacing w:after="240" w:line="240" w:lineRule="auto"/>
    </w:pPr>
    <w:rPr>
      <w:rFonts w:ascii="Calibri" w:hAnsi="Calibri"/>
      <w:sz w:val="24"/>
      <w:szCs w:val="24"/>
    </w:rPr>
  </w:style>
  <w:style w:type="character" w:customStyle="1" w:styleId="Bullets12ptCalibri-IPRChar">
    <w:name w:val="Bullets12ptCalibri-IPR Char"/>
    <w:basedOn w:val="DefaultParagraphFont"/>
    <w:link w:val="Bullets12ptCalibri-IPR"/>
    <w:rsid w:val="00E52E67"/>
    <w:rPr>
      <w:rFonts w:ascii="Calibri" w:hAnsi="Calibri"/>
      <w:sz w:val="24"/>
      <w:szCs w:val="24"/>
    </w:rPr>
  </w:style>
  <w:style w:type="paragraph" w:customStyle="1" w:styleId="TableTitle">
    <w:name w:val="Table Title"/>
    <w:next w:val="Normal"/>
    <w:qFormat/>
    <w:rsid w:val="00181B91"/>
    <w:pPr>
      <w:keepNext/>
      <w:keepLines/>
      <w:spacing w:after="0" w:line="240" w:lineRule="auto"/>
      <w:jc w:val="center"/>
    </w:pPr>
    <w:rPr>
      <w:rFonts w:ascii="Calibri" w:eastAsia="Times New Roman" w:hAnsi="Calibri" w:cs="Calibri"/>
      <w:b/>
      <w:bCs/>
      <w:sz w:val="24"/>
      <w:szCs w:val="24"/>
    </w:rPr>
  </w:style>
  <w:style w:type="paragraph" w:customStyle="1" w:styleId="TableText-IPR">
    <w:name w:val="TableText-IPR"/>
    <w:link w:val="TableText-IPRChar"/>
    <w:qFormat/>
    <w:rsid w:val="00181B91"/>
    <w:pPr>
      <w:spacing w:after="0" w:line="240" w:lineRule="auto"/>
    </w:pPr>
    <w:rPr>
      <w:rFonts w:ascii="Calibri" w:eastAsiaTheme="minorEastAsia" w:hAnsi="Calibri" w:cs="Times New Roman"/>
      <w:sz w:val="20"/>
      <w:szCs w:val="20"/>
    </w:rPr>
  </w:style>
  <w:style w:type="character" w:customStyle="1" w:styleId="TableText-IPRChar">
    <w:name w:val="TableText-IPR Char"/>
    <w:basedOn w:val="DefaultParagraphFont"/>
    <w:link w:val="TableText-IPR"/>
    <w:rsid w:val="00181B91"/>
    <w:rPr>
      <w:rFonts w:ascii="Calibri" w:eastAsiaTheme="minorEastAsia" w:hAnsi="Calibri" w:cs="Times New Roman"/>
      <w:sz w:val="20"/>
      <w:szCs w:val="20"/>
    </w:rPr>
  </w:style>
  <w:style w:type="character" w:styleId="FollowedHyperlink">
    <w:name w:val="FollowedHyperlink"/>
    <w:basedOn w:val="DefaultParagraphFont"/>
    <w:uiPriority w:val="99"/>
    <w:semiHidden/>
    <w:unhideWhenUsed/>
    <w:rsid w:val="002E5859"/>
    <w:rPr>
      <w:color w:val="954F72" w:themeColor="followedHyperlink"/>
      <w:u w:val="single"/>
    </w:rPr>
  </w:style>
  <w:style w:type="paragraph" w:customStyle="1" w:styleId="MarkforTableHeading">
    <w:name w:val="Mark for Table Heading"/>
    <w:basedOn w:val="Normal"/>
    <w:next w:val="Normal"/>
    <w:qFormat/>
    <w:rsid w:val="00A63D7F"/>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rsid w:val="00A63D7F"/>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A63D7F"/>
    <w:pPr>
      <w:tabs>
        <w:tab w:val="left" w:pos="432"/>
      </w:tabs>
      <w:spacing w:before="120" w:after="60" w:line="240" w:lineRule="auto"/>
    </w:pPr>
    <w:rPr>
      <w:rFonts w:ascii="Lucida Sans" w:eastAsia="Times New Roman" w:hAnsi="Lucida Sans" w:cs="Times New Roman"/>
      <w:sz w:val="18"/>
      <w:szCs w:val="24"/>
    </w:rPr>
  </w:style>
  <w:style w:type="paragraph" w:customStyle="1" w:styleId="TableText">
    <w:name w:val="Table Text"/>
    <w:basedOn w:val="Normal"/>
    <w:qFormat/>
    <w:rsid w:val="00A63D7F"/>
    <w:pPr>
      <w:spacing w:after="0" w:line="240" w:lineRule="auto"/>
    </w:pPr>
    <w:rPr>
      <w:rFonts w:ascii="Lucida Sans" w:eastAsia="Times New Roman" w:hAnsi="Lucida Sans" w:cs="Times New Roman"/>
      <w:sz w:val="18"/>
      <w:szCs w:val="24"/>
    </w:rPr>
  </w:style>
  <w:style w:type="table" w:customStyle="1" w:styleId="SMPRTableBlack">
    <w:name w:val="SMPR_Table_Black"/>
    <w:basedOn w:val="TableNormal"/>
    <w:uiPriority w:val="99"/>
    <w:rsid w:val="00A63D7F"/>
    <w:pPr>
      <w:spacing w:after="240" w:line="240" w:lineRule="auto"/>
      <w:ind w:firstLine="432"/>
      <w:jc w:val="both"/>
    </w:pPr>
    <w:rPr>
      <w:rFonts w:ascii="Lucida Sans" w:eastAsia="Times New Roman" w:hAnsi="Lucida Sans" w:cs="Times New Roman"/>
      <w:sz w:val="20"/>
      <w:szCs w:val="24"/>
    </w:rPr>
    <w:tblPr>
      <w:tblInd w:w="0" w:type="nil"/>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uiPriority w:val="99"/>
    <w:semiHidden/>
    <w:unhideWhenUsed/>
    <w:rsid w:val="006443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4392"/>
    <w:rPr>
      <w:sz w:val="20"/>
      <w:szCs w:val="20"/>
    </w:rPr>
  </w:style>
  <w:style w:type="character" w:styleId="EndnoteReference">
    <w:name w:val="endnote reference"/>
    <w:basedOn w:val="DefaultParagraphFont"/>
    <w:uiPriority w:val="99"/>
    <w:semiHidden/>
    <w:unhideWhenUsed/>
    <w:rsid w:val="00644392"/>
    <w:rPr>
      <w:vertAlign w:val="superscript"/>
    </w:rPr>
  </w:style>
  <w:style w:type="paragraph" w:customStyle="1" w:styleId="Hdng1Report-IPR">
    <w:name w:val="Hdng1Report-IPR"/>
    <w:link w:val="Hdng1Report-IPRChar"/>
    <w:qFormat/>
    <w:rsid w:val="00312102"/>
    <w:pPr>
      <w:keepNext/>
      <w:spacing w:after="240" w:line="240" w:lineRule="auto"/>
      <w:outlineLvl w:val="0"/>
    </w:pPr>
    <w:rPr>
      <w:rFonts w:ascii="Arial" w:eastAsia="Calibri" w:hAnsi="Arial" w:cs="Arial"/>
      <w:b/>
      <w:bCs/>
      <w:caps/>
      <w:color w:val="B80000"/>
      <w:sz w:val="28"/>
      <w:szCs w:val="28"/>
    </w:rPr>
  </w:style>
  <w:style w:type="character" w:customStyle="1" w:styleId="Hdng1Report-IPRChar">
    <w:name w:val="Hdng1Report-IPR Char"/>
    <w:basedOn w:val="DefaultParagraphFont"/>
    <w:link w:val="Hdng1Report-IPR"/>
    <w:rsid w:val="00312102"/>
    <w:rPr>
      <w:rFonts w:ascii="Arial" w:eastAsia="Calibri" w:hAnsi="Arial" w:cs="Arial"/>
      <w:b/>
      <w:bCs/>
      <w:caps/>
      <w:color w:val="B8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nsf.gov/about/budget/fy2021/pdf/fy2021budget.pdf" TargetMode="External"/><Relationship Id="rId2" Type="http://schemas.openxmlformats.org/officeDocument/2006/relationships/hyperlink" Target="https://www.nsf.gov/about/performance/strategic_plan.jsp" TargetMode="External"/><Relationship Id="rId1" Type="http://schemas.openxmlformats.org/officeDocument/2006/relationships/hyperlink" Target="https://www.nsf.gov/pubs/2020/nsf20002/pdf/nsf20002.pdf" TargetMode="External"/><Relationship Id="rId5" Type="http://schemas.openxmlformats.org/officeDocument/2006/relationships/hyperlink" Target="https://www.bls.gov/ooh/education-training-and-library/postsecondary-teachers.htm" TargetMode="External"/><Relationship Id="rId4" Type="http://schemas.openxmlformats.org/officeDocument/2006/relationships/hyperlink" Target="https://www.nsf.gov/about/budget/fy2021/pdf/fy2021budg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45D2E242FD048BF7AAECC0F170159" ma:contentTypeVersion="1" ma:contentTypeDescription="Create a new document." ma:contentTypeScope="" ma:versionID="35a73fe4cd2ece95cc11abb3e40c6284">
  <xsd:schema xmlns:xsd="http://www.w3.org/2001/XMLSchema" xmlns:xs="http://www.w3.org/2001/XMLSchema" xmlns:p="http://schemas.microsoft.com/office/2006/metadata/properties" xmlns:ns2="b38dd2dc-60e0-4bba-9aaa-41a22ff26941" targetNamespace="http://schemas.microsoft.com/office/2006/metadata/properties" ma:root="true" ma:fieldsID="9685c7fad591cd5462308dbab4e40224" ns2:_="">
    <xsd:import namespace="b38dd2dc-60e0-4bba-9aaa-41a22ff2694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dd2dc-60e0-4bba-9aaa-41a22ff269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EFEDD-E042-4AF8-9829-963CE9BDC571}">
  <ds:schemaRefs>
    <ds:schemaRef ds:uri="http://schemas.microsoft.com/sharepoint/v3/contenttype/forms"/>
  </ds:schemaRefs>
</ds:datastoreItem>
</file>

<file path=customXml/itemProps2.xml><?xml version="1.0" encoding="utf-8"?>
<ds:datastoreItem xmlns:ds="http://schemas.openxmlformats.org/officeDocument/2006/customXml" ds:itemID="{83C49AF4-CDDB-4202-91AA-C21232D989A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38dd2dc-60e0-4bba-9aaa-41a22ff26941"/>
    <ds:schemaRef ds:uri="http://www.w3.org/XML/1998/namespace"/>
    <ds:schemaRef ds:uri="http://purl.org/dc/terms/"/>
  </ds:schemaRefs>
</ds:datastoreItem>
</file>

<file path=customXml/itemProps3.xml><?xml version="1.0" encoding="utf-8"?>
<ds:datastoreItem xmlns:ds="http://schemas.openxmlformats.org/officeDocument/2006/customXml" ds:itemID="{4E24AA96-1F49-47FC-9F75-AE06DB79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dd2dc-60e0-4bba-9aaa-41a22ff26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0FD82-ED63-4DAD-B57E-68882D62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4250</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Bowman</dc:creator>
  <cp:keywords/>
  <dc:description/>
  <cp:lastModifiedBy>Marietta Bowman</cp:lastModifiedBy>
  <cp:revision>4</cp:revision>
  <dcterms:created xsi:type="dcterms:W3CDTF">2021-02-01T19:22:00Z</dcterms:created>
  <dcterms:modified xsi:type="dcterms:W3CDTF">2021-02-01T19:26:00Z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0x01010017E45D2E242FD048BF7AAECC0F170159</vt:lpwstr>
  </property>
</Properties>
</file>