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216DB" w:rsidR="008768DE" w:rsidP="002216DB" w:rsidRDefault="008768DE">
      <w:pPr>
        <w:pStyle w:val="Title"/>
      </w:pPr>
      <w:r w:rsidRPr="002216DB">
        <w:t>SUPPORTING STATEMENT</w:t>
      </w:r>
    </w:p>
    <w:p w:rsidRPr="002216DB" w:rsidR="001C7339" w:rsidP="002216DB" w:rsidRDefault="00166C8F">
      <w:pPr>
        <w:pStyle w:val="Title"/>
      </w:pPr>
      <w:proofErr w:type="gramStart"/>
      <w:r w:rsidRPr="002216DB">
        <w:t>for</w:t>
      </w:r>
      <w:proofErr w:type="gramEnd"/>
      <w:r w:rsidRPr="002216DB">
        <w:t xml:space="preserve"> the Paperwork Reduction Act Information Collection Submission</w:t>
      </w:r>
      <w:r w:rsidRPr="002216DB" w:rsidR="001C7339">
        <w:t xml:space="preserve"> </w:t>
      </w:r>
      <w:r w:rsidRPr="002216DB" w:rsidR="005D4660">
        <w:t>for</w:t>
      </w:r>
    </w:p>
    <w:p w:rsidRPr="002216DB" w:rsidR="00166C8F" w:rsidP="002216DB" w:rsidRDefault="001C7339">
      <w:pPr>
        <w:pStyle w:val="Title"/>
      </w:pPr>
      <w:r w:rsidRPr="002216DB">
        <w:t>Rule 17g-5</w:t>
      </w:r>
    </w:p>
    <w:p w:rsidR="005B2E2B" w:rsidP="005B2E2B" w:rsidRDefault="005B2E2B">
      <w:pPr>
        <w:tabs>
          <w:tab w:val="center" w:pos="4680"/>
        </w:tabs>
        <w:suppressAutoHyphens/>
        <w:rPr>
          <w:sz w:val="24"/>
          <w:szCs w:val="24"/>
        </w:rPr>
      </w:pPr>
    </w:p>
    <w:p w:rsidRPr="005B2E2B" w:rsidR="005B2E2B" w:rsidP="005B2E2B" w:rsidRDefault="005B2E2B">
      <w:pPr>
        <w:tabs>
          <w:tab w:val="left" w:pos="720"/>
          <w:tab w:val="center" w:pos="4680"/>
        </w:tabs>
        <w:suppressAutoHyphens/>
        <w:ind w:firstLine="720"/>
        <w:rPr>
          <w:sz w:val="24"/>
          <w:szCs w:val="24"/>
        </w:rPr>
      </w:pPr>
      <w:r>
        <w:rPr>
          <w:sz w:val="24"/>
          <w:szCs w:val="24"/>
        </w:rPr>
        <w:t xml:space="preserve">This submission is being made pursuant to the Paperwork Reduction Act of 1995, 44 U.S.C. Section 3501 </w:t>
      </w:r>
      <w:r w:rsidRPr="005B2E2B">
        <w:rPr>
          <w:sz w:val="24"/>
          <w:szCs w:val="24"/>
          <w:u w:val="single"/>
        </w:rPr>
        <w:t>et seq</w:t>
      </w:r>
      <w:r>
        <w:rPr>
          <w:sz w:val="24"/>
          <w:szCs w:val="24"/>
        </w:rPr>
        <w:t>.</w:t>
      </w:r>
      <w:r w:rsidR="00E859EE">
        <w:rPr>
          <w:sz w:val="24"/>
          <w:szCs w:val="24"/>
        </w:rPr>
        <w:t xml:space="preserve"> (“PRA”).</w:t>
      </w:r>
    </w:p>
    <w:p w:rsidRPr="00B43D42" w:rsidR="008768DE" w:rsidP="005350D3" w:rsidRDefault="008768DE">
      <w:pPr>
        <w:tabs>
          <w:tab w:val="left" w:pos="-720"/>
        </w:tabs>
        <w:suppressAutoHyphens/>
        <w:rPr>
          <w:sz w:val="24"/>
          <w:szCs w:val="24"/>
        </w:rPr>
      </w:pPr>
    </w:p>
    <w:p w:rsidRPr="00B43D42" w:rsidR="008768DE" w:rsidP="005350D3" w:rsidRDefault="008768DE">
      <w:pPr>
        <w:keepNext/>
        <w:tabs>
          <w:tab w:val="left" w:pos="-720"/>
          <w:tab w:val="left" w:pos="0"/>
        </w:tabs>
        <w:suppressAutoHyphens/>
        <w:ind w:left="720" w:hanging="720"/>
        <w:rPr>
          <w:sz w:val="24"/>
          <w:szCs w:val="24"/>
        </w:rPr>
      </w:pPr>
      <w:r w:rsidRPr="00166C8F">
        <w:rPr>
          <w:b/>
          <w:sz w:val="24"/>
          <w:szCs w:val="24"/>
        </w:rPr>
        <w:t>A.</w:t>
      </w:r>
      <w:r w:rsidRPr="00B43D42">
        <w:rPr>
          <w:sz w:val="24"/>
          <w:szCs w:val="24"/>
        </w:rPr>
        <w:tab/>
      </w:r>
      <w:r w:rsidRPr="00166C8F" w:rsidR="00166C8F">
        <w:rPr>
          <w:b/>
          <w:sz w:val="24"/>
          <w:szCs w:val="24"/>
        </w:rPr>
        <w:t>JUSTIFICATION</w:t>
      </w:r>
    </w:p>
    <w:p w:rsidRPr="00B43D42" w:rsidR="008768DE" w:rsidP="005350D3" w:rsidRDefault="008768DE">
      <w:pPr>
        <w:keepNext/>
        <w:tabs>
          <w:tab w:val="left" w:pos="-720"/>
        </w:tabs>
        <w:suppressAutoHyphens/>
        <w:rPr>
          <w:sz w:val="24"/>
          <w:szCs w:val="24"/>
        </w:rPr>
      </w:pPr>
    </w:p>
    <w:p w:rsidRPr="00166C8F" w:rsidR="008768DE" w:rsidP="005350D3" w:rsidRDefault="00BE6E3E">
      <w:pPr>
        <w:keepNext/>
        <w:tabs>
          <w:tab w:val="left" w:pos="-720"/>
          <w:tab w:val="left" w:pos="0"/>
        </w:tabs>
        <w:suppressAutoHyphens/>
        <w:rPr>
          <w:b/>
          <w:sz w:val="24"/>
          <w:szCs w:val="24"/>
        </w:rPr>
      </w:pPr>
      <w:r>
        <w:rPr>
          <w:sz w:val="24"/>
          <w:szCs w:val="24"/>
        </w:rPr>
        <w:tab/>
      </w:r>
      <w:r w:rsidRPr="00166C8F" w:rsidR="008768DE">
        <w:rPr>
          <w:b/>
          <w:sz w:val="24"/>
          <w:szCs w:val="24"/>
        </w:rPr>
        <w:t>1.</w:t>
      </w:r>
      <w:r w:rsidRPr="00166C8F" w:rsidR="008768DE">
        <w:rPr>
          <w:b/>
          <w:sz w:val="24"/>
          <w:szCs w:val="24"/>
        </w:rPr>
        <w:tab/>
      </w:r>
      <w:r w:rsidRPr="00363A59" w:rsidR="00166C8F">
        <w:rPr>
          <w:rStyle w:val="Heading1Char"/>
        </w:rPr>
        <w:t>Necessity of Information Collection</w:t>
      </w:r>
    </w:p>
    <w:p w:rsidRPr="00B43D42" w:rsidR="008768DE" w:rsidP="005350D3" w:rsidRDefault="008768DE">
      <w:pPr>
        <w:keepNext/>
        <w:tabs>
          <w:tab w:val="left" w:pos="-720"/>
        </w:tabs>
        <w:suppressAutoHyphens/>
        <w:rPr>
          <w:sz w:val="24"/>
          <w:szCs w:val="24"/>
        </w:rPr>
      </w:pPr>
    </w:p>
    <w:p w:rsidR="00DF6D28" w:rsidP="00DF6D28" w:rsidRDefault="008768DE">
      <w:pPr>
        <w:rPr>
          <w:iCs/>
          <w:sz w:val="24"/>
          <w:szCs w:val="24"/>
        </w:rPr>
      </w:pPr>
      <w:r w:rsidRPr="00B43D42">
        <w:rPr>
          <w:sz w:val="24"/>
          <w:szCs w:val="24"/>
        </w:rPr>
        <w:tab/>
      </w:r>
      <w:r w:rsidRPr="00743D8F" w:rsidR="00AB4E4B">
        <w:rPr>
          <w:sz w:val="24"/>
          <w:szCs w:val="24"/>
        </w:rPr>
        <w:t>The Credit Rating Agency Reform Act of 2006</w:t>
      </w:r>
      <w:r w:rsidRPr="00743D8F" w:rsidR="00AB4E4B">
        <w:rPr>
          <w:rStyle w:val="FootnoteReference"/>
          <w:sz w:val="24"/>
          <w:szCs w:val="24"/>
        </w:rPr>
        <w:footnoteReference w:id="2"/>
      </w:r>
      <w:r w:rsidRPr="00743D8F" w:rsidR="00AB4E4B">
        <w:rPr>
          <w:sz w:val="24"/>
          <w:szCs w:val="24"/>
        </w:rPr>
        <w:t xml:space="preserve"> (“Rating Agency Act”), enacted on September 29, 2006, define</w:t>
      </w:r>
      <w:r w:rsidR="00E14410">
        <w:rPr>
          <w:sz w:val="24"/>
          <w:szCs w:val="24"/>
        </w:rPr>
        <w:t>d</w:t>
      </w:r>
      <w:r w:rsidRPr="00743D8F" w:rsidR="00AB4E4B">
        <w:rPr>
          <w:sz w:val="24"/>
          <w:szCs w:val="24"/>
        </w:rPr>
        <w:t xml:space="preserve"> the term “nationally recognized statistical </w:t>
      </w:r>
      <w:r w:rsidR="00AB4E4B">
        <w:rPr>
          <w:sz w:val="24"/>
          <w:szCs w:val="24"/>
        </w:rPr>
        <w:t xml:space="preserve">rating </w:t>
      </w:r>
      <w:r w:rsidRPr="005B2E2B" w:rsidR="00AB4E4B">
        <w:rPr>
          <w:sz w:val="24"/>
          <w:szCs w:val="24"/>
        </w:rPr>
        <w:t>organization,” or “NRSRO” and provide</w:t>
      </w:r>
      <w:r w:rsidR="00E14410">
        <w:rPr>
          <w:sz w:val="24"/>
          <w:szCs w:val="24"/>
        </w:rPr>
        <w:t>d</w:t>
      </w:r>
      <w:r w:rsidRPr="005B2E2B" w:rsidR="00AB4E4B">
        <w:rPr>
          <w:sz w:val="24"/>
          <w:szCs w:val="24"/>
        </w:rPr>
        <w:t xml:space="preserve"> authority for the Securities and Exchange Commission (“Commission”) to implement registration, recordkeeping, financial reporting, and oversight rules with respect to credit rating agencies</w:t>
      </w:r>
      <w:r w:rsidR="00E14410">
        <w:rPr>
          <w:sz w:val="24"/>
          <w:szCs w:val="24"/>
        </w:rPr>
        <w:t xml:space="preserve"> registered with the Commission as NRSROs</w:t>
      </w:r>
      <w:r w:rsidRPr="005B2E2B" w:rsidR="00AB4E4B">
        <w:rPr>
          <w:sz w:val="24"/>
          <w:szCs w:val="24"/>
        </w:rPr>
        <w:t>.</w:t>
      </w:r>
      <w:r w:rsidR="00DF6D28">
        <w:rPr>
          <w:sz w:val="24"/>
          <w:szCs w:val="24"/>
        </w:rPr>
        <w:t xml:space="preserve"> </w:t>
      </w:r>
      <w:r w:rsidRPr="005B2E2B" w:rsidR="005B2E2B">
        <w:rPr>
          <w:sz w:val="24"/>
          <w:szCs w:val="24"/>
        </w:rPr>
        <w:t>The Rating Agency Act added a new Section 15E</w:t>
      </w:r>
      <w:r w:rsidRPr="005B2E2B" w:rsidR="005B2E2B">
        <w:rPr>
          <w:rStyle w:val="FootnoteReference"/>
          <w:iCs/>
          <w:sz w:val="24"/>
          <w:szCs w:val="24"/>
        </w:rPr>
        <w:footnoteReference w:id="3"/>
      </w:r>
      <w:r w:rsidRPr="005B2E2B" w:rsidR="005B2E2B">
        <w:rPr>
          <w:sz w:val="24"/>
          <w:szCs w:val="24"/>
        </w:rPr>
        <w:t xml:space="preserve"> to </w:t>
      </w:r>
      <w:r w:rsidRPr="005B2E2B" w:rsidR="005B2E2B">
        <w:rPr>
          <w:iCs/>
          <w:sz w:val="24"/>
          <w:szCs w:val="24"/>
        </w:rPr>
        <w:t xml:space="preserve">the Securities Exchange Act of 1934 (“Exchange Act”).  </w:t>
      </w:r>
    </w:p>
    <w:p w:rsidR="00DF6D28" w:rsidP="00DF6D28" w:rsidRDefault="00DF6D28">
      <w:pPr>
        <w:rPr>
          <w:iCs/>
          <w:sz w:val="24"/>
          <w:szCs w:val="24"/>
        </w:rPr>
      </w:pPr>
    </w:p>
    <w:p w:rsidR="00DF6D28" w:rsidP="00DF6D28" w:rsidRDefault="001C4913">
      <w:pPr>
        <w:ind w:firstLine="720"/>
        <w:rPr>
          <w:sz w:val="24"/>
          <w:szCs w:val="24"/>
        </w:rPr>
      </w:pPr>
      <w:r>
        <w:rPr>
          <w:sz w:val="24"/>
          <w:szCs w:val="24"/>
        </w:rPr>
        <w:t xml:space="preserve">Section 15E(h)(1) of the Exchange Act requires an NRSRO to </w:t>
      </w:r>
      <w:r w:rsidRPr="001C4913">
        <w:rPr>
          <w:sz w:val="24"/>
          <w:szCs w:val="24"/>
        </w:rPr>
        <w:t xml:space="preserve">establish, maintain, and enforce written policies and procedures reasonably designed, taking into consideration the nature of the business of </w:t>
      </w:r>
      <w:r>
        <w:rPr>
          <w:sz w:val="24"/>
          <w:szCs w:val="24"/>
        </w:rPr>
        <w:t>the NRSRO</w:t>
      </w:r>
      <w:r w:rsidRPr="001C4913">
        <w:rPr>
          <w:sz w:val="24"/>
          <w:szCs w:val="24"/>
        </w:rPr>
        <w:t xml:space="preserve"> and affiliated persons and affiliated companies, to address and manage any conflicts of interest that can arise from such business.</w:t>
      </w:r>
      <w:r w:rsidRPr="005B2E2B">
        <w:rPr>
          <w:rStyle w:val="FootnoteReference"/>
          <w:sz w:val="24"/>
          <w:szCs w:val="24"/>
        </w:rPr>
        <w:footnoteReference w:id="4"/>
      </w:r>
      <w:r w:rsidRPr="005B2E2B">
        <w:rPr>
          <w:sz w:val="24"/>
          <w:szCs w:val="24"/>
        </w:rPr>
        <w:t xml:space="preserve"> </w:t>
      </w:r>
      <w:r w:rsidRPr="001C4913">
        <w:rPr>
          <w:sz w:val="24"/>
          <w:szCs w:val="24"/>
        </w:rPr>
        <w:t xml:space="preserve"> </w:t>
      </w:r>
      <w:r w:rsidRPr="001C4913" w:rsidR="005B2E2B">
        <w:rPr>
          <w:sz w:val="24"/>
          <w:szCs w:val="24"/>
        </w:rPr>
        <w:t xml:space="preserve">Section 15E(h)(2) </w:t>
      </w:r>
      <w:r w:rsidRPr="001C4913" w:rsidR="00DF6D28">
        <w:rPr>
          <w:sz w:val="24"/>
          <w:szCs w:val="24"/>
        </w:rPr>
        <w:t xml:space="preserve">of the Exchange Act </w:t>
      </w:r>
      <w:r w:rsidRPr="001C4913" w:rsidR="005B2E2B">
        <w:rPr>
          <w:sz w:val="24"/>
          <w:szCs w:val="24"/>
        </w:rPr>
        <w:t>provides the Commission with authority to prohibit, or require the management and disclosure of, any potential conflict of interest relating</w:t>
      </w:r>
      <w:r w:rsidRPr="005B2E2B" w:rsidR="005B2E2B">
        <w:rPr>
          <w:sz w:val="24"/>
          <w:szCs w:val="24"/>
        </w:rPr>
        <w:t xml:space="preserve"> to the issuance of credit ratings by an NRSRO.</w:t>
      </w:r>
      <w:r w:rsidRPr="005B2E2B" w:rsidR="005B2E2B">
        <w:rPr>
          <w:rStyle w:val="FootnoteReference"/>
          <w:sz w:val="24"/>
          <w:szCs w:val="24"/>
        </w:rPr>
        <w:footnoteReference w:id="5"/>
      </w:r>
      <w:r w:rsidRPr="005B2E2B" w:rsidR="005B2E2B">
        <w:rPr>
          <w:sz w:val="24"/>
          <w:szCs w:val="24"/>
        </w:rPr>
        <w:t xml:space="preserve">  </w:t>
      </w:r>
      <w:r w:rsidR="00DF6D28">
        <w:rPr>
          <w:sz w:val="24"/>
          <w:szCs w:val="24"/>
        </w:rPr>
        <w:t>The Commission adopted, and subsequently amended, Rule 17g-5</w:t>
      </w:r>
      <w:r w:rsidR="00DF6D28">
        <w:rPr>
          <w:rStyle w:val="FootnoteReference"/>
          <w:sz w:val="24"/>
          <w:szCs w:val="24"/>
        </w:rPr>
        <w:footnoteReference w:id="6"/>
      </w:r>
      <w:r w:rsidR="00DF6D28">
        <w:rPr>
          <w:sz w:val="24"/>
          <w:szCs w:val="24"/>
        </w:rPr>
        <w:t xml:space="preserve"> pursuant, in part, to section 15E(h)(2) of the Exchange Act.</w:t>
      </w:r>
      <w:r w:rsidRPr="00DF6D28" w:rsidR="00DF6D28">
        <w:rPr>
          <w:rStyle w:val="FootnoteReference"/>
          <w:sz w:val="24"/>
          <w:szCs w:val="24"/>
        </w:rPr>
        <w:footnoteReference w:id="7"/>
      </w:r>
      <w:r w:rsidR="00DF6D28">
        <w:rPr>
          <w:sz w:val="24"/>
          <w:szCs w:val="24"/>
        </w:rPr>
        <w:t xml:space="preserve">  </w:t>
      </w:r>
    </w:p>
    <w:p w:rsidR="00DF6D28" w:rsidP="005B2E2B" w:rsidRDefault="00DF6D28">
      <w:pPr>
        <w:ind w:firstLine="720"/>
        <w:rPr>
          <w:sz w:val="24"/>
          <w:szCs w:val="24"/>
        </w:rPr>
      </w:pPr>
    </w:p>
    <w:p w:rsidRPr="005B2E2B" w:rsidR="005B2E2B" w:rsidP="005B2E2B" w:rsidRDefault="005B2E2B">
      <w:pPr>
        <w:ind w:firstLine="720"/>
        <w:rPr>
          <w:sz w:val="24"/>
          <w:szCs w:val="24"/>
        </w:rPr>
      </w:pPr>
      <w:r w:rsidRPr="005B2E2B">
        <w:rPr>
          <w:sz w:val="24"/>
          <w:szCs w:val="24"/>
        </w:rPr>
        <w:t xml:space="preserve">Rule 17g-5 requires the disclosure </w:t>
      </w:r>
      <w:r w:rsidR="00DF6D28">
        <w:rPr>
          <w:sz w:val="24"/>
          <w:szCs w:val="24"/>
        </w:rPr>
        <w:t xml:space="preserve">of </w:t>
      </w:r>
      <w:r w:rsidRPr="005B2E2B">
        <w:rPr>
          <w:sz w:val="24"/>
          <w:szCs w:val="24"/>
        </w:rPr>
        <w:t xml:space="preserve">and establishment of procedures to manage </w:t>
      </w:r>
      <w:r w:rsidR="00DF6D28">
        <w:rPr>
          <w:sz w:val="24"/>
          <w:szCs w:val="24"/>
        </w:rPr>
        <w:t>certain NRSRO</w:t>
      </w:r>
      <w:r w:rsidRPr="005B2E2B">
        <w:rPr>
          <w:sz w:val="24"/>
          <w:szCs w:val="24"/>
        </w:rPr>
        <w:t xml:space="preserve"> conflict</w:t>
      </w:r>
      <w:r w:rsidR="00DF6D28">
        <w:rPr>
          <w:sz w:val="24"/>
          <w:szCs w:val="24"/>
        </w:rPr>
        <w:t>s</w:t>
      </w:r>
      <w:r w:rsidRPr="005B2E2B">
        <w:rPr>
          <w:sz w:val="24"/>
          <w:szCs w:val="24"/>
        </w:rPr>
        <w:t xml:space="preserve"> of interest</w:t>
      </w:r>
      <w:r w:rsidR="00D34DF8">
        <w:rPr>
          <w:sz w:val="24"/>
          <w:szCs w:val="24"/>
        </w:rPr>
        <w:t xml:space="preserve">, prohibits certain other NRSRO conflicts of interest, and </w:t>
      </w:r>
      <w:r w:rsidR="00F52CD0">
        <w:rPr>
          <w:sz w:val="24"/>
          <w:szCs w:val="24"/>
        </w:rPr>
        <w:t>contain</w:t>
      </w:r>
      <w:r w:rsidR="00D34DF8">
        <w:rPr>
          <w:sz w:val="24"/>
          <w:szCs w:val="24"/>
        </w:rPr>
        <w:t xml:space="preserve">s requirements </w:t>
      </w:r>
      <w:r w:rsidR="008260C1">
        <w:rPr>
          <w:sz w:val="24"/>
          <w:szCs w:val="24"/>
        </w:rPr>
        <w:t>regarding the</w:t>
      </w:r>
      <w:r w:rsidR="00F52CD0">
        <w:rPr>
          <w:sz w:val="24"/>
          <w:szCs w:val="24"/>
        </w:rPr>
        <w:t xml:space="preserve"> disclos</w:t>
      </w:r>
      <w:r w:rsidR="008260C1">
        <w:rPr>
          <w:sz w:val="24"/>
          <w:szCs w:val="24"/>
        </w:rPr>
        <w:t>ure of</w:t>
      </w:r>
      <w:r w:rsidR="00F52CD0">
        <w:rPr>
          <w:sz w:val="24"/>
          <w:szCs w:val="24"/>
        </w:rPr>
        <w:t xml:space="preserve"> information in the case of </w:t>
      </w:r>
      <w:r w:rsidR="00D34DF8">
        <w:rPr>
          <w:sz w:val="24"/>
          <w:szCs w:val="24"/>
        </w:rPr>
        <w:t>the conflict of interest of an NRSRO issuing or maintaining a credit rating on an asset-backed security that was paid for by the issuer, sponsor, or underwriter of the security.</w:t>
      </w:r>
    </w:p>
    <w:p w:rsidR="00DF6D28" w:rsidP="00166C8F" w:rsidRDefault="00DF6D28">
      <w:pPr>
        <w:rPr>
          <w:sz w:val="24"/>
          <w:szCs w:val="24"/>
        </w:rPr>
      </w:pPr>
    </w:p>
    <w:p w:rsidRPr="007C0E68" w:rsidR="00AB78FD" w:rsidP="00D34DF8" w:rsidRDefault="00AB78FD">
      <w:pPr>
        <w:ind w:firstLine="720"/>
        <w:rPr>
          <w:sz w:val="24"/>
          <w:szCs w:val="24"/>
        </w:rPr>
      </w:pPr>
      <w:r w:rsidRPr="007C0E68">
        <w:rPr>
          <w:sz w:val="24"/>
          <w:szCs w:val="24"/>
        </w:rPr>
        <w:lastRenderedPageBreak/>
        <w:t>Title IX, Subtitle C of the Dodd-Frank Wall Street Reform and Consumer Protection Act (“Dodd-Frank Act”),</w:t>
      </w:r>
      <w:r w:rsidRPr="007C0E68">
        <w:rPr>
          <w:rStyle w:val="FootnoteReference"/>
          <w:color w:val="000000"/>
          <w:sz w:val="24"/>
          <w:szCs w:val="24"/>
        </w:rPr>
        <w:footnoteReference w:id="8"/>
      </w:r>
      <w:r w:rsidRPr="007C0E68">
        <w:rPr>
          <w:sz w:val="24"/>
          <w:szCs w:val="24"/>
        </w:rPr>
        <w:t xml:space="preserve"> “Improvements to the Regulation of Credit Rating Agencies,” among other things, establishe</w:t>
      </w:r>
      <w:r w:rsidR="00A248D0">
        <w:rPr>
          <w:sz w:val="24"/>
          <w:szCs w:val="24"/>
        </w:rPr>
        <w:t>d</w:t>
      </w:r>
      <w:r w:rsidRPr="007C0E68">
        <w:rPr>
          <w:sz w:val="24"/>
          <w:szCs w:val="24"/>
        </w:rPr>
        <w:t xml:space="preserve"> new self-executing requirements applicable to NRSROs, requires certain studies,</w:t>
      </w:r>
      <w:r w:rsidRPr="007C0E68">
        <w:rPr>
          <w:rStyle w:val="FootnoteReference"/>
          <w:sz w:val="24"/>
          <w:szCs w:val="24"/>
        </w:rPr>
        <w:footnoteReference w:id="9"/>
      </w:r>
      <w:r w:rsidRPr="007C0E68">
        <w:rPr>
          <w:sz w:val="24"/>
          <w:szCs w:val="24"/>
        </w:rPr>
        <w:t xml:space="preserve"> and require</w:t>
      </w:r>
      <w:r w:rsidR="00A248D0">
        <w:rPr>
          <w:sz w:val="24"/>
          <w:szCs w:val="24"/>
        </w:rPr>
        <w:t>d</w:t>
      </w:r>
      <w:r w:rsidRPr="007C0E68">
        <w:rPr>
          <w:sz w:val="24"/>
          <w:szCs w:val="24"/>
        </w:rPr>
        <w:t xml:space="preserve"> that the Commission adopt rules applicable to NRSROs in a number of areas.</w:t>
      </w:r>
      <w:r w:rsidRPr="007C0E68">
        <w:rPr>
          <w:rStyle w:val="FootnoteReference"/>
          <w:sz w:val="24"/>
          <w:szCs w:val="24"/>
        </w:rPr>
        <w:footnoteReference w:id="10"/>
      </w:r>
      <w:r w:rsidRPr="007C0E68">
        <w:rPr>
          <w:sz w:val="24"/>
          <w:szCs w:val="24"/>
        </w:rPr>
        <w:t xml:space="preserve">  </w:t>
      </w:r>
    </w:p>
    <w:p w:rsidRPr="007C0E68" w:rsidR="00AB78FD" w:rsidP="00D34DF8" w:rsidRDefault="00AB78FD">
      <w:pPr>
        <w:ind w:firstLine="720"/>
        <w:rPr>
          <w:sz w:val="24"/>
          <w:szCs w:val="24"/>
        </w:rPr>
      </w:pPr>
    </w:p>
    <w:p w:rsidR="000C507F" w:rsidP="007A5850" w:rsidRDefault="00DF6D28">
      <w:pPr>
        <w:ind w:firstLine="720"/>
        <w:rPr>
          <w:sz w:val="24"/>
          <w:szCs w:val="24"/>
        </w:rPr>
      </w:pPr>
      <w:r w:rsidRPr="007C0E68">
        <w:rPr>
          <w:sz w:val="24"/>
          <w:szCs w:val="24"/>
        </w:rPr>
        <w:t>Section 932(a</w:t>
      </w:r>
      <w:proofErr w:type="gramStart"/>
      <w:r w:rsidRPr="007C0E68">
        <w:rPr>
          <w:sz w:val="24"/>
          <w:szCs w:val="24"/>
        </w:rPr>
        <w:t>)(</w:t>
      </w:r>
      <w:proofErr w:type="gramEnd"/>
      <w:r w:rsidRPr="007C0E68">
        <w:rPr>
          <w:sz w:val="24"/>
          <w:szCs w:val="24"/>
        </w:rPr>
        <w:t xml:space="preserve">4) of the Dodd-Frank </w:t>
      </w:r>
      <w:r w:rsidRPr="007C0E68" w:rsidR="007C0E68">
        <w:rPr>
          <w:sz w:val="24"/>
          <w:szCs w:val="24"/>
        </w:rPr>
        <w:t>Act</w:t>
      </w:r>
      <w:r w:rsidRPr="007C0E68" w:rsidR="00D34DF8">
        <w:rPr>
          <w:sz w:val="24"/>
          <w:szCs w:val="24"/>
        </w:rPr>
        <w:t xml:space="preserve"> </w:t>
      </w:r>
      <w:r w:rsidRPr="007C0E68">
        <w:rPr>
          <w:sz w:val="24"/>
          <w:szCs w:val="24"/>
        </w:rPr>
        <w:t>added paragraph (3) to section 15E(h) of the Exchange Act.</w:t>
      </w:r>
      <w:r w:rsidRPr="007C0E68">
        <w:rPr>
          <w:rStyle w:val="FootnoteReference"/>
          <w:sz w:val="24"/>
          <w:szCs w:val="24"/>
        </w:rPr>
        <w:footnoteReference w:id="11"/>
      </w:r>
      <w:r w:rsidRPr="007C0E68">
        <w:rPr>
          <w:sz w:val="24"/>
          <w:szCs w:val="24"/>
        </w:rPr>
        <w:t xml:space="preserve">  Section 15E(h)(3)(A) of the Exchange Act provide</w:t>
      </w:r>
      <w:r w:rsidR="00A248D0">
        <w:rPr>
          <w:sz w:val="24"/>
          <w:szCs w:val="24"/>
        </w:rPr>
        <w:t>d</w:t>
      </w:r>
      <w:r w:rsidRPr="007C0E68">
        <w:rPr>
          <w:sz w:val="24"/>
          <w:szCs w:val="24"/>
        </w:rPr>
        <w:t xml:space="preserve"> that the Commission shall issue rules to prevent the sales and marketing considerations of an NRSRO from influencing the production of credit ratings by the NRSRO.</w:t>
      </w:r>
      <w:r w:rsidRPr="007C0E68">
        <w:rPr>
          <w:rStyle w:val="FootnoteReference"/>
          <w:sz w:val="24"/>
          <w:szCs w:val="24"/>
        </w:rPr>
        <w:footnoteReference w:id="12"/>
      </w:r>
      <w:r w:rsidRPr="007C0E68">
        <w:rPr>
          <w:sz w:val="24"/>
          <w:szCs w:val="24"/>
        </w:rPr>
        <w:t xml:space="preserve">  Section 15E(h)(3)(B)(i) of the Exchange Act require</w:t>
      </w:r>
      <w:r w:rsidR="00CA04BD">
        <w:rPr>
          <w:sz w:val="24"/>
          <w:szCs w:val="24"/>
        </w:rPr>
        <w:t>d</w:t>
      </w:r>
      <w:r w:rsidRPr="007C0E68">
        <w:rPr>
          <w:sz w:val="24"/>
          <w:szCs w:val="24"/>
        </w:rPr>
        <w:t xml:space="preserve"> that the Commission’s rules shall provide for exceptions for small NRSROs with respect to which the Commission determines that the separation of the production of credit ratings and sales and marketing activities is not appropriate.</w:t>
      </w:r>
      <w:r w:rsidRPr="007C0E68">
        <w:rPr>
          <w:rStyle w:val="FootnoteReference"/>
          <w:sz w:val="24"/>
          <w:szCs w:val="24"/>
        </w:rPr>
        <w:footnoteReference w:id="13"/>
      </w:r>
      <w:r w:rsidRPr="007C0E68">
        <w:rPr>
          <w:sz w:val="24"/>
          <w:szCs w:val="24"/>
        </w:rPr>
        <w:t xml:space="preserve">  Section </w:t>
      </w:r>
      <w:proofErr w:type="gramStart"/>
      <w:r w:rsidRPr="007C0E68">
        <w:rPr>
          <w:sz w:val="24"/>
          <w:szCs w:val="24"/>
        </w:rPr>
        <w:t>15E(</w:t>
      </w:r>
      <w:proofErr w:type="gramEnd"/>
      <w:r w:rsidRPr="007C0E68">
        <w:rPr>
          <w:sz w:val="24"/>
          <w:szCs w:val="24"/>
        </w:rPr>
        <w:t>h)(3)(B)(ii) of the Exchange Act require</w:t>
      </w:r>
      <w:r w:rsidR="00CA04BD">
        <w:rPr>
          <w:sz w:val="24"/>
          <w:szCs w:val="24"/>
        </w:rPr>
        <w:t>d</w:t>
      </w:r>
      <w:r w:rsidRPr="007C0E68">
        <w:rPr>
          <w:sz w:val="24"/>
          <w:szCs w:val="24"/>
        </w:rPr>
        <w:t xml:space="preserve"> that the Commission’s rules shall provide for the suspension or revocation of the registration of an NRSRO if the Commission finds, on the record, after notice and opportunity for a hearing, that: (1) the NRSRO has committed a violation of a rule issued under section 15E(h) of the Exchange Act; and (2) the violation affected a rating</w:t>
      </w:r>
      <w:r w:rsidRPr="00710E79">
        <w:rPr>
          <w:sz w:val="24"/>
          <w:szCs w:val="24"/>
        </w:rPr>
        <w:t>.</w:t>
      </w:r>
      <w:r w:rsidRPr="00710E79">
        <w:rPr>
          <w:rStyle w:val="FootnoteReference"/>
          <w:sz w:val="24"/>
          <w:szCs w:val="24"/>
        </w:rPr>
        <w:footnoteReference w:id="14"/>
      </w:r>
      <w:r w:rsidRPr="00710E79" w:rsidR="00710E79">
        <w:rPr>
          <w:sz w:val="24"/>
          <w:szCs w:val="24"/>
        </w:rPr>
        <w:t xml:space="preserve"> </w:t>
      </w:r>
      <w:r w:rsidR="007A5850">
        <w:rPr>
          <w:sz w:val="24"/>
          <w:szCs w:val="24"/>
        </w:rPr>
        <w:t xml:space="preserve"> </w:t>
      </w:r>
    </w:p>
    <w:p w:rsidR="000C507F" w:rsidP="007A5850" w:rsidRDefault="000C507F">
      <w:pPr>
        <w:ind w:firstLine="720"/>
        <w:rPr>
          <w:sz w:val="24"/>
          <w:szCs w:val="24"/>
        </w:rPr>
      </w:pPr>
    </w:p>
    <w:p w:rsidR="001A1E00" w:rsidP="007A5850" w:rsidRDefault="00710E79">
      <w:pPr>
        <w:ind w:firstLine="720"/>
        <w:rPr>
          <w:color w:val="000000"/>
          <w:sz w:val="24"/>
          <w:szCs w:val="24"/>
        </w:rPr>
      </w:pPr>
      <w:r w:rsidRPr="00710E79">
        <w:rPr>
          <w:sz w:val="24"/>
          <w:szCs w:val="24"/>
        </w:rPr>
        <w:t>On May 18, 2011, the Commission proposed for comment amendments to existing rules</w:t>
      </w:r>
      <w:r>
        <w:rPr>
          <w:sz w:val="24"/>
          <w:szCs w:val="24"/>
        </w:rPr>
        <w:t>, including Rule 17g-5,</w:t>
      </w:r>
      <w:r w:rsidRPr="00710E79">
        <w:rPr>
          <w:sz w:val="24"/>
          <w:szCs w:val="24"/>
        </w:rPr>
        <w:t xml:space="preserve"> and new rules in accordance with Title IX, Subtitle C of the Dodd-Frank Act and to enhance oversight of NRSROs.</w:t>
      </w:r>
      <w:r w:rsidRPr="00710E79">
        <w:rPr>
          <w:rStyle w:val="FootnoteReference"/>
          <w:sz w:val="24"/>
          <w:szCs w:val="24"/>
        </w:rPr>
        <w:footnoteReference w:id="15"/>
      </w:r>
      <w:r w:rsidR="007A5850">
        <w:rPr>
          <w:sz w:val="24"/>
          <w:szCs w:val="24"/>
        </w:rPr>
        <w:t xml:space="preserve">  </w:t>
      </w:r>
      <w:r w:rsidR="00FA6961">
        <w:rPr>
          <w:color w:val="000000"/>
          <w:sz w:val="24"/>
          <w:szCs w:val="24"/>
        </w:rPr>
        <w:t xml:space="preserve"> </w:t>
      </w:r>
      <w:r w:rsidRPr="0022267F" w:rsidR="00F52CD0">
        <w:rPr>
          <w:sz w:val="24"/>
          <w:szCs w:val="24"/>
        </w:rPr>
        <w:t>On August 27, 2014, the Commission adopted amendments to Rule 17g-5</w:t>
      </w:r>
      <w:r w:rsidRPr="0022267F" w:rsidR="0022267F">
        <w:rPr>
          <w:sz w:val="24"/>
          <w:szCs w:val="24"/>
        </w:rPr>
        <w:t>, in part to implement sections 15E(h)(3)(A), 15E(h)(3)(B)(i), and 15E(h)(3)(B)(ii) of the Exchange Act</w:t>
      </w:r>
      <w:r w:rsidRPr="0022267F" w:rsidR="00F52CD0">
        <w:rPr>
          <w:sz w:val="24"/>
          <w:szCs w:val="24"/>
        </w:rPr>
        <w:t>.</w:t>
      </w:r>
      <w:r w:rsidRPr="0022267F" w:rsidR="00F52CD0">
        <w:rPr>
          <w:rStyle w:val="FootnoteReference"/>
          <w:sz w:val="24"/>
          <w:szCs w:val="24"/>
        </w:rPr>
        <w:footnoteReference w:id="16"/>
      </w:r>
      <w:r w:rsidRPr="0022267F" w:rsidR="00D62518">
        <w:rPr>
          <w:sz w:val="24"/>
          <w:szCs w:val="24"/>
        </w:rPr>
        <w:t xml:space="preserve"> </w:t>
      </w:r>
      <w:r w:rsidRPr="0022267F" w:rsidR="0022267F">
        <w:rPr>
          <w:color w:val="000000"/>
          <w:sz w:val="24"/>
          <w:szCs w:val="24"/>
        </w:rPr>
        <w:t xml:space="preserve"> </w:t>
      </w:r>
    </w:p>
    <w:p w:rsidRPr="00320A32" w:rsidR="00320A32" w:rsidP="00320A32" w:rsidRDefault="00861FE2">
      <w:pPr>
        <w:overflowPunct/>
        <w:autoSpaceDE/>
        <w:autoSpaceDN/>
        <w:adjustRightInd/>
        <w:spacing w:before="100" w:beforeAutospacing="1" w:after="135"/>
        <w:ind w:firstLine="720"/>
        <w:textAlignment w:val="auto"/>
        <w:rPr>
          <w:rFonts w:ascii="Helvetica" w:hAnsi="Helvetica" w:cs="Arial"/>
          <w:color w:val="000000"/>
          <w:lang w:val="en"/>
        </w:rPr>
      </w:pPr>
      <w:r w:rsidRPr="00320A32">
        <w:rPr>
          <w:sz w:val="24"/>
          <w:szCs w:val="24"/>
        </w:rPr>
        <w:t xml:space="preserve">Prior to the June 2, 2010 compliance date for the </w:t>
      </w:r>
      <w:r w:rsidRPr="00320A32" w:rsidR="008818BA">
        <w:rPr>
          <w:sz w:val="24"/>
          <w:szCs w:val="24"/>
        </w:rPr>
        <w:t xml:space="preserve">amendments to </w:t>
      </w:r>
      <w:r w:rsidRPr="00320A32">
        <w:rPr>
          <w:sz w:val="24"/>
          <w:szCs w:val="24"/>
        </w:rPr>
        <w:t>Rule 17g-5, t</w:t>
      </w:r>
      <w:r w:rsidRPr="00320A32">
        <w:rPr>
          <w:rStyle w:val="FootnoteReference"/>
          <w:sz w:val="24"/>
          <w:szCs w:val="24"/>
          <w:vertAlign w:val="baseline"/>
        </w:rPr>
        <w:t xml:space="preserve">he Commission by order granted a conditional temporary exemption to NRSROs from </w:t>
      </w:r>
      <w:r w:rsidRPr="00320A32">
        <w:rPr>
          <w:sz w:val="24"/>
          <w:szCs w:val="24"/>
        </w:rPr>
        <w:t xml:space="preserve">paragraph (a)(3) of </w:t>
      </w:r>
      <w:r w:rsidRPr="00320A32">
        <w:rPr>
          <w:rStyle w:val="FootnoteReference"/>
          <w:sz w:val="24"/>
          <w:szCs w:val="24"/>
          <w:vertAlign w:val="baseline"/>
        </w:rPr>
        <w:t>Rule 17g-5 with respect to credit ratings where:  (1) the issuer of the structured finance product is a non-U.S. person; and (2) the NRSRO has a reasonable basis to conclude that the structured finance product will be offered and sold upon issuance, and that any arranger linked to the structured finance product will effect transactions in the structured finance product after issuance, only in transactions that occur outside the U</w:t>
      </w:r>
      <w:r w:rsidRPr="00320A32">
        <w:rPr>
          <w:sz w:val="24"/>
          <w:szCs w:val="24"/>
        </w:rPr>
        <w:t>nited States (“Exemptive Order”)</w:t>
      </w:r>
      <w:r w:rsidRPr="00320A32">
        <w:rPr>
          <w:rStyle w:val="FootnoteReference"/>
          <w:sz w:val="24"/>
          <w:szCs w:val="24"/>
          <w:vertAlign w:val="baseline"/>
        </w:rPr>
        <w:t>.</w:t>
      </w:r>
      <w:r w:rsidRPr="00861FE2">
        <w:rPr>
          <w:rStyle w:val="FootnoteReference"/>
          <w:sz w:val="24"/>
          <w:szCs w:val="24"/>
        </w:rPr>
        <w:footnoteReference w:id="17"/>
      </w:r>
      <w:r w:rsidRPr="00320A32">
        <w:rPr>
          <w:rStyle w:val="FootnoteReference"/>
          <w:sz w:val="24"/>
          <w:szCs w:val="24"/>
          <w:vertAlign w:val="baseline"/>
        </w:rPr>
        <w:t xml:space="preserve"> </w:t>
      </w:r>
      <w:r w:rsidRPr="00320A32">
        <w:rPr>
          <w:sz w:val="24"/>
          <w:szCs w:val="24"/>
        </w:rPr>
        <w:t xml:space="preserve"> </w:t>
      </w:r>
      <w:r w:rsidRPr="00320A32">
        <w:rPr>
          <w:rStyle w:val="FootnoteReference"/>
          <w:sz w:val="24"/>
          <w:szCs w:val="24"/>
          <w:vertAlign w:val="baseline"/>
        </w:rPr>
        <w:t>These conditions w</w:t>
      </w:r>
      <w:r w:rsidRPr="00320A32">
        <w:rPr>
          <w:sz w:val="24"/>
          <w:szCs w:val="24"/>
        </w:rPr>
        <w:t>e</w:t>
      </w:r>
      <w:r w:rsidRPr="00320A32">
        <w:rPr>
          <w:rStyle w:val="FootnoteReference"/>
          <w:sz w:val="24"/>
          <w:szCs w:val="24"/>
          <w:vertAlign w:val="baseline"/>
        </w:rPr>
        <w:t xml:space="preserve">re designed to confine the exemption’s application to credit ratings of structured finance products issued in, and linked to, financial markets outside </w:t>
      </w:r>
      <w:r w:rsidRPr="00320A32">
        <w:rPr>
          <w:sz w:val="24"/>
          <w:szCs w:val="24"/>
        </w:rPr>
        <w:t xml:space="preserve">of </w:t>
      </w:r>
      <w:r w:rsidRPr="00320A32">
        <w:rPr>
          <w:rStyle w:val="FootnoteReference"/>
          <w:sz w:val="24"/>
          <w:szCs w:val="24"/>
          <w:vertAlign w:val="baseline"/>
        </w:rPr>
        <w:t>the U</w:t>
      </w:r>
      <w:r w:rsidRPr="00320A32">
        <w:rPr>
          <w:sz w:val="24"/>
          <w:szCs w:val="24"/>
        </w:rPr>
        <w:t>nited States</w:t>
      </w:r>
      <w:r w:rsidRPr="00320A32">
        <w:rPr>
          <w:rStyle w:val="FootnoteReference"/>
          <w:sz w:val="24"/>
          <w:szCs w:val="24"/>
          <w:vertAlign w:val="baseline"/>
        </w:rPr>
        <w:t xml:space="preserve">.  The Commission granted this relief in light of </w:t>
      </w:r>
      <w:r w:rsidRPr="00320A32">
        <w:rPr>
          <w:sz w:val="24"/>
          <w:szCs w:val="24"/>
        </w:rPr>
        <w:t>concerns raised by</w:t>
      </w:r>
      <w:r w:rsidRPr="00320A32">
        <w:rPr>
          <w:rStyle w:val="FootnoteReference"/>
          <w:sz w:val="24"/>
          <w:szCs w:val="24"/>
          <w:vertAlign w:val="baseline"/>
        </w:rPr>
        <w:t xml:space="preserve"> various foreign securities regulators and market participants </w:t>
      </w:r>
      <w:r w:rsidRPr="00320A32">
        <w:rPr>
          <w:sz w:val="24"/>
          <w:szCs w:val="24"/>
        </w:rPr>
        <w:t>that local securitization markets may be disrupted if the rule was applied to transactions outside the United States.</w:t>
      </w:r>
      <w:r w:rsidRPr="009C3053" w:rsidR="00812C9A">
        <w:rPr>
          <w:rStyle w:val="FootnoteReference"/>
          <w:sz w:val="24"/>
          <w:szCs w:val="24"/>
        </w:rPr>
        <w:footnoteReference w:id="18"/>
      </w:r>
      <w:r w:rsidRPr="00320A32">
        <w:rPr>
          <w:sz w:val="24"/>
          <w:szCs w:val="24"/>
        </w:rPr>
        <w:t xml:space="preserve">  </w:t>
      </w:r>
      <w:r w:rsidRPr="00320A32">
        <w:rPr>
          <w:rStyle w:val="FootnoteReference"/>
          <w:sz w:val="24"/>
          <w:szCs w:val="24"/>
          <w:vertAlign w:val="baseline"/>
        </w:rPr>
        <w:t>The Commissio</w:t>
      </w:r>
      <w:r w:rsidRPr="00320A32" w:rsidR="00C7711F">
        <w:rPr>
          <w:rStyle w:val="FootnoteReference"/>
          <w:sz w:val="24"/>
          <w:szCs w:val="24"/>
          <w:vertAlign w:val="baseline"/>
        </w:rPr>
        <w:t xml:space="preserve">n </w:t>
      </w:r>
      <w:r w:rsidRPr="00320A32">
        <w:rPr>
          <w:rStyle w:val="FootnoteReference"/>
          <w:sz w:val="24"/>
          <w:szCs w:val="24"/>
          <w:vertAlign w:val="baseline"/>
        </w:rPr>
        <w:t>extended the conditional exemption several times, most recently until December 2, 201</w:t>
      </w:r>
      <w:r w:rsidRPr="00320A32" w:rsidR="00A248D0">
        <w:rPr>
          <w:rStyle w:val="FootnoteReference"/>
          <w:sz w:val="24"/>
          <w:szCs w:val="24"/>
          <w:vertAlign w:val="baseline"/>
        </w:rPr>
        <w:t>9</w:t>
      </w:r>
      <w:r w:rsidRPr="00320A32">
        <w:rPr>
          <w:rStyle w:val="FootnoteReference"/>
          <w:sz w:val="24"/>
          <w:szCs w:val="24"/>
          <w:vertAlign w:val="baseline"/>
        </w:rPr>
        <w:t>.</w:t>
      </w:r>
      <w:r w:rsidRPr="009C3053">
        <w:rPr>
          <w:rStyle w:val="FootnoteReference"/>
          <w:sz w:val="24"/>
          <w:szCs w:val="24"/>
        </w:rPr>
        <w:footnoteReference w:id="19"/>
      </w:r>
      <w:r w:rsidRPr="00320A32" w:rsidR="00320A32">
        <w:rPr>
          <w:sz w:val="24"/>
          <w:szCs w:val="24"/>
        </w:rPr>
        <w:t xml:space="preserve"> On </w:t>
      </w:r>
      <w:r w:rsidR="00882E76">
        <w:rPr>
          <w:sz w:val="24"/>
          <w:szCs w:val="24"/>
        </w:rPr>
        <w:t>August 7, 2019</w:t>
      </w:r>
      <w:r w:rsidRPr="00320A32" w:rsidR="00320A32">
        <w:rPr>
          <w:sz w:val="24"/>
          <w:szCs w:val="24"/>
        </w:rPr>
        <w:t xml:space="preserve">, the Commission </w:t>
      </w:r>
      <w:r w:rsidR="00882E76">
        <w:rPr>
          <w:sz w:val="24"/>
          <w:szCs w:val="24"/>
        </w:rPr>
        <w:t>adopted</w:t>
      </w:r>
      <w:r w:rsidRPr="00320A32" w:rsidR="00882E76">
        <w:rPr>
          <w:sz w:val="24"/>
          <w:szCs w:val="24"/>
        </w:rPr>
        <w:t xml:space="preserve"> </w:t>
      </w:r>
      <w:r w:rsidRPr="00320A32" w:rsidR="00320A32">
        <w:rPr>
          <w:sz w:val="24"/>
          <w:szCs w:val="24"/>
        </w:rPr>
        <w:t>a rule amendment to codify the existing temporary exemption to Rule 17g-5(a</w:t>
      </w:r>
      <w:proofErr w:type="gramStart"/>
      <w:r w:rsidRPr="00320A32" w:rsidR="00320A32">
        <w:rPr>
          <w:sz w:val="24"/>
          <w:szCs w:val="24"/>
        </w:rPr>
        <w:t>)(</w:t>
      </w:r>
      <w:proofErr w:type="gramEnd"/>
      <w:r w:rsidRPr="00320A32" w:rsidR="00320A32">
        <w:rPr>
          <w:sz w:val="24"/>
          <w:szCs w:val="24"/>
        </w:rPr>
        <w:t>3).</w:t>
      </w:r>
      <w:r w:rsidR="006641DE">
        <w:rPr>
          <w:rStyle w:val="FootnoteReference"/>
          <w:sz w:val="24"/>
          <w:szCs w:val="24"/>
        </w:rPr>
        <w:footnoteReference w:id="20"/>
      </w:r>
      <w:r w:rsidRPr="00320A32" w:rsidR="00320A32">
        <w:rPr>
          <w:sz w:val="24"/>
          <w:szCs w:val="24"/>
        </w:rPr>
        <w:t xml:space="preserve"> </w:t>
      </w:r>
    </w:p>
    <w:p w:rsidRPr="00320A32" w:rsidR="00320A32" w:rsidP="00320A32" w:rsidRDefault="00320A32">
      <w:pPr>
        <w:overflowPunct/>
        <w:autoSpaceDE/>
        <w:autoSpaceDN/>
        <w:adjustRightInd/>
        <w:spacing w:before="100" w:beforeAutospacing="1" w:after="135"/>
        <w:ind w:firstLine="720"/>
        <w:textAlignment w:val="auto"/>
        <w:rPr>
          <w:color w:val="000000"/>
          <w:sz w:val="24"/>
          <w:szCs w:val="24"/>
          <w:lang w:val="en"/>
        </w:rPr>
      </w:pPr>
      <w:r w:rsidRPr="00320A32">
        <w:rPr>
          <w:sz w:val="24"/>
          <w:szCs w:val="24"/>
        </w:rPr>
        <w:t>The amendment add</w:t>
      </w:r>
      <w:r w:rsidR="00882E76">
        <w:rPr>
          <w:sz w:val="24"/>
          <w:szCs w:val="24"/>
        </w:rPr>
        <w:t>ed</w:t>
      </w:r>
      <w:r w:rsidRPr="00320A32">
        <w:rPr>
          <w:sz w:val="24"/>
          <w:szCs w:val="24"/>
        </w:rPr>
        <w:t xml:space="preserve"> a new paragraph to provide that </w:t>
      </w:r>
      <w:r w:rsidR="00033108">
        <w:rPr>
          <w:sz w:val="24"/>
          <w:szCs w:val="24"/>
        </w:rPr>
        <w:t xml:space="preserve">Rule 17g-5(a)(3) </w:t>
      </w:r>
      <w:r w:rsidRPr="00320A32">
        <w:rPr>
          <w:sz w:val="24"/>
          <w:szCs w:val="24"/>
        </w:rPr>
        <w:t xml:space="preserve">will not apply to an NRSRO when issuing or maintaining a credit rating for a security or money market instrument issued by an asset pool or as part of any asset-backed securities transaction if it </w:t>
      </w:r>
      <w:r w:rsidRPr="00320A32">
        <w:rPr>
          <w:color w:val="000000"/>
          <w:sz w:val="24"/>
          <w:szCs w:val="24"/>
          <w:lang w:val="en"/>
        </w:rPr>
        <w:t>the issuer of the security or money market instrument is not a U.S. person; and the NRSRO has a reasonable basis to conclude that all offers and sales of the security or money market instrument by any issuer, sponsor, or underwriter linked to the security or money market instrum</w:t>
      </w:r>
      <w:r>
        <w:rPr>
          <w:color w:val="000000"/>
          <w:sz w:val="24"/>
          <w:szCs w:val="24"/>
          <w:lang w:val="en"/>
        </w:rPr>
        <w:t>ent will occur outside the U.S.</w:t>
      </w:r>
    </w:p>
    <w:p w:rsidR="000C507F" w:rsidP="007A5850" w:rsidRDefault="000C507F">
      <w:pPr>
        <w:ind w:firstLine="720"/>
        <w:rPr>
          <w:color w:val="000000"/>
          <w:sz w:val="24"/>
          <w:szCs w:val="24"/>
        </w:rPr>
      </w:pPr>
    </w:p>
    <w:p w:rsidRPr="00EF7AD5" w:rsidR="006E4923" w:rsidP="0022267F" w:rsidRDefault="00B6007D">
      <w:r w:rsidRPr="0022267F">
        <w:rPr>
          <w:sz w:val="24"/>
          <w:szCs w:val="24"/>
        </w:rPr>
        <w:tab/>
      </w:r>
      <w:r w:rsidRPr="0022267F" w:rsidR="00D62518">
        <w:rPr>
          <w:iCs/>
          <w:sz w:val="24"/>
          <w:szCs w:val="24"/>
        </w:rPr>
        <w:t xml:space="preserve">The collection of information obligation imposed by </w:t>
      </w:r>
      <w:r w:rsidRPr="0022267F" w:rsidR="00210B6A">
        <w:rPr>
          <w:iCs/>
          <w:sz w:val="24"/>
          <w:szCs w:val="24"/>
        </w:rPr>
        <w:t>Rule</w:t>
      </w:r>
      <w:r w:rsidRPr="0022267F" w:rsidR="00C06817">
        <w:rPr>
          <w:iCs/>
          <w:sz w:val="24"/>
          <w:szCs w:val="24"/>
        </w:rPr>
        <w:t xml:space="preserve"> 17g-5</w:t>
      </w:r>
      <w:r w:rsidRPr="0022267F" w:rsidR="00210B6A">
        <w:rPr>
          <w:iCs/>
          <w:sz w:val="24"/>
          <w:szCs w:val="24"/>
        </w:rPr>
        <w:t xml:space="preserve"> </w:t>
      </w:r>
      <w:r w:rsidRPr="0022267F" w:rsidR="000A2616">
        <w:rPr>
          <w:iCs/>
          <w:sz w:val="24"/>
          <w:szCs w:val="24"/>
        </w:rPr>
        <w:t>is</w:t>
      </w:r>
      <w:r w:rsidRPr="0022267F" w:rsidR="00D62518">
        <w:rPr>
          <w:iCs/>
          <w:sz w:val="24"/>
          <w:szCs w:val="24"/>
        </w:rPr>
        <w:t xml:space="preserve"> mandatory</w:t>
      </w:r>
      <w:r w:rsidRPr="0022267F" w:rsidR="00210B6A">
        <w:rPr>
          <w:iCs/>
          <w:sz w:val="24"/>
          <w:szCs w:val="24"/>
        </w:rPr>
        <w:t xml:space="preserve"> for credit </w:t>
      </w:r>
      <w:r w:rsidRPr="0022267F" w:rsidR="00D62518">
        <w:rPr>
          <w:iCs/>
          <w:sz w:val="24"/>
          <w:szCs w:val="24"/>
        </w:rPr>
        <w:t>rating agencies that are applying to register or are registered with the Commission as NRSROs</w:t>
      </w:r>
      <w:r w:rsidRPr="0022267F" w:rsidR="000A2616">
        <w:rPr>
          <w:iCs/>
          <w:sz w:val="24"/>
          <w:szCs w:val="24"/>
        </w:rPr>
        <w:t xml:space="preserve">.  </w:t>
      </w:r>
      <w:r w:rsidRPr="0022267F" w:rsidR="00210B6A">
        <w:rPr>
          <w:iCs/>
          <w:sz w:val="24"/>
          <w:szCs w:val="24"/>
        </w:rPr>
        <w:t>R</w:t>
      </w:r>
      <w:r w:rsidRPr="0022267F" w:rsidR="00D62518">
        <w:rPr>
          <w:iCs/>
          <w:sz w:val="24"/>
          <w:szCs w:val="24"/>
        </w:rPr>
        <w:t xml:space="preserve">egistration </w:t>
      </w:r>
      <w:r w:rsidRPr="0022267F" w:rsidR="000A2616">
        <w:rPr>
          <w:iCs/>
          <w:sz w:val="24"/>
          <w:szCs w:val="24"/>
        </w:rPr>
        <w:t xml:space="preserve">with the Commission as an NRSRO </w:t>
      </w:r>
      <w:r w:rsidRPr="0022267F" w:rsidR="00D62518">
        <w:rPr>
          <w:iCs/>
          <w:sz w:val="24"/>
          <w:szCs w:val="24"/>
        </w:rPr>
        <w:t xml:space="preserve">is voluntary. </w:t>
      </w:r>
      <w:r w:rsidRPr="00EF7AD5" w:rsidR="006E4923">
        <w:tab/>
      </w:r>
    </w:p>
    <w:p w:rsidRPr="00EF7AD5" w:rsidR="00BE6E3E" w:rsidP="00166C8F" w:rsidRDefault="00AE3EEF">
      <w:pPr>
        <w:tabs>
          <w:tab w:val="left" w:pos="-720"/>
        </w:tabs>
        <w:suppressAutoHyphens/>
        <w:rPr>
          <w:sz w:val="24"/>
          <w:szCs w:val="24"/>
        </w:rPr>
      </w:pPr>
      <w:r w:rsidRPr="00EF7AD5">
        <w:rPr>
          <w:sz w:val="24"/>
        </w:rPr>
        <w:tab/>
      </w:r>
    </w:p>
    <w:p w:rsidRPr="00EF7AD5" w:rsidR="00D144C0" w:rsidP="005350D3" w:rsidRDefault="00BE6E3E">
      <w:pPr>
        <w:ind w:left="1440" w:hanging="720"/>
        <w:rPr>
          <w:b/>
          <w:sz w:val="24"/>
          <w:szCs w:val="24"/>
        </w:rPr>
      </w:pPr>
      <w:r w:rsidRPr="00EF7AD5">
        <w:rPr>
          <w:b/>
          <w:sz w:val="24"/>
          <w:szCs w:val="24"/>
        </w:rPr>
        <w:t>2.</w:t>
      </w:r>
      <w:r w:rsidRPr="00EF7AD5">
        <w:rPr>
          <w:b/>
          <w:sz w:val="24"/>
          <w:szCs w:val="24"/>
        </w:rPr>
        <w:tab/>
      </w:r>
      <w:r w:rsidRPr="00363A59" w:rsidR="00166C8F">
        <w:rPr>
          <w:rStyle w:val="Heading1Char"/>
        </w:rPr>
        <w:t>Purpose and Use of the Information Collection</w:t>
      </w:r>
      <w:r w:rsidRPr="00EF7AD5" w:rsidR="00D144C0">
        <w:rPr>
          <w:b/>
          <w:sz w:val="24"/>
          <w:szCs w:val="24"/>
        </w:rPr>
        <w:t xml:space="preserve"> </w:t>
      </w:r>
    </w:p>
    <w:p w:rsidRPr="00EF7AD5" w:rsidR="00BE6E3E" w:rsidP="005350D3" w:rsidRDefault="00BE6E3E">
      <w:pPr>
        <w:pStyle w:val="BodyText"/>
        <w:ind w:firstLine="720"/>
        <w:jc w:val="left"/>
        <w:rPr>
          <w:iCs/>
        </w:rPr>
      </w:pPr>
    </w:p>
    <w:p w:rsidRPr="00061F18" w:rsidR="00863C6A" w:rsidP="00061F18" w:rsidRDefault="00453014">
      <w:pPr>
        <w:tabs>
          <w:tab w:val="left" w:pos="-720"/>
        </w:tabs>
        <w:suppressAutoHyphens/>
        <w:rPr>
          <w:sz w:val="24"/>
          <w:szCs w:val="24"/>
        </w:rPr>
      </w:pPr>
      <w:r w:rsidRPr="00EF7AD5">
        <w:rPr>
          <w:sz w:val="24"/>
        </w:rPr>
        <w:tab/>
      </w:r>
      <w:r w:rsidRPr="00EF7AD5" w:rsidR="00863C6A">
        <w:rPr>
          <w:sz w:val="24"/>
        </w:rPr>
        <w:t>The collec</w:t>
      </w:r>
      <w:r w:rsidRPr="00EF7AD5" w:rsidR="00CF486D">
        <w:rPr>
          <w:sz w:val="24"/>
        </w:rPr>
        <w:t>tion of information included in</w:t>
      </w:r>
      <w:r w:rsidRPr="00EF7AD5" w:rsidR="00EB7A70">
        <w:rPr>
          <w:sz w:val="24"/>
        </w:rPr>
        <w:t xml:space="preserve"> </w:t>
      </w:r>
      <w:r w:rsidRPr="00EF7AD5" w:rsidR="00863C6A">
        <w:rPr>
          <w:sz w:val="24"/>
        </w:rPr>
        <w:t>Rule 17g-</w:t>
      </w:r>
      <w:r w:rsidRPr="00EF7AD5" w:rsidR="00131ECD">
        <w:rPr>
          <w:sz w:val="24"/>
        </w:rPr>
        <w:t>5</w:t>
      </w:r>
      <w:r w:rsidRPr="00EF7AD5" w:rsidR="00863C6A">
        <w:rPr>
          <w:sz w:val="24"/>
        </w:rPr>
        <w:t xml:space="preserve"> is necessary for Commission oversight of </w:t>
      </w:r>
      <w:r w:rsidRPr="00EF7AD5" w:rsidR="00EB7A70">
        <w:rPr>
          <w:sz w:val="24"/>
        </w:rPr>
        <w:t xml:space="preserve">registered </w:t>
      </w:r>
      <w:r w:rsidRPr="00EF7AD5" w:rsidR="00863C6A">
        <w:rPr>
          <w:sz w:val="24"/>
        </w:rPr>
        <w:t xml:space="preserve">NRSROs.  Specifically, this collection of information </w:t>
      </w:r>
      <w:r w:rsidRPr="00EF7AD5" w:rsidR="006761A3">
        <w:rPr>
          <w:sz w:val="24"/>
        </w:rPr>
        <w:t>aids</w:t>
      </w:r>
      <w:r w:rsidRPr="00EF7AD5" w:rsidR="00863C6A">
        <w:rPr>
          <w:sz w:val="24"/>
        </w:rPr>
        <w:t xml:space="preserve"> the Commission </w:t>
      </w:r>
      <w:r w:rsidRPr="00EF7AD5" w:rsidR="000B1384">
        <w:rPr>
          <w:sz w:val="24"/>
        </w:rPr>
        <w:t xml:space="preserve">by addressing potential practices that could impair the objectivity and the quality of </w:t>
      </w:r>
      <w:r w:rsidRPr="00061F18" w:rsidR="000B1384">
        <w:rPr>
          <w:sz w:val="24"/>
          <w:szCs w:val="24"/>
        </w:rPr>
        <w:t>a credit rating</w:t>
      </w:r>
      <w:r w:rsidRPr="00061F18" w:rsidR="005573CC">
        <w:rPr>
          <w:sz w:val="24"/>
          <w:szCs w:val="24"/>
        </w:rPr>
        <w:t xml:space="preserve">. </w:t>
      </w:r>
      <w:r w:rsidRPr="00061F18" w:rsidR="00863C6A">
        <w:rPr>
          <w:sz w:val="24"/>
          <w:szCs w:val="24"/>
        </w:rPr>
        <w:t xml:space="preserve"> </w:t>
      </w:r>
    </w:p>
    <w:p w:rsidR="00061F18" w:rsidP="00061F18" w:rsidRDefault="00061F18">
      <w:pPr>
        <w:ind w:firstLine="720"/>
        <w:rPr>
          <w:color w:val="000000"/>
          <w:sz w:val="24"/>
          <w:szCs w:val="24"/>
        </w:rPr>
      </w:pPr>
    </w:p>
    <w:p w:rsidR="009E5A7B" w:rsidP="00061F18" w:rsidRDefault="00061F18">
      <w:pPr>
        <w:ind w:firstLine="720"/>
        <w:rPr>
          <w:color w:val="000000"/>
          <w:sz w:val="24"/>
          <w:szCs w:val="24"/>
        </w:rPr>
      </w:pPr>
      <w:r w:rsidRPr="00061F18">
        <w:rPr>
          <w:color w:val="000000"/>
          <w:sz w:val="24"/>
          <w:szCs w:val="24"/>
        </w:rPr>
        <w:t xml:space="preserve">The collection required under  paragraph </w:t>
      </w:r>
      <w:r w:rsidRPr="00061F18">
        <w:rPr>
          <w:sz w:val="24"/>
          <w:szCs w:val="24"/>
        </w:rPr>
        <w:t xml:space="preserve">(a)(3)(iii)(E) </w:t>
      </w:r>
      <w:r w:rsidRPr="00061F18">
        <w:rPr>
          <w:color w:val="000000"/>
          <w:sz w:val="24"/>
          <w:szCs w:val="24"/>
        </w:rPr>
        <w:t xml:space="preserve">to Rule 17g-5 will be used by the providers of third-party due diligence services to meet their statutory obligation to deliver </w:t>
      </w:r>
      <w:r w:rsidR="002C363C">
        <w:rPr>
          <w:color w:val="000000"/>
          <w:sz w:val="24"/>
          <w:szCs w:val="24"/>
        </w:rPr>
        <w:t>Form ABS Due Diligence-15E</w:t>
      </w:r>
      <w:r w:rsidRPr="00061F18">
        <w:rPr>
          <w:color w:val="000000"/>
          <w:sz w:val="24"/>
          <w:szCs w:val="24"/>
        </w:rPr>
        <w:t xml:space="preserve"> to any NRSRO that produces a credit rating to which the services relate.  Furthermore, disclosing these certifications on the Rule 17g-5 websites will make them available to NRSROs that may not otherwise be aware that third-party due diligence services are being employed with respect to an Exchange Act-ABS because, for example, they are not hired to rate the Exchange Act-ABS.</w:t>
      </w:r>
      <w:r w:rsidR="009E5A7B">
        <w:rPr>
          <w:color w:val="000000"/>
          <w:sz w:val="24"/>
          <w:szCs w:val="24"/>
        </w:rPr>
        <w:t xml:space="preserve"> </w:t>
      </w:r>
    </w:p>
    <w:p w:rsidR="009E5A7B" w:rsidP="00061F18" w:rsidRDefault="009E5A7B">
      <w:pPr>
        <w:ind w:firstLine="720"/>
        <w:rPr>
          <w:color w:val="000000"/>
          <w:sz w:val="24"/>
          <w:szCs w:val="24"/>
        </w:rPr>
      </w:pPr>
    </w:p>
    <w:p w:rsidR="00061F18" w:rsidP="00061F18" w:rsidRDefault="009E5A7B">
      <w:pPr>
        <w:ind w:firstLine="720"/>
        <w:rPr>
          <w:color w:val="000000"/>
          <w:sz w:val="24"/>
          <w:szCs w:val="24"/>
        </w:rPr>
      </w:pPr>
      <w:r>
        <w:rPr>
          <w:color w:val="000000"/>
          <w:sz w:val="24"/>
          <w:szCs w:val="24"/>
        </w:rPr>
        <w:t xml:space="preserve">The amendment to Rule 17g-5(a)(3) requires a collection of information from the arranger so that an NRSRO can form a reasonable basis to conclude that all offers and sales of the structured finance product will occur outside the United States and therefore the exemption </w:t>
      </w:r>
      <w:r w:rsidR="00033108">
        <w:rPr>
          <w:color w:val="000000"/>
          <w:sz w:val="24"/>
          <w:szCs w:val="24"/>
        </w:rPr>
        <w:t xml:space="preserve">to certain disclosure requirements </w:t>
      </w:r>
      <w:r>
        <w:rPr>
          <w:color w:val="000000"/>
          <w:sz w:val="24"/>
          <w:szCs w:val="24"/>
        </w:rPr>
        <w:t xml:space="preserve">applies. </w:t>
      </w:r>
    </w:p>
    <w:p w:rsidRPr="00061F18" w:rsidR="00061F18" w:rsidP="00061F18" w:rsidRDefault="00061F18">
      <w:pPr>
        <w:ind w:firstLine="720"/>
        <w:rPr>
          <w:color w:val="000000"/>
          <w:sz w:val="24"/>
          <w:szCs w:val="24"/>
        </w:rPr>
      </w:pPr>
    </w:p>
    <w:p w:rsidRPr="00061F18" w:rsidR="00061F18" w:rsidP="00061F18" w:rsidRDefault="00061F18">
      <w:pPr>
        <w:ind w:firstLine="720"/>
        <w:rPr>
          <w:color w:val="000000"/>
          <w:sz w:val="24"/>
          <w:szCs w:val="24"/>
        </w:rPr>
      </w:pPr>
      <w:r w:rsidRPr="00061F18">
        <w:rPr>
          <w:color w:val="000000"/>
          <w:sz w:val="24"/>
          <w:szCs w:val="24"/>
        </w:rPr>
        <w:t xml:space="preserve">Exhibit 7 to Form NRSRO requires an applicant for registration as an NRSRO or an NRSRO to provide a copy in the exhibit of the written policies and procedures an applicant or NRSRO must establish, maintain, and enforce to address and manage conflicts of interest pursuant to section </w:t>
      </w:r>
      <w:proofErr w:type="gramStart"/>
      <w:r w:rsidRPr="00061F18">
        <w:rPr>
          <w:color w:val="000000"/>
          <w:sz w:val="24"/>
          <w:szCs w:val="24"/>
        </w:rPr>
        <w:t>15E(</w:t>
      </w:r>
      <w:proofErr w:type="gramEnd"/>
      <w:r w:rsidRPr="00061F18">
        <w:rPr>
          <w:color w:val="000000"/>
          <w:sz w:val="24"/>
          <w:szCs w:val="24"/>
        </w:rPr>
        <w:t>h) of the Exchange Act.  This disclosure by an NRSRO can be reviewed by investors and other users of credit ratings to evaluate the NRSRO’s policies and procedures (including those addressing the new absolutely prohibited conflict) and to compare them with the policies and procedures of other NRSROs.</w:t>
      </w:r>
    </w:p>
    <w:p w:rsidRPr="00061F18" w:rsidR="00061F18" w:rsidP="00061F18" w:rsidRDefault="00061F18">
      <w:pPr>
        <w:tabs>
          <w:tab w:val="left" w:pos="-720"/>
        </w:tabs>
        <w:suppressAutoHyphens/>
        <w:rPr>
          <w:sz w:val="24"/>
          <w:szCs w:val="24"/>
        </w:rPr>
      </w:pPr>
      <w:r>
        <w:rPr>
          <w:color w:val="000000"/>
          <w:sz w:val="24"/>
          <w:szCs w:val="24"/>
        </w:rPr>
        <w:tab/>
      </w:r>
    </w:p>
    <w:p w:rsidRPr="00EF7AD5" w:rsidR="00481FB0" w:rsidP="005350D3" w:rsidRDefault="00481FB0">
      <w:pPr>
        <w:rPr>
          <w:sz w:val="24"/>
          <w:szCs w:val="24"/>
        </w:rPr>
      </w:pPr>
    </w:p>
    <w:p w:rsidRPr="00EF7AD5" w:rsidR="003E276C" w:rsidP="005350D3" w:rsidRDefault="009369BE">
      <w:pPr>
        <w:keepNext/>
        <w:tabs>
          <w:tab w:val="left" w:pos="-720"/>
          <w:tab w:val="left" w:pos="720"/>
        </w:tabs>
        <w:suppressAutoHyphens/>
        <w:ind w:left="1440" w:hanging="720"/>
        <w:rPr>
          <w:b/>
          <w:sz w:val="24"/>
          <w:szCs w:val="24"/>
          <w:u w:val="single"/>
        </w:rPr>
      </w:pPr>
      <w:r w:rsidRPr="00EF7AD5">
        <w:rPr>
          <w:b/>
          <w:sz w:val="24"/>
          <w:szCs w:val="24"/>
        </w:rPr>
        <w:t>3.</w:t>
      </w:r>
      <w:r w:rsidRPr="00EF7AD5">
        <w:rPr>
          <w:b/>
          <w:sz w:val="24"/>
          <w:szCs w:val="24"/>
        </w:rPr>
        <w:tab/>
      </w:r>
      <w:r w:rsidRPr="00363A59" w:rsidR="00166C8F">
        <w:rPr>
          <w:rStyle w:val="Heading1Char"/>
        </w:rPr>
        <w:t>Consideration Given to Information Technology</w:t>
      </w:r>
    </w:p>
    <w:p w:rsidRPr="00EF7AD5" w:rsidR="003E276C" w:rsidP="005350D3" w:rsidRDefault="003E276C">
      <w:pPr>
        <w:keepNext/>
        <w:tabs>
          <w:tab w:val="left" w:pos="-720"/>
        </w:tabs>
        <w:suppressAutoHyphens/>
        <w:rPr>
          <w:sz w:val="24"/>
          <w:szCs w:val="24"/>
        </w:rPr>
      </w:pPr>
    </w:p>
    <w:p w:rsidRPr="00EF7AD5" w:rsidR="00B8739F" w:rsidP="005350D3" w:rsidRDefault="00B8739F">
      <w:pPr>
        <w:pStyle w:val="BodyText"/>
        <w:ind w:firstLine="720"/>
        <w:jc w:val="left"/>
      </w:pPr>
      <w:r w:rsidRPr="00EF7AD5">
        <w:t>Rule 17g-</w:t>
      </w:r>
      <w:r w:rsidRPr="00EF7AD5" w:rsidR="000B1384">
        <w:t>5</w:t>
      </w:r>
      <w:r w:rsidRPr="00EF7AD5">
        <w:t xml:space="preserve"> </w:t>
      </w:r>
      <w:r w:rsidRPr="00EF7AD5" w:rsidR="000B1384">
        <w:t>allow</w:t>
      </w:r>
      <w:r w:rsidRPr="00EF7AD5" w:rsidR="00CF486D">
        <w:t>s</w:t>
      </w:r>
      <w:r w:rsidRPr="00EF7AD5" w:rsidR="000B1384">
        <w:t xml:space="preserve"> NRSROs to disclose certain information in an electronic format</w:t>
      </w:r>
      <w:r w:rsidRPr="00EF7AD5">
        <w:t xml:space="preserve">.  </w:t>
      </w:r>
      <w:r w:rsidRPr="00EF7AD5" w:rsidR="000B1384">
        <w:rPr>
          <w:rFonts w:ascii="CG Times" w:hAnsi="CG Times"/>
        </w:rPr>
        <w:t xml:space="preserve">The Commission believes that improvements in telecommunications and data processing technology may reduce any burdens associated with Rule 17g-5.  </w:t>
      </w:r>
    </w:p>
    <w:p w:rsidRPr="00EF7AD5" w:rsidR="003E276C" w:rsidP="005350D3" w:rsidRDefault="003E276C">
      <w:pPr>
        <w:tabs>
          <w:tab w:val="left" w:pos="-720"/>
        </w:tabs>
        <w:suppressAutoHyphens/>
        <w:rPr>
          <w:sz w:val="24"/>
          <w:szCs w:val="24"/>
        </w:rPr>
      </w:pPr>
    </w:p>
    <w:p w:rsidRPr="00EF7AD5" w:rsidR="003E276C" w:rsidP="005350D3" w:rsidRDefault="00C60448">
      <w:pPr>
        <w:keepNext/>
        <w:tabs>
          <w:tab w:val="left" w:pos="-720"/>
          <w:tab w:val="left" w:pos="0"/>
          <w:tab w:val="left" w:pos="720"/>
        </w:tabs>
        <w:suppressAutoHyphens/>
        <w:ind w:left="1440" w:hanging="1440"/>
        <w:rPr>
          <w:b/>
          <w:sz w:val="24"/>
          <w:szCs w:val="24"/>
        </w:rPr>
      </w:pPr>
      <w:r w:rsidRPr="00EF7AD5">
        <w:rPr>
          <w:b/>
          <w:sz w:val="24"/>
          <w:szCs w:val="24"/>
        </w:rPr>
        <w:tab/>
      </w:r>
      <w:r w:rsidRPr="00EF7AD5" w:rsidR="003E276C">
        <w:rPr>
          <w:b/>
          <w:sz w:val="24"/>
          <w:szCs w:val="24"/>
        </w:rPr>
        <w:t>4.</w:t>
      </w:r>
      <w:r w:rsidRPr="00EF7AD5" w:rsidR="003E276C">
        <w:rPr>
          <w:b/>
          <w:sz w:val="24"/>
          <w:szCs w:val="24"/>
        </w:rPr>
        <w:tab/>
      </w:r>
      <w:r w:rsidRPr="00363A59" w:rsidR="00166C8F">
        <w:rPr>
          <w:rStyle w:val="Heading1Char"/>
        </w:rPr>
        <w:t>Duplication</w:t>
      </w:r>
    </w:p>
    <w:p w:rsidRPr="00EF7AD5" w:rsidR="003E276C" w:rsidP="005350D3" w:rsidRDefault="003E276C">
      <w:pPr>
        <w:keepNext/>
        <w:tabs>
          <w:tab w:val="left" w:pos="-720"/>
        </w:tabs>
        <w:suppressAutoHyphens/>
        <w:rPr>
          <w:sz w:val="24"/>
          <w:szCs w:val="24"/>
        </w:rPr>
      </w:pPr>
    </w:p>
    <w:p w:rsidRPr="00EF7AD5" w:rsidR="003E276C" w:rsidP="005350D3" w:rsidRDefault="003E276C">
      <w:pPr>
        <w:tabs>
          <w:tab w:val="left" w:pos="-720"/>
        </w:tabs>
        <w:suppressAutoHyphens/>
        <w:rPr>
          <w:sz w:val="24"/>
          <w:szCs w:val="24"/>
        </w:rPr>
      </w:pPr>
      <w:r w:rsidRPr="00EF7AD5">
        <w:rPr>
          <w:sz w:val="24"/>
          <w:szCs w:val="24"/>
        </w:rPr>
        <w:tab/>
        <w:t>N</w:t>
      </w:r>
      <w:r w:rsidRPr="00EF7AD5">
        <w:rPr>
          <w:spacing w:val="-3"/>
          <w:sz w:val="24"/>
          <w:szCs w:val="24"/>
        </w:rPr>
        <w:t>o duplication is apparent.</w:t>
      </w:r>
    </w:p>
    <w:p w:rsidRPr="00EF7AD5" w:rsidR="003E276C" w:rsidP="005350D3" w:rsidRDefault="003E276C">
      <w:pPr>
        <w:tabs>
          <w:tab w:val="left" w:pos="-720"/>
        </w:tabs>
        <w:suppressAutoHyphens/>
        <w:rPr>
          <w:sz w:val="24"/>
          <w:szCs w:val="24"/>
        </w:rPr>
      </w:pPr>
    </w:p>
    <w:p w:rsidRPr="00EF7AD5" w:rsidR="003E276C" w:rsidP="005350D3" w:rsidRDefault="003E276C">
      <w:pPr>
        <w:keepNext/>
        <w:tabs>
          <w:tab w:val="left" w:pos="-720"/>
          <w:tab w:val="left" w:pos="0"/>
          <w:tab w:val="left" w:pos="720"/>
        </w:tabs>
        <w:suppressAutoHyphens/>
        <w:ind w:left="1440" w:hanging="1440"/>
        <w:rPr>
          <w:b/>
          <w:sz w:val="24"/>
          <w:szCs w:val="24"/>
        </w:rPr>
      </w:pPr>
      <w:r w:rsidRPr="00EF7AD5">
        <w:rPr>
          <w:b/>
          <w:sz w:val="24"/>
          <w:szCs w:val="24"/>
        </w:rPr>
        <w:tab/>
        <w:t>5.</w:t>
      </w:r>
      <w:r w:rsidRPr="00EF7AD5">
        <w:rPr>
          <w:b/>
          <w:sz w:val="24"/>
          <w:szCs w:val="24"/>
        </w:rPr>
        <w:tab/>
      </w:r>
      <w:r w:rsidRPr="00363A59" w:rsidR="00166C8F">
        <w:rPr>
          <w:rStyle w:val="Heading1Char"/>
        </w:rPr>
        <w:t>Effect</w:t>
      </w:r>
      <w:r w:rsidRPr="00363A59">
        <w:rPr>
          <w:rStyle w:val="Heading1Char"/>
        </w:rPr>
        <w:t xml:space="preserve"> on Small Entities</w:t>
      </w:r>
    </w:p>
    <w:p w:rsidRPr="00EF7AD5" w:rsidR="003E276C" w:rsidP="005350D3" w:rsidRDefault="003E276C">
      <w:pPr>
        <w:keepNext/>
        <w:tabs>
          <w:tab w:val="left" w:pos="-720"/>
        </w:tabs>
        <w:suppressAutoHyphens/>
        <w:rPr>
          <w:sz w:val="24"/>
          <w:szCs w:val="24"/>
        </w:rPr>
      </w:pPr>
    </w:p>
    <w:p w:rsidRPr="00EF7AD5" w:rsidR="003E276C" w:rsidP="005350D3" w:rsidRDefault="003E276C">
      <w:pPr>
        <w:pStyle w:val="BodyText"/>
        <w:jc w:val="left"/>
      </w:pPr>
      <w:r w:rsidRPr="00EF7AD5">
        <w:tab/>
        <w:t xml:space="preserve">Small entities may be </w:t>
      </w:r>
      <w:r w:rsidRPr="00EF7AD5" w:rsidR="00B9764F">
        <w:t>a</w:t>
      </w:r>
      <w:r w:rsidRPr="00EF7AD5">
        <w:t xml:space="preserve">ffected by </w:t>
      </w:r>
      <w:r w:rsidRPr="00EF7AD5" w:rsidR="00CF486D">
        <w:t>the R</w:t>
      </w:r>
      <w:r w:rsidRPr="00EF7AD5">
        <w:t xml:space="preserve">ule </w:t>
      </w:r>
      <w:r w:rsidRPr="00EF7AD5" w:rsidR="009369BE">
        <w:t>because</w:t>
      </w:r>
      <w:r w:rsidRPr="00EF7AD5">
        <w:t xml:space="preserve"> all </w:t>
      </w:r>
      <w:r w:rsidRPr="00EF7AD5" w:rsidR="003A3E20">
        <w:t>NRSROs</w:t>
      </w:r>
      <w:r w:rsidRPr="00EF7AD5" w:rsidR="00B9764F">
        <w:t>,</w:t>
      </w:r>
      <w:r w:rsidRPr="00EF7AD5">
        <w:t xml:space="preserve"> regardless of size</w:t>
      </w:r>
      <w:r w:rsidRPr="00EF7AD5" w:rsidR="00B9764F">
        <w:t xml:space="preserve">, </w:t>
      </w:r>
      <w:r w:rsidRPr="00EF7AD5" w:rsidR="00CF486D">
        <w:t>are</w:t>
      </w:r>
      <w:r w:rsidRPr="00EF7AD5" w:rsidR="000B1384">
        <w:t xml:space="preserve"> subject to the additional </w:t>
      </w:r>
      <w:r w:rsidR="0022267F">
        <w:t xml:space="preserve">requirements </w:t>
      </w:r>
      <w:r w:rsidRPr="00EF7AD5" w:rsidR="000B1384">
        <w:t>in the amendments to Rule 17g-5</w:t>
      </w:r>
      <w:r w:rsidRPr="00EF7AD5" w:rsidR="003A3E20">
        <w:t xml:space="preserve">.  </w:t>
      </w:r>
      <w:r w:rsidR="00952B52">
        <w:t>However, par</w:t>
      </w:r>
      <w:r w:rsidRPr="0022267F" w:rsidR="00952B52">
        <w:rPr>
          <w:color w:val="000000"/>
        </w:rPr>
        <w:t xml:space="preserve">agraph (f) </w:t>
      </w:r>
      <w:r w:rsidR="00DE5BD2">
        <w:rPr>
          <w:color w:val="000000"/>
        </w:rPr>
        <w:t>of</w:t>
      </w:r>
      <w:r w:rsidRPr="0022267F" w:rsidR="00952B52">
        <w:rPr>
          <w:color w:val="000000"/>
        </w:rPr>
        <w:t xml:space="preserve"> Rule 17g-5 provides that upon written application by an NRSRO the Commission may exempt, either conditionally or unconditionally, the NRSRO from paragraph (c</w:t>
      </w:r>
      <w:proofErr w:type="gramStart"/>
      <w:r w:rsidRPr="0022267F" w:rsidR="00952B52">
        <w:rPr>
          <w:color w:val="000000"/>
        </w:rPr>
        <w:t>)(</w:t>
      </w:r>
      <w:proofErr w:type="gramEnd"/>
      <w:r w:rsidRPr="0022267F" w:rsidR="00952B52">
        <w:rPr>
          <w:color w:val="000000"/>
        </w:rPr>
        <w:t>8)</w:t>
      </w:r>
      <w:r w:rsidR="00DE5BD2">
        <w:rPr>
          <w:color w:val="000000"/>
        </w:rPr>
        <w:t xml:space="preserve"> of Rule 17g-5</w:t>
      </w:r>
      <w:r w:rsidRPr="0022267F" w:rsidR="00952B52">
        <w:rPr>
          <w:color w:val="000000"/>
        </w:rPr>
        <w:t xml:space="preserve"> if the Commission finds that due to the small size of the NRSRO it is not appropriate to require the separation within the NRSRO of the production of credit ratings from sales and marketing activities and such exemption is in the public interest</w:t>
      </w:r>
      <w:r w:rsidR="00952B52">
        <w:rPr>
          <w:color w:val="000000"/>
        </w:rPr>
        <w:t>.</w:t>
      </w:r>
    </w:p>
    <w:p w:rsidRPr="00EF7AD5" w:rsidR="003E276C" w:rsidP="005350D3" w:rsidRDefault="003E276C">
      <w:pPr>
        <w:tabs>
          <w:tab w:val="left" w:pos="-720"/>
        </w:tabs>
        <w:suppressAutoHyphens/>
        <w:rPr>
          <w:sz w:val="24"/>
          <w:szCs w:val="24"/>
        </w:rPr>
      </w:pPr>
    </w:p>
    <w:p w:rsidRPr="00EF7AD5" w:rsidR="003E276C" w:rsidP="005350D3" w:rsidRDefault="003E276C">
      <w:pPr>
        <w:keepNext/>
        <w:tabs>
          <w:tab w:val="left" w:pos="-720"/>
          <w:tab w:val="left" w:pos="0"/>
          <w:tab w:val="left" w:pos="720"/>
        </w:tabs>
        <w:suppressAutoHyphens/>
        <w:ind w:left="1440" w:hanging="1440"/>
        <w:rPr>
          <w:b/>
          <w:sz w:val="24"/>
          <w:szCs w:val="24"/>
        </w:rPr>
      </w:pPr>
      <w:r w:rsidRPr="00EF7AD5">
        <w:rPr>
          <w:b/>
          <w:sz w:val="24"/>
          <w:szCs w:val="24"/>
        </w:rPr>
        <w:tab/>
        <w:t>6.</w:t>
      </w:r>
      <w:r w:rsidRPr="00EF7AD5">
        <w:rPr>
          <w:b/>
          <w:sz w:val="24"/>
          <w:szCs w:val="24"/>
        </w:rPr>
        <w:tab/>
      </w:r>
      <w:r w:rsidRPr="00363A59" w:rsidR="00166C8F">
        <w:rPr>
          <w:rStyle w:val="Heading1Char"/>
        </w:rPr>
        <w:t>Consequences of Not Conducting Collection</w:t>
      </w:r>
    </w:p>
    <w:p w:rsidRPr="00EF7AD5" w:rsidR="003E276C" w:rsidP="005350D3" w:rsidRDefault="003E276C">
      <w:pPr>
        <w:keepNext/>
        <w:tabs>
          <w:tab w:val="left" w:pos="-720"/>
        </w:tabs>
        <w:suppressAutoHyphens/>
        <w:rPr>
          <w:sz w:val="24"/>
          <w:szCs w:val="24"/>
        </w:rPr>
      </w:pPr>
    </w:p>
    <w:p w:rsidRPr="00EF7AD5" w:rsidR="003A3E20" w:rsidP="005350D3" w:rsidRDefault="003E276C">
      <w:pPr>
        <w:pStyle w:val="BodyText"/>
        <w:jc w:val="left"/>
      </w:pPr>
      <w:r w:rsidRPr="00EF7AD5">
        <w:tab/>
      </w:r>
      <w:r w:rsidRPr="00EF7AD5" w:rsidR="003A3E20">
        <w:t>If this information were not collected as frequently, the Commission would be unable to ascertain, on an ongoing basis, whether a credit rating agency registered as an NRSRO</w:t>
      </w:r>
      <w:r w:rsidRPr="00EF7AD5" w:rsidR="005573CC">
        <w:t xml:space="preserve"> “fails to maintain adequate financial and managerial resources to consistently produce credit ratings with integrity.”</w:t>
      </w:r>
      <w:r w:rsidRPr="00EF7AD5" w:rsidR="005573CC">
        <w:rPr>
          <w:rStyle w:val="FootnoteReference"/>
        </w:rPr>
        <w:footnoteReference w:id="21"/>
      </w:r>
      <w:r w:rsidRPr="00EF7AD5" w:rsidR="005573CC">
        <w:t xml:space="preserve"> </w:t>
      </w:r>
    </w:p>
    <w:p w:rsidRPr="00EF7AD5" w:rsidR="003E276C" w:rsidP="005350D3" w:rsidRDefault="003E276C">
      <w:pPr>
        <w:tabs>
          <w:tab w:val="left" w:pos="-720"/>
        </w:tabs>
        <w:suppressAutoHyphens/>
        <w:rPr>
          <w:sz w:val="24"/>
          <w:szCs w:val="24"/>
        </w:rPr>
      </w:pPr>
    </w:p>
    <w:p w:rsidRPr="00EF7AD5" w:rsidR="003E276C" w:rsidP="005350D3" w:rsidRDefault="003E276C">
      <w:pPr>
        <w:keepNext/>
        <w:tabs>
          <w:tab w:val="left" w:pos="-720"/>
          <w:tab w:val="left" w:pos="0"/>
          <w:tab w:val="left" w:pos="720"/>
        </w:tabs>
        <w:suppressAutoHyphens/>
        <w:ind w:left="1440" w:hanging="1440"/>
        <w:rPr>
          <w:b/>
          <w:sz w:val="24"/>
          <w:szCs w:val="24"/>
        </w:rPr>
      </w:pPr>
      <w:r w:rsidRPr="00EF7AD5">
        <w:rPr>
          <w:b/>
          <w:sz w:val="24"/>
          <w:szCs w:val="24"/>
        </w:rPr>
        <w:tab/>
        <w:t>7.</w:t>
      </w:r>
      <w:r w:rsidRPr="00EF7AD5">
        <w:rPr>
          <w:b/>
          <w:sz w:val="24"/>
          <w:szCs w:val="24"/>
        </w:rPr>
        <w:tab/>
      </w:r>
      <w:r w:rsidRPr="00363A59" w:rsidR="00166C8F">
        <w:rPr>
          <w:rStyle w:val="Heading1Char"/>
        </w:rPr>
        <w:t>Inconsistencies with Guidelines in 5 CFR 1320.5(d</w:t>
      </w:r>
      <w:proofErr w:type="gramStart"/>
      <w:r w:rsidRPr="00363A59" w:rsidR="00166C8F">
        <w:rPr>
          <w:rStyle w:val="Heading1Char"/>
        </w:rPr>
        <w:t>)(</w:t>
      </w:r>
      <w:proofErr w:type="gramEnd"/>
      <w:r w:rsidRPr="00363A59" w:rsidR="00166C8F">
        <w:rPr>
          <w:rStyle w:val="Heading1Char"/>
        </w:rPr>
        <w:t>2)</w:t>
      </w:r>
    </w:p>
    <w:p w:rsidRPr="00EF7AD5" w:rsidR="003E276C" w:rsidP="005350D3" w:rsidRDefault="003E276C">
      <w:pPr>
        <w:keepNext/>
        <w:tabs>
          <w:tab w:val="left" w:pos="-720"/>
        </w:tabs>
        <w:suppressAutoHyphens/>
        <w:rPr>
          <w:sz w:val="24"/>
          <w:szCs w:val="24"/>
        </w:rPr>
      </w:pPr>
    </w:p>
    <w:p w:rsidRPr="00EF7AD5" w:rsidR="003E276C" w:rsidP="005350D3" w:rsidRDefault="003E276C">
      <w:pPr>
        <w:tabs>
          <w:tab w:val="left" w:pos="-720"/>
        </w:tabs>
        <w:suppressAutoHyphens/>
        <w:rPr>
          <w:sz w:val="24"/>
          <w:szCs w:val="24"/>
        </w:rPr>
      </w:pPr>
      <w:r w:rsidRPr="00EF7AD5">
        <w:rPr>
          <w:sz w:val="24"/>
          <w:szCs w:val="24"/>
        </w:rPr>
        <w:tab/>
      </w:r>
      <w:r w:rsidRPr="00EF7AD5" w:rsidR="009A4D9E">
        <w:rPr>
          <w:sz w:val="24"/>
          <w:szCs w:val="24"/>
        </w:rPr>
        <w:t>There are no special circumstances.  This collection is consistent with the guidelines in 5 CFR 1320.5(d</w:t>
      </w:r>
      <w:proofErr w:type="gramStart"/>
      <w:r w:rsidRPr="00EF7AD5" w:rsidR="009A4D9E">
        <w:rPr>
          <w:sz w:val="24"/>
          <w:szCs w:val="24"/>
        </w:rPr>
        <w:t>)(</w:t>
      </w:r>
      <w:proofErr w:type="gramEnd"/>
      <w:r w:rsidRPr="00EF7AD5" w:rsidR="009A4D9E">
        <w:rPr>
          <w:sz w:val="24"/>
          <w:szCs w:val="24"/>
        </w:rPr>
        <w:t xml:space="preserve">2). </w:t>
      </w:r>
    </w:p>
    <w:p w:rsidRPr="00EF7AD5" w:rsidR="003E276C" w:rsidP="005350D3" w:rsidRDefault="003E276C">
      <w:pPr>
        <w:tabs>
          <w:tab w:val="left" w:pos="-720"/>
          <w:tab w:val="left" w:pos="0"/>
          <w:tab w:val="left" w:pos="720"/>
        </w:tabs>
        <w:suppressAutoHyphens/>
        <w:ind w:left="1440" w:hanging="1440"/>
        <w:rPr>
          <w:sz w:val="24"/>
          <w:szCs w:val="24"/>
        </w:rPr>
      </w:pPr>
    </w:p>
    <w:p w:rsidRPr="00166C8F" w:rsidR="003E276C" w:rsidP="005350D3" w:rsidRDefault="003E276C">
      <w:pPr>
        <w:keepNext/>
        <w:tabs>
          <w:tab w:val="left" w:pos="-720"/>
          <w:tab w:val="left" w:pos="0"/>
          <w:tab w:val="left" w:pos="720"/>
        </w:tabs>
        <w:suppressAutoHyphens/>
        <w:ind w:left="1440" w:hanging="1440"/>
        <w:rPr>
          <w:b/>
          <w:sz w:val="24"/>
          <w:szCs w:val="24"/>
        </w:rPr>
      </w:pPr>
      <w:r w:rsidRPr="00EF7AD5">
        <w:rPr>
          <w:b/>
          <w:sz w:val="24"/>
          <w:szCs w:val="24"/>
        </w:rPr>
        <w:tab/>
        <w:t>8.</w:t>
      </w:r>
      <w:r w:rsidRPr="00EF7AD5">
        <w:rPr>
          <w:b/>
          <w:sz w:val="24"/>
          <w:szCs w:val="24"/>
        </w:rPr>
        <w:tab/>
      </w:r>
      <w:r w:rsidR="00363A59">
        <w:rPr>
          <w:rStyle w:val="Heading1Char"/>
        </w:rPr>
        <w:t xml:space="preserve">Consultations </w:t>
      </w:r>
      <w:proofErr w:type="gramStart"/>
      <w:r w:rsidRPr="00363A59">
        <w:rPr>
          <w:rStyle w:val="Heading1Char"/>
        </w:rPr>
        <w:t>Outside</w:t>
      </w:r>
      <w:proofErr w:type="gramEnd"/>
      <w:r w:rsidRPr="00363A59">
        <w:rPr>
          <w:rStyle w:val="Heading1Char"/>
        </w:rPr>
        <w:t xml:space="preserve"> the Agency</w:t>
      </w:r>
    </w:p>
    <w:p w:rsidR="005D4660" w:rsidP="00166C8F" w:rsidRDefault="005D4660">
      <w:pPr>
        <w:tabs>
          <w:tab w:val="left" w:pos="-720"/>
        </w:tabs>
        <w:suppressAutoHyphens/>
        <w:rPr>
          <w:sz w:val="24"/>
          <w:szCs w:val="24"/>
        </w:rPr>
      </w:pPr>
    </w:p>
    <w:p w:rsidR="00686E10" w:rsidP="00166C8F" w:rsidRDefault="00F7799D">
      <w:pPr>
        <w:tabs>
          <w:tab w:val="left" w:pos="-720"/>
        </w:tabs>
        <w:suppressAutoHyphens/>
        <w:rPr>
          <w:sz w:val="24"/>
          <w:szCs w:val="24"/>
        </w:rPr>
      </w:pPr>
      <w:r>
        <w:rPr>
          <w:sz w:val="24"/>
          <w:szCs w:val="24"/>
        </w:rPr>
        <w:tab/>
      </w:r>
      <w:r w:rsidRPr="00265540" w:rsidR="00882E76">
        <w:rPr>
          <w:sz w:val="24"/>
          <w:szCs w:val="24"/>
        </w:rPr>
        <w:t xml:space="preserve">The required notice with a 60-day comment period soliciting comments on this collection of information was published in the Federal Register </w:t>
      </w:r>
      <w:r w:rsidR="00882E76">
        <w:rPr>
          <w:sz w:val="24"/>
          <w:szCs w:val="24"/>
        </w:rPr>
        <w:t xml:space="preserve">on </w:t>
      </w:r>
      <w:r w:rsidRPr="0074511C" w:rsidR="00882E76">
        <w:rPr>
          <w:sz w:val="24"/>
          <w:szCs w:val="24"/>
        </w:rPr>
        <w:t>April 27, 2021.</w:t>
      </w:r>
      <w:r w:rsidRPr="0074511C" w:rsidR="00882E76">
        <w:rPr>
          <w:rStyle w:val="FootnoteReference"/>
          <w:sz w:val="24"/>
          <w:szCs w:val="24"/>
        </w:rPr>
        <w:footnoteReference w:id="22"/>
      </w:r>
      <w:r w:rsidRPr="00265540" w:rsidR="00882E76">
        <w:rPr>
          <w:sz w:val="24"/>
          <w:szCs w:val="24"/>
        </w:rPr>
        <w:t xml:space="preserve">  </w:t>
      </w:r>
      <w:r w:rsidR="00882E76">
        <w:rPr>
          <w:position w:val="-1"/>
          <w:sz w:val="24"/>
          <w:szCs w:val="24"/>
        </w:rPr>
        <w:t xml:space="preserve">The Commission did not receive comments on its estimates of the </w:t>
      </w:r>
      <w:r w:rsidRPr="00FA5C05" w:rsidR="00882E76">
        <w:rPr>
          <w:position w:val="-1"/>
          <w:sz w:val="24"/>
          <w:szCs w:val="24"/>
        </w:rPr>
        <w:t xml:space="preserve">paperwork burdens </w:t>
      </w:r>
      <w:r w:rsidR="00882E76">
        <w:rPr>
          <w:position w:val="-1"/>
          <w:sz w:val="24"/>
          <w:szCs w:val="24"/>
        </w:rPr>
        <w:t xml:space="preserve">associated with </w:t>
      </w:r>
      <w:r w:rsidRPr="00BB5C4A" w:rsidR="00882E76">
        <w:rPr>
          <w:position w:val="-1"/>
          <w:sz w:val="24"/>
          <w:szCs w:val="24"/>
        </w:rPr>
        <w:t>Rule 17g-</w:t>
      </w:r>
      <w:r w:rsidR="00882E76">
        <w:rPr>
          <w:position w:val="-1"/>
          <w:sz w:val="24"/>
          <w:szCs w:val="24"/>
        </w:rPr>
        <w:t>5.</w:t>
      </w:r>
    </w:p>
    <w:p w:rsidRPr="00B43D42" w:rsidR="003E276C" w:rsidP="00517D61" w:rsidRDefault="005D4660">
      <w:pPr>
        <w:rPr>
          <w:sz w:val="24"/>
          <w:szCs w:val="24"/>
        </w:rPr>
      </w:pPr>
      <w:r>
        <w:rPr>
          <w:sz w:val="24"/>
          <w:szCs w:val="24"/>
        </w:rPr>
        <w:tab/>
      </w:r>
      <w:r w:rsidRPr="00D82D18" w:rsidR="00096A1F">
        <w:rPr>
          <w:iCs/>
          <w:color w:val="000000"/>
          <w:sz w:val="24"/>
          <w:szCs w:val="24"/>
        </w:rPr>
        <w:t xml:space="preserve"> </w:t>
      </w:r>
    </w:p>
    <w:p w:rsidRPr="00363A59" w:rsidR="003E276C" w:rsidP="005350D3" w:rsidRDefault="003E276C">
      <w:pPr>
        <w:keepNext/>
        <w:tabs>
          <w:tab w:val="left" w:pos="-720"/>
          <w:tab w:val="left" w:pos="0"/>
          <w:tab w:val="left" w:pos="720"/>
        </w:tabs>
        <w:suppressAutoHyphens/>
        <w:ind w:left="1440" w:hanging="1440"/>
        <w:rPr>
          <w:rStyle w:val="Heading1Char"/>
        </w:rPr>
      </w:pPr>
      <w:r w:rsidRPr="00166C8F">
        <w:rPr>
          <w:b/>
          <w:sz w:val="24"/>
          <w:szCs w:val="24"/>
        </w:rPr>
        <w:tab/>
        <w:t>9.</w:t>
      </w:r>
      <w:r w:rsidRPr="00166C8F">
        <w:rPr>
          <w:b/>
          <w:sz w:val="24"/>
          <w:szCs w:val="24"/>
        </w:rPr>
        <w:tab/>
      </w:r>
      <w:r w:rsidRPr="00363A59">
        <w:rPr>
          <w:rStyle w:val="Heading1Char"/>
        </w:rPr>
        <w:t>Payment or Gift</w:t>
      </w:r>
    </w:p>
    <w:p w:rsidRPr="00B43D42" w:rsidR="003E276C" w:rsidP="005350D3" w:rsidRDefault="003E276C">
      <w:pPr>
        <w:keepNext/>
        <w:tabs>
          <w:tab w:val="left" w:pos="-720"/>
        </w:tabs>
        <w:suppressAutoHyphens/>
        <w:rPr>
          <w:sz w:val="24"/>
          <w:szCs w:val="24"/>
        </w:rPr>
      </w:pPr>
    </w:p>
    <w:p w:rsidRPr="00B43D42" w:rsidR="003E276C" w:rsidP="005350D3" w:rsidRDefault="003E276C">
      <w:pPr>
        <w:tabs>
          <w:tab w:val="left" w:pos="-720"/>
        </w:tabs>
        <w:suppressAutoHyphens/>
        <w:rPr>
          <w:sz w:val="24"/>
          <w:szCs w:val="24"/>
        </w:rPr>
      </w:pPr>
      <w:r w:rsidRPr="00B43D42">
        <w:rPr>
          <w:sz w:val="24"/>
          <w:szCs w:val="24"/>
        </w:rPr>
        <w:tab/>
      </w:r>
      <w:r w:rsidR="00706CB1">
        <w:rPr>
          <w:sz w:val="24"/>
          <w:szCs w:val="24"/>
        </w:rPr>
        <w:t>No payment or gift is provided to respondents.</w:t>
      </w:r>
    </w:p>
    <w:p w:rsidRPr="00B43D42" w:rsidR="003E276C" w:rsidP="005350D3" w:rsidRDefault="003E276C">
      <w:pPr>
        <w:tabs>
          <w:tab w:val="left" w:pos="-720"/>
        </w:tabs>
        <w:suppressAutoHyphens/>
        <w:rPr>
          <w:sz w:val="24"/>
          <w:szCs w:val="24"/>
        </w:rPr>
      </w:pPr>
    </w:p>
    <w:p w:rsidRPr="00B43D42" w:rsidR="003E276C" w:rsidP="005350D3" w:rsidRDefault="003E276C">
      <w:pPr>
        <w:keepNext/>
        <w:tabs>
          <w:tab w:val="left" w:pos="-720"/>
          <w:tab w:val="left" w:pos="0"/>
          <w:tab w:val="left" w:pos="720"/>
        </w:tabs>
        <w:suppressAutoHyphens/>
        <w:ind w:left="1440" w:hanging="1440"/>
        <w:rPr>
          <w:sz w:val="24"/>
          <w:szCs w:val="24"/>
        </w:rPr>
      </w:pPr>
      <w:r w:rsidRPr="00B43D42">
        <w:rPr>
          <w:sz w:val="24"/>
          <w:szCs w:val="24"/>
        </w:rPr>
        <w:tab/>
      </w:r>
      <w:r w:rsidRPr="00166C8F">
        <w:rPr>
          <w:b/>
          <w:sz w:val="24"/>
          <w:szCs w:val="24"/>
        </w:rPr>
        <w:t>10.</w:t>
      </w:r>
      <w:r w:rsidRPr="00B43D42">
        <w:rPr>
          <w:sz w:val="24"/>
          <w:szCs w:val="24"/>
        </w:rPr>
        <w:tab/>
      </w:r>
      <w:r w:rsidRPr="00363A59">
        <w:rPr>
          <w:rStyle w:val="Heading1Char"/>
        </w:rPr>
        <w:t>Confidentiality</w:t>
      </w:r>
    </w:p>
    <w:p w:rsidRPr="00B43D42" w:rsidR="003E276C" w:rsidP="005350D3" w:rsidRDefault="003E276C">
      <w:pPr>
        <w:keepNext/>
        <w:tabs>
          <w:tab w:val="left" w:pos="-720"/>
        </w:tabs>
        <w:suppressAutoHyphens/>
        <w:rPr>
          <w:sz w:val="24"/>
          <w:szCs w:val="24"/>
        </w:rPr>
      </w:pPr>
    </w:p>
    <w:p w:rsidRPr="00B43D42" w:rsidR="003E276C" w:rsidP="005350D3" w:rsidRDefault="003E276C">
      <w:pPr>
        <w:pStyle w:val="BodyText"/>
        <w:jc w:val="left"/>
      </w:pPr>
      <w:r w:rsidRPr="00B43D42">
        <w:tab/>
      </w:r>
      <w:r w:rsidR="00706CB1">
        <w:t xml:space="preserve">No assurance of confidentiality is provided. </w:t>
      </w:r>
    </w:p>
    <w:p w:rsidRPr="00166C8F" w:rsidR="003E276C" w:rsidP="005350D3" w:rsidRDefault="003E276C">
      <w:pPr>
        <w:tabs>
          <w:tab w:val="left" w:pos="-720"/>
        </w:tabs>
        <w:suppressAutoHyphens/>
        <w:rPr>
          <w:b/>
          <w:spacing w:val="-3"/>
          <w:sz w:val="24"/>
          <w:szCs w:val="24"/>
        </w:rPr>
      </w:pPr>
    </w:p>
    <w:p w:rsidRPr="00166C8F" w:rsidR="003E276C" w:rsidP="005350D3" w:rsidRDefault="003E276C">
      <w:pPr>
        <w:keepNext/>
        <w:tabs>
          <w:tab w:val="left" w:pos="-720"/>
          <w:tab w:val="left" w:pos="0"/>
          <w:tab w:val="left" w:pos="720"/>
        </w:tabs>
        <w:suppressAutoHyphens/>
        <w:ind w:left="1440" w:hanging="1440"/>
        <w:rPr>
          <w:b/>
          <w:sz w:val="24"/>
          <w:szCs w:val="24"/>
        </w:rPr>
      </w:pPr>
      <w:r w:rsidRPr="00166C8F">
        <w:rPr>
          <w:b/>
          <w:sz w:val="24"/>
          <w:szCs w:val="24"/>
        </w:rPr>
        <w:tab/>
        <w:t>11.</w:t>
      </w:r>
      <w:r w:rsidRPr="00166C8F">
        <w:rPr>
          <w:b/>
          <w:sz w:val="24"/>
          <w:szCs w:val="24"/>
        </w:rPr>
        <w:tab/>
      </w:r>
      <w:r w:rsidRPr="00363A59">
        <w:rPr>
          <w:rStyle w:val="Heading1Char"/>
        </w:rPr>
        <w:t>Sensitive Questions</w:t>
      </w:r>
    </w:p>
    <w:p w:rsidRPr="00B43D42" w:rsidR="003E276C" w:rsidP="005350D3" w:rsidRDefault="003E276C">
      <w:pPr>
        <w:keepNext/>
        <w:tabs>
          <w:tab w:val="left" w:pos="-720"/>
        </w:tabs>
        <w:suppressAutoHyphens/>
        <w:rPr>
          <w:sz w:val="24"/>
          <w:szCs w:val="24"/>
        </w:rPr>
      </w:pPr>
    </w:p>
    <w:p w:rsidRPr="00B43D42" w:rsidR="003E276C" w:rsidP="005350D3" w:rsidRDefault="003E276C">
      <w:pPr>
        <w:tabs>
          <w:tab w:val="left" w:pos="-720"/>
        </w:tabs>
        <w:suppressAutoHyphens/>
        <w:rPr>
          <w:sz w:val="24"/>
          <w:szCs w:val="24"/>
        </w:rPr>
      </w:pPr>
      <w:r w:rsidRPr="00B43D42">
        <w:rPr>
          <w:sz w:val="24"/>
          <w:szCs w:val="24"/>
        </w:rPr>
        <w:tab/>
        <w:t>Not applicable</w:t>
      </w:r>
      <w:r w:rsidR="00706CB1">
        <w:rPr>
          <w:sz w:val="24"/>
          <w:szCs w:val="24"/>
        </w:rPr>
        <w:t xml:space="preserve">; no information of a sensitive nature is required. </w:t>
      </w:r>
      <w:r w:rsidR="00237268">
        <w:rPr>
          <w:sz w:val="24"/>
          <w:szCs w:val="24"/>
        </w:rPr>
        <w:t xml:space="preserve">  The information collection does not collect any Personally Identifiable Information (PII).  </w:t>
      </w:r>
    </w:p>
    <w:p w:rsidRPr="00B43D42" w:rsidR="003E276C" w:rsidP="005350D3" w:rsidRDefault="003E276C">
      <w:pPr>
        <w:tabs>
          <w:tab w:val="left" w:pos="-720"/>
        </w:tabs>
        <w:suppressAutoHyphens/>
        <w:rPr>
          <w:sz w:val="24"/>
          <w:szCs w:val="24"/>
        </w:rPr>
      </w:pPr>
    </w:p>
    <w:p w:rsidRPr="00166C8F" w:rsidR="005D4660" w:rsidP="005D4660" w:rsidRDefault="003E276C">
      <w:pPr>
        <w:keepNext/>
        <w:tabs>
          <w:tab w:val="left" w:pos="-720"/>
          <w:tab w:val="left" w:pos="0"/>
          <w:tab w:val="left" w:pos="720"/>
        </w:tabs>
        <w:suppressAutoHyphens/>
        <w:ind w:left="1440" w:hanging="1440"/>
        <w:rPr>
          <w:b/>
          <w:sz w:val="24"/>
          <w:szCs w:val="24"/>
        </w:rPr>
      </w:pPr>
      <w:r w:rsidRPr="00166C8F">
        <w:rPr>
          <w:b/>
          <w:sz w:val="24"/>
          <w:szCs w:val="24"/>
        </w:rPr>
        <w:tab/>
        <w:t>12.</w:t>
      </w:r>
      <w:r w:rsidRPr="00166C8F">
        <w:rPr>
          <w:b/>
          <w:sz w:val="24"/>
          <w:szCs w:val="24"/>
        </w:rPr>
        <w:tab/>
      </w:r>
      <w:r w:rsidRPr="00166C8F" w:rsidR="00166C8F">
        <w:rPr>
          <w:b/>
          <w:sz w:val="24"/>
          <w:szCs w:val="24"/>
        </w:rPr>
        <w:t>Burden of Information Collection</w:t>
      </w:r>
      <w:r w:rsidR="005D4660">
        <w:rPr>
          <w:b/>
          <w:sz w:val="24"/>
          <w:szCs w:val="24"/>
        </w:rPr>
        <w:t xml:space="preserve"> </w:t>
      </w:r>
    </w:p>
    <w:p w:rsidR="00CE4344" w:rsidP="009C3053" w:rsidRDefault="00CE4344">
      <w:pPr>
        <w:rPr>
          <w:color w:val="000000"/>
          <w:sz w:val="24"/>
          <w:szCs w:val="24"/>
        </w:rPr>
      </w:pPr>
    </w:p>
    <w:p w:rsidR="00E7634A" w:rsidP="0012632F" w:rsidRDefault="00E7634A">
      <w:pPr>
        <w:pStyle w:val="BodyText"/>
        <w:ind w:firstLine="720"/>
        <w:jc w:val="left"/>
      </w:pPr>
      <w:r w:rsidRPr="00CE4344">
        <w:t>Under paragraph (a)(3) of Rule 17g-5, an NRSRO is prohibited from issuing a credit rating for a structured finance product unless certain information about the transaction and the assets underlying the structured finance product are disclosed or arranged to be disclosed by the NRSRO.  Specifically, the</w:t>
      </w:r>
      <w:r>
        <w:t xml:space="preserve"> rule</w:t>
      </w:r>
      <w:r w:rsidRPr="00CE4344">
        <w:t xml:space="preserve"> require</w:t>
      </w:r>
      <w:r>
        <w:t>s that</w:t>
      </w:r>
      <w:r w:rsidRPr="00CE4344">
        <w:t xml:space="preserve"> an NRSRO that is hired by arrangers to perform credit ratings for structured finance products to disclose to other NRSROs the deals for which it is in the process of determining such credit ratings and to obtain written representations from arrangers that the arrangers will provide the same information given to the hired NRSRO to other NRSROs.</w:t>
      </w:r>
      <w:r>
        <w:t xml:space="preserve"> </w:t>
      </w:r>
      <w:r w:rsidRPr="00CE4344">
        <w:t xml:space="preserve"> An NRSRO rating such products will need to disclose to other NRSROs the following information on a password protected Internet </w:t>
      </w:r>
      <w:r>
        <w:t>website</w:t>
      </w:r>
      <w:r w:rsidRPr="00CE4344">
        <w:t xml:space="preserve">: a list of each such security or money market instrument for which it is currently in the process of determining an initial credit rating in chronological order and identifying the type of security or money market instrument, the name of the issuer, the date the rating process was initiated, and the Internet </w:t>
      </w:r>
      <w:r>
        <w:t>website</w:t>
      </w:r>
      <w:r w:rsidRPr="00CE4344">
        <w:t xml:space="preserve"> address where the issuer, </w:t>
      </w:r>
      <w:r w:rsidRPr="00DE5615">
        <w:t xml:space="preserve">sponsor, or underwriter of the security or money market instrument represents that the information described in paragraphs (a)(3)(iii)(C) and (D) of Rule 17g-5 can be accessed.  </w:t>
      </w:r>
      <w:r>
        <w:t>Under</w:t>
      </w:r>
      <w:r w:rsidRPr="00DE5615">
        <w:t xml:space="preserve"> paragraph (e) </w:t>
      </w:r>
      <w:r>
        <w:t>of</w:t>
      </w:r>
      <w:r w:rsidRPr="00DE5615">
        <w:t xml:space="preserve"> Rule 17g-5</w:t>
      </w:r>
      <w:r>
        <w:t>, a</w:t>
      </w:r>
      <w:r w:rsidRPr="00DE5615">
        <w:t xml:space="preserve">n NRSRO that wishes to access information on another NRSRO’s Internet </w:t>
      </w:r>
      <w:r>
        <w:t>website</w:t>
      </w:r>
      <w:r w:rsidRPr="00DE5615">
        <w:t xml:space="preserve"> or on an arranger’s Internet </w:t>
      </w:r>
      <w:r>
        <w:t>website</w:t>
      </w:r>
      <w:r w:rsidRPr="00DE5615">
        <w:t xml:space="preserve"> pursuant to Rule 17g-5(a)(3) </w:t>
      </w:r>
      <w:r>
        <w:t>i</w:t>
      </w:r>
      <w:r w:rsidRPr="00DE5615">
        <w:t>s required to provide the Commission with an annual certification.</w:t>
      </w:r>
      <w:r>
        <w:t xml:space="preserve"> </w:t>
      </w:r>
    </w:p>
    <w:p w:rsidR="00E7634A" w:rsidP="0012632F" w:rsidRDefault="00E7634A">
      <w:pPr>
        <w:pStyle w:val="BodyText"/>
        <w:ind w:firstLine="720"/>
        <w:jc w:val="left"/>
      </w:pPr>
    </w:p>
    <w:p w:rsidR="0012632F" w:rsidP="0012632F" w:rsidRDefault="00A8686A">
      <w:pPr>
        <w:pStyle w:val="BodyText"/>
        <w:ind w:firstLine="720"/>
        <w:jc w:val="left"/>
      </w:pPr>
      <w:r>
        <w:t>T</w:t>
      </w:r>
      <w:r w:rsidR="0012632F">
        <w:t xml:space="preserve">he Commission </w:t>
      </w:r>
      <w:r>
        <w:t xml:space="preserve">previously </w:t>
      </w:r>
      <w:r w:rsidR="0012632F">
        <w:t>estimated that the three largest NRSROs account for 90% of the structured finance market</w:t>
      </w:r>
      <w:r w:rsidR="00B736B1">
        <w:t>. The Commission estimates there are an average of 990</w:t>
      </w:r>
      <w:r w:rsidR="0012632F">
        <w:t xml:space="preserve"> offerings of asset-backed securities</w:t>
      </w:r>
      <w:r w:rsidR="00E7634A">
        <w:t xml:space="preserve"> a year</w:t>
      </w:r>
      <w:r w:rsidR="0012632F">
        <w:t>.</w:t>
      </w:r>
      <w:r w:rsidR="0012632F">
        <w:rPr>
          <w:rStyle w:val="FootnoteReference"/>
        </w:rPr>
        <w:footnoteReference w:id="23"/>
      </w:r>
      <w:r w:rsidR="0012632F">
        <w:t xml:space="preserve">  Therefore, the Commission estimates that</w:t>
      </w:r>
      <w:r w:rsidRPr="005B730B" w:rsidR="0012632F">
        <w:t xml:space="preserve"> </w:t>
      </w:r>
      <w:r w:rsidRPr="00960B77" w:rsidR="0012632F">
        <w:t xml:space="preserve">the total number of structured finance ratings issued by all </w:t>
      </w:r>
      <w:r w:rsidR="0074511C">
        <w:t>9</w:t>
      </w:r>
      <w:r w:rsidR="0012632F">
        <w:t xml:space="preserve"> </w:t>
      </w:r>
      <w:r w:rsidRPr="00960B77" w:rsidR="0012632F">
        <w:t xml:space="preserve">NRSROs in a given year </w:t>
      </w:r>
      <w:r w:rsidR="0012632F">
        <w:t xml:space="preserve">is approximately </w:t>
      </w:r>
      <w:r w:rsidR="000979B7">
        <w:t>3,267</w:t>
      </w:r>
      <w:r w:rsidR="0012632F">
        <w:t>.</w:t>
      </w:r>
      <w:r w:rsidR="0012632F">
        <w:rPr>
          <w:rStyle w:val="FootnoteReference"/>
        </w:rPr>
        <w:footnoteReference w:id="24"/>
      </w:r>
      <w:r w:rsidR="0012632F">
        <w:t xml:space="preserve">  </w:t>
      </w:r>
      <w:r w:rsidR="00E7634A">
        <w:t>The Commission previously estimated that it would take one hour per transaction to make the required information under paragraph (a</w:t>
      </w:r>
      <w:proofErr w:type="gramStart"/>
      <w:r w:rsidR="00E7634A">
        <w:t>)(</w:t>
      </w:r>
      <w:proofErr w:type="gramEnd"/>
      <w:r w:rsidR="00E7634A">
        <w:t xml:space="preserve">3) of Rule 17g-5 publicly available.  </w:t>
      </w:r>
      <w:r w:rsidR="0012632F">
        <w:t xml:space="preserve">The Commission therefore estimates that the corresponding annual disclosure burden for NRSROs is approximately </w:t>
      </w:r>
      <w:r w:rsidR="000979B7">
        <w:t>3,267</w:t>
      </w:r>
      <w:r w:rsidR="00B736B1">
        <w:t xml:space="preserve"> </w:t>
      </w:r>
      <w:r w:rsidR="0012632F">
        <w:t>hours industry-wide.</w:t>
      </w:r>
      <w:r w:rsidR="0012632F">
        <w:rPr>
          <w:rStyle w:val="FootnoteReference"/>
        </w:rPr>
        <w:footnoteReference w:id="25"/>
      </w:r>
    </w:p>
    <w:p w:rsidR="0012632F" w:rsidP="0012632F" w:rsidRDefault="0012632F">
      <w:pPr>
        <w:pStyle w:val="BodyText"/>
        <w:ind w:firstLine="720"/>
        <w:jc w:val="left"/>
        <w:rPr>
          <w:color w:val="000000"/>
        </w:rPr>
      </w:pPr>
    </w:p>
    <w:p w:rsidRPr="0076304C" w:rsidR="0012632F" w:rsidP="0012632F" w:rsidRDefault="0012632F">
      <w:pPr>
        <w:pStyle w:val="BodyText"/>
        <w:ind w:firstLine="720"/>
        <w:jc w:val="left"/>
      </w:pPr>
      <w:r w:rsidRPr="0076304C">
        <w:t xml:space="preserve">Disclosures are also required for arrangers on a transaction by transaction basis.  The Commission previously estimated that each respondent would arrange approximately 20 new transactions per year and that it would take </w:t>
      </w:r>
      <w:r w:rsidR="00E7634A">
        <w:t>one</w:t>
      </w:r>
      <w:r w:rsidRPr="0076304C">
        <w:t xml:space="preserve"> hour per transaction to make the information publicly available.  Therefore, the Commission estimated that it would take a respondent approximately 20 hours</w:t>
      </w:r>
      <w:r w:rsidRPr="0076304C">
        <w:rPr>
          <w:rStyle w:val="FootnoteReference"/>
        </w:rPr>
        <w:footnoteReference w:id="26"/>
      </w:r>
      <w:r w:rsidRPr="0076304C">
        <w:t xml:space="preserve"> to disclose this information under Rule 17g-5.</w:t>
      </w:r>
      <w:r w:rsidR="00A65C81">
        <w:t xml:space="preserve">  </w:t>
      </w:r>
      <w:r w:rsidR="00E7634A">
        <w:t>Previously,</w:t>
      </w:r>
      <w:r>
        <w:t xml:space="preserve"> the Commission estimated that there are approximately </w:t>
      </w:r>
      <w:r>
        <w:rPr>
          <w:color w:val="000000"/>
        </w:rPr>
        <w:t xml:space="preserve">336 issuers, sponsors, or underwriters of asset-backed securities, for a total annual disclosure burden of approximately </w:t>
      </w:r>
      <w:r w:rsidRPr="00E7634A">
        <w:rPr>
          <w:color w:val="000000"/>
        </w:rPr>
        <w:t>6,720</w:t>
      </w:r>
      <w:r>
        <w:rPr>
          <w:color w:val="000000"/>
        </w:rPr>
        <w:t xml:space="preserve"> hours.</w:t>
      </w:r>
      <w:r>
        <w:rPr>
          <w:rStyle w:val="FootnoteReference"/>
          <w:color w:val="000000"/>
        </w:rPr>
        <w:footnoteReference w:id="27"/>
      </w:r>
      <w:r>
        <w:t xml:space="preserve"> </w:t>
      </w:r>
    </w:p>
    <w:p w:rsidRPr="0076304C" w:rsidR="0012632F" w:rsidP="0012632F" w:rsidRDefault="0012632F">
      <w:pPr>
        <w:pStyle w:val="BodyText"/>
        <w:ind w:firstLine="720"/>
        <w:jc w:val="left"/>
      </w:pPr>
    </w:p>
    <w:p w:rsidR="0012632F" w:rsidP="0012632F" w:rsidRDefault="0012632F">
      <w:pPr>
        <w:pStyle w:val="BodyText"/>
        <w:ind w:firstLine="720"/>
        <w:jc w:val="left"/>
      </w:pPr>
      <w:r w:rsidRPr="0076304C">
        <w:t>Paragraph (a)(3) of Rule 17g-5 also requires disclosure of information by arrangers on an ongoing basis that is used by an NRSRO to undertake credit rating surveillance on the structured finance product.  The Commission previously estimated that this disclosure would be required with respect to approximately 125 transactions per month, and that it would take each respondent approximately 0.5 hours per transaction to disclose the information.  Therefore, the Commission estimated that it would take each respondent approximately 750 hours</w:t>
      </w:r>
      <w:r w:rsidRPr="0076304C">
        <w:rPr>
          <w:rStyle w:val="FootnoteReference"/>
        </w:rPr>
        <w:footnoteReference w:id="28"/>
      </w:r>
      <w:r w:rsidRPr="0076304C">
        <w:t xml:space="preserve"> on an annual basis to disclose such information. </w:t>
      </w:r>
      <w:r w:rsidR="00427CDB">
        <w:t>Previously</w:t>
      </w:r>
      <w:r>
        <w:t xml:space="preserve">, the Commission estimated that there are approximately </w:t>
      </w:r>
      <w:r>
        <w:rPr>
          <w:color w:val="000000"/>
        </w:rPr>
        <w:t xml:space="preserve">336 issuers, sponsors, or underwriters of asset-backed securities, for a total annual disclosure burden of approximately </w:t>
      </w:r>
      <w:r w:rsidRPr="00427CDB">
        <w:rPr>
          <w:color w:val="000000"/>
        </w:rPr>
        <w:t>252,000</w:t>
      </w:r>
      <w:r>
        <w:rPr>
          <w:color w:val="000000"/>
        </w:rPr>
        <w:t xml:space="preserve"> hours.</w:t>
      </w:r>
      <w:r>
        <w:rPr>
          <w:rStyle w:val="FootnoteReference"/>
          <w:color w:val="000000"/>
        </w:rPr>
        <w:footnoteReference w:id="29"/>
      </w:r>
    </w:p>
    <w:p w:rsidR="0012632F" w:rsidP="0012632F" w:rsidRDefault="0012632F">
      <w:pPr>
        <w:pStyle w:val="BodyText"/>
        <w:ind w:firstLine="720"/>
        <w:jc w:val="left"/>
      </w:pPr>
    </w:p>
    <w:p w:rsidR="0012632F" w:rsidP="0012632F" w:rsidRDefault="0012632F">
      <w:pPr>
        <w:pStyle w:val="BodyText"/>
        <w:ind w:firstLine="720"/>
        <w:jc w:val="left"/>
      </w:pPr>
      <w:r>
        <w:t>Regarding paragraph (e) of Rule 17g-5, t</w:t>
      </w:r>
      <w:r w:rsidRPr="00DE5615">
        <w:t>he Commission estimate</w:t>
      </w:r>
      <w:r>
        <w:t>d</w:t>
      </w:r>
      <w:r w:rsidRPr="00DE5615">
        <w:t xml:space="preserve"> that it would take each NRSRO approximately 2 hours to complete the certification, resulting in a total </w:t>
      </w:r>
      <w:r>
        <w:t>industry-wide</w:t>
      </w:r>
      <w:r w:rsidRPr="00DE5615">
        <w:t xml:space="preserve"> annual </w:t>
      </w:r>
      <w:r>
        <w:t>reporting</w:t>
      </w:r>
      <w:r w:rsidRPr="00DE5615">
        <w:t xml:space="preserve"> burden </w:t>
      </w:r>
      <w:r>
        <w:t xml:space="preserve">for 10 NRSROs </w:t>
      </w:r>
      <w:r w:rsidRPr="00DE5615">
        <w:t xml:space="preserve">of </w:t>
      </w:r>
      <w:r w:rsidR="000979B7">
        <w:t>18</w:t>
      </w:r>
      <w:r w:rsidRPr="00427CDB" w:rsidR="000979B7">
        <w:t xml:space="preserve"> </w:t>
      </w:r>
      <w:r w:rsidRPr="00427CDB">
        <w:t>hours</w:t>
      </w:r>
      <w:r w:rsidRPr="00DE5615">
        <w:t>.</w:t>
      </w:r>
      <w:r w:rsidRPr="00DE5615">
        <w:rPr>
          <w:rStyle w:val="FootnoteReference"/>
        </w:rPr>
        <w:footnoteReference w:id="30"/>
      </w:r>
      <w:r w:rsidRPr="009C6910">
        <w:t xml:space="preserve"> </w:t>
      </w:r>
    </w:p>
    <w:p w:rsidRPr="00207381" w:rsidR="00207381" w:rsidP="00D650E3" w:rsidRDefault="00207381">
      <w:pPr>
        <w:ind w:firstLine="720"/>
        <w:rPr>
          <w:sz w:val="24"/>
          <w:szCs w:val="24"/>
        </w:rPr>
      </w:pPr>
    </w:p>
    <w:p w:rsidR="00710E79" w:rsidP="00D650E3" w:rsidRDefault="00427CDB">
      <w:pPr>
        <w:ind w:firstLine="720"/>
        <w:rPr>
          <w:sz w:val="24"/>
          <w:szCs w:val="24"/>
        </w:rPr>
      </w:pPr>
      <w:r>
        <w:rPr>
          <w:sz w:val="24"/>
          <w:szCs w:val="24"/>
        </w:rPr>
        <w:t>B</w:t>
      </w:r>
      <w:r w:rsidRPr="00710E79" w:rsidR="00710E79">
        <w:rPr>
          <w:sz w:val="24"/>
          <w:szCs w:val="24"/>
        </w:rPr>
        <w:t>ased on the Commission’s</w:t>
      </w:r>
      <w:r>
        <w:rPr>
          <w:sz w:val="24"/>
          <w:szCs w:val="24"/>
        </w:rPr>
        <w:t xml:space="preserve"> </w:t>
      </w:r>
      <w:r w:rsidR="00051C54">
        <w:rPr>
          <w:sz w:val="24"/>
          <w:szCs w:val="24"/>
        </w:rPr>
        <w:t>e</w:t>
      </w:r>
      <w:r w:rsidRPr="00710E79" w:rsidR="00710E79">
        <w:rPr>
          <w:sz w:val="24"/>
          <w:szCs w:val="24"/>
        </w:rPr>
        <w:t xml:space="preserve">stimate that there will be </w:t>
      </w:r>
      <w:r w:rsidR="000979B7">
        <w:rPr>
          <w:sz w:val="24"/>
          <w:szCs w:val="24"/>
        </w:rPr>
        <w:t>990</w:t>
      </w:r>
      <w:r w:rsidRPr="00710E79" w:rsidR="000979B7">
        <w:rPr>
          <w:sz w:val="24"/>
          <w:szCs w:val="24"/>
        </w:rPr>
        <w:t xml:space="preserve"> </w:t>
      </w:r>
      <w:r w:rsidRPr="00710E79" w:rsidR="00710E79">
        <w:rPr>
          <w:sz w:val="24"/>
          <w:szCs w:val="24"/>
        </w:rPr>
        <w:t xml:space="preserve">offerings of Exchange Act-ABS per year, the Commission estimates that issuers, sponsors, and underwriters will need to post approximately </w:t>
      </w:r>
      <w:r w:rsidR="000979B7">
        <w:rPr>
          <w:sz w:val="24"/>
          <w:szCs w:val="24"/>
        </w:rPr>
        <w:t>990</w:t>
      </w:r>
      <w:r w:rsidRPr="00710E79" w:rsidR="000979B7">
        <w:rPr>
          <w:sz w:val="24"/>
          <w:szCs w:val="24"/>
        </w:rPr>
        <w:t xml:space="preserve"> </w:t>
      </w:r>
      <w:r w:rsidRPr="00710E79" w:rsidR="00710E79">
        <w:rPr>
          <w:sz w:val="24"/>
          <w:szCs w:val="24"/>
        </w:rPr>
        <w:t xml:space="preserve">Forms ABS Due Diligence-15E on Rule 17g-5 websites per year (in addition to the information that is already posted to the websites).  Based on staff experience, the Commission estimates that it will take the issuer, sponsor, or underwriter approximately ten minutes to upload each form and post it to the website, for a total </w:t>
      </w:r>
      <w:r w:rsidR="000916AB">
        <w:rPr>
          <w:sz w:val="24"/>
          <w:szCs w:val="24"/>
        </w:rPr>
        <w:t xml:space="preserve">industry-wide </w:t>
      </w:r>
      <w:r w:rsidRPr="00710E79" w:rsidR="00710E79">
        <w:rPr>
          <w:sz w:val="24"/>
          <w:szCs w:val="24"/>
        </w:rPr>
        <w:t xml:space="preserve">annual </w:t>
      </w:r>
      <w:r w:rsidR="00C62563">
        <w:rPr>
          <w:sz w:val="24"/>
          <w:szCs w:val="24"/>
        </w:rPr>
        <w:t xml:space="preserve">disclosure </w:t>
      </w:r>
      <w:r w:rsidRPr="00710E79" w:rsidR="00710E79">
        <w:rPr>
          <w:sz w:val="24"/>
          <w:szCs w:val="24"/>
        </w:rPr>
        <w:t xml:space="preserve">burden of approximately </w:t>
      </w:r>
      <w:r w:rsidRPr="00427CDB" w:rsidR="000979B7">
        <w:rPr>
          <w:sz w:val="24"/>
          <w:szCs w:val="24"/>
        </w:rPr>
        <w:t>1</w:t>
      </w:r>
      <w:r w:rsidR="000979B7">
        <w:rPr>
          <w:sz w:val="24"/>
          <w:szCs w:val="24"/>
        </w:rPr>
        <w:t>65</w:t>
      </w:r>
      <w:r w:rsidRPr="00427CDB" w:rsidR="000979B7">
        <w:rPr>
          <w:sz w:val="24"/>
          <w:szCs w:val="24"/>
        </w:rPr>
        <w:t xml:space="preserve"> </w:t>
      </w:r>
      <w:r w:rsidRPr="00427CDB" w:rsidR="000916AB">
        <w:rPr>
          <w:sz w:val="24"/>
          <w:szCs w:val="24"/>
        </w:rPr>
        <w:t>hours</w:t>
      </w:r>
      <w:r w:rsidR="000916AB">
        <w:rPr>
          <w:sz w:val="24"/>
          <w:szCs w:val="24"/>
        </w:rPr>
        <w:t>.</w:t>
      </w:r>
      <w:r w:rsidRPr="00C0124F" w:rsidR="00C0124F">
        <w:rPr>
          <w:rStyle w:val="FootnoteReference"/>
          <w:sz w:val="24"/>
          <w:szCs w:val="24"/>
        </w:rPr>
        <w:t xml:space="preserve"> </w:t>
      </w:r>
      <w:r w:rsidRPr="00710E79" w:rsidR="00C0124F">
        <w:rPr>
          <w:rStyle w:val="FootnoteReference"/>
          <w:sz w:val="24"/>
          <w:szCs w:val="24"/>
        </w:rPr>
        <w:footnoteReference w:id="31"/>
      </w:r>
      <w:r w:rsidR="00CB1E51">
        <w:rPr>
          <w:sz w:val="24"/>
          <w:szCs w:val="24"/>
        </w:rPr>
        <w:t xml:space="preserve">  </w:t>
      </w:r>
    </w:p>
    <w:p w:rsidR="000979B7" w:rsidP="00D650E3" w:rsidRDefault="000979B7">
      <w:pPr>
        <w:ind w:firstLine="720"/>
        <w:rPr>
          <w:sz w:val="24"/>
          <w:szCs w:val="24"/>
        </w:rPr>
      </w:pPr>
    </w:p>
    <w:p w:rsidR="000979B7" w:rsidP="00D650E3" w:rsidRDefault="000979B7">
      <w:pPr>
        <w:ind w:firstLine="720"/>
        <w:rPr>
          <w:sz w:val="24"/>
          <w:szCs w:val="24"/>
        </w:rPr>
      </w:pPr>
      <w:r>
        <w:rPr>
          <w:sz w:val="24"/>
          <w:szCs w:val="24"/>
        </w:rPr>
        <w:t xml:space="preserve">In the amendment adopted by the Commission in 2019 to codify an existing </w:t>
      </w:r>
      <w:r w:rsidRPr="00A27B5A">
        <w:rPr>
          <w:sz w:val="24"/>
          <w:szCs w:val="24"/>
        </w:rPr>
        <w:t>Rule 17g5(a)(3) exemption</w:t>
      </w:r>
      <w:r>
        <w:rPr>
          <w:sz w:val="24"/>
          <w:szCs w:val="24"/>
        </w:rPr>
        <w:t xml:space="preserve">, </w:t>
      </w:r>
      <w:r w:rsidRPr="006F25CE">
        <w:rPr>
          <w:sz w:val="24"/>
          <w:szCs w:val="24"/>
        </w:rPr>
        <w:t>the Commission estimated that it would take an NRSRO approximately five hours to update its process for obtaining a reasonable basis to reflect the clarifying language in the exemption, for an industry-wide one-time burden of approximately 35 hours.</w:t>
      </w:r>
      <w:r>
        <w:rPr>
          <w:sz w:val="24"/>
          <w:szCs w:val="24"/>
        </w:rPr>
        <w:t xml:space="preserve"> The expectation is that an NRSRO made the necessary adjustments to their processes and that burden is no longer applicable.</w:t>
      </w:r>
    </w:p>
    <w:p w:rsidR="000979B7" w:rsidP="00D650E3" w:rsidRDefault="000979B7">
      <w:pPr>
        <w:ind w:firstLine="720"/>
        <w:rPr>
          <w:sz w:val="24"/>
          <w:szCs w:val="24"/>
        </w:rPr>
      </w:pPr>
    </w:p>
    <w:p w:rsidRPr="006F25CE" w:rsidR="00725393" w:rsidP="00725393" w:rsidRDefault="00725393">
      <w:pPr>
        <w:ind w:firstLine="720"/>
        <w:rPr>
          <w:sz w:val="24"/>
          <w:szCs w:val="24"/>
        </w:rPr>
      </w:pPr>
      <w:r w:rsidRPr="006F25CE">
        <w:rPr>
          <w:sz w:val="24"/>
          <w:szCs w:val="24"/>
        </w:rPr>
        <w:t xml:space="preserve">In order to have a reasonable basis to conclude that all offers and sales of the structured finance product by any arranger linked to the structured finance product will occur outside the United States, the Commission believes that NRSROs will likely seek information from arrangers, thereby resulting in associated burdens. </w:t>
      </w:r>
      <w:r>
        <w:rPr>
          <w:sz w:val="24"/>
          <w:szCs w:val="24"/>
        </w:rPr>
        <w:t>T</w:t>
      </w:r>
      <w:r w:rsidRPr="006F25CE">
        <w:rPr>
          <w:sz w:val="24"/>
          <w:szCs w:val="24"/>
        </w:rPr>
        <w:t>he Commission estimate</w:t>
      </w:r>
      <w:r>
        <w:rPr>
          <w:sz w:val="24"/>
          <w:szCs w:val="24"/>
        </w:rPr>
        <w:t>s</w:t>
      </w:r>
      <w:r w:rsidRPr="006F25CE">
        <w:rPr>
          <w:sz w:val="24"/>
          <w:szCs w:val="24"/>
        </w:rPr>
        <w:t xml:space="preserve"> that an NRSRO w</w:t>
      </w:r>
      <w:r>
        <w:rPr>
          <w:sz w:val="24"/>
          <w:szCs w:val="24"/>
        </w:rPr>
        <w:t>ill</w:t>
      </w:r>
      <w:r w:rsidRPr="006F25CE">
        <w:rPr>
          <w:sz w:val="24"/>
          <w:szCs w:val="24"/>
        </w:rPr>
        <w:t xml:space="preserve"> spend approximately two hours per transaction gathering and reviewing information received from arrangers to determine if the exemption applies.  The Commission </w:t>
      </w:r>
      <w:r>
        <w:rPr>
          <w:sz w:val="24"/>
          <w:szCs w:val="24"/>
        </w:rPr>
        <w:t>previously</w:t>
      </w:r>
      <w:r w:rsidRPr="006F25CE">
        <w:rPr>
          <w:sz w:val="24"/>
          <w:szCs w:val="24"/>
        </w:rPr>
        <w:t xml:space="preserve"> estimated that approximately 2</w:t>
      </w:r>
      <w:r>
        <w:rPr>
          <w:sz w:val="24"/>
          <w:szCs w:val="24"/>
        </w:rPr>
        <w:t>84</w:t>
      </w:r>
      <w:r w:rsidRPr="006F25CE">
        <w:rPr>
          <w:sz w:val="24"/>
          <w:szCs w:val="24"/>
        </w:rPr>
        <w:t xml:space="preserve"> rated transactions would be eligible for the exemption in a given year and that each transaction would be rated by approximately two NRSROs, resulting in a total aggre</w:t>
      </w:r>
      <w:r>
        <w:rPr>
          <w:sz w:val="24"/>
          <w:szCs w:val="24"/>
        </w:rPr>
        <w:t>gate annual hour burden of 1,136</w:t>
      </w:r>
      <w:r w:rsidRPr="006F25CE">
        <w:rPr>
          <w:sz w:val="24"/>
          <w:szCs w:val="24"/>
        </w:rPr>
        <w:t xml:space="preserve"> hours.</w:t>
      </w:r>
      <w:r w:rsidRPr="000754E8" w:rsidR="000754E8">
        <w:rPr>
          <w:sz w:val="24"/>
          <w:szCs w:val="24"/>
        </w:rPr>
        <w:t xml:space="preserve"> </w:t>
      </w:r>
      <w:r w:rsidRPr="006F25CE" w:rsidR="000754E8">
        <w:rPr>
          <w:rStyle w:val="FootnoteReference"/>
          <w:sz w:val="24"/>
          <w:szCs w:val="24"/>
        </w:rPr>
        <w:footnoteReference w:id="32"/>
      </w:r>
      <w:r w:rsidRPr="006F25CE">
        <w:rPr>
          <w:sz w:val="24"/>
          <w:szCs w:val="24"/>
        </w:rPr>
        <w:t xml:space="preserve">  </w:t>
      </w:r>
    </w:p>
    <w:p w:rsidRPr="00710E79" w:rsidR="00725393" w:rsidP="000754E8" w:rsidRDefault="00725393">
      <w:pPr>
        <w:ind w:firstLine="720"/>
        <w:rPr>
          <w:sz w:val="24"/>
          <w:szCs w:val="24"/>
        </w:rPr>
      </w:pPr>
    </w:p>
    <w:p w:rsidR="00725393" w:rsidP="00B05067" w:rsidRDefault="00725393">
      <w:pPr>
        <w:ind w:firstLine="720"/>
        <w:rPr>
          <w:sz w:val="24"/>
          <w:szCs w:val="24"/>
        </w:rPr>
      </w:pPr>
    </w:p>
    <w:p w:rsidR="00725393" w:rsidP="00725393" w:rsidRDefault="00725393">
      <w:pPr>
        <w:ind w:firstLine="720"/>
        <w:rPr>
          <w:sz w:val="24"/>
          <w:szCs w:val="24"/>
        </w:rPr>
      </w:pPr>
      <w:r>
        <w:rPr>
          <w:sz w:val="24"/>
          <w:szCs w:val="24"/>
        </w:rPr>
        <w:t xml:space="preserve">Accordingly, the total estimated annual burden associated with Rule 17g-5 is </w:t>
      </w:r>
      <w:bookmarkStart w:name="_GoBack" w:id="0"/>
      <w:bookmarkEnd w:id="0"/>
      <w:r w:rsidR="00051C54">
        <w:rPr>
          <w:sz w:val="24"/>
          <w:szCs w:val="24"/>
        </w:rPr>
        <w:t>263,306</w:t>
      </w:r>
      <w:r w:rsidR="00F01A26">
        <w:rPr>
          <w:sz w:val="24"/>
          <w:szCs w:val="24"/>
        </w:rPr>
        <w:t xml:space="preserve"> </w:t>
      </w:r>
      <w:r>
        <w:rPr>
          <w:sz w:val="24"/>
          <w:szCs w:val="24"/>
        </w:rPr>
        <w:t>hours.</w:t>
      </w:r>
      <w:r>
        <w:rPr>
          <w:rStyle w:val="FootnoteReference"/>
          <w:sz w:val="24"/>
          <w:szCs w:val="24"/>
        </w:rPr>
        <w:footnoteReference w:id="33"/>
      </w:r>
    </w:p>
    <w:p w:rsidR="00A27B5A" w:rsidP="00725393" w:rsidRDefault="00A27B5A">
      <w:pPr>
        <w:rPr>
          <w:sz w:val="24"/>
          <w:szCs w:val="24"/>
        </w:rPr>
      </w:pPr>
    </w:p>
    <w:p w:rsidR="000754E8" w:rsidRDefault="000754E8">
      <w:r>
        <w:br w:type="page"/>
      </w:r>
    </w:p>
    <w:tbl>
      <w:tblPr>
        <w:tblStyle w:val="GridTable1Light-Accent1"/>
        <w:tblW w:w="5628" w:type="pct"/>
        <w:tblLayout w:type="fixed"/>
        <w:tblLook w:val="04A0" w:firstRow="1" w:lastRow="0" w:firstColumn="1" w:lastColumn="0" w:noHBand="0" w:noVBand="1"/>
      </w:tblPr>
      <w:tblGrid>
        <w:gridCol w:w="984"/>
        <w:gridCol w:w="1318"/>
        <w:gridCol w:w="1023"/>
        <w:gridCol w:w="989"/>
        <w:gridCol w:w="1038"/>
        <w:gridCol w:w="1482"/>
        <w:gridCol w:w="1621"/>
        <w:gridCol w:w="2069"/>
      </w:tblGrid>
      <w:tr w:rsidRPr="005E6E80" w:rsidR="00051C54" w:rsidTr="00960956">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468" w:type="pct"/>
            <w:noWrap/>
            <w:hideMark/>
          </w:tcPr>
          <w:p w:rsidRPr="005E6E80" w:rsidR="00051C54" w:rsidP="00C57881" w:rsidRDefault="00051C54">
            <w:pPr>
              <w:rPr>
                <w:rFonts w:ascii="Calibri" w:hAnsi="Calibri" w:cs="Calibri"/>
                <w:b w:val="0"/>
                <w:bCs w:val="0"/>
                <w:color w:val="000000"/>
              </w:rPr>
            </w:pPr>
            <w:r w:rsidRPr="005E6E80">
              <w:rPr>
                <w:rFonts w:ascii="Calibri" w:hAnsi="Calibri" w:cs="Calibri"/>
                <w:color w:val="000000"/>
              </w:rPr>
              <w:t>IC</w:t>
            </w:r>
          </w:p>
        </w:tc>
        <w:tc>
          <w:tcPr>
            <w:tcW w:w="626" w:type="pct"/>
            <w:noWrap/>
            <w:hideMark/>
          </w:tcPr>
          <w:p w:rsidRPr="005E6E80" w:rsidR="00051C54" w:rsidP="00C57881" w:rsidRDefault="00051C54">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rPr>
            </w:pPr>
            <w:r w:rsidRPr="005E6E80">
              <w:rPr>
                <w:rFonts w:ascii="Calibri" w:hAnsi="Calibri" w:cs="Calibri"/>
                <w:color w:val="000000"/>
              </w:rPr>
              <w:t>IC Title</w:t>
            </w:r>
          </w:p>
        </w:tc>
        <w:tc>
          <w:tcPr>
            <w:tcW w:w="1449" w:type="pct"/>
            <w:gridSpan w:val="3"/>
            <w:noWrap/>
            <w:hideMark/>
          </w:tcPr>
          <w:p w:rsidRPr="005E6E80" w:rsidR="00051C54" w:rsidP="00C57881" w:rsidRDefault="00051C5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rPr>
            </w:pPr>
            <w:r w:rsidRPr="005E6E80">
              <w:rPr>
                <w:rFonts w:ascii="Calibri" w:hAnsi="Calibri" w:cs="Calibri"/>
                <w:color w:val="000000"/>
              </w:rPr>
              <w:t>Annual No. of Responses</w:t>
            </w:r>
          </w:p>
        </w:tc>
        <w:tc>
          <w:tcPr>
            <w:tcW w:w="2457" w:type="pct"/>
            <w:gridSpan w:val="3"/>
            <w:noWrap/>
            <w:hideMark/>
          </w:tcPr>
          <w:p w:rsidRPr="005E6E80" w:rsidR="00051C54" w:rsidP="00C57881" w:rsidRDefault="00051C5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rPr>
            </w:pPr>
            <w:r w:rsidRPr="005E6E80">
              <w:rPr>
                <w:rFonts w:ascii="Calibri" w:hAnsi="Calibri" w:cs="Calibri"/>
                <w:color w:val="000000"/>
              </w:rPr>
              <w:t>Annual Time Burden (Hrs.)</w:t>
            </w:r>
          </w:p>
        </w:tc>
      </w:tr>
      <w:tr w:rsidRPr="005E6E80" w:rsidR="00051C54" w:rsidTr="00960956">
        <w:trPr>
          <w:cantSplit/>
          <w:trHeight w:val="1138"/>
        </w:trPr>
        <w:tc>
          <w:tcPr>
            <w:cnfStyle w:val="001000000000" w:firstRow="0" w:lastRow="0" w:firstColumn="1" w:lastColumn="0" w:oddVBand="0" w:evenVBand="0" w:oddHBand="0" w:evenHBand="0" w:firstRowFirstColumn="0" w:firstRowLastColumn="0" w:lastRowFirstColumn="0" w:lastRowLastColumn="0"/>
            <w:tcW w:w="468" w:type="pct"/>
            <w:textDirection w:val="btLr"/>
            <w:hideMark/>
          </w:tcPr>
          <w:p w:rsidRPr="005E6E80" w:rsidR="00051C54" w:rsidP="00C57881" w:rsidRDefault="00051C54">
            <w:pPr>
              <w:ind w:left="113" w:right="113"/>
              <w:jc w:val="center"/>
              <w:rPr>
                <w:rFonts w:ascii="Calibri" w:hAnsi="Calibri" w:cs="Calibri"/>
                <w:color w:val="000000"/>
                <w:sz w:val="18"/>
                <w:szCs w:val="18"/>
              </w:rPr>
            </w:pPr>
            <w:r w:rsidRPr="005E6E80">
              <w:rPr>
                <w:rFonts w:ascii="Calibri" w:hAnsi="Calibri" w:cs="Calibri"/>
                <w:color w:val="000000"/>
                <w:sz w:val="18"/>
                <w:szCs w:val="18"/>
              </w:rPr>
              <w:t> </w:t>
            </w:r>
          </w:p>
        </w:tc>
        <w:tc>
          <w:tcPr>
            <w:tcW w:w="626" w:type="pct"/>
            <w:hideMark/>
          </w:tcPr>
          <w:p w:rsidRPr="005E6E80" w:rsidR="00051C54" w:rsidP="00960956" w:rsidRDefault="00051C5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5E6E80">
              <w:rPr>
                <w:rFonts w:ascii="Calibri" w:hAnsi="Calibri" w:cs="Calibri"/>
                <w:color w:val="000000"/>
                <w:sz w:val="18"/>
                <w:szCs w:val="18"/>
              </w:rPr>
              <w:t> </w:t>
            </w:r>
          </w:p>
        </w:tc>
        <w:tc>
          <w:tcPr>
            <w:tcW w:w="486" w:type="pct"/>
            <w:hideMark/>
          </w:tcPr>
          <w:p w:rsidRPr="005E6E80" w:rsidR="00051C54" w:rsidP="00960956" w:rsidRDefault="00051C5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sz w:val="18"/>
                <w:szCs w:val="18"/>
              </w:rPr>
            </w:pPr>
            <w:r w:rsidRPr="005E6E80">
              <w:rPr>
                <w:rFonts w:ascii="Calibri" w:hAnsi="Calibri" w:cs="Calibri"/>
                <w:i/>
                <w:iCs/>
                <w:color w:val="000000"/>
                <w:sz w:val="18"/>
                <w:szCs w:val="18"/>
              </w:rPr>
              <w:t>Previously approved</w:t>
            </w:r>
          </w:p>
        </w:tc>
        <w:tc>
          <w:tcPr>
            <w:tcW w:w="470" w:type="pct"/>
            <w:hideMark/>
          </w:tcPr>
          <w:p w:rsidRPr="005E6E80" w:rsidR="00051C54" w:rsidP="00960956" w:rsidRDefault="00051C5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sz w:val="18"/>
                <w:szCs w:val="18"/>
              </w:rPr>
            </w:pPr>
            <w:r w:rsidRPr="005E6E80">
              <w:rPr>
                <w:rFonts w:ascii="Calibri" w:hAnsi="Calibri" w:cs="Calibri"/>
                <w:i/>
                <w:iCs/>
                <w:color w:val="000000"/>
                <w:sz w:val="18"/>
                <w:szCs w:val="18"/>
              </w:rPr>
              <w:t>Requested</w:t>
            </w:r>
          </w:p>
        </w:tc>
        <w:tc>
          <w:tcPr>
            <w:tcW w:w="493" w:type="pct"/>
            <w:hideMark/>
          </w:tcPr>
          <w:p w:rsidRPr="005E6E80" w:rsidR="00051C54" w:rsidP="00960956" w:rsidRDefault="00051C5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sz w:val="18"/>
                <w:szCs w:val="18"/>
              </w:rPr>
            </w:pPr>
            <w:r w:rsidRPr="005E6E80">
              <w:rPr>
                <w:rFonts w:ascii="Calibri" w:hAnsi="Calibri" w:cs="Calibri"/>
                <w:i/>
                <w:iCs/>
                <w:color w:val="000000"/>
                <w:sz w:val="18"/>
                <w:szCs w:val="18"/>
              </w:rPr>
              <w:t>Change</w:t>
            </w:r>
          </w:p>
        </w:tc>
        <w:tc>
          <w:tcPr>
            <w:tcW w:w="704" w:type="pct"/>
            <w:hideMark/>
          </w:tcPr>
          <w:p w:rsidRPr="005E6E80" w:rsidR="00051C54" w:rsidP="00960956" w:rsidRDefault="00051C5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sz w:val="18"/>
                <w:szCs w:val="18"/>
              </w:rPr>
            </w:pPr>
            <w:r w:rsidRPr="005E6E80">
              <w:rPr>
                <w:rFonts w:ascii="Calibri" w:hAnsi="Calibri" w:cs="Calibri"/>
                <w:i/>
                <w:iCs/>
                <w:color w:val="000000"/>
                <w:sz w:val="18"/>
                <w:szCs w:val="18"/>
              </w:rPr>
              <w:t>Previously approved</w:t>
            </w:r>
          </w:p>
        </w:tc>
        <w:tc>
          <w:tcPr>
            <w:tcW w:w="770" w:type="pct"/>
            <w:hideMark/>
          </w:tcPr>
          <w:p w:rsidRPr="005E6E80" w:rsidR="00051C54" w:rsidP="00960956" w:rsidRDefault="00051C5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sz w:val="18"/>
                <w:szCs w:val="18"/>
              </w:rPr>
            </w:pPr>
            <w:r w:rsidRPr="005E6E80">
              <w:rPr>
                <w:rFonts w:ascii="Calibri" w:hAnsi="Calibri" w:cs="Calibri"/>
                <w:i/>
                <w:iCs/>
                <w:color w:val="000000"/>
                <w:sz w:val="18"/>
                <w:szCs w:val="18"/>
              </w:rPr>
              <w:t>Requested</w:t>
            </w:r>
          </w:p>
        </w:tc>
        <w:tc>
          <w:tcPr>
            <w:tcW w:w="983" w:type="pct"/>
            <w:hideMark/>
          </w:tcPr>
          <w:p w:rsidRPr="005E6E80" w:rsidR="00051C54" w:rsidP="00960956" w:rsidRDefault="00051C5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sz w:val="18"/>
                <w:szCs w:val="18"/>
              </w:rPr>
            </w:pPr>
            <w:r w:rsidRPr="005E6E80">
              <w:rPr>
                <w:rFonts w:ascii="Calibri" w:hAnsi="Calibri" w:cs="Calibri"/>
                <w:i/>
                <w:iCs/>
                <w:color w:val="000000"/>
                <w:sz w:val="18"/>
                <w:szCs w:val="18"/>
              </w:rPr>
              <w:t>Change</w:t>
            </w:r>
          </w:p>
        </w:tc>
      </w:tr>
      <w:tr w:rsidRPr="005E6E80" w:rsidR="00051C54" w:rsidTr="00960956">
        <w:trPr>
          <w:trHeight w:val="1138"/>
        </w:trPr>
        <w:tc>
          <w:tcPr>
            <w:cnfStyle w:val="001000000000" w:firstRow="0" w:lastRow="0" w:firstColumn="1" w:lastColumn="0" w:oddVBand="0" w:evenVBand="0" w:oddHBand="0" w:evenHBand="0" w:firstRowFirstColumn="0" w:firstRowLastColumn="0" w:lastRowFirstColumn="0" w:lastRowLastColumn="0"/>
            <w:tcW w:w="468" w:type="pct"/>
            <w:noWrap/>
            <w:hideMark/>
          </w:tcPr>
          <w:p w:rsidRPr="005E6E80" w:rsidR="00051C54" w:rsidP="00C57881" w:rsidRDefault="00051C54">
            <w:pPr>
              <w:rPr>
                <w:rFonts w:ascii="Calibri" w:hAnsi="Calibri" w:cs="Calibri"/>
                <w:color w:val="000000"/>
              </w:rPr>
            </w:pPr>
            <w:r w:rsidRPr="005E6E80">
              <w:rPr>
                <w:rFonts w:ascii="Calibri" w:hAnsi="Calibri" w:cs="Calibri"/>
                <w:color w:val="000000"/>
              </w:rPr>
              <w:t>IC1</w:t>
            </w:r>
          </w:p>
        </w:tc>
        <w:tc>
          <w:tcPr>
            <w:tcW w:w="626" w:type="pct"/>
            <w:noWrap/>
            <w:hideMark/>
          </w:tcPr>
          <w:p w:rsidRPr="005E6E80" w:rsidR="00051C54" w:rsidP="00C57881" w:rsidRDefault="00051C5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NRSRO structured finance ratings disclosure</w:t>
            </w:r>
          </w:p>
        </w:tc>
        <w:tc>
          <w:tcPr>
            <w:tcW w:w="486" w:type="pct"/>
            <w:noWrap/>
          </w:tcPr>
          <w:p w:rsidRPr="005E6E80" w:rsidR="00051C54" w:rsidP="00C57881" w:rsidRDefault="00051C54">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2,436</w:t>
            </w:r>
          </w:p>
        </w:tc>
        <w:tc>
          <w:tcPr>
            <w:tcW w:w="470" w:type="pct"/>
            <w:noWrap/>
          </w:tcPr>
          <w:p w:rsidRPr="005E6E80" w:rsidR="00051C54" w:rsidP="00C57881" w:rsidRDefault="00051C54">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3,267</w:t>
            </w:r>
          </w:p>
        </w:tc>
        <w:tc>
          <w:tcPr>
            <w:tcW w:w="493" w:type="pct"/>
            <w:noWrap/>
          </w:tcPr>
          <w:p w:rsidRPr="005E6E80" w:rsidR="00051C54" w:rsidP="00C57881" w:rsidRDefault="00051C54">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831</w:t>
            </w:r>
          </w:p>
        </w:tc>
        <w:tc>
          <w:tcPr>
            <w:tcW w:w="704" w:type="pct"/>
            <w:noWrap/>
          </w:tcPr>
          <w:p w:rsidRPr="005E6E80" w:rsidR="00051C54" w:rsidP="00C57881" w:rsidRDefault="00051C54">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2,436</w:t>
            </w:r>
          </w:p>
        </w:tc>
        <w:tc>
          <w:tcPr>
            <w:tcW w:w="770" w:type="pct"/>
            <w:noWrap/>
          </w:tcPr>
          <w:p w:rsidRPr="005E6E80" w:rsidR="00051C54" w:rsidP="00C57881" w:rsidRDefault="00051C54">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3267</w:t>
            </w:r>
          </w:p>
        </w:tc>
        <w:tc>
          <w:tcPr>
            <w:tcW w:w="983" w:type="pct"/>
            <w:noWrap/>
          </w:tcPr>
          <w:p w:rsidRPr="005E6E80" w:rsidR="00051C54" w:rsidP="00C57881" w:rsidRDefault="00051C54">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831</w:t>
            </w:r>
          </w:p>
        </w:tc>
      </w:tr>
      <w:tr w:rsidRPr="005E6E80" w:rsidR="00051C54" w:rsidTr="00960956">
        <w:trPr>
          <w:trHeight w:val="1138"/>
        </w:trPr>
        <w:tc>
          <w:tcPr>
            <w:cnfStyle w:val="001000000000" w:firstRow="0" w:lastRow="0" w:firstColumn="1" w:lastColumn="0" w:oddVBand="0" w:evenVBand="0" w:oddHBand="0" w:evenHBand="0" w:firstRowFirstColumn="0" w:firstRowLastColumn="0" w:lastRowFirstColumn="0" w:lastRowLastColumn="0"/>
            <w:tcW w:w="468" w:type="pct"/>
            <w:noWrap/>
          </w:tcPr>
          <w:p w:rsidRPr="005E6E80" w:rsidR="00051C54" w:rsidP="00C57881" w:rsidRDefault="00051C54">
            <w:pPr>
              <w:rPr>
                <w:rFonts w:ascii="Calibri" w:hAnsi="Calibri" w:cs="Calibri"/>
                <w:color w:val="000000"/>
              </w:rPr>
            </w:pPr>
            <w:r>
              <w:rPr>
                <w:rFonts w:ascii="Calibri" w:hAnsi="Calibri" w:cs="Calibri"/>
                <w:color w:val="000000"/>
              </w:rPr>
              <w:t>IC2</w:t>
            </w:r>
          </w:p>
        </w:tc>
        <w:tc>
          <w:tcPr>
            <w:tcW w:w="626" w:type="pct"/>
            <w:noWrap/>
          </w:tcPr>
          <w:p w:rsidRPr="005E6E80" w:rsidR="00051C54" w:rsidP="00C57881" w:rsidRDefault="00051C5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Arranger transaction disclosures</w:t>
            </w:r>
          </w:p>
        </w:tc>
        <w:tc>
          <w:tcPr>
            <w:tcW w:w="486" w:type="pct"/>
            <w:noWrap/>
          </w:tcPr>
          <w:p w:rsidRPr="005E6E80" w:rsidR="00051C54" w:rsidP="00C57881" w:rsidRDefault="00051C54">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336</w:t>
            </w:r>
          </w:p>
        </w:tc>
        <w:tc>
          <w:tcPr>
            <w:tcW w:w="470" w:type="pct"/>
            <w:noWrap/>
          </w:tcPr>
          <w:p w:rsidRPr="005E6E80" w:rsidR="00051C54" w:rsidP="00C57881" w:rsidRDefault="00051C54">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336</w:t>
            </w:r>
          </w:p>
        </w:tc>
        <w:tc>
          <w:tcPr>
            <w:tcW w:w="493" w:type="pct"/>
            <w:noWrap/>
          </w:tcPr>
          <w:p w:rsidRPr="005E6E80" w:rsidR="00051C54" w:rsidP="00C57881" w:rsidRDefault="00051C54">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w:t>
            </w:r>
          </w:p>
        </w:tc>
        <w:tc>
          <w:tcPr>
            <w:tcW w:w="704" w:type="pct"/>
            <w:noWrap/>
          </w:tcPr>
          <w:p w:rsidRPr="005E6E80" w:rsidR="00051C54" w:rsidP="00C57881" w:rsidRDefault="00051C54">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6,720</w:t>
            </w:r>
          </w:p>
        </w:tc>
        <w:tc>
          <w:tcPr>
            <w:tcW w:w="770" w:type="pct"/>
            <w:noWrap/>
          </w:tcPr>
          <w:p w:rsidRPr="005E6E80" w:rsidR="00051C54" w:rsidP="00C57881" w:rsidRDefault="00051C54">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6,720</w:t>
            </w:r>
          </w:p>
        </w:tc>
        <w:tc>
          <w:tcPr>
            <w:tcW w:w="983" w:type="pct"/>
            <w:noWrap/>
          </w:tcPr>
          <w:p w:rsidRPr="005E6E80" w:rsidR="00051C54" w:rsidP="00C57881" w:rsidRDefault="00051C54">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w:t>
            </w:r>
          </w:p>
        </w:tc>
      </w:tr>
      <w:tr w:rsidRPr="005E6E80" w:rsidR="00051C54" w:rsidTr="00960956">
        <w:trPr>
          <w:trHeight w:val="1138"/>
        </w:trPr>
        <w:tc>
          <w:tcPr>
            <w:cnfStyle w:val="001000000000" w:firstRow="0" w:lastRow="0" w:firstColumn="1" w:lastColumn="0" w:oddVBand="0" w:evenVBand="0" w:oddHBand="0" w:evenHBand="0" w:firstRowFirstColumn="0" w:firstRowLastColumn="0" w:lastRowFirstColumn="0" w:lastRowLastColumn="0"/>
            <w:tcW w:w="468" w:type="pct"/>
            <w:noWrap/>
          </w:tcPr>
          <w:p w:rsidRPr="005E6E80" w:rsidR="00051C54" w:rsidP="00C57881" w:rsidRDefault="00051C54">
            <w:pPr>
              <w:rPr>
                <w:rFonts w:ascii="Calibri" w:hAnsi="Calibri" w:cs="Calibri"/>
                <w:color w:val="000000"/>
              </w:rPr>
            </w:pPr>
            <w:r>
              <w:rPr>
                <w:rFonts w:ascii="Calibri" w:hAnsi="Calibri" w:cs="Calibri"/>
                <w:color w:val="000000"/>
              </w:rPr>
              <w:t>IC3</w:t>
            </w:r>
          </w:p>
        </w:tc>
        <w:tc>
          <w:tcPr>
            <w:tcW w:w="626" w:type="pct"/>
            <w:noWrap/>
          </w:tcPr>
          <w:p w:rsidRPr="005E6E80" w:rsidR="00051C54" w:rsidP="00C57881" w:rsidRDefault="00051C5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Annual certification</w:t>
            </w:r>
          </w:p>
        </w:tc>
        <w:tc>
          <w:tcPr>
            <w:tcW w:w="486" w:type="pct"/>
            <w:noWrap/>
          </w:tcPr>
          <w:p w:rsidRPr="005E6E80" w:rsidR="00051C54" w:rsidP="00C57881" w:rsidRDefault="00051C54">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10</w:t>
            </w:r>
          </w:p>
        </w:tc>
        <w:tc>
          <w:tcPr>
            <w:tcW w:w="470" w:type="pct"/>
            <w:noWrap/>
          </w:tcPr>
          <w:p w:rsidRPr="005E6E80" w:rsidR="00051C54" w:rsidP="00C57881" w:rsidRDefault="00051C54">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9</w:t>
            </w:r>
          </w:p>
        </w:tc>
        <w:tc>
          <w:tcPr>
            <w:tcW w:w="493" w:type="pct"/>
            <w:noWrap/>
          </w:tcPr>
          <w:p w:rsidRPr="005E6E80" w:rsidR="00051C54" w:rsidP="00C57881" w:rsidRDefault="00051C54">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p>
        </w:tc>
        <w:tc>
          <w:tcPr>
            <w:tcW w:w="704" w:type="pct"/>
            <w:noWrap/>
          </w:tcPr>
          <w:p w:rsidRPr="005E6E80" w:rsidR="00051C54" w:rsidP="00C57881" w:rsidRDefault="00051C54">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20</w:t>
            </w:r>
          </w:p>
        </w:tc>
        <w:tc>
          <w:tcPr>
            <w:tcW w:w="770" w:type="pct"/>
            <w:noWrap/>
          </w:tcPr>
          <w:p w:rsidRPr="005E6E80" w:rsidR="00051C54" w:rsidP="00C57881" w:rsidRDefault="00051C54">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18</w:t>
            </w:r>
          </w:p>
        </w:tc>
        <w:tc>
          <w:tcPr>
            <w:tcW w:w="983" w:type="pct"/>
            <w:noWrap/>
          </w:tcPr>
          <w:p w:rsidRPr="005E6E80" w:rsidR="00051C54" w:rsidP="00C57881" w:rsidRDefault="00051C54">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w:t>
            </w:r>
          </w:p>
        </w:tc>
      </w:tr>
      <w:tr w:rsidRPr="005E6E80" w:rsidR="00051C54" w:rsidTr="00960956">
        <w:trPr>
          <w:trHeight w:val="1138"/>
        </w:trPr>
        <w:tc>
          <w:tcPr>
            <w:cnfStyle w:val="001000000000" w:firstRow="0" w:lastRow="0" w:firstColumn="1" w:lastColumn="0" w:oddVBand="0" w:evenVBand="0" w:oddHBand="0" w:evenHBand="0" w:firstRowFirstColumn="0" w:firstRowLastColumn="0" w:lastRowFirstColumn="0" w:lastRowLastColumn="0"/>
            <w:tcW w:w="468" w:type="pct"/>
            <w:noWrap/>
          </w:tcPr>
          <w:p w:rsidRPr="005E6E80" w:rsidR="00051C54" w:rsidP="00C57881" w:rsidRDefault="00051C54">
            <w:pPr>
              <w:rPr>
                <w:rFonts w:ascii="Calibri" w:hAnsi="Calibri" w:cs="Calibri"/>
                <w:color w:val="000000"/>
              </w:rPr>
            </w:pPr>
            <w:r>
              <w:rPr>
                <w:rFonts w:ascii="Calibri" w:hAnsi="Calibri" w:cs="Calibri"/>
                <w:color w:val="000000"/>
              </w:rPr>
              <w:t>IC4</w:t>
            </w:r>
          </w:p>
        </w:tc>
        <w:tc>
          <w:tcPr>
            <w:tcW w:w="626" w:type="pct"/>
            <w:noWrap/>
          </w:tcPr>
          <w:p w:rsidRPr="005E6E80" w:rsidR="00051C54" w:rsidP="00C57881" w:rsidRDefault="00051C5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Arranger ongoing disclosure</w:t>
            </w:r>
          </w:p>
        </w:tc>
        <w:tc>
          <w:tcPr>
            <w:tcW w:w="486" w:type="pct"/>
            <w:noWrap/>
          </w:tcPr>
          <w:p w:rsidRPr="005E6E80" w:rsidR="00051C54" w:rsidP="00C57881" w:rsidRDefault="00051C54">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336</w:t>
            </w:r>
          </w:p>
        </w:tc>
        <w:tc>
          <w:tcPr>
            <w:tcW w:w="470" w:type="pct"/>
            <w:noWrap/>
          </w:tcPr>
          <w:p w:rsidRPr="005E6E80" w:rsidR="00051C54" w:rsidP="00C57881" w:rsidRDefault="00051C54">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336</w:t>
            </w:r>
          </w:p>
        </w:tc>
        <w:tc>
          <w:tcPr>
            <w:tcW w:w="493" w:type="pct"/>
            <w:noWrap/>
          </w:tcPr>
          <w:p w:rsidRPr="005E6E80" w:rsidR="00051C54" w:rsidP="00C57881" w:rsidRDefault="00051C54">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w:t>
            </w:r>
          </w:p>
        </w:tc>
        <w:tc>
          <w:tcPr>
            <w:tcW w:w="704" w:type="pct"/>
            <w:noWrap/>
          </w:tcPr>
          <w:p w:rsidRPr="005E6E80" w:rsidR="00051C54" w:rsidP="00C57881" w:rsidRDefault="00051C54">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252,000</w:t>
            </w:r>
          </w:p>
        </w:tc>
        <w:tc>
          <w:tcPr>
            <w:tcW w:w="770" w:type="pct"/>
            <w:noWrap/>
          </w:tcPr>
          <w:p w:rsidRPr="005E6E80" w:rsidR="00051C54" w:rsidP="00C57881" w:rsidRDefault="00051C54">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252,000</w:t>
            </w:r>
          </w:p>
        </w:tc>
        <w:tc>
          <w:tcPr>
            <w:tcW w:w="983" w:type="pct"/>
            <w:noWrap/>
          </w:tcPr>
          <w:p w:rsidRPr="005E6E80" w:rsidR="00051C54" w:rsidP="00C57881" w:rsidRDefault="00051C54">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w:t>
            </w:r>
          </w:p>
        </w:tc>
      </w:tr>
      <w:tr w:rsidRPr="005E6E80" w:rsidR="00051C54" w:rsidTr="00960956">
        <w:trPr>
          <w:trHeight w:val="1138"/>
        </w:trPr>
        <w:tc>
          <w:tcPr>
            <w:cnfStyle w:val="001000000000" w:firstRow="0" w:lastRow="0" w:firstColumn="1" w:lastColumn="0" w:oddVBand="0" w:evenVBand="0" w:oddHBand="0" w:evenHBand="0" w:firstRowFirstColumn="0" w:firstRowLastColumn="0" w:lastRowFirstColumn="0" w:lastRowLastColumn="0"/>
            <w:tcW w:w="468" w:type="pct"/>
            <w:noWrap/>
          </w:tcPr>
          <w:p w:rsidRPr="005E6E80" w:rsidR="00051C54" w:rsidP="00C57881" w:rsidRDefault="00051C54">
            <w:pPr>
              <w:rPr>
                <w:rFonts w:ascii="Calibri" w:hAnsi="Calibri" w:cs="Calibri"/>
                <w:color w:val="000000"/>
              </w:rPr>
            </w:pPr>
            <w:r>
              <w:rPr>
                <w:rFonts w:ascii="Calibri" w:hAnsi="Calibri" w:cs="Calibri"/>
                <w:color w:val="000000"/>
              </w:rPr>
              <w:t>IC5</w:t>
            </w:r>
          </w:p>
        </w:tc>
        <w:tc>
          <w:tcPr>
            <w:tcW w:w="626" w:type="pct"/>
            <w:noWrap/>
          </w:tcPr>
          <w:p w:rsidRPr="005E6E80" w:rsidR="00051C54" w:rsidP="00C57881" w:rsidRDefault="00051C5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Arranger form upload</w:t>
            </w:r>
          </w:p>
        </w:tc>
        <w:tc>
          <w:tcPr>
            <w:tcW w:w="486" w:type="pct"/>
            <w:noWrap/>
          </w:tcPr>
          <w:p w:rsidRPr="005E6E80" w:rsidR="00051C54" w:rsidP="00C57881" w:rsidRDefault="00051C54">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336</w:t>
            </w:r>
          </w:p>
        </w:tc>
        <w:tc>
          <w:tcPr>
            <w:tcW w:w="470" w:type="pct"/>
            <w:noWrap/>
          </w:tcPr>
          <w:p w:rsidRPr="005E6E80" w:rsidR="00051C54" w:rsidP="00C57881" w:rsidRDefault="00051C54">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336</w:t>
            </w:r>
          </w:p>
        </w:tc>
        <w:tc>
          <w:tcPr>
            <w:tcW w:w="493" w:type="pct"/>
            <w:noWrap/>
          </w:tcPr>
          <w:p w:rsidRPr="005E6E80" w:rsidR="00051C54" w:rsidP="00C57881" w:rsidRDefault="00051C54">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w:t>
            </w:r>
          </w:p>
        </w:tc>
        <w:tc>
          <w:tcPr>
            <w:tcW w:w="704" w:type="pct"/>
            <w:noWrap/>
          </w:tcPr>
          <w:p w:rsidRPr="005E6E80" w:rsidR="00051C54" w:rsidP="00C57881" w:rsidRDefault="00051C54">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119</w:t>
            </w:r>
          </w:p>
        </w:tc>
        <w:tc>
          <w:tcPr>
            <w:tcW w:w="770" w:type="pct"/>
            <w:noWrap/>
          </w:tcPr>
          <w:p w:rsidRPr="005E6E80" w:rsidR="00051C54" w:rsidP="00C57881" w:rsidRDefault="00051C54">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165</w:t>
            </w:r>
          </w:p>
        </w:tc>
        <w:tc>
          <w:tcPr>
            <w:tcW w:w="983" w:type="pct"/>
            <w:noWrap/>
          </w:tcPr>
          <w:p w:rsidRPr="005E6E80" w:rsidR="00051C54" w:rsidP="00C57881" w:rsidRDefault="00051C54">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46</w:t>
            </w:r>
          </w:p>
        </w:tc>
      </w:tr>
      <w:tr w:rsidRPr="005E6E80" w:rsidR="00051C54" w:rsidTr="00960956">
        <w:trPr>
          <w:trHeight w:val="1138"/>
        </w:trPr>
        <w:tc>
          <w:tcPr>
            <w:cnfStyle w:val="001000000000" w:firstRow="0" w:lastRow="0" w:firstColumn="1" w:lastColumn="0" w:oddVBand="0" w:evenVBand="0" w:oddHBand="0" w:evenHBand="0" w:firstRowFirstColumn="0" w:firstRowLastColumn="0" w:lastRowFirstColumn="0" w:lastRowLastColumn="0"/>
            <w:tcW w:w="468" w:type="pct"/>
            <w:noWrap/>
            <w:hideMark/>
          </w:tcPr>
          <w:p w:rsidRPr="005E6E80" w:rsidR="00051C54" w:rsidP="000754E8" w:rsidRDefault="00051C54">
            <w:pPr>
              <w:rPr>
                <w:rFonts w:ascii="Calibri" w:hAnsi="Calibri" w:cs="Calibri"/>
                <w:color w:val="000000"/>
              </w:rPr>
            </w:pPr>
            <w:r w:rsidRPr="005E6E80">
              <w:rPr>
                <w:rFonts w:ascii="Calibri" w:hAnsi="Calibri" w:cs="Calibri"/>
                <w:color w:val="000000"/>
              </w:rPr>
              <w:t>IC</w:t>
            </w:r>
            <w:r>
              <w:rPr>
                <w:rFonts w:ascii="Calibri" w:hAnsi="Calibri" w:cs="Calibri"/>
                <w:color w:val="000000"/>
              </w:rPr>
              <w:t>6</w:t>
            </w:r>
          </w:p>
        </w:tc>
        <w:tc>
          <w:tcPr>
            <w:tcW w:w="626" w:type="pct"/>
            <w:noWrap/>
            <w:hideMark/>
          </w:tcPr>
          <w:p w:rsidRPr="005E6E80" w:rsidR="00051C54" w:rsidP="00C57881" w:rsidRDefault="00051C5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Exemption to rule with respect to ratings of certain structured finance products</w:t>
            </w:r>
          </w:p>
        </w:tc>
        <w:tc>
          <w:tcPr>
            <w:tcW w:w="486" w:type="pct"/>
            <w:noWrap/>
          </w:tcPr>
          <w:p w:rsidRPr="005E6E80" w:rsidR="00051C54" w:rsidP="00C57881" w:rsidRDefault="00051C54">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568</w:t>
            </w:r>
          </w:p>
        </w:tc>
        <w:tc>
          <w:tcPr>
            <w:tcW w:w="470" w:type="pct"/>
            <w:noWrap/>
          </w:tcPr>
          <w:p w:rsidRPr="005E6E80" w:rsidR="00051C54" w:rsidP="00C57881" w:rsidRDefault="00051C54">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568</w:t>
            </w:r>
          </w:p>
        </w:tc>
        <w:tc>
          <w:tcPr>
            <w:tcW w:w="493" w:type="pct"/>
            <w:noWrap/>
          </w:tcPr>
          <w:p w:rsidRPr="005E6E80" w:rsidR="00051C54" w:rsidP="00C57881" w:rsidRDefault="00051C54">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w:t>
            </w:r>
          </w:p>
        </w:tc>
        <w:tc>
          <w:tcPr>
            <w:tcW w:w="704" w:type="pct"/>
            <w:noWrap/>
          </w:tcPr>
          <w:p w:rsidRPr="005E6E80" w:rsidR="00051C54" w:rsidP="00C57881" w:rsidRDefault="00051C54">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770" w:type="pct"/>
            <w:noWrap/>
          </w:tcPr>
          <w:p w:rsidRPr="005E6E80" w:rsidR="00051C54" w:rsidP="00C57881" w:rsidRDefault="00051C54">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1,136</w:t>
            </w:r>
          </w:p>
        </w:tc>
        <w:tc>
          <w:tcPr>
            <w:tcW w:w="983" w:type="pct"/>
            <w:noWrap/>
          </w:tcPr>
          <w:p w:rsidRPr="005E6E80" w:rsidR="00051C54" w:rsidP="00C57881" w:rsidRDefault="00051C54">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Pr="005E6E80" w:rsidR="00051C54" w:rsidTr="00960956">
        <w:trPr>
          <w:trHeight w:val="1138"/>
        </w:trPr>
        <w:tc>
          <w:tcPr>
            <w:cnfStyle w:val="001000000000" w:firstRow="0" w:lastRow="0" w:firstColumn="1" w:lastColumn="0" w:oddVBand="0" w:evenVBand="0" w:oddHBand="0" w:evenHBand="0" w:firstRowFirstColumn="0" w:firstRowLastColumn="0" w:lastRowFirstColumn="0" w:lastRowLastColumn="0"/>
            <w:tcW w:w="468" w:type="pct"/>
            <w:noWrap/>
          </w:tcPr>
          <w:p w:rsidRPr="005E6E80" w:rsidR="00051C54" w:rsidP="000754E8" w:rsidRDefault="00051C54">
            <w:pPr>
              <w:rPr>
                <w:rFonts w:ascii="Calibri" w:hAnsi="Calibri" w:cs="Calibri"/>
                <w:color w:val="000000"/>
              </w:rPr>
            </w:pPr>
            <w:r>
              <w:rPr>
                <w:rFonts w:ascii="Calibri" w:hAnsi="Calibri" w:cs="Calibri"/>
                <w:color w:val="000000"/>
              </w:rPr>
              <w:t xml:space="preserve">IC 7 </w:t>
            </w:r>
          </w:p>
        </w:tc>
        <w:tc>
          <w:tcPr>
            <w:tcW w:w="626" w:type="pct"/>
            <w:noWrap/>
          </w:tcPr>
          <w:p w:rsidRPr="005E6E80" w:rsidR="00051C54" w:rsidP="00C57881" w:rsidRDefault="00051C5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One-time burden to update process for exemption (removed)</w:t>
            </w:r>
          </w:p>
        </w:tc>
        <w:tc>
          <w:tcPr>
            <w:tcW w:w="486" w:type="pct"/>
            <w:noWrap/>
          </w:tcPr>
          <w:p w:rsidRPr="005E6E80" w:rsidR="00051C54" w:rsidP="00C57881" w:rsidRDefault="00051C54">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7</w:t>
            </w:r>
          </w:p>
        </w:tc>
        <w:tc>
          <w:tcPr>
            <w:tcW w:w="470" w:type="pct"/>
            <w:noWrap/>
          </w:tcPr>
          <w:p w:rsidR="00051C54" w:rsidP="00C57881" w:rsidRDefault="00051C54">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w:t>
            </w:r>
          </w:p>
        </w:tc>
        <w:tc>
          <w:tcPr>
            <w:tcW w:w="493" w:type="pct"/>
            <w:noWrap/>
          </w:tcPr>
          <w:p w:rsidR="00051C54" w:rsidP="00C57881" w:rsidRDefault="00051C54">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-7</w:t>
            </w:r>
          </w:p>
        </w:tc>
        <w:tc>
          <w:tcPr>
            <w:tcW w:w="704" w:type="pct"/>
            <w:noWrap/>
          </w:tcPr>
          <w:p w:rsidR="00051C54" w:rsidP="00C57881" w:rsidRDefault="00051C54">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35</w:t>
            </w:r>
          </w:p>
        </w:tc>
        <w:tc>
          <w:tcPr>
            <w:tcW w:w="770" w:type="pct"/>
            <w:noWrap/>
          </w:tcPr>
          <w:p w:rsidRPr="005E6E80" w:rsidR="00051C54" w:rsidP="00C57881" w:rsidRDefault="00051C54">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w:t>
            </w:r>
          </w:p>
        </w:tc>
        <w:tc>
          <w:tcPr>
            <w:tcW w:w="983" w:type="pct"/>
            <w:noWrap/>
          </w:tcPr>
          <w:p w:rsidR="00051C54" w:rsidP="00C57881" w:rsidRDefault="00051C54">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-35</w:t>
            </w:r>
          </w:p>
        </w:tc>
      </w:tr>
      <w:tr w:rsidRPr="009B6CDD" w:rsidR="00960956" w:rsidTr="00960956">
        <w:trPr>
          <w:trHeight w:val="291"/>
        </w:trPr>
        <w:tc>
          <w:tcPr>
            <w:cnfStyle w:val="001000000000" w:firstRow="0" w:lastRow="0" w:firstColumn="1" w:lastColumn="0" w:oddVBand="0" w:evenVBand="0" w:oddHBand="0" w:evenHBand="0" w:firstRowFirstColumn="0" w:firstRowLastColumn="0" w:lastRowFirstColumn="0" w:lastRowLastColumn="0"/>
            <w:tcW w:w="1094" w:type="pct"/>
            <w:gridSpan w:val="2"/>
            <w:noWrap/>
            <w:hideMark/>
          </w:tcPr>
          <w:p w:rsidRPr="005E6E80" w:rsidR="00051C54" w:rsidP="00C57881" w:rsidRDefault="00051C54">
            <w:pPr>
              <w:rPr>
                <w:rFonts w:ascii="Calibri" w:hAnsi="Calibri" w:cs="Calibri"/>
                <w:b w:val="0"/>
                <w:bCs w:val="0"/>
                <w:color w:val="000000"/>
              </w:rPr>
            </w:pPr>
            <w:r w:rsidRPr="005E6E80">
              <w:rPr>
                <w:rFonts w:ascii="Calibri" w:hAnsi="Calibri" w:cs="Calibri"/>
                <w:color w:val="000000"/>
              </w:rPr>
              <w:t>Total for all ICs</w:t>
            </w:r>
          </w:p>
        </w:tc>
        <w:tc>
          <w:tcPr>
            <w:tcW w:w="486" w:type="pct"/>
            <w:noWrap/>
          </w:tcPr>
          <w:p w:rsidRPr="005E6E80" w:rsidR="00051C54" w:rsidP="00C57881" w:rsidRDefault="00051C54">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4,029</w:t>
            </w:r>
          </w:p>
        </w:tc>
        <w:tc>
          <w:tcPr>
            <w:tcW w:w="470" w:type="pct"/>
            <w:noWrap/>
          </w:tcPr>
          <w:p w:rsidRPr="00BD5903" w:rsidR="00051C54" w:rsidP="00C57881" w:rsidRDefault="00051C54">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rPr>
            </w:pPr>
            <w:r>
              <w:rPr>
                <w:rFonts w:ascii="Calibri" w:hAnsi="Calibri" w:cs="Calibri"/>
                <w:b/>
                <w:color w:val="000000"/>
              </w:rPr>
              <w:t>4,852</w:t>
            </w:r>
          </w:p>
        </w:tc>
        <w:tc>
          <w:tcPr>
            <w:tcW w:w="493" w:type="pct"/>
            <w:noWrap/>
          </w:tcPr>
          <w:p w:rsidRPr="005E6E80" w:rsidR="00051C54" w:rsidP="00C57881" w:rsidRDefault="00051C54">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+823</w:t>
            </w:r>
          </w:p>
        </w:tc>
        <w:tc>
          <w:tcPr>
            <w:tcW w:w="704" w:type="pct"/>
            <w:noWrap/>
          </w:tcPr>
          <w:p w:rsidRPr="005E6E80" w:rsidR="00051C54" w:rsidP="00C57881" w:rsidRDefault="00051C54">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262,466</w:t>
            </w:r>
          </w:p>
        </w:tc>
        <w:tc>
          <w:tcPr>
            <w:tcW w:w="770" w:type="pct"/>
            <w:noWrap/>
          </w:tcPr>
          <w:p w:rsidRPr="00BD5903" w:rsidR="00051C54" w:rsidP="00C57881" w:rsidRDefault="00051C54">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rPr>
            </w:pPr>
            <w:r>
              <w:rPr>
                <w:rFonts w:ascii="Calibri" w:hAnsi="Calibri" w:cs="Calibri"/>
                <w:b/>
                <w:color w:val="000000"/>
              </w:rPr>
              <w:t>263,306</w:t>
            </w:r>
          </w:p>
        </w:tc>
        <w:tc>
          <w:tcPr>
            <w:tcW w:w="983" w:type="pct"/>
            <w:noWrap/>
          </w:tcPr>
          <w:p w:rsidRPr="005E6E80" w:rsidR="00051C54" w:rsidP="00C57881" w:rsidRDefault="00051C54">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+875</w:t>
            </w:r>
          </w:p>
        </w:tc>
      </w:tr>
    </w:tbl>
    <w:p w:rsidR="005350D3" w:rsidP="005350D3" w:rsidRDefault="005350D3">
      <w:pPr>
        <w:tabs>
          <w:tab w:val="left" w:pos="-720"/>
        </w:tabs>
        <w:suppressAutoHyphens/>
        <w:rPr>
          <w:sz w:val="24"/>
        </w:rPr>
      </w:pPr>
    </w:p>
    <w:p w:rsidR="005350D3" w:rsidP="00562567" w:rsidRDefault="005350D3">
      <w:pPr>
        <w:tabs>
          <w:tab w:val="left" w:pos="-720"/>
        </w:tabs>
        <w:suppressAutoHyphens/>
        <w:rPr>
          <w:sz w:val="24"/>
        </w:rPr>
      </w:pPr>
      <w:r w:rsidRPr="00166C8F">
        <w:rPr>
          <w:b/>
          <w:sz w:val="24"/>
        </w:rPr>
        <w:tab/>
        <w:t>13.</w:t>
      </w:r>
      <w:r w:rsidRPr="00166C8F">
        <w:rPr>
          <w:b/>
          <w:sz w:val="24"/>
        </w:rPr>
        <w:tab/>
      </w:r>
      <w:r w:rsidRPr="00363A59" w:rsidR="00166C8F">
        <w:rPr>
          <w:rStyle w:val="Heading1Char"/>
        </w:rPr>
        <w:t>Costs to Respondents</w:t>
      </w:r>
    </w:p>
    <w:p w:rsidRPr="00710E79" w:rsidR="007B16C6" w:rsidP="007B16C6" w:rsidRDefault="005350D3">
      <w:pPr>
        <w:ind w:firstLine="720"/>
        <w:rPr>
          <w:bCs/>
          <w:iCs/>
          <w:color w:val="000000"/>
          <w:sz w:val="24"/>
          <w:szCs w:val="24"/>
        </w:rPr>
      </w:pPr>
      <w:r>
        <w:rPr>
          <w:spacing w:val="-3"/>
          <w:sz w:val="24"/>
        </w:rPr>
        <w:tab/>
      </w:r>
    </w:p>
    <w:p w:rsidRPr="005B0D48" w:rsidR="005350D3" w:rsidP="001E7737" w:rsidRDefault="001E7737">
      <w:pPr>
        <w:ind w:firstLine="720"/>
        <w:rPr>
          <w:sz w:val="24"/>
          <w:szCs w:val="24"/>
        </w:rPr>
      </w:pPr>
      <w:r w:rsidRPr="001E7737">
        <w:rPr>
          <w:sz w:val="24"/>
          <w:szCs w:val="24"/>
        </w:rPr>
        <w:t xml:space="preserve">The Commission does </w:t>
      </w:r>
      <w:r w:rsidRPr="001E7737">
        <w:rPr>
          <w:spacing w:val="-1"/>
          <w:sz w:val="24"/>
          <w:szCs w:val="24"/>
        </w:rPr>
        <w:t>not anticipate that respondents would have to incur any additional operational or maintenance costs to comply with the collection of information</w:t>
      </w:r>
      <w:r w:rsidR="00A27B5A">
        <w:rPr>
          <w:spacing w:val="-1"/>
          <w:sz w:val="24"/>
          <w:szCs w:val="24"/>
        </w:rPr>
        <w:t xml:space="preserve"> or the proposed amendment</w:t>
      </w:r>
      <w:r w:rsidRPr="001E7737">
        <w:rPr>
          <w:spacing w:val="-1"/>
          <w:sz w:val="24"/>
          <w:szCs w:val="24"/>
        </w:rPr>
        <w:t xml:space="preserve">.  </w:t>
      </w:r>
    </w:p>
    <w:p w:rsidR="0054282E" w:rsidP="00D80AF4" w:rsidRDefault="005350D3">
      <w:pPr>
        <w:pStyle w:val="FootnoteText"/>
        <w:rPr>
          <w:b/>
          <w:iCs/>
          <w:sz w:val="24"/>
          <w:szCs w:val="24"/>
        </w:rPr>
      </w:pPr>
      <w:r w:rsidRPr="00166C8F">
        <w:rPr>
          <w:b/>
          <w:iCs/>
          <w:sz w:val="24"/>
          <w:szCs w:val="24"/>
        </w:rPr>
        <w:tab/>
      </w:r>
    </w:p>
    <w:p w:rsidRPr="00166C8F" w:rsidR="003E276C" w:rsidP="0054282E" w:rsidRDefault="003E276C">
      <w:pPr>
        <w:pStyle w:val="FootnoteText"/>
        <w:ind w:firstLine="720"/>
        <w:rPr>
          <w:b/>
          <w:sz w:val="24"/>
          <w:szCs w:val="24"/>
        </w:rPr>
      </w:pPr>
      <w:r w:rsidRPr="00166C8F">
        <w:rPr>
          <w:b/>
          <w:sz w:val="24"/>
          <w:szCs w:val="24"/>
        </w:rPr>
        <w:t>14.</w:t>
      </w:r>
      <w:r w:rsidRPr="00166C8F">
        <w:rPr>
          <w:b/>
          <w:sz w:val="24"/>
          <w:szCs w:val="24"/>
        </w:rPr>
        <w:tab/>
      </w:r>
      <w:r w:rsidRPr="00363A59">
        <w:rPr>
          <w:rStyle w:val="Heading1Char"/>
        </w:rPr>
        <w:t>Federal Government</w:t>
      </w:r>
      <w:r w:rsidRPr="00363A59" w:rsidR="00363A59">
        <w:rPr>
          <w:rStyle w:val="Heading1Char"/>
        </w:rPr>
        <w:t xml:space="preserve"> Cost</w:t>
      </w:r>
    </w:p>
    <w:p w:rsidRPr="004646E4" w:rsidR="004646E4" w:rsidP="004646E4" w:rsidRDefault="003E276C">
      <w:pPr>
        <w:rPr>
          <w:spacing w:val="-3"/>
          <w:sz w:val="24"/>
          <w:szCs w:val="24"/>
        </w:rPr>
      </w:pPr>
      <w:r w:rsidRPr="004646E4">
        <w:rPr>
          <w:spacing w:val="-3"/>
          <w:sz w:val="24"/>
          <w:szCs w:val="24"/>
        </w:rPr>
        <w:tab/>
      </w:r>
    </w:p>
    <w:p w:rsidRPr="004646E4" w:rsidR="004646E4" w:rsidP="004646E4" w:rsidRDefault="004646E4">
      <w:pPr>
        <w:ind w:firstLine="720"/>
        <w:rPr>
          <w:spacing w:val="-3"/>
          <w:sz w:val="24"/>
          <w:szCs w:val="24"/>
        </w:rPr>
      </w:pPr>
      <w:r w:rsidRPr="004646E4">
        <w:rPr>
          <w:spacing w:val="-3"/>
          <w:sz w:val="24"/>
          <w:szCs w:val="24"/>
        </w:rPr>
        <w:t>The Commission does not anticipate any costs to the Federal Government associated with the information collections related to the Rule</w:t>
      </w:r>
      <w:r w:rsidR="00A27B5A">
        <w:rPr>
          <w:spacing w:val="-3"/>
          <w:sz w:val="24"/>
          <w:szCs w:val="24"/>
        </w:rPr>
        <w:t xml:space="preserve"> or the proposed amendment</w:t>
      </w:r>
      <w:r w:rsidRPr="004646E4">
        <w:rPr>
          <w:spacing w:val="-3"/>
          <w:sz w:val="24"/>
          <w:szCs w:val="24"/>
        </w:rPr>
        <w:t>.</w:t>
      </w:r>
    </w:p>
    <w:p w:rsidRPr="00B43D42" w:rsidR="003E276C" w:rsidP="005350D3" w:rsidRDefault="003E276C">
      <w:pPr>
        <w:tabs>
          <w:tab w:val="left" w:pos="-720"/>
        </w:tabs>
        <w:suppressAutoHyphens/>
        <w:rPr>
          <w:sz w:val="24"/>
          <w:szCs w:val="24"/>
        </w:rPr>
      </w:pPr>
    </w:p>
    <w:p w:rsidRPr="00363A59" w:rsidR="003E276C" w:rsidP="005350D3" w:rsidRDefault="003E276C">
      <w:pPr>
        <w:keepNext/>
        <w:tabs>
          <w:tab w:val="left" w:pos="-720"/>
          <w:tab w:val="left" w:pos="0"/>
          <w:tab w:val="left" w:pos="720"/>
        </w:tabs>
        <w:suppressAutoHyphens/>
        <w:ind w:left="1440" w:hanging="1440"/>
        <w:rPr>
          <w:rStyle w:val="Heading1Char"/>
        </w:rPr>
      </w:pPr>
      <w:r w:rsidRPr="00166C8F">
        <w:rPr>
          <w:b/>
          <w:sz w:val="24"/>
          <w:szCs w:val="24"/>
        </w:rPr>
        <w:tab/>
        <w:t>15.</w:t>
      </w:r>
      <w:r w:rsidRPr="00166C8F">
        <w:rPr>
          <w:b/>
          <w:sz w:val="24"/>
          <w:szCs w:val="24"/>
        </w:rPr>
        <w:tab/>
      </w:r>
      <w:r w:rsidRPr="00363A59" w:rsidR="00166C8F">
        <w:rPr>
          <w:rStyle w:val="Heading1Char"/>
        </w:rPr>
        <w:t>Changes in Burden</w:t>
      </w:r>
    </w:p>
    <w:p w:rsidRPr="00B43D42" w:rsidR="003E276C" w:rsidP="005350D3" w:rsidRDefault="003E276C">
      <w:pPr>
        <w:keepNext/>
        <w:tabs>
          <w:tab w:val="left" w:pos="-720"/>
        </w:tabs>
        <w:suppressAutoHyphens/>
        <w:rPr>
          <w:sz w:val="24"/>
          <w:szCs w:val="24"/>
        </w:rPr>
      </w:pPr>
    </w:p>
    <w:p w:rsidR="00683372" w:rsidP="005350D3" w:rsidRDefault="00F448E8">
      <w:pPr>
        <w:tabs>
          <w:tab w:val="left" w:pos="-720"/>
        </w:tabs>
        <w:suppressAutoHyphens/>
        <w:rPr>
          <w:sz w:val="24"/>
          <w:szCs w:val="24"/>
        </w:rPr>
      </w:pPr>
      <w:r>
        <w:rPr>
          <w:sz w:val="24"/>
          <w:szCs w:val="24"/>
        </w:rPr>
        <w:tab/>
      </w:r>
      <w:r w:rsidR="00B425D9">
        <w:rPr>
          <w:sz w:val="24"/>
          <w:szCs w:val="24"/>
        </w:rPr>
        <w:t xml:space="preserve">The changes in burden for Rule 17g-5 </w:t>
      </w:r>
      <w:r w:rsidR="006C17A4">
        <w:rPr>
          <w:sz w:val="24"/>
          <w:szCs w:val="24"/>
        </w:rPr>
        <w:t xml:space="preserve">are </w:t>
      </w:r>
      <w:r w:rsidR="00B425D9">
        <w:rPr>
          <w:sz w:val="24"/>
          <w:szCs w:val="24"/>
        </w:rPr>
        <w:t>the result</w:t>
      </w:r>
      <w:r w:rsidR="006C17A4">
        <w:rPr>
          <w:sz w:val="24"/>
          <w:szCs w:val="24"/>
        </w:rPr>
        <w:t xml:space="preserve"> </w:t>
      </w:r>
      <w:r w:rsidR="009E5A7B">
        <w:rPr>
          <w:sz w:val="24"/>
          <w:szCs w:val="24"/>
        </w:rPr>
        <w:t xml:space="preserve">of </w:t>
      </w:r>
      <w:r w:rsidR="006C17A4">
        <w:rPr>
          <w:sz w:val="24"/>
          <w:szCs w:val="24"/>
        </w:rPr>
        <w:t>a</w:t>
      </w:r>
      <w:r w:rsidR="00960956">
        <w:rPr>
          <w:sz w:val="24"/>
          <w:szCs w:val="24"/>
        </w:rPr>
        <w:t xml:space="preserve"> decrease in the number of registered NRSROs from ten to 9, and an increase in the average Exchange Act ABS offerings a year from 715 offerings to 990.</w:t>
      </w:r>
      <w:r w:rsidR="006C17A4">
        <w:rPr>
          <w:sz w:val="24"/>
          <w:szCs w:val="24"/>
        </w:rPr>
        <w:t xml:space="preserve"> </w:t>
      </w:r>
    </w:p>
    <w:p w:rsidRPr="00B43D42" w:rsidR="003E276C" w:rsidP="005350D3" w:rsidRDefault="003E276C">
      <w:pPr>
        <w:tabs>
          <w:tab w:val="left" w:pos="-720"/>
        </w:tabs>
        <w:suppressAutoHyphens/>
        <w:rPr>
          <w:sz w:val="24"/>
          <w:szCs w:val="24"/>
        </w:rPr>
      </w:pPr>
    </w:p>
    <w:p w:rsidRPr="00166C8F" w:rsidR="003E276C" w:rsidP="005350D3" w:rsidRDefault="003E276C">
      <w:pPr>
        <w:keepNext/>
        <w:tabs>
          <w:tab w:val="left" w:pos="-720"/>
          <w:tab w:val="left" w:pos="0"/>
          <w:tab w:val="left" w:pos="720"/>
        </w:tabs>
        <w:suppressAutoHyphens/>
        <w:ind w:left="1440" w:hanging="1440"/>
        <w:rPr>
          <w:b/>
          <w:sz w:val="24"/>
          <w:szCs w:val="24"/>
        </w:rPr>
      </w:pPr>
      <w:r w:rsidRPr="00166C8F">
        <w:rPr>
          <w:b/>
          <w:sz w:val="24"/>
          <w:szCs w:val="24"/>
        </w:rPr>
        <w:tab/>
        <w:t>16.</w:t>
      </w:r>
      <w:r w:rsidRPr="00166C8F">
        <w:rPr>
          <w:b/>
          <w:sz w:val="24"/>
          <w:szCs w:val="24"/>
        </w:rPr>
        <w:tab/>
      </w:r>
      <w:r w:rsidRPr="00363A59">
        <w:rPr>
          <w:rStyle w:val="Heading1Char"/>
        </w:rPr>
        <w:t>Information Collection Planned for Statistical Purposes</w:t>
      </w:r>
    </w:p>
    <w:p w:rsidRPr="00B43D42" w:rsidR="003E276C" w:rsidP="005350D3" w:rsidRDefault="003E276C">
      <w:pPr>
        <w:keepNext/>
        <w:tabs>
          <w:tab w:val="left" w:pos="-720"/>
        </w:tabs>
        <w:suppressAutoHyphens/>
        <w:rPr>
          <w:sz w:val="24"/>
          <w:szCs w:val="24"/>
        </w:rPr>
      </w:pPr>
    </w:p>
    <w:p w:rsidRPr="00B43D42" w:rsidR="003E276C" w:rsidP="005350D3" w:rsidRDefault="003E276C">
      <w:pPr>
        <w:tabs>
          <w:tab w:val="left" w:pos="-720"/>
        </w:tabs>
        <w:suppressAutoHyphens/>
        <w:rPr>
          <w:sz w:val="24"/>
          <w:szCs w:val="24"/>
        </w:rPr>
      </w:pPr>
      <w:r w:rsidRPr="00B43D42">
        <w:rPr>
          <w:sz w:val="24"/>
          <w:szCs w:val="24"/>
        </w:rPr>
        <w:tab/>
        <w:t xml:space="preserve">Not applicable.  </w:t>
      </w:r>
      <w:r w:rsidR="00CE1834">
        <w:rPr>
          <w:sz w:val="24"/>
          <w:szCs w:val="24"/>
        </w:rPr>
        <w:t xml:space="preserve">The information collection is not used for statistical purposes. </w:t>
      </w:r>
    </w:p>
    <w:p w:rsidRPr="00B43D42" w:rsidR="003E276C" w:rsidP="005350D3" w:rsidRDefault="003E276C">
      <w:pPr>
        <w:tabs>
          <w:tab w:val="left" w:pos="-720"/>
          <w:tab w:val="left" w:pos="0"/>
          <w:tab w:val="left" w:pos="720"/>
        </w:tabs>
        <w:suppressAutoHyphens/>
        <w:ind w:left="1440" w:hanging="1440"/>
        <w:rPr>
          <w:sz w:val="24"/>
          <w:szCs w:val="24"/>
        </w:rPr>
      </w:pPr>
    </w:p>
    <w:p w:rsidRPr="00166C8F" w:rsidR="003E276C" w:rsidP="005350D3" w:rsidRDefault="003E276C">
      <w:pPr>
        <w:keepNext/>
        <w:tabs>
          <w:tab w:val="left" w:pos="-720"/>
          <w:tab w:val="left" w:pos="0"/>
          <w:tab w:val="left" w:pos="720"/>
        </w:tabs>
        <w:suppressAutoHyphens/>
        <w:ind w:left="1440" w:hanging="1440"/>
        <w:rPr>
          <w:b/>
          <w:sz w:val="24"/>
          <w:szCs w:val="24"/>
        </w:rPr>
      </w:pPr>
      <w:r w:rsidRPr="00166C8F">
        <w:rPr>
          <w:b/>
          <w:sz w:val="24"/>
          <w:szCs w:val="24"/>
        </w:rPr>
        <w:tab/>
        <w:t>17.</w:t>
      </w:r>
      <w:r w:rsidRPr="00166C8F">
        <w:rPr>
          <w:b/>
          <w:sz w:val="24"/>
          <w:szCs w:val="24"/>
        </w:rPr>
        <w:tab/>
      </w:r>
      <w:r w:rsidRPr="00363A59" w:rsidR="00237268">
        <w:rPr>
          <w:rStyle w:val="Heading1Char"/>
        </w:rPr>
        <w:t>Approval to Omit OMB Expiration</w:t>
      </w:r>
      <w:r w:rsidRPr="00363A59" w:rsidR="00166C8F">
        <w:rPr>
          <w:rStyle w:val="Heading1Char"/>
        </w:rPr>
        <w:t xml:space="preserve"> Date</w:t>
      </w:r>
    </w:p>
    <w:p w:rsidRPr="00B43D42" w:rsidR="003E276C" w:rsidP="005350D3" w:rsidRDefault="003E276C">
      <w:pPr>
        <w:keepNext/>
        <w:tabs>
          <w:tab w:val="left" w:pos="-720"/>
        </w:tabs>
        <w:suppressAutoHyphens/>
        <w:rPr>
          <w:sz w:val="24"/>
          <w:szCs w:val="24"/>
        </w:rPr>
      </w:pPr>
    </w:p>
    <w:p w:rsidR="00237268" w:rsidP="005350D3" w:rsidRDefault="003E276C">
      <w:pPr>
        <w:tabs>
          <w:tab w:val="left" w:pos="-720"/>
        </w:tabs>
        <w:suppressAutoHyphens/>
        <w:rPr>
          <w:sz w:val="24"/>
          <w:szCs w:val="24"/>
        </w:rPr>
      </w:pPr>
      <w:r w:rsidRPr="00B43D42">
        <w:rPr>
          <w:sz w:val="24"/>
          <w:szCs w:val="24"/>
        </w:rPr>
        <w:tab/>
      </w:r>
      <w:r w:rsidR="00363A59">
        <w:rPr>
          <w:sz w:val="24"/>
          <w:szCs w:val="24"/>
        </w:rPr>
        <w:t>The Commission is not seeking approval to omit the expiration date.</w:t>
      </w:r>
    </w:p>
    <w:p w:rsidRPr="00B43D42" w:rsidR="00363A59" w:rsidP="005350D3" w:rsidRDefault="00363A59">
      <w:pPr>
        <w:tabs>
          <w:tab w:val="left" w:pos="-720"/>
        </w:tabs>
        <w:suppressAutoHyphens/>
        <w:rPr>
          <w:sz w:val="24"/>
          <w:szCs w:val="24"/>
        </w:rPr>
      </w:pPr>
    </w:p>
    <w:p w:rsidRPr="00166C8F" w:rsidR="003E276C" w:rsidP="005350D3" w:rsidRDefault="003E276C">
      <w:pPr>
        <w:keepNext/>
        <w:tabs>
          <w:tab w:val="left" w:pos="-720"/>
          <w:tab w:val="left" w:pos="0"/>
          <w:tab w:val="left" w:pos="720"/>
        </w:tabs>
        <w:suppressAutoHyphens/>
        <w:ind w:left="1440" w:hanging="1440"/>
        <w:rPr>
          <w:b/>
          <w:sz w:val="24"/>
          <w:szCs w:val="24"/>
        </w:rPr>
      </w:pPr>
      <w:r w:rsidRPr="00B43D42">
        <w:rPr>
          <w:sz w:val="24"/>
          <w:szCs w:val="24"/>
        </w:rPr>
        <w:tab/>
      </w:r>
      <w:r w:rsidRPr="00166C8F">
        <w:rPr>
          <w:b/>
          <w:sz w:val="24"/>
          <w:szCs w:val="24"/>
        </w:rPr>
        <w:t>18.</w:t>
      </w:r>
      <w:r w:rsidRPr="00166C8F">
        <w:rPr>
          <w:b/>
          <w:sz w:val="24"/>
          <w:szCs w:val="24"/>
        </w:rPr>
        <w:tab/>
      </w:r>
      <w:r w:rsidRPr="00363A59">
        <w:rPr>
          <w:rStyle w:val="Heading1Char"/>
        </w:rPr>
        <w:t>Exceptions to Certification</w:t>
      </w:r>
    </w:p>
    <w:p w:rsidRPr="00B43D42" w:rsidR="003E276C" w:rsidP="005350D3" w:rsidRDefault="003E276C">
      <w:pPr>
        <w:keepNext/>
        <w:tabs>
          <w:tab w:val="left" w:pos="-720"/>
        </w:tabs>
        <w:suppressAutoHyphens/>
        <w:rPr>
          <w:sz w:val="24"/>
          <w:szCs w:val="24"/>
        </w:rPr>
      </w:pPr>
    </w:p>
    <w:p w:rsidRPr="00B43D42" w:rsidR="003E276C" w:rsidP="005350D3" w:rsidRDefault="003E276C">
      <w:pPr>
        <w:tabs>
          <w:tab w:val="left" w:pos="-720"/>
        </w:tabs>
        <w:suppressAutoHyphens/>
        <w:rPr>
          <w:sz w:val="24"/>
          <w:szCs w:val="24"/>
        </w:rPr>
      </w:pPr>
      <w:r w:rsidRPr="00B43D42">
        <w:rPr>
          <w:sz w:val="24"/>
          <w:szCs w:val="24"/>
        </w:rPr>
        <w:tab/>
      </w:r>
      <w:r w:rsidR="00CE1834">
        <w:rPr>
          <w:sz w:val="24"/>
          <w:szCs w:val="24"/>
        </w:rPr>
        <w:t>This collection complies with the requirements in 5 CFR 1320.9.</w:t>
      </w:r>
    </w:p>
    <w:p w:rsidRPr="00B43D42" w:rsidR="003E276C" w:rsidP="005350D3" w:rsidRDefault="003E276C">
      <w:pPr>
        <w:tabs>
          <w:tab w:val="left" w:pos="-720"/>
        </w:tabs>
        <w:suppressAutoHyphens/>
        <w:rPr>
          <w:sz w:val="24"/>
          <w:szCs w:val="24"/>
        </w:rPr>
      </w:pPr>
    </w:p>
    <w:p w:rsidRPr="00166C8F" w:rsidR="003E276C" w:rsidP="005350D3" w:rsidRDefault="003E276C">
      <w:pPr>
        <w:keepNext/>
        <w:tabs>
          <w:tab w:val="left" w:pos="-720"/>
          <w:tab w:val="left" w:pos="0"/>
        </w:tabs>
        <w:suppressAutoHyphens/>
        <w:ind w:left="720" w:hanging="720"/>
        <w:rPr>
          <w:b/>
          <w:sz w:val="24"/>
          <w:szCs w:val="24"/>
        </w:rPr>
      </w:pPr>
      <w:r w:rsidRPr="00166C8F">
        <w:rPr>
          <w:b/>
          <w:sz w:val="24"/>
          <w:szCs w:val="24"/>
        </w:rPr>
        <w:t>B.</w:t>
      </w:r>
      <w:r w:rsidRPr="00166C8F">
        <w:rPr>
          <w:b/>
          <w:sz w:val="24"/>
          <w:szCs w:val="24"/>
        </w:rPr>
        <w:tab/>
      </w:r>
      <w:r w:rsidRPr="00166C8F" w:rsidR="00166C8F">
        <w:rPr>
          <w:b/>
          <w:sz w:val="24"/>
          <w:szCs w:val="24"/>
        </w:rPr>
        <w:t>COLLECTIONS OF INFORMATION EMPLOYING STATISTICAL METHODS</w:t>
      </w:r>
    </w:p>
    <w:p w:rsidRPr="00B43D42" w:rsidR="003E276C" w:rsidP="005350D3" w:rsidRDefault="003E276C">
      <w:pPr>
        <w:keepNext/>
        <w:tabs>
          <w:tab w:val="left" w:pos="-720"/>
        </w:tabs>
        <w:suppressAutoHyphens/>
        <w:rPr>
          <w:sz w:val="24"/>
          <w:szCs w:val="24"/>
        </w:rPr>
      </w:pPr>
    </w:p>
    <w:p w:rsidRPr="00B43D42" w:rsidR="003E276C" w:rsidP="005350D3" w:rsidRDefault="003E276C">
      <w:pPr>
        <w:tabs>
          <w:tab w:val="left" w:pos="-720"/>
        </w:tabs>
        <w:suppressAutoHyphens/>
        <w:rPr>
          <w:sz w:val="24"/>
          <w:szCs w:val="24"/>
        </w:rPr>
      </w:pPr>
      <w:r w:rsidRPr="00B43D42">
        <w:rPr>
          <w:sz w:val="24"/>
          <w:szCs w:val="24"/>
        </w:rPr>
        <w:tab/>
      </w:r>
      <w:r w:rsidR="00166C8F">
        <w:rPr>
          <w:sz w:val="24"/>
          <w:szCs w:val="24"/>
        </w:rPr>
        <w:t>This collection does not employ statistical methods</w:t>
      </w:r>
      <w:r w:rsidRPr="00B43D42">
        <w:rPr>
          <w:sz w:val="24"/>
          <w:szCs w:val="24"/>
        </w:rPr>
        <w:t>.</w:t>
      </w:r>
    </w:p>
    <w:p w:rsidRPr="00B43D42" w:rsidR="003E276C" w:rsidP="005350D3" w:rsidRDefault="003E276C">
      <w:pPr>
        <w:rPr>
          <w:sz w:val="24"/>
          <w:szCs w:val="24"/>
        </w:rPr>
      </w:pPr>
    </w:p>
    <w:sectPr w:rsidRPr="00B43D42" w:rsidR="003E276C" w:rsidSect="007C0E68">
      <w:head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0A7" w:rsidRDefault="006620A7">
      <w:r>
        <w:separator/>
      </w:r>
    </w:p>
  </w:endnote>
  <w:endnote w:type="continuationSeparator" w:id="0">
    <w:p w:rsidR="006620A7" w:rsidRDefault="006620A7">
      <w:r>
        <w:continuationSeparator/>
      </w:r>
    </w:p>
  </w:endnote>
  <w:endnote w:type="continuationNotice" w:id="1">
    <w:p w:rsidR="006620A7" w:rsidRDefault="006620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0A7" w:rsidRDefault="006620A7">
      <w:r>
        <w:separator/>
      </w:r>
    </w:p>
  </w:footnote>
  <w:footnote w:type="continuationSeparator" w:id="0">
    <w:p w:rsidR="006620A7" w:rsidRDefault="006620A7">
      <w:r>
        <w:continuationSeparator/>
      </w:r>
    </w:p>
  </w:footnote>
  <w:footnote w:type="continuationNotice" w:id="1">
    <w:p w:rsidR="006620A7" w:rsidRDefault="006620A7"/>
  </w:footnote>
  <w:footnote w:id="2">
    <w:p w:rsidR="00F528AC" w:rsidRPr="006F25CE" w:rsidRDefault="00F528AC" w:rsidP="00AB4E4B">
      <w:pPr>
        <w:pStyle w:val="FootnoteText"/>
        <w:rPr>
          <w:sz w:val="24"/>
          <w:szCs w:val="24"/>
        </w:rPr>
      </w:pPr>
      <w:r w:rsidRPr="006F25CE">
        <w:rPr>
          <w:rStyle w:val="FootnoteReference"/>
          <w:sz w:val="24"/>
          <w:szCs w:val="24"/>
        </w:rPr>
        <w:footnoteRef/>
      </w:r>
      <w:r w:rsidRPr="006F25CE">
        <w:rPr>
          <w:sz w:val="24"/>
          <w:szCs w:val="24"/>
        </w:rPr>
        <w:t xml:space="preserve"> </w:t>
      </w:r>
      <w:r w:rsidRPr="006F25CE">
        <w:rPr>
          <w:sz w:val="24"/>
          <w:szCs w:val="24"/>
        </w:rPr>
        <w:tab/>
        <w:t>Pub. L. No. 109-291.</w:t>
      </w:r>
    </w:p>
  </w:footnote>
  <w:footnote w:id="3">
    <w:p w:rsidR="005B2E2B" w:rsidRPr="006F25CE" w:rsidRDefault="005B2E2B" w:rsidP="005B2E2B">
      <w:pPr>
        <w:pStyle w:val="FootnoteText"/>
        <w:rPr>
          <w:sz w:val="24"/>
          <w:szCs w:val="24"/>
        </w:rPr>
      </w:pPr>
      <w:r w:rsidRPr="006F25CE">
        <w:rPr>
          <w:rStyle w:val="FootnoteReference"/>
          <w:sz w:val="24"/>
          <w:szCs w:val="24"/>
        </w:rPr>
        <w:footnoteRef/>
      </w:r>
      <w:r w:rsidRPr="006F25CE">
        <w:rPr>
          <w:sz w:val="24"/>
          <w:szCs w:val="24"/>
        </w:rPr>
        <w:t xml:space="preserve"> </w:t>
      </w:r>
      <w:r w:rsidRPr="006F25CE">
        <w:rPr>
          <w:sz w:val="24"/>
          <w:szCs w:val="24"/>
        </w:rPr>
        <w:tab/>
        <w:t>15 U.S.C. 78o-7.</w:t>
      </w:r>
    </w:p>
  </w:footnote>
  <w:footnote w:id="4">
    <w:p w:rsidR="001C4913" w:rsidRPr="006F25CE" w:rsidRDefault="001C4913" w:rsidP="001C4913">
      <w:pPr>
        <w:pStyle w:val="FootnoteText"/>
        <w:rPr>
          <w:sz w:val="24"/>
          <w:szCs w:val="24"/>
        </w:rPr>
      </w:pPr>
      <w:r w:rsidRPr="006F25CE">
        <w:rPr>
          <w:rStyle w:val="FootnoteReference"/>
          <w:sz w:val="24"/>
          <w:szCs w:val="24"/>
        </w:rPr>
        <w:footnoteRef/>
      </w:r>
      <w:r w:rsidRPr="006F25CE">
        <w:rPr>
          <w:sz w:val="24"/>
          <w:szCs w:val="24"/>
        </w:rPr>
        <w:t xml:space="preserve"> </w:t>
      </w:r>
      <w:r w:rsidRPr="006F25CE">
        <w:rPr>
          <w:sz w:val="24"/>
          <w:szCs w:val="24"/>
        </w:rPr>
        <w:tab/>
        <w:t>15 U.S.C. 78o-7(h</w:t>
      </w:r>
      <w:proofErr w:type="gramStart"/>
      <w:r w:rsidRPr="006F25CE">
        <w:rPr>
          <w:sz w:val="24"/>
          <w:szCs w:val="24"/>
        </w:rPr>
        <w:t>)(</w:t>
      </w:r>
      <w:proofErr w:type="gramEnd"/>
      <w:r w:rsidRPr="006F25CE">
        <w:rPr>
          <w:sz w:val="24"/>
          <w:szCs w:val="24"/>
        </w:rPr>
        <w:t>1).</w:t>
      </w:r>
    </w:p>
  </w:footnote>
  <w:footnote w:id="5">
    <w:p w:rsidR="005B2E2B" w:rsidRPr="006F25CE" w:rsidRDefault="005B2E2B" w:rsidP="005B2E2B">
      <w:pPr>
        <w:pStyle w:val="FootnoteText"/>
        <w:rPr>
          <w:sz w:val="24"/>
          <w:szCs w:val="24"/>
        </w:rPr>
      </w:pPr>
      <w:r w:rsidRPr="006F25CE">
        <w:rPr>
          <w:rStyle w:val="FootnoteReference"/>
          <w:sz w:val="24"/>
          <w:szCs w:val="24"/>
        </w:rPr>
        <w:footnoteRef/>
      </w:r>
      <w:r w:rsidRPr="006F25CE">
        <w:rPr>
          <w:sz w:val="24"/>
          <w:szCs w:val="24"/>
        </w:rPr>
        <w:t xml:space="preserve"> </w:t>
      </w:r>
      <w:r w:rsidRPr="006F25CE">
        <w:rPr>
          <w:sz w:val="24"/>
          <w:szCs w:val="24"/>
        </w:rPr>
        <w:tab/>
        <w:t>15 U.S.C. 78o-7(h</w:t>
      </w:r>
      <w:proofErr w:type="gramStart"/>
      <w:r w:rsidRPr="006F25CE">
        <w:rPr>
          <w:sz w:val="24"/>
          <w:szCs w:val="24"/>
        </w:rPr>
        <w:t>)(</w:t>
      </w:r>
      <w:proofErr w:type="gramEnd"/>
      <w:r w:rsidRPr="006F25CE">
        <w:rPr>
          <w:sz w:val="24"/>
          <w:szCs w:val="24"/>
        </w:rPr>
        <w:t>2).</w:t>
      </w:r>
    </w:p>
  </w:footnote>
  <w:footnote w:id="6">
    <w:p w:rsidR="00DF6D28" w:rsidRPr="006F25CE" w:rsidRDefault="00DF6D28">
      <w:pPr>
        <w:pStyle w:val="FootnoteText"/>
        <w:rPr>
          <w:sz w:val="24"/>
          <w:szCs w:val="24"/>
        </w:rPr>
      </w:pPr>
      <w:r w:rsidRPr="006F25CE">
        <w:rPr>
          <w:rStyle w:val="FootnoteReference"/>
          <w:sz w:val="24"/>
          <w:szCs w:val="24"/>
        </w:rPr>
        <w:footnoteRef/>
      </w:r>
      <w:r w:rsidRPr="006F25CE">
        <w:rPr>
          <w:sz w:val="24"/>
          <w:szCs w:val="24"/>
        </w:rPr>
        <w:t xml:space="preserve"> </w:t>
      </w:r>
      <w:r w:rsidRPr="006F25CE">
        <w:rPr>
          <w:sz w:val="24"/>
          <w:szCs w:val="24"/>
        </w:rPr>
        <w:tab/>
        <w:t>17 CFR 240.17g-5.</w:t>
      </w:r>
      <w:r w:rsidR="00952B52" w:rsidRPr="006F25CE">
        <w:rPr>
          <w:iCs/>
          <w:color w:val="000000"/>
          <w:sz w:val="24"/>
          <w:szCs w:val="24"/>
        </w:rPr>
        <w:t xml:space="preserve"> The OMB Control Number for Rule 17g-5 is 3235-0649.</w:t>
      </w:r>
    </w:p>
  </w:footnote>
  <w:footnote w:id="7">
    <w:p w:rsidR="00DF6D28" w:rsidRPr="006F25CE" w:rsidRDefault="00DF6D28" w:rsidP="00DF6D28">
      <w:pPr>
        <w:pStyle w:val="FootnoteText"/>
        <w:ind w:left="720" w:hanging="720"/>
        <w:rPr>
          <w:sz w:val="24"/>
          <w:szCs w:val="24"/>
        </w:rPr>
      </w:pPr>
      <w:r w:rsidRPr="006F25CE">
        <w:rPr>
          <w:rStyle w:val="FootnoteReference"/>
          <w:sz w:val="24"/>
          <w:szCs w:val="24"/>
        </w:rPr>
        <w:footnoteRef/>
      </w:r>
      <w:r w:rsidRPr="006F25CE">
        <w:rPr>
          <w:sz w:val="24"/>
          <w:szCs w:val="24"/>
        </w:rPr>
        <w:t xml:space="preserve"> </w:t>
      </w:r>
      <w:r w:rsidRPr="006F25CE">
        <w:rPr>
          <w:sz w:val="24"/>
          <w:szCs w:val="24"/>
        </w:rPr>
        <w:tab/>
      </w:r>
      <w:r w:rsidRPr="006F25CE">
        <w:rPr>
          <w:sz w:val="24"/>
          <w:szCs w:val="24"/>
          <w:u w:val="single"/>
        </w:rPr>
        <w:t>See</w:t>
      </w:r>
      <w:r w:rsidRPr="006F25CE">
        <w:rPr>
          <w:sz w:val="24"/>
          <w:szCs w:val="24"/>
        </w:rPr>
        <w:t xml:space="preserve"> </w:t>
      </w:r>
      <w:r w:rsidRPr="006F25CE">
        <w:rPr>
          <w:sz w:val="24"/>
          <w:szCs w:val="24"/>
          <w:u w:val="single"/>
        </w:rPr>
        <w:t>Oversight of Credit Rating Agencies Registered as Nationally Recognized Statistical Rating Organizations</w:t>
      </w:r>
      <w:r w:rsidRPr="006F25CE">
        <w:rPr>
          <w:sz w:val="24"/>
          <w:szCs w:val="24"/>
        </w:rPr>
        <w:t xml:space="preserve">, </w:t>
      </w:r>
      <w:r w:rsidR="00460FA9" w:rsidRPr="006F25CE">
        <w:rPr>
          <w:sz w:val="24"/>
          <w:szCs w:val="24"/>
        </w:rPr>
        <w:t xml:space="preserve">Exchange Act Release No. 55857 (June 5, 2007), </w:t>
      </w:r>
      <w:r w:rsidRPr="006F25CE">
        <w:rPr>
          <w:sz w:val="24"/>
          <w:szCs w:val="24"/>
        </w:rPr>
        <w:t xml:space="preserve">72 FR </w:t>
      </w:r>
      <w:r w:rsidR="00460FA9" w:rsidRPr="006F25CE">
        <w:rPr>
          <w:sz w:val="24"/>
          <w:szCs w:val="24"/>
        </w:rPr>
        <w:t xml:space="preserve">33564, </w:t>
      </w:r>
      <w:r w:rsidRPr="006F25CE">
        <w:rPr>
          <w:sz w:val="24"/>
          <w:szCs w:val="24"/>
        </w:rPr>
        <w:t xml:space="preserve">33595-33599 (June 18, 2007); </w:t>
      </w:r>
      <w:r w:rsidRPr="006F25CE">
        <w:rPr>
          <w:sz w:val="24"/>
          <w:szCs w:val="24"/>
          <w:u w:val="single"/>
        </w:rPr>
        <w:t>Amendments to Rules for Nationally Recognized Statistical Rating Organizations</w:t>
      </w:r>
      <w:r w:rsidRPr="006F25CE">
        <w:rPr>
          <w:sz w:val="24"/>
          <w:szCs w:val="24"/>
        </w:rPr>
        <w:t xml:space="preserve">, </w:t>
      </w:r>
      <w:r w:rsidR="00B2089E" w:rsidRPr="006F25CE">
        <w:rPr>
          <w:sz w:val="24"/>
          <w:szCs w:val="24"/>
        </w:rPr>
        <w:t xml:space="preserve">Exchange Act Release No. 59342 (Feb. 2, 2009) </w:t>
      </w:r>
      <w:r w:rsidRPr="006F25CE">
        <w:rPr>
          <w:sz w:val="24"/>
          <w:szCs w:val="24"/>
        </w:rPr>
        <w:t xml:space="preserve">74 FR </w:t>
      </w:r>
      <w:r w:rsidR="00B2089E" w:rsidRPr="006F25CE">
        <w:rPr>
          <w:sz w:val="24"/>
          <w:szCs w:val="24"/>
        </w:rPr>
        <w:t xml:space="preserve">6456, </w:t>
      </w:r>
      <w:r w:rsidRPr="006F25CE">
        <w:rPr>
          <w:sz w:val="24"/>
          <w:szCs w:val="24"/>
        </w:rPr>
        <w:t xml:space="preserve">6465-6469 (Feb. 9, 2009); </w:t>
      </w:r>
      <w:r w:rsidRPr="006F25CE">
        <w:rPr>
          <w:sz w:val="24"/>
          <w:szCs w:val="24"/>
          <w:u w:val="single"/>
        </w:rPr>
        <w:t>Amendments to Rules for Nationally Recognized Statistical Rating Organizations</w:t>
      </w:r>
      <w:r w:rsidRPr="006F25CE">
        <w:rPr>
          <w:sz w:val="24"/>
          <w:szCs w:val="24"/>
        </w:rPr>
        <w:t xml:space="preserve">, </w:t>
      </w:r>
      <w:r w:rsidR="00D34DF8" w:rsidRPr="006F25CE">
        <w:rPr>
          <w:sz w:val="24"/>
          <w:szCs w:val="24"/>
        </w:rPr>
        <w:t xml:space="preserve">Exchange Act Release No. 61050 (Nov. 23, 2009), </w:t>
      </w:r>
      <w:r w:rsidRPr="006F25CE">
        <w:rPr>
          <w:sz w:val="24"/>
          <w:szCs w:val="24"/>
        </w:rPr>
        <w:t>74 FR</w:t>
      </w:r>
      <w:r w:rsidR="00B2089E" w:rsidRPr="006F25CE">
        <w:rPr>
          <w:sz w:val="24"/>
          <w:szCs w:val="24"/>
        </w:rPr>
        <w:t xml:space="preserve"> 63832,</w:t>
      </w:r>
      <w:r w:rsidRPr="006F25CE">
        <w:rPr>
          <w:sz w:val="24"/>
          <w:szCs w:val="24"/>
        </w:rPr>
        <w:t xml:space="preserve"> 63842-63850 (Dec. 4, 2009). </w:t>
      </w:r>
    </w:p>
  </w:footnote>
  <w:footnote w:id="8">
    <w:p w:rsidR="00AB78FD" w:rsidRPr="006F25CE" w:rsidRDefault="00AB78FD" w:rsidP="00AB78FD">
      <w:pPr>
        <w:pStyle w:val="FootnoteText"/>
        <w:ind w:left="720" w:hanging="720"/>
        <w:rPr>
          <w:sz w:val="24"/>
          <w:szCs w:val="24"/>
        </w:rPr>
      </w:pPr>
      <w:r w:rsidRPr="006F25CE">
        <w:rPr>
          <w:rStyle w:val="FootnoteReference"/>
          <w:sz w:val="24"/>
          <w:szCs w:val="24"/>
        </w:rPr>
        <w:footnoteRef/>
      </w:r>
      <w:r w:rsidRPr="006F25CE">
        <w:rPr>
          <w:sz w:val="24"/>
          <w:szCs w:val="24"/>
        </w:rPr>
        <w:t xml:space="preserve"> </w:t>
      </w:r>
      <w:r w:rsidRPr="006F25CE">
        <w:rPr>
          <w:sz w:val="24"/>
          <w:szCs w:val="24"/>
        </w:rPr>
        <w:tab/>
        <w:t>Pub. L. No. 111-203, 124 Stat. 1376, H.R. 4173 (July 21, 2010).</w:t>
      </w:r>
    </w:p>
  </w:footnote>
  <w:footnote w:id="9">
    <w:p w:rsidR="00AB78FD" w:rsidRPr="006F25CE" w:rsidRDefault="00AB78FD" w:rsidP="00AB78FD">
      <w:pPr>
        <w:pStyle w:val="FootnoteText"/>
        <w:tabs>
          <w:tab w:val="left" w:pos="720"/>
        </w:tabs>
        <w:rPr>
          <w:sz w:val="24"/>
          <w:szCs w:val="24"/>
        </w:rPr>
      </w:pPr>
      <w:r w:rsidRPr="006F25CE">
        <w:rPr>
          <w:rStyle w:val="FootnoteReference"/>
          <w:sz w:val="24"/>
          <w:szCs w:val="24"/>
        </w:rPr>
        <w:footnoteRef/>
      </w:r>
      <w:r w:rsidRPr="006F25CE">
        <w:rPr>
          <w:sz w:val="24"/>
          <w:szCs w:val="24"/>
        </w:rPr>
        <w:t xml:space="preserve"> </w:t>
      </w:r>
      <w:r w:rsidRPr="006F25CE">
        <w:rPr>
          <w:sz w:val="24"/>
          <w:szCs w:val="24"/>
        </w:rPr>
        <w:tab/>
      </w:r>
      <w:r w:rsidRPr="006F25CE">
        <w:rPr>
          <w:sz w:val="24"/>
          <w:szCs w:val="24"/>
          <w:u w:val="single"/>
        </w:rPr>
        <w:t>See</w:t>
      </w:r>
      <w:r w:rsidRPr="006F25CE">
        <w:rPr>
          <w:sz w:val="24"/>
          <w:szCs w:val="24"/>
        </w:rPr>
        <w:t xml:space="preserve"> Pub. L. No. 111-203</w:t>
      </w:r>
      <w:r w:rsidR="007C0E68" w:rsidRPr="006F25CE">
        <w:rPr>
          <w:sz w:val="24"/>
          <w:szCs w:val="24"/>
        </w:rPr>
        <w:t xml:space="preserve">, </w:t>
      </w:r>
      <w:r w:rsidRPr="006F25CE">
        <w:rPr>
          <w:sz w:val="24"/>
          <w:szCs w:val="24"/>
        </w:rPr>
        <w:t xml:space="preserve">939, 939D - 939F.  </w:t>
      </w:r>
    </w:p>
  </w:footnote>
  <w:footnote w:id="10">
    <w:p w:rsidR="00AB78FD" w:rsidRPr="006F25CE" w:rsidRDefault="00AB78FD" w:rsidP="00AB78FD">
      <w:pPr>
        <w:ind w:left="720" w:hanging="720"/>
        <w:rPr>
          <w:sz w:val="24"/>
          <w:szCs w:val="24"/>
        </w:rPr>
      </w:pPr>
      <w:r w:rsidRPr="006F25CE">
        <w:rPr>
          <w:rStyle w:val="FootnoteReference"/>
          <w:sz w:val="24"/>
          <w:szCs w:val="24"/>
        </w:rPr>
        <w:footnoteRef/>
      </w:r>
      <w:r w:rsidRPr="006F25CE">
        <w:rPr>
          <w:sz w:val="24"/>
          <w:szCs w:val="24"/>
        </w:rPr>
        <w:t xml:space="preserve"> </w:t>
      </w:r>
      <w:r w:rsidRPr="006F25CE">
        <w:rPr>
          <w:sz w:val="24"/>
          <w:szCs w:val="24"/>
        </w:rPr>
        <w:tab/>
      </w:r>
      <w:r w:rsidRPr="006F25CE">
        <w:rPr>
          <w:sz w:val="24"/>
          <w:szCs w:val="24"/>
          <w:u w:val="single"/>
        </w:rPr>
        <w:t>See</w:t>
      </w:r>
      <w:r w:rsidRPr="006F25CE">
        <w:rPr>
          <w:sz w:val="24"/>
          <w:szCs w:val="24"/>
        </w:rPr>
        <w:t xml:space="preserve"> Pub. L. No. 111-203</w:t>
      </w:r>
      <w:r w:rsidR="007C0E68" w:rsidRPr="006F25CE">
        <w:rPr>
          <w:sz w:val="24"/>
          <w:szCs w:val="24"/>
        </w:rPr>
        <w:t xml:space="preserve">, </w:t>
      </w:r>
      <w:r w:rsidRPr="006F25CE">
        <w:rPr>
          <w:sz w:val="24"/>
          <w:szCs w:val="24"/>
        </w:rPr>
        <w:t xml:space="preserve">931-939H; </w:t>
      </w:r>
      <w:r w:rsidRPr="006F25CE">
        <w:rPr>
          <w:sz w:val="24"/>
          <w:szCs w:val="24"/>
          <w:u w:val="single"/>
        </w:rPr>
        <w:t>see also</w:t>
      </w:r>
      <w:r w:rsidRPr="006F25CE">
        <w:rPr>
          <w:sz w:val="24"/>
          <w:szCs w:val="24"/>
        </w:rPr>
        <w:t xml:space="preserve"> Pub. L. No. 111-203 § 943. </w:t>
      </w:r>
    </w:p>
  </w:footnote>
  <w:footnote w:id="11">
    <w:p w:rsidR="00DF6D28" w:rsidRPr="006F25CE" w:rsidRDefault="00DF6D28" w:rsidP="00DF6D28">
      <w:pPr>
        <w:pStyle w:val="FootnoteText"/>
        <w:rPr>
          <w:sz w:val="24"/>
          <w:szCs w:val="24"/>
        </w:rPr>
      </w:pPr>
      <w:r w:rsidRPr="006F25CE">
        <w:rPr>
          <w:rStyle w:val="FootnoteReference"/>
          <w:sz w:val="24"/>
          <w:szCs w:val="24"/>
        </w:rPr>
        <w:footnoteRef/>
      </w:r>
      <w:r w:rsidRPr="006F25CE">
        <w:rPr>
          <w:sz w:val="24"/>
          <w:szCs w:val="24"/>
        </w:rPr>
        <w:t xml:space="preserve"> </w:t>
      </w:r>
      <w:r w:rsidRPr="006F25CE">
        <w:rPr>
          <w:sz w:val="24"/>
          <w:szCs w:val="24"/>
        </w:rPr>
        <w:tab/>
      </w:r>
      <w:r w:rsidRPr="006F25CE">
        <w:rPr>
          <w:sz w:val="24"/>
          <w:szCs w:val="24"/>
          <w:u w:val="single"/>
        </w:rPr>
        <w:t>See</w:t>
      </w:r>
      <w:r w:rsidRPr="006F25CE">
        <w:rPr>
          <w:sz w:val="24"/>
          <w:szCs w:val="24"/>
        </w:rPr>
        <w:t xml:space="preserve"> Pub. L. No. 111-203, 932(a</w:t>
      </w:r>
      <w:proofErr w:type="gramStart"/>
      <w:r w:rsidRPr="006F25CE">
        <w:rPr>
          <w:sz w:val="24"/>
          <w:szCs w:val="24"/>
        </w:rPr>
        <w:t>)(</w:t>
      </w:r>
      <w:proofErr w:type="gramEnd"/>
      <w:r w:rsidRPr="006F25CE">
        <w:rPr>
          <w:sz w:val="24"/>
          <w:szCs w:val="24"/>
        </w:rPr>
        <w:t>4); 15 U.S.C. 78o-7(h)(3).</w:t>
      </w:r>
    </w:p>
  </w:footnote>
  <w:footnote w:id="12">
    <w:p w:rsidR="00DF6D28" w:rsidRPr="006F25CE" w:rsidRDefault="00DF6D28" w:rsidP="00DF6D28">
      <w:pPr>
        <w:pStyle w:val="FootnoteText"/>
        <w:rPr>
          <w:sz w:val="24"/>
          <w:szCs w:val="24"/>
        </w:rPr>
      </w:pPr>
      <w:r w:rsidRPr="006F25CE">
        <w:rPr>
          <w:rStyle w:val="FootnoteReference"/>
          <w:sz w:val="24"/>
          <w:szCs w:val="24"/>
        </w:rPr>
        <w:footnoteRef/>
      </w:r>
      <w:r w:rsidRPr="006F25CE">
        <w:rPr>
          <w:sz w:val="24"/>
          <w:szCs w:val="24"/>
        </w:rPr>
        <w:t xml:space="preserve"> </w:t>
      </w:r>
      <w:r w:rsidRPr="006F25CE">
        <w:rPr>
          <w:sz w:val="24"/>
          <w:szCs w:val="24"/>
        </w:rPr>
        <w:tab/>
        <w:t>15 U.S.C. 78o-7(h</w:t>
      </w:r>
      <w:proofErr w:type="gramStart"/>
      <w:r w:rsidRPr="006F25CE">
        <w:rPr>
          <w:sz w:val="24"/>
          <w:szCs w:val="24"/>
        </w:rPr>
        <w:t>)(</w:t>
      </w:r>
      <w:proofErr w:type="gramEnd"/>
      <w:r w:rsidRPr="006F25CE">
        <w:rPr>
          <w:sz w:val="24"/>
          <w:szCs w:val="24"/>
        </w:rPr>
        <w:t>3)(A).</w:t>
      </w:r>
    </w:p>
  </w:footnote>
  <w:footnote w:id="13">
    <w:p w:rsidR="00DF6D28" w:rsidRPr="006F25CE" w:rsidRDefault="00DF6D28" w:rsidP="00DF6D28">
      <w:pPr>
        <w:pStyle w:val="FootnoteText"/>
        <w:rPr>
          <w:sz w:val="24"/>
          <w:szCs w:val="24"/>
        </w:rPr>
      </w:pPr>
      <w:r w:rsidRPr="006F25CE">
        <w:rPr>
          <w:rStyle w:val="FootnoteReference"/>
          <w:sz w:val="24"/>
          <w:szCs w:val="24"/>
        </w:rPr>
        <w:footnoteRef/>
      </w:r>
      <w:r w:rsidRPr="006F25CE">
        <w:rPr>
          <w:sz w:val="24"/>
          <w:szCs w:val="24"/>
        </w:rPr>
        <w:t xml:space="preserve"> </w:t>
      </w:r>
      <w:r w:rsidRPr="006F25CE">
        <w:rPr>
          <w:sz w:val="24"/>
          <w:szCs w:val="24"/>
        </w:rPr>
        <w:tab/>
        <w:t>15 U.S.C. 78o-7(h</w:t>
      </w:r>
      <w:proofErr w:type="gramStart"/>
      <w:r w:rsidRPr="006F25CE">
        <w:rPr>
          <w:sz w:val="24"/>
          <w:szCs w:val="24"/>
        </w:rPr>
        <w:t>)(</w:t>
      </w:r>
      <w:proofErr w:type="gramEnd"/>
      <w:r w:rsidRPr="006F25CE">
        <w:rPr>
          <w:sz w:val="24"/>
          <w:szCs w:val="24"/>
        </w:rPr>
        <w:t>3)(B)(i).</w:t>
      </w:r>
    </w:p>
  </w:footnote>
  <w:footnote w:id="14">
    <w:p w:rsidR="00DF6D28" w:rsidRPr="006F25CE" w:rsidRDefault="00DF6D28" w:rsidP="00DF6D28">
      <w:pPr>
        <w:pStyle w:val="FootnoteText"/>
        <w:rPr>
          <w:sz w:val="24"/>
          <w:szCs w:val="24"/>
        </w:rPr>
      </w:pPr>
      <w:r w:rsidRPr="006F25CE">
        <w:rPr>
          <w:rStyle w:val="FootnoteReference"/>
          <w:sz w:val="24"/>
          <w:szCs w:val="24"/>
        </w:rPr>
        <w:footnoteRef/>
      </w:r>
      <w:r w:rsidRPr="006F25CE">
        <w:rPr>
          <w:sz w:val="24"/>
          <w:szCs w:val="24"/>
        </w:rPr>
        <w:t xml:space="preserve"> </w:t>
      </w:r>
      <w:r w:rsidRPr="006F25CE">
        <w:rPr>
          <w:sz w:val="24"/>
          <w:szCs w:val="24"/>
        </w:rPr>
        <w:tab/>
        <w:t>15 U.S.C. 78o-7(h</w:t>
      </w:r>
      <w:proofErr w:type="gramStart"/>
      <w:r w:rsidRPr="006F25CE">
        <w:rPr>
          <w:sz w:val="24"/>
          <w:szCs w:val="24"/>
        </w:rPr>
        <w:t>)(</w:t>
      </w:r>
      <w:proofErr w:type="gramEnd"/>
      <w:r w:rsidRPr="006F25CE">
        <w:rPr>
          <w:sz w:val="24"/>
          <w:szCs w:val="24"/>
        </w:rPr>
        <w:t>3)(B)(ii).</w:t>
      </w:r>
    </w:p>
  </w:footnote>
  <w:footnote w:id="15">
    <w:p w:rsidR="00710E79" w:rsidRPr="006F25CE" w:rsidRDefault="00710E79" w:rsidP="007A5850">
      <w:pPr>
        <w:pStyle w:val="FootnoteText"/>
        <w:ind w:left="720" w:hanging="720"/>
        <w:rPr>
          <w:sz w:val="24"/>
          <w:szCs w:val="24"/>
        </w:rPr>
      </w:pPr>
      <w:r w:rsidRPr="006F25CE">
        <w:rPr>
          <w:rStyle w:val="FootnoteReference"/>
          <w:sz w:val="24"/>
          <w:szCs w:val="24"/>
        </w:rPr>
        <w:footnoteRef/>
      </w:r>
      <w:r w:rsidRPr="006F25CE">
        <w:rPr>
          <w:sz w:val="24"/>
          <w:szCs w:val="24"/>
        </w:rPr>
        <w:t xml:space="preserve"> </w:t>
      </w:r>
      <w:r w:rsidRPr="006F25CE">
        <w:rPr>
          <w:sz w:val="24"/>
          <w:szCs w:val="24"/>
        </w:rPr>
        <w:tab/>
      </w:r>
      <w:r w:rsidRPr="006F25CE">
        <w:rPr>
          <w:sz w:val="24"/>
          <w:szCs w:val="24"/>
          <w:u w:val="single"/>
        </w:rPr>
        <w:t>See</w:t>
      </w:r>
      <w:r w:rsidRPr="006F25CE">
        <w:rPr>
          <w:sz w:val="24"/>
          <w:szCs w:val="24"/>
        </w:rPr>
        <w:t xml:space="preserve"> </w:t>
      </w:r>
      <w:r w:rsidRPr="006F25CE">
        <w:rPr>
          <w:sz w:val="24"/>
          <w:szCs w:val="24"/>
          <w:u w:val="single"/>
        </w:rPr>
        <w:t>Nationally Recognized Statistical Rating Organizations</w:t>
      </w:r>
      <w:r w:rsidRPr="006F25CE">
        <w:rPr>
          <w:sz w:val="24"/>
          <w:szCs w:val="24"/>
        </w:rPr>
        <w:t>, Exchange Act Release No. 64514 (May 18, 2011), 76 FR 33420 (June 8, 2011)</w:t>
      </w:r>
      <w:r w:rsidR="007A5850" w:rsidRPr="006F25CE">
        <w:rPr>
          <w:sz w:val="24"/>
          <w:szCs w:val="24"/>
        </w:rPr>
        <w:t xml:space="preserve"> (“Proposing Release”)</w:t>
      </w:r>
      <w:r w:rsidRPr="006F25CE">
        <w:rPr>
          <w:sz w:val="24"/>
          <w:szCs w:val="24"/>
        </w:rPr>
        <w:t xml:space="preserve">.  </w:t>
      </w:r>
    </w:p>
  </w:footnote>
  <w:footnote w:id="16">
    <w:p w:rsidR="00F52CD0" w:rsidRPr="006F25CE" w:rsidRDefault="00F52CD0" w:rsidP="00F52CD0">
      <w:pPr>
        <w:pStyle w:val="FootnoteText"/>
        <w:ind w:left="720" w:hanging="720"/>
        <w:rPr>
          <w:sz w:val="24"/>
          <w:szCs w:val="24"/>
        </w:rPr>
      </w:pPr>
      <w:r w:rsidRPr="006F25CE">
        <w:rPr>
          <w:rStyle w:val="FootnoteReference"/>
          <w:sz w:val="24"/>
          <w:szCs w:val="24"/>
        </w:rPr>
        <w:footnoteRef/>
      </w:r>
      <w:r w:rsidRPr="006F25CE">
        <w:rPr>
          <w:sz w:val="24"/>
          <w:szCs w:val="24"/>
        </w:rPr>
        <w:t xml:space="preserve"> </w:t>
      </w:r>
      <w:r w:rsidRPr="006F25CE">
        <w:rPr>
          <w:sz w:val="24"/>
          <w:szCs w:val="24"/>
        </w:rPr>
        <w:tab/>
      </w:r>
      <w:r w:rsidRPr="006F25CE">
        <w:rPr>
          <w:sz w:val="24"/>
          <w:szCs w:val="24"/>
          <w:u w:val="single"/>
        </w:rPr>
        <w:t>See</w:t>
      </w:r>
      <w:r w:rsidRPr="006F25CE">
        <w:rPr>
          <w:sz w:val="24"/>
          <w:szCs w:val="24"/>
        </w:rPr>
        <w:t xml:space="preserve"> </w:t>
      </w:r>
      <w:r w:rsidRPr="006F25CE">
        <w:rPr>
          <w:sz w:val="24"/>
          <w:szCs w:val="24"/>
          <w:u w:val="single"/>
        </w:rPr>
        <w:t>Nationally Recognized Statistical Rating Organizations</w:t>
      </w:r>
      <w:r w:rsidRPr="006F25CE">
        <w:rPr>
          <w:sz w:val="24"/>
          <w:szCs w:val="24"/>
        </w:rPr>
        <w:t>, Exchange Act Release No.</w:t>
      </w:r>
      <w:r w:rsidR="00101DE4" w:rsidRPr="006F25CE">
        <w:rPr>
          <w:sz w:val="24"/>
          <w:szCs w:val="24"/>
        </w:rPr>
        <w:t xml:space="preserve"> </w:t>
      </w:r>
      <w:proofErr w:type="gramStart"/>
      <w:r w:rsidR="00101DE4" w:rsidRPr="006F25CE">
        <w:rPr>
          <w:sz w:val="24"/>
          <w:szCs w:val="24"/>
        </w:rPr>
        <w:t>72936</w:t>
      </w:r>
      <w:r w:rsidRPr="006F25CE">
        <w:rPr>
          <w:sz w:val="24"/>
          <w:szCs w:val="24"/>
        </w:rPr>
        <w:t xml:space="preserve">  (</w:t>
      </w:r>
      <w:proofErr w:type="gramEnd"/>
      <w:r w:rsidRPr="006F25CE">
        <w:rPr>
          <w:sz w:val="24"/>
          <w:szCs w:val="24"/>
        </w:rPr>
        <w:t xml:space="preserve">Aug. 27, 2014),  </w:t>
      </w:r>
      <w:r w:rsidR="008D17C7" w:rsidRPr="006F25CE">
        <w:rPr>
          <w:sz w:val="24"/>
          <w:szCs w:val="24"/>
        </w:rPr>
        <w:t xml:space="preserve">79 </w:t>
      </w:r>
      <w:r w:rsidRPr="006F25CE">
        <w:rPr>
          <w:sz w:val="24"/>
          <w:szCs w:val="24"/>
        </w:rPr>
        <w:t xml:space="preserve">FR </w:t>
      </w:r>
      <w:r w:rsidR="008D17C7" w:rsidRPr="006F25CE">
        <w:rPr>
          <w:sz w:val="24"/>
          <w:szCs w:val="24"/>
        </w:rPr>
        <w:t>55077</w:t>
      </w:r>
      <w:r w:rsidR="007A5850" w:rsidRPr="006F25CE">
        <w:rPr>
          <w:sz w:val="24"/>
          <w:szCs w:val="24"/>
        </w:rPr>
        <w:t xml:space="preserve"> </w:t>
      </w:r>
      <w:r w:rsidR="00101DE4" w:rsidRPr="006F25CE">
        <w:rPr>
          <w:sz w:val="24"/>
          <w:szCs w:val="24"/>
        </w:rPr>
        <w:t xml:space="preserve">(Sep. 15, 2014) </w:t>
      </w:r>
      <w:r w:rsidR="007A5850" w:rsidRPr="006F25CE">
        <w:rPr>
          <w:sz w:val="24"/>
          <w:szCs w:val="24"/>
        </w:rPr>
        <w:t>(“Adopting Release”)</w:t>
      </w:r>
      <w:r w:rsidR="007E3DB6" w:rsidRPr="006F25CE">
        <w:rPr>
          <w:sz w:val="24"/>
          <w:szCs w:val="24"/>
        </w:rPr>
        <w:t>.</w:t>
      </w:r>
    </w:p>
  </w:footnote>
  <w:footnote w:id="17">
    <w:p w:rsidR="00861FE2" w:rsidRPr="006F25CE" w:rsidRDefault="00861FE2" w:rsidP="00861FE2">
      <w:pPr>
        <w:pStyle w:val="FootnoteText"/>
        <w:spacing w:after="120"/>
        <w:ind w:left="720" w:hanging="720"/>
        <w:rPr>
          <w:sz w:val="24"/>
          <w:szCs w:val="24"/>
        </w:rPr>
      </w:pPr>
      <w:r w:rsidRPr="006F25CE">
        <w:rPr>
          <w:rStyle w:val="FootnoteReference"/>
          <w:sz w:val="24"/>
          <w:szCs w:val="24"/>
        </w:rPr>
        <w:footnoteRef/>
      </w:r>
      <w:r w:rsidRPr="006F25CE">
        <w:rPr>
          <w:sz w:val="24"/>
          <w:szCs w:val="24"/>
        </w:rPr>
        <w:t xml:space="preserve"> </w:t>
      </w:r>
      <w:r w:rsidRPr="006F25CE">
        <w:rPr>
          <w:sz w:val="24"/>
          <w:szCs w:val="24"/>
        </w:rPr>
        <w:tab/>
      </w:r>
      <w:r w:rsidRPr="006F25CE">
        <w:rPr>
          <w:rStyle w:val="FootnoteReference"/>
          <w:sz w:val="24"/>
          <w:szCs w:val="24"/>
          <w:u w:val="single"/>
          <w:vertAlign w:val="baseline"/>
        </w:rPr>
        <w:t>See</w:t>
      </w:r>
      <w:r w:rsidRPr="006F25CE">
        <w:rPr>
          <w:rStyle w:val="FootnoteReference"/>
          <w:sz w:val="24"/>
          <w:szCs w:val="24"/>
          <w:vertAlign w:val="baseline"/>
        </w:rPr>
        <w:t xml:space="preserve"> </w:t>
      </w:r>
      <w:r w:rsidRPr="006F25CE">
        <w:rPr>
          <w:sz w:val="24"/>
          <w:szCs w:val="24"/>
          <w:u w:val="single"/>
        </w:rPr>
        <w:t>Order Granting Temporary Conditional Exemption for Nationally Recognized Statistical Rating Organizations from Requirements of Rule 17g-5 Under the Securities Exchange Act of 1934 and Request for Comment</w:t>
      </w:r>
      <w:r w:rsidRPr="006F25CE">
        <w:rPr>
          <w:sz w:val="24"/>
          <w:szCs w:val="24"/>
        </w:rPr>
        <w:t xml:space="preserve">, Exchange Act </w:t>
      </w:r>
      <w:r w:rsidRPr="006F25CE">
        <w:rPr>
          <w:rStyle w:val="FootnoteReference"/>
          <w:sz w:val="24"/>
          <w:szCs w:val="24"/>
          <w:vertAlign w:val="baseline"/>
        </w:rPr>
        <w:t xml:space="preserve">Release </w:t>
      </w:r>
      <w:r w:rsidRPr="006F25CE">
        <w:rPr>
          <w:sz w:val="24"/>
          <w:szCs w:val="24"/>
        </w:rPr>
        <w:t xml:space="preserve">No. </w:t>
      </w:r>
      <w:r w:rsidRPr="006F25CE">
        <w:rPr>
          <w:rStyle w:val="FootnoteReference"/>
          <w:sz w:val="24"/>
          <w:szCs w:val="24"/>
          <w:vertAlign w:val="baseline"/>
        </w:rPr>
        <w:t>62120</w:t>
      </w:r>
      <w:r w:rsidRPr="006F25CE">
        <w:rPr>
          <w:sz w:val="24"/>
          <w:szCs w:val="24"/>
        </w:rPr>
        <w:t xml:space="preserve"> (May 19, 2010), 75 FR </w:t>
      </w:r>
      <w:r w:rsidRPr="006F25CE">
        <w:rPr>
          <w:rStyle w:val="FootnoteReference"/>
          <w:sz w:val="24"/>
          <w:szCs w:val="24"/>
          <w:vertAlign w:val="baseline"/>
        </w:rPr>
        <w:t>28825 (May 24, 2010).</w:t>
      </w:r>
    </w:p>
  </w:footnote>
  <w:footnote w:id="18">
    <w:p w:rsidR="00812C9A" w:rsidRPr="006F25CE" w:rsidRDefault="00812C9A">
      <w:pPr>
        <w:pStyle w:val="FootnoteText"/>
        <w:rPr>
          <w:sz w:val="24"/>
          <w:szCs w:val="24"/>
        </w:rPr>
      </w:pPr>
      <w:r w:rsidRPr="006F25CE">
        <w:rPr>
          <w:rStyle w:val="FootnoteReference"/>
          <w:sz w:val="24"/>
          <w:szCs w:val="24"/>
        </w:rPr>
        <w:footnoteRef/>
      </w:r>
      <w:r w:rsidR="00A248D0" w:rsidRPr="006F25CE">
        <w:rPr>
          <w:sz w:val="24"/>
          <w:szCs w:val="24"/>
        </w:rPr>
        <w:tab/>
      </w:r>
      <w:r w:rsidR="00A248D0" w:rsidRPr="006F25CE">
        <w:rPr>
          <w:sz w:val="24"/>
          <w:szCs w:val="24"/>
          <w:u w:val="single"/>
        </w:rPr>
        <w:t>See</w:t>
      </w:r>
      <w:r w:rsidR="00A248D0" w:rsidRPr="006F25CE">
        <w:rPr>
          <w:sz w:val="24"/>
          <w:szCs w:val="24"/>
        </w:rPr>
        <w:t xml:space="preserve"> id.</w:t>
      </w:r>
    </w:p>
  </w:footnote>
  <w:footnote w:id="19">
    <w:p w:rsidR="00F42092" w:rsidRPr="006F25CE" w:rsidRDefault="00A248D0" w:rsidP="00CA04BD">
      <w:pPr>
        <w:ind w:left="720" w:hanging="720"/>
        <w:rPr>
          <w:sz w:val="24"/>
          <w:szCs w:val="24"/>
        </w:rPr>
      </w:pPr>
      <w:r w:rsidRPr="006F25CE">
        <w:rPr>
          <w:sz w:val="24"/>
          <w:szCs w:val="24"/>
        </w:rPr>
        <w:t>18</w:t>
      </w:r>
      <w:r w:rsidRPr="006F25CE">
        <w:rPr>
          <w:sz w:val="24"/>
          <w:szCs w:val="24"/>
        </w:rPr>
        <w:tab/>
      </w:r>
      <w:r w:rsidRPr="006F25CE">
        <w:rPr>
          <w:sz w:val="24"/>
          <w:szCs w:val="24"/>
          <w:u w:val="single"/>
        </w:rPr>
        <w:t>See</w:t>
      </w:r>
      <w:r w:rsidRPr="006F25CE">
        <w:rPr>
          <w:sz w:val="24"/>
          <w:szCs w:val="24"/>
        </w:rPr>
        <w:t xml:space="preserve"> </w:t>
      </w:r>
      <w:hyperlink r:id="rId1" w:history="1">
        <w:r w:rsidRPr="006F25CE">
          <w:rPr>
            <w:rStyle w:val="Hyperlink"/>
            <w:color w:val="auto"/>
            <w:sz w:val="24"/>
            <w:szCs w:val="24"/>
            <w:bdr w:val="none" w:sz="0" w:space="0" w:color="auto" w:frame="1"/>
            <w:shd w:val="clear" w:color="auto" w:fill="FFFFFF"/>
          </w:rPr>
          <w:t>Order Extending Conditional Temporary Exemption for Nationally Recognized Statistical Rating Organizations from Requirements of Rule 17g-5(a)(3)</w:t>
        </w:r>
      </w:hyperlink>
      <w:r w:rsidRPr="006F25CE">
        <w:rPr>
          <w:sz w:val="24"/>
          <w:szCs w:val="24"/>
          <w:shd w:val="clear" w:color="auto" w:fill="FFFFFF"/>
        </w:rPr>
        <w:t xml:space="preserve">, </w:t>
      </w:r>
      <w:r w:rsidRPr="006F25CE">
        <w:rPr>
          <w:sz w:val="24"/>
          <w:szCs w:val="24"/>
          <w:u w:val="single"/>
          <w:shd w:val="clear" w:color="auto" w:fill="FFFFFF"/>
        </w:rPr>
        <w:t xml:space="preserve">Exchange Act Release No. </w:t>
      </w:r>
      <w:r w:rsidRPr="006F25CE">
        <w:rPr>
          <w:sz w:val="24"/>
          <w:szCs w:val="24"/>
          <w:shd w:val="clear" w:color="auto" w:fill="FFFFFF"/>
        </w:rPr>
        <w:t>34-82144 (Nov. 22, 2017)</w:t>
      </w:r>
    </w:p>
  </w:footnote>
  <w:footnote w:id="20">
    <w:p w:rsidR="006641DE" w:rsidRPr="006F25CE" w:rsidRDefault="003E6702" w:rsidP="003E6702">
      <w:pPr>
        <w:pStyle w:val="FootnoteText"/>
        <w:ind w:left="720" w:hanging="720"/>
        <w:rPr>
          <w:sz w:val="24"/>
          <w:szCs w:val="24"/>
        </w:rPr>
      </w:pPr>
      <w:r w:rsidRPr="006F25CE">
        <w:rPr>
          <w:sz w:val="24"/>
          <w:szCs w:val="24"/>
          <w:vertAlign w:val="superscript"/>
        </w:rPr>
        <w:t>19</w:t>
      </w:r>
      <w:r w:rsidRPr="006F25CE">
        <w:rPr>
          <w:sz w:val="24"/>
          <w:szCs w:val="24"/>
        </w:rPr>
        <w:t xml:space="preserve"> </w:t>
      </w:r>
      <w:r w:rsidRPr="006F25CE">
        <w:rPr>
          <w:sz w:val="24"/>
          <w:szCs w:val="24"/>
        </w:rPr>
        <w:tab/>
      </w:r>
      <w:r w:rsidR="006641DE" w:rsidRPr="00882E76">
        <w:rPr>
          <w:sz w:val="24"/>
          <w:szCs w:val="24"/>
          <w:u w:val="single"/>
        </w:rPr>
        <w:t>See</w:t>
      </w:r>
      <w:r w:rsidR="006641DE" w:rsidRPr="006F25CE">
        <w:rPr>
          <w:sz w:val="24"/>
          <w:szCs w:val="24"/>
        </w:rPr>
        <w:t xml:space="preserve"> </w:t>
      </w:r>
      <w:r w:rsidR="00882E76">
        <w:rPr>
          <w:sz w:val="24"/>
          <w:szCs w:val="24"/>
          <w:u w:val="single"/>
        </w:rPr>
        <w:t>Final Rule: Amendments for Nationally Recognized Statistical Rating Organizations</w:t>
      </w:r>
      <w:r w:rsidR="00882E76">
        <w:rPr>
          <w:sz w:val="24"/>
          <w:szCs w:val="24"/>
        </w:rPr>
        <w:t xml:space="preserve">, Release No 34-86590 (Aug. 7, 2019). </w:t>
      </w:r>
    </w:p>
    <w:p w:rsidR="006641DE" w:rsidRPr="006F25CE" w:rsidRDefault="006641DE">
      <w:pPr>
        <w:pStyle w:val="FootnoteText"/>
        <w:rPr>
          <w:sz w:val="24"/>
          <w:szCs w:val="24"/>
        </w:rPr>
      </w:pPr>
    </w:p>
  </w:footnote>
  <w:footnote w:id="21">
    <w:p w:rsidR="00F528AC" w:rsidRPr="006F25CE" w:rsidRDefault="00F528AC" w:rsidP="005573CC">
      <w:pPr>
        <w:pStyle w:val="FootnoteText"/>
        <w:rPr>
          <w:sz w:val="24"/>
          <w:szCs w:val="24"/>
        </w:rPr>
      </w:pPr>
      <w:r w:rsidRPr="006F25CE">
        <w:rPr>
          <w:rStyle w:val="FootnoteReference"/>
          <w:sz w:val="24"/>
          <w:szCs w:val="24"/>
        </w:rPr>
        <w:footnoteRef/>
      </w:r>
      <w:r w:rsidRPr="006F25CE">
        <w:rPr>
          <w:sz w:val="24"/>
          <w:szCs w:val="24"/>
        </w:rPr>
        <w:t xml:space="preserve"> </w:t>
      </w:r>
      <w:r w:rsidRPr="006F25CE">
        <w:rPr>
          <w:sz w:val="24"/>
          <w:szCs w:val="24"/>
        </w:rPr>
        <w:tab/>
        <w:t xml:space="preserve">15 U.S.C. </w:t>
      </w:r>
      <w:proofErr w:type="gramStart"/>
      <w:r w:rsidRPr="006F25CE">
        <w:rPr>
          <w:sz w:val="24"/>
          <w:szCs w:val="24"/>
        </w:rPr>
        <w:t>15E(</w:t>
      </w:r>
      <w:proofErr w:type="gramEnd"/>
      <w:r w:rsidRPr="006F25CE">
        <w:rPr>
          <w:sz w:val="24"/>
          <w:szCs w:val="24"/>
        </w:rPr>
        <w:t>d).</w:t>
      </w:r>
    </w:p>
  </w:footnote>
  <w:footnote w:id="22">
    <w:p w:rsidR="00882E76" w:rsidRPr="002E0D2E" w:rsidRDefault="00882E76" w:rsidP="00882E76">
      <w:pPr>
        <w:pStyle w:val="FootnoteText"/>
      </w:pPr>
      <w:r>
        <w:rPr>
          <w:rStyle w:val="FootnoteReference"/>
        </w:rPr>
        <w:footnoteRef/>
      </w:r>
      <w:r>
        <w:t xml:space="preserve"> </w:t>
      </w:r>
      <w:r>
        <w:tab/>
      </w:r>
      <w:r w:rsidRPr="00265540">
        <w:rPr>
          <w:u w:val="single"/>
        </w:rPr>
        <w:t>See</w:t>
      </w:r>
      <w:r w:rsidRPr="00265540">
        <w:t xml:space="preserve"> </w:t>
      </w:r>
      <w:r>
        <w:t>86 FR 22294 (Apr. 27, 2021)</w:t>
      </w:r>
      <w:r w:rsidRPr="00265540">
        <w:t>.</w:t>
      </w:r>
    </w:p>
  </w:footnote>
  <w:footnote w:id="23">
    <w:p w:rsidR="0012632F" w:rsidRPr="006F25CE" w:rsidRDefault="0012632F" w:rsidP="0012632F">
      <w:pPr>
        <w:pStyle w:val="FootnoteText"/>
        <w:rPr>
          <w:sz w:val="24"/>
          <w:szCs w:val="24"/>
        </w:rPr>
      </w:pPr>
      <w:r w:rsidRPr="006F25CE">
        <w:rPr>
          <w:rStyle w:val="FootnoteReference"/>
          <w:sz w:val="24"/>
          <w:szCs w:val="24"/>
        </w:rPr>
        <w:footnoteRef/>
      </w:r>
      <w:r w:rsidRPr="006F25CE">
        <w:rPr>
          <w:sz w:val="24"/>
          <w:szCs w:val="24"/>
        </w:rPr>
        <w:t xml:space="preserve"> </w:t>
      </w:r>
      <w:r w:rsidRPr="006F25CE">
        <w:rPr>
          <w:sz w:val="24"/>
          <w:szCs w:val="24"/>
        </w:rPr>
        <w:tab/>
      </w:r>
      <w:r w:rsidRPr="006F25CE">
        <w:rPr>
          <w:sz w:val="24"/>
          <w:szCs w:val="24"/>
          <w:u w:val="single"/>
        </w:rPr>
        <w:t>See</w:t>
      </w:r>
      <w:r w:rsidRPr="006F25CE">
        <w:rPr>
          <w:sz w:val="24"/>
          <w:szCs w:val="24"/>
        </w:rPr>
        <w:t xml:space="preserve"> </w:t>
      </w:r>
      <w:r w:rsidRPr="006F25CE">
        <w:rPr>
          <w:sz w:val="24"/>
          <w:szCs w:val="24"/>
          <w:u w:val="single"/>
        </w:rPr>
        <w:t>Adopting Release</w:t>
      </w:r>
      <w:r w:rsidRPr="006F25CE">
        <w:rPr>
          <w:sz w:val="24"/>
          <w:szCs w:val="24"/>
        </w:rPr>
        <w:t>, 79 FR at 55234</w:t>
      </w:r>
      <w:r w:rsidRPr="00051C54">
        <w:rPr>
          <w:sz w:val="24"/>
          <w:szCs w:val="24"/>
        </w:rPr>
        <w:t>.</w:t>
      </w:r>
      <w:r w:rsidR="00B736B1" w:rsidRPr="00051C54">
        <w:rPr>
          <w:sz w:val="24"/>
          <w:szCs w:val="24"/>
        </w:rPr>
        <w:t xml:space="preserve"> The average amount of new issuances is calculated by staff in the Commission’s Division of Economics and Risk Analysis (“DERA”) using Asset-Backed Alert and Commercial Mortgage Alert databases. The amounts include only non-agency RMBS sold in the United States through Commission-registered offerings, Rule 144A offerings, or traditional private offerings</w:t>
      </w:r>
      <w:r w:rsidR="00F01A26">
        <w:rPr>
          <w:sz w:val="24"/>
          <w:szCs w:val="24"/>
        </w:rPr>
        <w:t>.</w:t>
      </w:r>
    </w:p>
  </w:footnote>
  <w:footnote w:id="24">
    <w:p w:rsidR="0012632F" w:rsidRPr="006F25CE" w:rsidRDefault="0012632F" w:rsidP="0012632F">
      <w:pPr>
        <w:pStyle w:val="FootnoteText"/>
        <w:ind w:left="720" w:hanging="720"/>
        <w:rPr>
          <w:sz w:val="24"/>
          <w:szCs w:val="24"/>
        </w:rPr>
      </w:pPr>
      <w:r w:rsidRPr="006F25CE">
        <w:rPr>
          <w:rStyle w:val="FootnoteReference"/>
          <w:sz w:val="24"/>
          <w:szCs w:val="24"/>
        </w:rPr>
        <w:footnoteRef/>
      </w:r>
      <w:r w:rsidRPr="006F25CE">
        <w:rPr>
          <w:sz w:val="24"/>
          <w:szCs w:val="24"/>
        </w:rPr>
        <w:t xml:space="preserve"> </w:t>
      </w:r>
      <w:r w:rsidRPr="006F25CE">
        <w:rPr>
          <w:sz w:val="24"/>
          <w:szCs w:val="24"/>
        </w:rPr>
        <w:tab/>
      </w:r>
      <w:r w:rsidR="00B736B1">
        <w:rPr>
          <w:sz w:val="24"/>
          <w:szCs w:val="24"/>
        </w:rPr>
        <w:t>990</w:t>
      </w:r>
      <w:r w:rsidR="00B736B1" w:rsidRPr="006F25CE">
        <w:rPr>
          <w:sz w:val="24"/>
          <w:szCs w:val="24"/>
        </w:rPr>
        <w:t xml:space="preserve"> </w:t>
      </w:r>
      <w:r w:rsidRPr="006F25CE">
        <w:rPr>
          <w:sz w:val="24"/>
          <w:szCs w:val="24"/>
        </w:rPr>
        <w:t xml:space="preserve">x .9 = </w:t>
      </w:r>
      <w:r w:rsidR="00B736B1">
        <w:rPr>
          <w:sz w:val="24"/>
          <w:szCs w:val="24"/>
        </w:rPr>
        <w:t>891</w:t>
      </w:r>
      <w:r w:rsidR="00937F92">
        <w:rPr>
          <w:sz w:val="24"/>
          <w:szCs w:val="24"/>
        </w:rPr>
        <w:t xml:space="preserve">.  </w:t>
      </w:r>
      <w:r w:rsidR="00B736B1">
        <w:rPr>
          <w:sz w:val="24"/>
          <w:szCs w:val="24"/>
        </w:rPr>
        <w:t xml:space="preserve">891 </w:t>
      </w:r>
      <w:r w:rsidR="00937F92">
        <w:rPr>
          <w:sz w:val="24"/>
          <w:szCs w:val="24"/>
        </w:rPr>
        <w:t>x 3 =</w:t>
      </w:r>
      <w:r w:rsidRPr="006F25CE">
        <w:rPr>
          <w:sz w:val="24"/>
          <w:szCs w:val="24"/>
        </w:rPr>
        <w:t xml:space="preserve"> </w:t>
      </w:r>
      <w:r w:rsidR="000979B7">
        <w:rPr>
          <w:sz w:val="24"/>
          <w:szCs w:val="24"/>
        </w:rPr>
        <w:t>2,673</w:t>
      </w:r>
      <w:r w:rsidRPr="006F25CE">
        <w:rPr>
          <w:sz w:val="24"/>
          <w:szCs w:val="24"/>
        </w:rPr>
        <w:t xml:space="preserve">.  </w:t>
      </w:r>
      <w:r w:rsidR="00B736B1">
        <w:rPr>
          <w:sz w:val="24"/>
          <w:szCs w:val="24"/>
        </w:rPr>
        <w:t>990</w:t>
      </w:r>
      <w:r w:rsidR="00B736B1" w:rsidRPr="006F25CE">
        <w:rPr>
          <w:sz w:val="24"/>
          <w:szCs w:val="24"/>
        </w:rPr>
        <w:t xml:space="preserve"> </w:t>
      </w:r>
      <w:r w:rsidRPr="006F25CE">
        <w:rPr>
          <w:sz w:val="24"/>
          <w:szCs w:val="24"/>
        </w:rPr>
        <w:t xml:space="preserve">x .1 = </w:t>
      </w:r>
      <w:r w:rsidR="000979B7">
        <w:rPr>
          <w:sz w:val="24"/>
          <w:szCs w:val="24"/>
        </w:rPr>
        <w:t>99</w:t>
      </w:r>
      <w:r w:rsidRPr="006F25CE">
        <w:rPr>
          <w:sz w:val="24"/>
          <w:szCs w:val="24"/>
        </w:rPr>
        <w:t xml:space="preserve">.  </w:t>
      </w:r>
      <w:r w:rsidR="000979B7">
        <w:rPr>
          <w:sz w:val="24"/>
          <w:szCs w:val="24"/>
        </w:rPr>
        <w:t>99</w:t>
      </w:r>
      <w:r w:rsidR="000979B7" w:rsidRPr="006F25CE">
        <w:rPr>
          <w:sz w:val="24"/>
          <w:szCs w:val="24"/>
        </w:rPr>
        <w:t xml:space="preserve"> </w:t>
      </w:r>
      <w:r w:rsidRPr="006F25CE">
        <w:rPr>
          <w:sz w:val="24"/>
          <w:szCs w:val="24"/>
        </w:rPr>
        <w:t xml:space="preserve">x </w:t>
      </w:r>
      <w:r w:rsidR="00B736B1">
        <w:rPr>
          <w:sz w:val="24"/>
          <w:szCs w:val="24"/>
        </w:rPr>
        <w:t>6</w:t>
      </w:r>
      <w:r w:rsidRPr="006F25CE">
        <w:rPr>
          <w:sz w:val="24"/>
          <w:szCs w:val="24"/>
        </w:rPr>
        <w:t xml:space="preserve"> = </w:t>
      </w:r>
      <w:r w:rsidR="000979B7" w:rsidRPr="006F25CE">
        <w:rPr>
          <w:sz w:val="24"/>
          <w:szCs w:val="24"/>
        </w:rPr>
        <w:t>5</w:t>
      </w:r>
      <w:r w:rsidR="000979B7">
        <w:rPr>
          <w:sz w:val="24"/>
          <w:szCs w:val="24"/>
        </w:rPr>
        <w:t>94</w:t>
      </w:r>
      <w:r w:rsidRPr="006F25CE">
        <w:rPr>
          <w:sz w:val="24"/>
          <w:szCs w:val="24"/>
        </w:rPr>
        <w:t xml:space="preserve">.  </w:t>
      </w:r>
      <w:r w:rsidR="000979B7">
        <w:rPr>
          <w:sz w:val="24"/>
          <w:szCs w:val="24"/>
        </w:rPr>
        <w:t>2,673+594 = 3,267</w:t>
      </w:r>
      <w:r w:rsidRPr="006F25CE">
        <w:rPr>
          <w:sz w:val="24"/>
          <w:szCs w:val="24"/>
        </w:rPr>
        <w:t>.</w:t>
      </w:r>
    </w:p>
  </w:footnote>
  <w:footnote w:id="25">
    <w:p w:rsidR="0012632F" w:rsidRPr="006F25CE" w:rsidRDefault="0012632F" w:rsidP="0012632F">
      <w:pPr>
        <w:pStyle w:val="FootnoteText"/>
        <w:rPr>
          <w:sz w:val="24"/>
          <w:szCs w:val="24"/>
        </w:rPr>
      </w:pPr>
      <w:r w:rsidRPr="006F25CE">
        <w:rPr>
          <w:rStyle w:val="FootnoteReference"/>
          <w:sz w:val="24"/>
          <w:szCs w:val="24"/>
        </w:rPr>
        <w:footnoteRef/>
      </w:r>
      <w:r w:rsidRPr="006F25CE">
        <w:rPr>
          <w:sz w:val="24"/>
          <w:szCs w:val="24"/>
        </w:rPr>
        <w:t xml:space="preserve"> </w:t>
      </w:r>
      <w:r w:rsidRPr="006F25CE">
        <w:rPr>
          <w:sz w:val="24"/>
          <w:szCs w:val="24"/>
        </w:rPr>
        <w:tab/>
      </w:r>
      <w:r w:rsidR="000979B7">
        <w:rPr>
          <w:sz w:val="24"/>
          <w:szCs w:val="24"/>
        </w:rPr>
        <w:t>3,267</w:t>
      </w:r>
      <w:r w:rsidRPr="006F25CE">
        <w:rPr>
          <w:sz w:val="24"/>
          <w:szCs w:val="24"/>
        </w:rPr>
        <w:t xml:space="preserve"> transactions x 1 hour = </w:t>
      </w:r>
      <w:r w:rsidR="000979B7">
        <w:rPr>
          <w:sz w:val="24"/>
          <w:szCs w:val="24"/>
        </w:rPr>
        <w:t>3,267</w:t>
      </w:r>
      <w:r w:rsidRPr="006F25CE">
        <w:rPr>
          <w:sz w:val="24"/>
          <w:szCs w:val="24"/>
        </w:rPr>
        <w:t xml:space="preserve"> hours.</w:t>
      </w:r>
    </w:p>
  </w:footnote>
  <w:footnote w:id="26">
    <w:p w:rsidR="0012632F" w:rsidRPr="006F25CE" w:rsidRDefault="0012632F" w:rsidP="0012632F">
      <w:pPr>
        <w:pStyle w:val="FootnoteText"/>
        <w:rPr>
          <w:sz w:val="24"/>
          <w:szCs w:val="24"/>
        </w:rPr>
      </w:pPr>
      <w:r w:rsidRPr="006F25CE">
        <w:rPr>
          <w:rStyle w:val="FootnoteReference"/>
          <w:sz w:val="24"/>
          <w:szCs w:val="24"/>
        </w:rPr>
        <w:footnoteRef/>
      </w:r>
      <w:r w:rsidRPr="006F25CE">
        <w:rPr>
          <w:sz w:val="24"/>
          <w:szCs w:val="24"/>
        </w:rPr>
        <w:t xml:space="preserve"> </w:t>
      </w:r>
      <w:r w:rsidRPr="006F25CE">
        <w:rPr>
          <w:sz w:val="24"/>
          <w:szCs w:val="24"/>
        </w:rPr>
        <w:tab/>
        <w:t>20 transactions x 1 hour = 20 hours.</w:t>
      </w:r>
    </w:p>
  </w:footnote>
  <w:footnote w:id="27">
    <w:p w:rsidR="0012632F" w:rsidRPr="006F25CE" w:rsidRDefault="0012632F" w:rsidP="0012632F">
      <w:pPr>
        <w:pStyle w:val="FootnoteText"/>
        <w:rPr>
          <w:sz w:val="24"/>
          <w:szCs w:val="24"/>
        </w:rPr>
      </w:pPr>
      <w:r w:rsidRPr="006F25CE">
        <w:rPr>
          <w:rStyle w:val="FootnoteReference"/>
          <w:sz w:val="24"/>
          <w:szCs w:val="24"/>
        </w:rPr>
        <w:footnoteRef/>
      </w:r>
      <w:r w:rsidRPr="006F25CE">
        <w:rPr>
          <w:sz w:val="24"/>
          <w:szCs w:val="24"/>
        </w:rPr>
        <w:t xml:space="preserve"> </w:t>
      </w:r>
      <w:r w:rsidRPr="006F25CE">
        <w:rPr>
          <w:sz w:val="24"/>
          <w:szCs w:val="24"/>
        </w:rPr>
        <w:tab/>
        <w:t>336 respondents x 20 hours = 6,720 hours.</w:t>
      </w:r>
    </w:p>
  </w:footnote>
  <w:footnote w:id="28">
    <w:p w:rsidR="0012632F" w:rsidRPr="006F25CE" w:rsidRDefault="0012632F" w:rsidP="0012632F">
      <w:pPr>
        <w:pStyle w:val="FootnoteText"/>
        <w:ind w:left="720" w:hanging="720"/>
        <w:rPr>
          <w:sz w:val="24"/>
          <w:szCs w:val="24"/>
        </w:rPr>
      </w:pPr>
      <w:r w:rsidRPr="006F25CE">
        <w:rPr>
          <w:rStyle w:val="FootnoteReference"/>
          <w:sz w:val="24"/>
          <w:szCs w:val="24"/>
        </w:rPr>
        <w:footnoteRef/>
      </w:r>
      <w:r w:rsidRPr="006F25CE">
        <w:rPr>
          <w:sz w:val="24"/>
          <w:szCs w:val="24"/>
        </w:rPr>
        <w:t xml:space="preserve"> </w:t>
      </w:r>
      <w:r w:rsidRPr="006F25CE">
        <w:rPr>
          <w:sz w:val="24"/>
          <w:szCs w:val="24"/>
        </w:rPr>
        <w:tab/>
        <w:t>125 transactions x 30 minutes x 12 months = 45,000 minutes/60 minutes = 750 hours.</w:t>
      </w:r>
    </w:p>
  </w:footnote>
  <w:footnote w:id="29">
    <w:p w:rsidR="0012632F" w:rsidRPr="006F25CE" w:rsidRDefault="0012632F" w:rsidP="0012632F">
      <w:pPr>
        <w:pStyle w:val="FootnoteText"/>
        <w:rPr>
          <w:sz w:val="24"/>
          <w:szCs w:val="24"/>
        </w:rPr>
      </w:pPr>
      <w:r w:rsidRPr="006F25CE">
        <w:rPr>
          <w:rStyle w:val="FootnoteReference"/>
          <w:sz w:val="24"/>
          <w:szCs w:val="24"/>
        </w:rPr>
        <w:footnoteRef/>
      </w:r>
      <w:r w:rsidRPr="006F25CE">
        <w:rPr>
          <w:sz w:val="24"/>
          <w:szCs w:val="24"/>
        </w:rPr>
        <w:t xml:space="preserve"> </w:t>
      </w:r>
      <w:r w:rsidRPr="006F25CE">
        <w:rPr>
          <w:sz w:val="24"/>
          <w:szCs w:val="24"/>
        </w:rPr>
        <w:tab/>
        <w:t>750 hours x 336 respondents = 252,000 hours.</w:t>
      </w:r>
    </w:p>
  </w:footnote>
  <w:footnote w:id="30">
    <w:p w:rsidR="0012632F" w:rsidRPr="006F25CE" w:rsidRDefault="0012632F" w:rsidP="0012632F">
      <w:pPr>
        <w:pStyle w:val="FootnoteText"/>
        <w:rPr>
          <w:sz w:val="24"/>
          <w:szCs w:val="24"/>
        </w:rPr>
      </w:pPr>
      <w:r w:rsidRPr="006F25CE">
        <w:rPr>
          <w:rStyle w:val="FootnoteReference"/>
          <w:sz w:val="24"/>
          <w:szCs w:val="24"/>
        </w:rPr>
        <w:footnoteRef/>
      </w:r>
      <w:r w:rsidRPr="006F25CE">
        <w:rPr>
          <w:sz w:val="24"/>
          <w:szCs w:val="24"/>
        </w:rPr>
        <w:t xml:space="preserve"> </w:t>
      </w:r>
      <w:r w:rsidRPr="006F25CE">
        <w:rPr>
          <w:sz w:val="24"/>
          <w:szCs w:val="24"/>
        </w:rPr>
        <w:tab/>
      </w:r>
      <w:r w:rsidR="00B736B1">
        <w:rPr>
          <w:sz w:val="24"/>
          <w:szCs w:val="24"/>
        </w:rPr>
        <w:t>9</w:t>
      </w:r>
      <w:r w:rsidRPr="006F25CE">
        <w:rPr>
          <w:sz w:val="24"/>
          <w:szCs w:val="24"/>
        </w:rPr>
        <w:t xml:space="preserve"> NRSROs x 2 hours = </w:t>
      </w:r>
      <w:r w:rsidR="00B736B1">
        <w:rPr>
          <w:sz w:val="24"/>
          <w:szCs w:val="24"/>
        </w:rPr>
        <w:t>18</w:t>
      </w:r>
      <w:r w:rsidRPr="006F25CE">
        <w:rPr>
          <w:sz w:val="24"/>
          <w:szCs w:val="24"/>
        </w:rPr>
        <w:t xml:space="preserve"> hours.</w:t>
      </w:r>
    </w:p>
  </w:footnote>
  <w:footnote w:id="31">
    <w:p w:rsidR="00C0124F" w:rsidRPr="006F25CE" w:rsidRDefault="00C0124F" w:rsidP="00C0124F">
      <w:pPr>
        <w:pStyle w:val="FootnoteText"/>
        <w:ind w:left="720" w:hanging="720"/>
        <w:rPr>
          <w:sz w:val="24"/>
          <w:szCs w:val="24"/>
        </w:rPr>
      </w:pPr>
      <w:r w:rsidRPr="006F25CE">
        <w:rPr>
          <w:rStyle w:val="FootnoteReference"/>
          <w:sz w:val="24"/>
          <w:szCs w:val="24"/>
        </w:rPr>
        <w:footnoteRef/>
      </w:r>
      <w:r w:rsidRPr="006F25CE">
        <w:rPr>
          <w:sz w:val="24"/>
          <w:szCs w:val="24"/>
        </w:rPr>
        <w:t xml:space="preserve"> </w:t>
      </w:r>
      <w:r w:rsidRPr="006F25CE">
        <w:rPr>
          <w:sz w:val="24"/>
          <w:szCs w:val="24"/>
        </w:rPr>
        <w:tab/>
      </w:r>
      <w:r w:rsidR="000979B7">
        <w:rPr>
          <w:sz w:val="24"/>
          <w:szCs w:val="24"/>
        </w:rPr>
        <w:t>990</w:t>
      </w:r>
      <w:r w:rsidR="000979B7" w:rsidRPr="006F25CE">
        <w:rPr>
          <w:sz w:val="24"/>
          <w:szCs w:val="24"/>
        </w:rPr>
        <w:t xml:space="preserve"> </w:t>
      </w:r>
      <w:r w:rsidRPr="006F25CE">
        <w:rPr>
          <w:sz w:val="24"/>
          <w:szCs w:val="24"/>
        </w:rPr>
        <w:t xml:space="preserve">Forms ABS Due Diligence-15E per year x 10 minutes = </w:t>
      </w:r>
      <w:r w:rsidR="000979B7">
        <w:rPr>
          <w:sz w:val="24"/>
          <w:szCs w:val="24"/>
        </w:rPr>
        <w:t>165</w:t>
      </w:r>
      <w:r w:rsidRPr="006F25CE">
        <w:rPr>
          <w:sz w:val="24"/>
          <w:szCs w:val="24"/>
        </w:rPr>
        <w:t xml:space="preserve"> hours.</w:t>
      </w:r>
    </w:p>
  </w:footnote>
  <w:footnote w:id="32">
    <w:p w:rsidR="000754E8" w:rsidRPr="006F25CE" w:rsidRDefault="000754E8" w:rsidP="000754E8">
      <w:pPr>
        <w:pStyle w:val="FootnoteText"/>
        <w:rPr>
          <w:sz w:val="24"/>
          <w:szCs w:val="24"/>
        </w:rPr>
      </w:pPr>
      <w:r w:rsidRPr="006F25CE">
        <w:rPr>
          <w:rStyle w:val="FootnoteReference"/>
          <w:sz w:val="24"/>
          <w:szCs w:val="24"/>
        </w:rPr>
        <w:footnoteRef/>
      </w:r>
      <w:r w:rsidRPr="006F25CE">
        <w:rPr>
          <w:sz w:val="24"/>
          <w:szCs w:val="24"/>
        </w:rPr>
        <w:t xml:space="preserve"> </w:t>
      </w:r>
      <w:r w:rsidRPr="006F25CE">
        <w:rPr>
          <w:sz w:val="24"/>
          <w:szCs w:val="24"/>
        </w:rPr>
        <w:tab/>
        <w:t>2 hours x 284 transactions x 2</w:t>
      </w:r>
      <w:r w:rsidR="00960956">
        <w:rPr>
          <w:sz w:val="24"/>
          <w:szCs w:val="24"/>
        </w:rPr>
        <w:t xml:space="preserve"> </w:t>
      </w:r>
      <w:r w:rsidRPr="006F25CE">
        <w:rPr>
          <w:sz w:val="24"/>
          <w:szCs w:val="24"/>
        </w:rPr>
        <w:t>NRSROs per transaction = 1,136 hours.</w:t>
      </w:r>
    </w:p>
  </w:footnote>
  <w:footnote w:id="33">
    <w:p w:rsidR="00725393" w:rsidRPr="006F25CE" w:rsidRDefault="00725393" w:rsidP="00725393">
      <w:pPr>
        <w:pStyle w:val="FootnoteText"/>
        <w:rPr>
          <w:sz w:val="24"/>
          <w:szCs w:val="24"/>
        </w:rPr>
      </w:pPr>
      <w:r w:rsidRPr="006F25CE">
        <w:rPr>
          <w:rStyle w:val="FootnoteReference"/>
          <w:sz w:val="24"/>
          <w:szCs w:val="24"/>
        </w:rPr>
        <w:footnoteRef/>
      </w:r>
      <w:r w:rsidRPr="006F25CE">
        <w:rPr>
          <w:sz w:val="24"/>
          <w:szCs w:val="24"/>
        </w:rPr>
        <w:t xml:space="preserve"> </w:t>
      </w:r>
      <w:r w:rsidRPr="006F25CE">
        <w:rPr>
          <w:sz w:val="24"/>
          <w:szCs w:val="24"/>
        </w:rPr>
        <w:tab/>
      </w:r>
      <w:r w:rsidR="000754E8">
        <w:rPr>
          <w:sz w:val="24"/>
          <w:szCs w:val="24"/>
        </w:rPr>
        <w:t>3,267</w:t>
      </w:r>
      <w:r w:rsidRPr="006F25CE">
        <w:rPr>
          <w:sz w:val="24"/>
          <w:szCs w:val="24"/>
        </w:rPr>
        <w:t xml:space="preserve"> + 6,720 + </w:t>
      </w:r>
      <w:r w:rsidR="000754E8">
        <w:rPr>
          <w:sz w:val="24"/>
          <w:szCs w:val="24"/>
        </w:rPr>
        <w:t>18</w:t>
      </w:r>
      <w:r w:rsidRPr="006F25CE">
        <w:rPr>
          <w:sz w:val="24"/>
          <w:szCs w:val="24"/>
        </w:rPr>
        <w:t xml:space="preserve"> + </w:t>
      </w:r>
      <w:r w:rsidR="000754E8">
        <w:rPr>
          <w:sz w:val="24"/>
          <w:szCs w:val="24"/>
        </w:rPr>
        <w:t>165 + 252,000 + 1,136</w:t>
      </w:r>
      <w:r w:rsidRPr="006F25CE">
        <w:rPr>
          <w:sz w:val="24"/>
          <w:szCs w:val="24"/>
        </w:rPr>
        <w:t xml:space="preserve"> = </w:t>
      </w:r>
      <w:r w:rsidR="000754E8">
        <w:rPr>
          <w:sz w:val="24"/>
          <w:szCs w:val="24"/>
        </w:rPr>
        <w:t xml:space="preserve">263,306 </w:t>
      </w:r>
      <w:r w:rsidRPr="006F25CE">
        <w:rPr>
          <w:sz w:val="24"/>
          <w:szCs w:val="24"/>
        </w:rPr>
        <w:t>hours.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sz w:val="28"/>
        <w:szCs w:val="28"/>
      </w:rPr>
      <w:id w:val="70103704"/>
      <w:docPartObj>
        <w:docPartGallery w:val="Page Numbers (Top of Page)"/>
        <w:docPartUnique/>
      </w:docPartObj>
    </w:sdtPr>
    <w:sdtEndPr/>
    <w:sdtContent>
      <w:p w:rsidR="00F528AC" w:rsidRDefault="00F528AC">
        <w:pPr>
          <w:pStyle w:val="Header"/>
          <w:jc w:val="center"/>
          <w:rPr>
            <w:rFonts w:asciiTheme="majorHAnsi" w:hAnsiTheme="majorHAnsi"/>
            <w:sz w:val="28"/>
            <w:szCs w:val="28"/>
          </w:rPr>
        </w:pPr>
        <w:r w:rsidRPr="006927A2">
          <w:rPr>
            <w:sz w:val="24"/>
            <w:szCs w:val="24"/>
          </w:rPr>
          <w:t xml:space="preserve"> - </w:t>
        </w:r>
        <w:r w:rsidRPr="006927A2">
          <w:rPr>
            <w:sz w:val="24"/>
            <w:szCs w:val="24"/>
          </w:rPr>
          <w:fldChar w:fldCharType="begin"/>
        </w:r>
        <w:r w:rsidRPr="006927A2">
          <w:rPr>
            <w:sz w:val="24"/>
            <w:szCs w:val="24"/>
          </w:rPr>
          <w:instrText xml:space="preserve"> PAGE    \* MERGEFORMAT </w:instrText>
        </w:r>
        <w:r w:rsidRPr="006927A2">
          <w:rPr>
            <w:sz w:val="24"/>
            <w:szCs w:val="24"/>
          </w:rPr>
          <w:fldChar w:fldCharType="separate"/>
        </w:r>
        <w:r w:rsidR="00D258DE">
          <w:rPr>
            <w:noProof/>
            <w:sz w:val="24"/>
            <w:szCs w:val="24"/>
          </w:rPr>
          <w:t>9</w:t>
        </w:r>
        <w:r w:rsidRPr="006927A2">
          <w:rPr>
            <w:sz w:val="24"/>
            <w:szCs w:val="24"/>
          </w:rPr>
          <w:fldChar w:fldCharType="end"/>
        </w:r>
        <w:r w:rsidRPr="006927A2">
          <w:rPr>
            <w:sz w:val="24"/>
            <w:szCs w:val="24"/>
          </w:rPr>
          <w:t xml:space="preserve"> -</w:t>
        </w:r>
      </w:p>
    </w:sdtContent>
  </w:sdt>
  <w:p w:rsidR="00F528AC" w:rsidRDefault="00F528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10703FC9"/>
    <w:multiLevelType w:val="multilevel"/>
    <w:tmpl w:val="86F61AD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FF6CF2"/>
    <w:multiLevelType w:val="multilevel"/>
    <w:tmpl w:val="BFEC3A1A"/>
    <w:lvl w:ilvl="0">
      <w:start w:val="1"/>
      <w:numFmt w:val="bullet"/>
      <w:lvlText w:val=""/>
      <w:lvlPicBulletId w:val="1"/>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6FF6692"/>
    <w:multiLevelType w:val="hybridMultilevel"/>
    <w:tmpl w:val="8F4CE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8DE"/>
    <w:rsid w:val="000025E4"/>
    <w:rsid w:val="000047FC"/>
    <w:rsid w:val="0000694E"/>
    <w:rsid w:val="00033108"/>
    <w:rsid w:val="000353BB"/>
    <w:rsid w:val="00036969"/>
    <w:rsid w:val="00040F4C"/>
    <w:rsid w:val="0004165E"/>
    <w:rsid w:val="00044F77"/>
    <w:rsid w:val="00046D05"/>
    <w:rsid w:val="00051AEB"/>
    <w:rsid w:val="00051C54"/>
    <w:rsid w:val="00054919"/>
    <w:rsid w:val="0005522A"/>
    <w:rsid w:val="000571FD"/>
    <w:rsid w:val="0006159A"/>
    <w:rsid w:val="00061F18"/>
    <w:rsid w:val="000628A7"/>
    <w:rsid w:val="00073F57"/>
    <w:rsid w:val="0007522F"/>
    <w:rsid w:val="000754E8"/>
    <w:rsid w:val="00077C78"/>
    <w:rsid w:val="00086E1F"/>
    <w:rsid w:val="000916AB"/>
    <w:rsid w:val="00093398"/>
    <w:rsid w:val="00096A1F"/>
    <w:rsid w:val="000970F5"/>
    <w:rsid w:val="000979B7"/>
    <w:rsid w:val="000A06C5"/>
    <w:rsid w:val="000A2616"/>
    <w:rsid w:val="000A420B"/>
    <w:rsid w:val="000B1384"/>
    <w:rsid w:val="000B6BC8"/>
    <w:rsid w:val="000C29B8"/>
    <w:rsid w:val="000C2B48"/>
    <w:rsid w:val="000C3833"/>
    <w:rsid w:val="000C39B6"/>
    <w:rsid w:val="000C39CD"/>
    <w:rsid w:val="000C4DC9"/>
    <w:rsid w:val="000C507F"/>
    <w:rsid w:val="000D2ADA"/>
    <w:rsid w:val="000D4798"/>
    <w:rsid w:val="000D67EA"/>
    <w:rsid w:val="000E0CD0"/>
    <w:rsid w:val="000E0FEF"/>
    <w:rsid w:val="000E2B34"/>
    <w:rsid w:val="000F17A1"/>
    <w:rsid w:val="000F7470"/>
    <w:rsid w:val="00101DE4"/>
    <w:rsid w:val="001059B9"/>
    <w:rsid w:val="00107691"/>
    <w:rsid w:val="0010771C"/>
    <w:rsid w:val="00107DCA"/>
    <w:rsid w:val="00107DE8"/>
    <w:rsid w:val="00113D20"/>
    <w:rsid w:val="00114A7C"/>
    <w:rsid w:val="00124BE0"/>
    <w:rsid w:val="00125671"/>
    <w:rsid w:val="0012632F"/>
    <w:rsid w:val="0012771E"/>
    <w:rsid w:val="00131ECA"/>
    <w:rsid w:val="00131ECD"/>
    <w:rsid w:val="00137228"/>
    <w:rsid w:val="0014788B"/>
    <w:rsid w:val="00151043"/>
    <w:rsid w:val="00151BE5"/>
    <w:rsid w:val="00153768"/>
    <w:rsid w:val="00156EEC"/>
    <w:rsid w:val="00165C83"/>
    <w:rsid w:val="0016694F"/>
    <w:rsid w:val="00166C8F"/>
    <w:rsid w:val="00170E5D"/>
    <w:rsid w:val="001745C9"/>
    <w:rsid w:val="001803CE"/>
    <w:rsid w:val="00182344"/>
    <w:rsid w:val="00186D89"/>
    <w:rsid w:val="00193B67"/>
    <w:rsid w:val="001950A7"/>
    <w:rsid w:val="001A01C3"/>
    <w:rsid w:val="001A1E00"/>
    <w:rsid w:val="001B07C0"/>
    <w:rsid w:val="001B0DF9"/>
    <w:rsid w:val="001B2FE5"/>
    <w:rsid w:val="001B5AC8"/>
    <w:rsid w:val="001C0728"/>
    <w:rsid w:val="001C33EA"/>
    <w:rsid w:val="001C4913"/>
    <w:rsid w:val="001C5745"/>
    <w:rsid w:val="001C7339"/>
    <w:rsid w:val="001D4E53"/>
    <w:rsid w:val="001D5242"/>
    <w:rsid w:val="001E6C12"/>
    <w:rsid w:val="001E7737"/>
    <w:rsid w:val="001F100F"/>
    <w:rsid w:val="001F1D5A"/>
    <w:rsid w:val="001F2D04"/>
    <w:rsid w:val="00205AB3"/>
    <w:rsid w:val="00207381"/>
    <w:rsid w:val="00210B6A"/>
    <w:rsid w:val="002122D5"/>
    <w:rsid w:val="00214025"/>
    <w:rsid w:val="002216DB"/>
    <w:rsid w:val="0022267F"/>
    <w:rsid w:val="00223831"/>
    <w:rsid w:val="00223A01"/>
    <w:rsid w:val="00224B6D"/>
    <w:rsid w:val="00224C7B"/>
    <w:rsid w:val="00226FE7"/>
    <w:rsid w:val="00237268"/>
    <w:rsid w:val="00237B4F"/>
    <w:rsid w:val="00237E77"/>
    <w:rsid w:val="00241061"/>
    <w:rsid w:val="002442AB"/>
    <w:rsid w:val="002459EF"/>
    <w:rsid w:val="002511FE"/>
    <w:rsid w:val="002652A9"/>
    <w:rsid w:val="0027091E"/>
    <w:rsid w:val="0027165B"/>
    <w:rsid w:val="00275BFC"/>
    <w:rsid w:val="0028439A"/>
    <w:rsid w:val="00284EF4"/>
    <w:rsid w:val="002939E8"/>
    <w:rsid w:val="002969E5"/>
    <w:rsid w:val="002A18BB"/>
    <w:rsid w:val="002A1D61"/>
    <w:rsid w:val="002A2156"/>
    <w:rsid w:val="002A4830"/>
    <w:rsid w:val="002A77CE"/>
    <w:rsid w:val="002A7A3A"/>
    <w:rsid w:val="002B053A"/>
    <w:rsid w:val="002C363C"/>
    <w:rsid w:val="002D4AC5"/>
    <w:rsid w:val="002D593E"/>
    <w:rsid w:val="002D77D0"/>
    <w:rsid w:val="002E2ACD"/>
    <w:rsid w:val="002E3D53"/>
    <w:rsid w:val="002F1EAC"/>
    <w:rsid w:val="002F2020"/>
    <w:rsid w:val="002F7B7D"/>
    <w:rsid w:val="00302524"/>
    <w:rsid w:val="00303939"/>
    <w:rsid w:val="00310065"/>
    <w:rsid w:val="003112AC"/>
    <w:rsid w:val="00316590"/>
    <w:rsid w:val="00317AB4"/>
    <w:rsid w:val="00317E81"/>
    <w:rsid w:val="00320A32"/>
    <w:rsid w:val="0032647C"/>
    <w:rsid w:val="00327A02"/>
    <w:rsid w:val="0034168F"/>
    <w:rsid w:val="00341B92"/>
    <w:rsid w:val="003452DE"/>
    <w:rsid w:val="003517CF"/>
    <w:rsid w:val="003563F1"/>
    <w:rsid w:val="00356750"/>
    <w:rsid w:val="00360524"/>
    <w:rsid w:val="00360C8C"/>
    <w:rsid w:val="00361DF7"/>
    <w:rsid w:val="00363A59"/>
    <w:rsid w:val="003644A6"/>
    <w:rsid w:val="003749D3"/>
    <w:rsid w:val="003764B0"/>
    <w:rsid w:val="00377425"/>
    <w:rsid w:val="003803F7"/>
    <w:rsid w:val="00387BD4"/>
    <w:rsid w:val="003907FC"/>
    <w:rsid w:val="003A3E20"/>
    <w:rsid w:val="003A3E29"/>
    <w:rsid w:val="003A6372"/>
    <w:rsid w:val="003B5DCE"/>
    <w:rsid w:val="003C0209"/>
    <w:rsid w:val="003C2C09"/>
    <w:rsid w:val="003D5DEE"/>
    <w:rsid w:val="003E276C"/>
    <w:rsid w:val="003E319B"/>
    <w:rsid w:val="003E4E6A"/>
    <w:rsid w:val="003E5E26"/>
    <w:rsid w:val="003E6702"/>
    <w:rsid w:val="003F7DA9"/>
    <w:rsid w:val="00400F80"/>
    <w:rsid w:val="004032D9"/>
    <w:rsid w:val="004129D6"/>
    <w:rsid w:val="00413BB7"/>
    <w:rsid w:val="00413E7E"/>
    <w:rsid w:val="00415D11"/>
    <w:rsid w:val="00426B47"/>
    <w:rsid w:val="00427069"/>
    <w:rsid w:val="00427CDB"/>
    <w:rsid w:val="00433648"/>
    <w:rsid w:val="004342BA"/>
    <w:rsid w:val="004346A8"/>
    <w:rsid w:val="00435A2E"/>
    <w:rsid w:val="00443573"/>
    <w:rsid w:val="00443E20"/>
    <w:rsid w:val="004469FD"/>
    <w:rsid w:val="00453014"/>
    <w:rsid w:val="00453B51"/>
    <w:rsid w:val="0045584D"/>
    <w:rsid w:val="00455943"/>
    <w:rsid w:val="00460FA9"/>
    <w:rsid w:val="00463D14"/>
    <w:rsid w:val="00464384"/>
    <w:rsid w:val="004646E4"/>
    <w:rsid w:val="00466B60"/>
    <w:rsid w:val="004677F4"/>
    <w:rsid w:val="00471E13"/>
    <w:rsid w:val="00476374"/>
    <w:rsid w:val="00480473"/>
    <w:rsid w:val="00481FB0"/>
    <w:rsid w:val="00485765"/>
    <w:rsid w:val="00486A28"/>
    <w:rsid w:val="00490CDB"/>
    <w:rsid w:val="00492092"/>
    <w:rsid w:val="004926C0"/>
    <w:rsid w:val="004945BB"/>
    <w:rsid w:val="00494E3B"/>
    <w:rsid w:val="00495C71"/>
    <w:rsid w:val="004964DF"/>
    <w:rsid w:val="00497E27"/>
    <w:rsid w:val="004A0DD9"/>
    <w:rsid w:val="004A25B9"/>
    <w:rsid w:val="004A3FEF"/>
    <w:rsid w:val="004B00D5"/>
    <w:rsid w:val="004B06E5"/>
    <w:rsid w:val="004B2FB1"/>
    <w:rsid w:val="004B6C92"/>
    <w:rsid w:val="004C2748"/>
    <w:rsid w:val="004E0CB4"/>
    <w:rsid w:val="004E1BFB"/>
    <w:rsid w:val="004E265D"/>
    <w:rsid w:val="004F1B46"/>
    <w:rsid w:val="004F269F"/>
    <w:rsid w:val="004F57A8"/>
    <w:rsid w:val="00505ECA"/>
    <w:rsid w:val="00511847"/>
    <w:rsid w:val="00512136"/>
    <w:rsid w:val="0051315A"/>
    <w:rsid w:val="00514178"/>
    <w:rsid w:val="00514A14"/>
    <w:rsid w:val="005153D6"/>
    <w:rsid w:val="00517D61"/>
    <w:rsid w:val="00522148"/>
    <w:rsid w:val="00522321"/>
    <w:rsid w:val="005350D3"/>
    <w:rsid w:val="0054282E"/>
    <w:rsid w:val="00543C8E"/>
    <w:rsid w:val="005533DC"/>
    <w:rsid w:val="00556007"/>
    <w:rsid w:val="005573CC"/>
    <w:rsid w:val="00561831"/>
    <w:rsid w:val="00562567"/>
    <w:rsid w:val="00565870"/>
    <w:rsid w:val="00574C81"/>
    <w:rsid w:val="00575806"/>
    <w:rsid w:val="00587ABC"/>
    <w:rsid w:val="00590900"/>
    <w:rsid w:val="0059256E"/>
    <w:rsid w:val="00594552"/>
    <w:rsid w:val="005966A1"/>
    <w:rsid w:val="005A0B9A"/>
    <w:rsid w:val="005A0C87"/>
    <w:rsid w:val="005B0274"/>
    <w:rsid w:val="005B0D48"/>
    <w:rsid w:val="005B2E2B"/>
    <w:rsid w:val="005B526D"/>
    <w:rsid w:val="005B5403"/>
    <w:rsid w:val="005B730B"/>
    <w:rsid w:val="005B7C9B"/>
    <w:rsid w:val="005C0AD9"/>
    <w:rsid w:val="005C4ADF"/>
    <w:rsid w:val="005D2A63"/>
    <w:rsid w:val="005D3E1C"/>
    <w:rsid w:val="005D4660"/>
    <w:rsid w:val="005D6EA5"/>
    <w:rsid w:val="005E559E"/>
    <w:rsid w:val="005E74A0"/>
    <w:rsid w:val="005E74CD"/>
    <w:rsid w:val="005E7CB5"/>
    <w:rsid w:val="005F0CB8"/>
    <w:rsid w:val="005F0FCA"/>
    <w:rsid w:val="005F2229"/>
    <w:rsid w:val="005F3277"/>
    <w:rsid w:val="005F3507"/>
    <w:rsid w:val="005F54C3"/>
    <w:rsid w:val="00600E54"/>
    <w:rsid w:val="00602EBB"/>
    <w:rsid w:val="00605C2C"/>
    <w:rsid w:val="00607215"/>
    <w:rsid w:val="006076F5"/>
    <w:rsid w:val="006111BD"/>
    <w:rsid w:val="00614C39"/>
    <w:rsid w:val="0062123B"/>
    <w:rsid w:val="0062538F"/>
    <w:rsid w:val="00633ACE"/>
    <w:rsid w:val="006348A2"/>
    <w:rsid w:val="006350E8"/>
    <w:rsid w:val="006404B9"/>
    <w:rsid w:val="00642E10"/>
    <w:rsid w:val="00643D7E"/>
    <w:rsid w:val="00644F86"/>
    <w:rsid w:val="0065057A"/>
    <w:rsid w:val="00651102"/>
    <w:rsid w:val="0065252F"/>
    <w:rsid w:val="006530F8"/>
    <w:rsid w:val="006620A7"/>
    <w:rsid w:val="006622C1"/>
    <w:rsid w:val="006635C7"/>
    <w:rsid w:val="006641DE"/>
    <w:rsid w:val="0066688A"/>
    <w:rsid w:val="006761A3"/>
    <w:rsid w:val="006831A9"/>
    <w:rsid w:val="00683372"/>
    <w:rsid w:val="00686E10"/>
    <w:rsid w:val="00687D51"/>
    <w:rsid w:val="006927A2"/>
    <w:rsid w:val="0069511F"/>
    <w:rsid w:val="006957F0"/>
    <w:rsid w:val="00696B40"/>
    <w:rsid w:val="006A1919"/>
    <w:rsid w:val="006A2ED8"/>
    <w:rsid w:val="006A31AF"/>
    <w:rsid w:val="006A6A99"/>
    <w:rsid w:val="006A6B64"/>
    <w:rsid w:val="006B0C46"/>
    <w:rsid w:val="006B1F5F"/>
    <w:rsid w:val="006C17A4"/>
    <w:rsid w:val="006C2197"/>
    <w:rsid w:val="006C29EE"/>
    <w:rsid w:val="006C62DE"/>
    <w:rsid w:val="006C76E7"/>
    <w:rsid w:val="006C7FDE"/>
    <w:rsid w:val="006D2259"/>
    <w:rsid w:val="006E4923"/>
    <w:rsid w:val="006E5960"/>
    <w:rsid w:val="006F25CE"/>
    <w:rsid w:val="006F2A45"/>
    <w:rsid w:val="006F3F37"/>
    <w:rsid w:val="00701BA4"/>
    <w:rsid w:val="007049CE"/>
    <w:rsid w:val="00704D8F"/>
    <w:rsid w:val="00704FDB"/>
    <w:rsid w:val="00706CB1"/>
    <w:rsid w:val="00710E79"/>
    <w:rsid w:val="007142A3"/>
    <w:rsid w:val="00717EAE"/>
    <w:rsid w:val="00720C1B"/>
    <w:rsid w:val="00725393"/>
    <w:rsid w:val="00726334"/>
    <w:rsid w:val="007273D2"/>
    <w:rsid w:val="007304F6"/>
    <w:rsid w:val="007344F7"/>
    <w:rsid w:val="00735A93"/>
    <w:rsid w:val="00737044"/>
    <w:rsid w:val="0074511C"/>
    <w:rsid w:val="00750026"/>
    <w:rsid w:val="00756343"/>
    <w:rsid w:val="00757DD9"/>
    <w:rsid w:val="00760BD7"/>
    <w:rsid w:val="00762F52"/>
    <w:rsid w:val="0076304C"/>
    <w:rsid w:val="00763FA8"/>
    <w:rsid w:val="00766E8B"/>
    <w:rsid w:val="0077074A"/>
    <w:rsid w:val="00773213"/>
    <w:rsid w:val="0077339F"/>
    <w:rsid w:val="0077371F"/>
    <w:rsid w:val="007804B1"/>
    <w:rsid w:val="00782E07"/>
    <w:rsid w:val="007834BC"/>
    <w:rsid w:val="0078426E"/>
    <w:rsid w:val="007842DD"/>
    <w:rsid w:val="0078782B"/>
    <w:rsid w:val="00787C7F"/>
    <w:rsid w:val="00793203"/>
    <w:rsid w:val="0079556E"/>
    <w:rsid w:val="0079579E"/>
    <w:rsid w:val="00795B43"/>
    <w:rsid w:val="007A01E7"/>
    <w:rsid w:val="007A1FCC"/>
    <w:rsid w:val="007A467C"/>
    <w:rsid w:val="007A4BFD"/>
    <w:rsid w:val="007A5850"/>
    <w:rsid w:val="007A5B2F"/>
    <w:rsid w:val="007B16C6"/>
    <w:rsid w:val="007B36B8"/>
    <w:rsid w:val="007B7125"/>
    <w:rsid w:val="007C0247"/>
    <w:rsid w:val="007C0E68"/>
    <w:rsid w:val="007C1AFA"/>
    <w:rsid w:val="007D026F"/>
    <w:rsid w:val="007D35CF"/>
    <w:rsid w:val="007D5126"/>
    <w:rsid w:val="007E1BF0"/>
    <w:rsid w:val="007E3DB6"/>
    <w:rsid w:val="007F4D79"/>
    <w:rsid w:val="00800E90"/>
    <w:rsid w:val="008102DD"/>
    <w:rsid w:val="00812C9A"/>
    <w:rsid w:val="00812E12"/>
    <w:rsid w:val="00813006"/>
    <w:rsid w:val="0081554E"/>
    <w:rsid w:val="00815981"/>
    <w:rsid w:val="008260C1"/>
    <w:rsid w:val="0083385D"/>
    <w:rsid w:val="00837B42"/>
    <w:rsid w:val="00842082"/>
    <w:rsid w:val="0084475A"/>
    <w:rsid w:val="0084610C"/>
    <w:rsid w:val="0084679C"/>
    <w:rsid w:val="00852321"/>
    <w:rsid w:val="0085585F"/>
    <w:rsid w:val="00855CF6"/>
    <w:rsid w:val="008606C3"/>
    <w:rsid w:val="00861444"/>
    <w:rsid w:val="00861FE2"/>
    <w:rsid w:val="00863C6A"/>
    <w:rsid w:val="00864900"/>
    <w:rsid w:val="0087387A"/>
    <w:rsid w:val="008750BA"/>
    <w:rsid w:val="008768DE"/>
    <w:rsid w:val="00880716"/>
    <w:rsid w:val="008818BA"/>
    <w:rsid w:val="00882E76"/>
    <w:rsid w:val="008831D9"/>
    <w:rsid w:val="008941D1"/>
    <w:rsid w:val="0089619B"/>
    <w:rsid w:val="008A7740"/>
    <w:rsid w:val="008B0FC5"/>
    <w:rsid w:val="008B1195"/>
    <w:rsid w:val="008B1340"/>
    <w:rsid w:val="008B5217"/>
    <w:rsid w:val="008D17C7"/>
    <w:rsid w:val="008D7640"/>
    <w:rsid w:val="008D7D43"/>
    <w:rsid w:val="008E33B8"/>
    <w:rsid w:val="008E3D55"/>
    <w:rsid w:val="008F07F6"/>
    <w:rsid w:val="008F30C9"/>
    <w:rsid w:val="008F4D71"/>
    <w:rsid w:val="008F59B8"/>
    <w:rsid w:val="00901008"/>
    <w:rsid w:val="00902B0D"/>
    <w:rsid w:val="0090610F"/>
    <w:rsid w:val="00906252"/>
    <w:rsid w:val="00910D24"/>
    <w:rsid w:val="00913364"/>
    <w:rsid w:val="00931414"/>
    <w:rsid w:val="0093232A"/>
    <w:rsid w:val="00934E86"/>
    <w:rsid w:val="0093539F"/>
    <w:rsid w:val="009353D0"/>
    <w:rsid w:val="009369BE"/>
    <w:rsid w:val="00937F92"/>
    <w:rsid w:val="00943F34"/>
    <w:rsid w:val="0094526B"/>
    <w:rsid w:val="00952B52"/>
    <w:rsid w:val="00953F00"/>
    <w:rsid w:val="00956827"/>
    <w:rsid w:val="00956F56"/>
    <w:rsid w:val="00960956"/>
    <w:rsid w:val="00960B77"/>
    <w:rsid w:val="00964A3C"/>
    <w:rsid w:val="009838E8"/>
    <w:rsid w:val="00990155"/>
    <w:rsid w:val="00992F5B"/>
    <w:rsid w:val="00992FF1"/>
    <w:rsid w:val="009A3555"/>
    <w:rsid w:val="009A3991"/>
    <w:rsid w:val="009A4603"/>
    <w:rsid w:val="009A4D9E"/>
    <w:rsid w:val="009A5B42"/>
    <w:rsid w:val="009B0595"/>
    <w:rsid w:val="009B0B55"/>
    <w:rsid w:val="009B6145"/>
    <w:rsid w:val="009B7CD6"/>
    <w:rsid w:val="009C0457"/>
    <w:rsid w:val="009C3053"/>
    <w:rsid w:val="009C348F"/>
    <w:rsid w:val="009C6910"/>
    <w:rsid w:val="009D534D"/>
    <w:rsid w:val="009E1B73"/>
    <w:rsid w:val="009E2438"/>
    <w:rsid w:val="009E5A7B"/>
    <w:rsid w:val="009E702D"/>
    <w:rsid w:val="009E761C"/>
    <w:rsid w:val="009F52BE"/>
    <w:rsid w:val="009F7109"/>
    <w:rsid w:val="00A03848"/>
    <w:rsid w:val="00A22528"/>
    <w:rsid w:val="00A22DE9"/>
    <w:rsid w:val="00A248D0"/>
    <w:rsid w:val="00A27B5A"/>
    <w:rsid w:val="00A30A1E"/>
    <w:rsid w:val="00A41385"/>
    <w:rsid w:val="00A431C4"/>
    <w:rsid w:val="00A46900"/>
    <w:rsid w:val="00A6385C"/>
    <w:rsid w:val="00A643FC"/>
    <w:rsid w:val="00A64B52"/>
    <w:rsid w:val="00A65C81"/>
    <w:rsid w:val="00A67122"/>
    <w:rsid w:val="00A70B06"/>
    <w:rsid w:val="00A7391F"/>
    <w:rsid w:val="00A8686A"/>
    <w:rsid w:val="00A87B1D"/>
    <w:rsid w:val="00A93664"/>
    <w:rsid w:val="00AB4E4B"/>
    <w:rsid w:val="00AB4E9F"/>
    <w:rsid w:val="00AB509A"/>
    <w:rsid w:val="00AB6CDF"/>
    <w:rsid w:val="00AB78FD"/>
    <w:rsid w:val="00AB79C0"/>
    <w:rsid w:val="00AC22DE"/>
    <w:rsid w:val="00AD31E7"/>
    <w:rsid w:val="00AD626B"/>
    <w:rsid w:val="00AE35EA"/>
    <w:rsid w:val="00AE3BE8"/>
    <w:rsid w:val="00AE3EEF"/>
    <w:rsid w:val="00AE4553"/>
    <w:rsid w:val="00AF59EB"/>
    <w:rsid w:val="00AF690B"/>
    <w:rsid w:val="00B04295"/>
    <w:rsid w:val="00B05067"/>
    <w:rsid w:val="00B06467"/>
    <w:rsid w:val="00B07694"/>
    <w:rsid w:val="00B10512"/>
    <w:rsid w:val="00B11848"/>
    <w:rsid w:val="00B12E46"/>
    <w:rsid w:val="00B12FA4"/>
    <w:rsid w:val="00B2089E"/>
    <w:rsid w:val="00B25440"/>
    <w:rsid w:val="00B35025"/>
    <w:rsid w:val="00B352D7"/>
    <w:rsid w:val="00B425D9"/>
    <w:rsid w:val="00B43D42"/>
    <w:rsid w:val="00B51452"/>
    <w:rsid w:val="00B53DEB"/>
    <w:rsid w:val="00B5502D"/>
    <w:rsid w:val="00B550A3"/>
    <w:rsid w:val="00B568B8"/>
    <w:rsid w:val="00B6007D"/>
    <w:rsid w:val="00B63783"/>
    <w:rsid w:val="00B64CFB"/>
    <w:rsid w:val="00B64FC1"/>
    <w:rsid w:val="00B736B1"/>
    <w:rsid w:val="00B809C5"/>
    <w:rsid w:val="00B80F86"/>
    <w:rsid w:val="00B86961"/>
    <w:rsid w:val="00B8739F"/>
    <w:rsid w:val="00B9451B"/>
    <w:rsid w:val="00B94622"/>
    <w:rsid w:val="00B9764F"/>
    <w:rsid w:val="00BA4D3C"/>
    <w:rsid w:val="00BA5B6D"/>
    <w:rsid w:val="00BB4F25"/>
    <w:rsid w:val="00BC2312"/>
    <w:rsid w:val="00BD020C"/>
    <w:rsid w:val="00BD36C2"/>
    <w:rsid w:val="00BD6565"/>
    <w:rsid w:val="00BD6BD3"/>
    <w:rsid w:val="00BD7A91"/>
    <w:rsid w:val="00BE257B"/>
    <w:rsid w:val="00BE3CDF"/>
    <w:rsid w:val="00BE6E3E"/>
    <w:rsid w:val="00BF0EED"/>
    <w:rsid w:val="00BF2CCD"/>
    <w:rsid w:val="00BF444A"/>
    <w:rsid w:val="00C0124F"/>
    <w:rsid w:val="00C01917"/>
    <w:rsid w:val="00C06817"/>
    <w:rsid w:val="00C11AD3"/>
    <w:rsid w:val="00C16378"/>
    <w:rsid w:val="00C16957"/>
    <w:rsid w:val="00C23329"/>
    <w:rsid w:val="00C318E1"/>
    <w:rsid w:val="00C333E8"/>
    <w:rsid w:val="00C33F74"/>
    <w:rsid w:val="00C40456"/>
    <w:rsid w:val="00C47A35"/>
    <w:rsid w:val="00C5133B"/>
    <w:rsid w:val="00C546EC"/>
    <w:rsid w:val="00C57989"/>
    <w:rsid w:val="00C60448"/>
    <w:rsid w:val="00C62563"/>
    <w:rsid w:val="00C7711F"/>
    <w:rsid w:val="00C80BC5"/>
    <w:rsid w:val="00C80E5C"/>
    <w:rsid w:val="00C82309"/>
    <w:rsid w:val="00C82D57"/>
    <w:rsid w:val="00C954BA"/>
    <w:rsid w:val="00C95FD7"/>
    <w:rsid w:val="00C96B48"/>
    <w:rsid w:val="00CA04BD"/>
    <w:rsid w:val="00CB1E51"/>
    <w:rsid w:val="00CC082C"/>
    <w:rsid w:val="00CC3093"/>
    <w:rsid w:val="00CC31FB"/>
    <w:rsid w:val="00CD01DE"/>
    <w:rsid w:val="00CD06FC"/>
    <w:rsid w:val="00CD58D9"/>
    <w:rsid w:val="00CE1834"/>
    <w:rsid w:val="00CE432D"/>
    <w:rsid w:val="00CE4344"/>
    <w:rsid w:val="00CF017E"/>
    <w:rsid w:val="00CF2AC5"/>
    <w:rsid w:val="00CF3A94"/>
    <w:rsid w:val="00CF486D"/>
    <w:rsid w:val="00CF7D7C"/>
    <w:rsid w:val="00D00ADC"/>
    <w:rsid w:val="00D01F40"/>
    <w:rsid w:val="00D05B59"/>
    <w:rsid w:val="00D124F3"/>
    <w:rsid w:val="00D143EC"/>
    <w:rsid w:val="00D144C0"/>
    <w:rsid w:val="00D154EE"/>
    <w:rsid w:val="00D167CB"/>
    <w:rsid w:val="00D207E1"/>
    <w:rsid w:val="00D258DE"/>
    <w:rsid w:val="00D26FBF"/>
    <w:rsid w:val="00D32549"/>
    <w:rsid w:val="00D334D4"/>
    <w:rsid w:val="00D34DF8"/>
    <w:rsid w:val="00D37D7E"/>
    <w:rsid w:val="00D42B58"/>
    <w:rsid w:val="00D43528"/>
    <w:rsid w:val="00D476BC"/>
    <w:rsid w:val="00D54CA2"/>
    <w:rsid w:val="00D55933"/>
    <w:rsid w:val="00D62518"/>
    <w:rsid w:val="00D650E3"/>
    <w:rsid w:val="00D660A0"/>
    <w:rsid w:val="00D7728E"/>
    <w:rsid w:val="00D77FF1"/>
    <w:rsid w:val="00D80AF4"/>
    <w:rsid w:val="00D81E11"/>
    <w:rsid w:val="00D82D18"/>
    <w:rsid w:val="00D870BF"/>
    <w:rsid w:val="00D93AC8"/>
    <w:rsid w:val="00D94D47"/>
    <w:rsid w:val="00D970D7"/>
    <w:rsid w:val="00DA1EC4"/>
    <w:rsid w:val="00DA3570"/>
    <w:rsid w:val="00DA3DDF"/>
    <w:rsid w:val="00DA4844"/>
    <w:rsid w:val="00DB2251"/>
    <w:rsid w:val="00DB7BDF"/>
    <w:rsid w:val="00DC009E"/>
    <w:rsid w:val="00DD0FE8"/>
    <w:rsid w:val="00DD1DB6"/>
    <w:rsid w:val="00DD21B8"/>
    <w:rsid w:val="00DD3042"/>
    <w:rsid w:val="00DD518E"/>
    <w:rsid w:val="00DD63BA"/>
    <w:rsid w:val="00DE0F71"/>
    <w:rsid w:val="00DE5615"/>
    <w:rsid w:val="00DE5BD2"/>
    <w:rsid w:val="00DE7253"/>
    <w:rsid w:val="00DF08B5"/>
    <w:rsid w:val="00DF3FD2"/>
    <w:rsid w:val="00DF6D28"/>
    <w:rsid w:val="00DF7B2C"/>
    <w:rsid w:val="00E019A8"/>
    <w:rsid w:val="00E03CBB"/>
    <w:rsid w:val="00E07102"/>
    <w:rsid w:val="00E13A72"/>
    <w:rsid w:val="00E14410"/>
    <w:rsid w:val="00E1490C"/>
    <w:rsid w:val="00E204EF"/>
    <w:rsid w:val="00E258CB"/>
    <w:rsid w:val="00E271DE"/>
    <w:rsid w:val="00E45ECF"/>
    <w:rsid w:val="00E46481"/>
    <w:rsid w:val="00E46DD3"/>
    <w:rsid w:val="00E47FEC"/>
    <w:rsid w:val="00E54052"/>
    <w:rsid w:val="00E54332"/>
    <w:rsid w:val="00E544D3"/>
    <w:rsid w:val="00E54E60"/>
    <w:rsid w:val="00E57439"/>
    <w:rsid w:val="00E7634A"/>
    <w:rsid w:val="00E77BE7"/>
    <w:rsid w:val="00E81734"/>
    <w:rsid w:val="00E859EE"/>
    <w:rsid w:val="00E86440"/>
    <w:rsid w:val="00E86AB0"/>
    <w:rsid w:val="00E87878"/>
    <w:rsid w:val="00E90A0B"/>
    <w:rsid w:val="00E93CC7"/>
    <w:rsid w:val="00EA08A9"/>
    <w:rsid w:val="00EA1417"/>
    <w:rsid w:val="00EA7DB5"/>
    <w:rsid w:val="00EB6488"/>
    <w:rsid w:val="00EB75DE"/>
    <w:rsid w:val="00EB7A70"/>
    <w:rsid w:val="00EB7F44"/>
    <w:rsid w:val="00EC2478"/>
    <w:rsid w:val="00EC56E2"/>
    <w:rsid w:val="00EC7F36"/>
    <w:rsid w:val="00ED52A6"/>
    <w:rsid w:val="00EE04C2"/>
    <w:rsid w:val="00EE5F44"/>
    <w:rsid w:val="00EE6C01"/>
    <w:rsid w:val="00EF06D7"/>
    <w:rsid w:val="00EF4140"/>
    <w:rsid w:val="00EF7AD5"/>
    <w:rsid w:val="00F01A26"/>
    <w:rsid w:val="00F01F28"/>
    <w:rsid w:val="00F04B61"/>
    <w:rsid w:val="00F07841"/>
    <w:rsid w:val="00F26FC8"/>
    <w:rsid w:val="00F27D2E"/>
    <w:rsid w:val="00F3637C"/>
    <w:rsid w:val="00F36DD9"/>
    <w:rsid w:val="00F42092"/>
    <w:rsid w:val="00F435DF"/>
    <w:rsid w:val="00F448E8"/>
    <w:rsid w:val="00F47A96"/>
    <w:rsid w:val="00F528AC"/>
    <w:rsid w:val="00F52CD0"/>
    <w:rsid w:val="00F550C8"/>
    <w:rsid w:val="00F574CF"/>
    <w:rsid w:val="00F63B7B"/>
    <w:rsid w:val="00F63DEB"/>
    <w:rsid w:val="00F66AAD"/>
    <w:rsid w:val="00F7799D"/>
    <w:rsid w:val="00F80698"/>
    <w:rsid w:val="00F85FF5"/>
    <w:rsid w:val="00F906C2"/>
    <w:rsid w:val="00F943EC"/>
    <w:rsid w:val="00FA055B"/>
    <w:rsid w:val="00FA35D1"/>
    <w:rsid w:val="00FA5073"/>
    <w:rsid w:val="00FA6961"/>
    <w:rsid w:val="00FB0454"/>
    <w:rsid w:val="00FB0CDA"/>
    <w:rsid w:val="00FB159D"/>
    <w:rsid w:val="00FB1FCD"/>
    <w:rsid w:val="00FB2D3D"/>
    <w:rsid w:val="00FB4195"/>
    <w:rsid w:val="00FB4EAD"/>
    <w:rsid w:val="00FB6C02"/>
    <w:rsid w:val="00FB7409"/>
    <w:rsid w:val="00FC07B0"/>
    <w:rsid w:val="00FC2105"/>
    <w:rsid w:val="00FC25C9"/>
    <w:rsid w:val="00FD1B57"/>
    <w:rsid w:val="00FD4D36"/>
    <w:rsid w:val="00FE1DC6"/>
    <w:rsid w:val="00FE2F92"/>
    <w:rsid w:val="00FF2B38"/>
    <w:rsid w:val="00FF39A0"/>
    <w:rsid w:val="00FF4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C0B782"/>
  <w15:docId w15:val="{A70521EB-61EA-40A5-8033-9835B6588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8DE"/>
    <w:pPr>
      <w:overflowPunct w:val="0"/>
      <w:autoSpaceDE w:val="0"/>
      <w:autoSpaceDN w:val="0"/>
      <w:adjustRightInd w:val="0"/>
      <w:textAlignment w:val="baseline"/>
    </w:pPr>
  </w:style>
  <w:style w:type="paragraph" w:styleId="Heading1">
    <w:name w:val="heading 1"/>
    <w:basedOn w:val="Normal"/>
    <w:next w:val="Normal"/>
    <w:link w:val="Heading1Char"/>
    <w:qFormat/>
    <w:rsid w:val="00363A59"/>
    <w:pPr>
      <w:keepNext/>
      <w:tabs>
        <w:tab w:val="left" w:pos="-720"/>
        <w:tab w:val="left" w:pos="0"/>
        <w:tab w:val="left" w:pos="720"/>
      </w:tabs>
      <w:suppressAutoHyphens/>
      <w:ind w:left="1440" w:hanging="1440"/>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Style 15,ft,Style 40 Char Char,Style 40 Char,Footnote Text Char Char,Footnote Text Char Char Char,Footnote Text Char Char Char Char Char Char Char Char Char Char Char Char Char Char Char Char Char,Car,Footnote Text Char1"/>
    <w:basedOn w:val="Normal"/>
    <w:link w:val="FootnoteTextChar"/>
    <w:uiPriority w:val="99"/>
    <w:qFormat/>
    <w:rsid w:val="000C3833"/>
  </w:style>
  <w:style w:type="character" w:styleId="FootnoteReference">
    <w:name w:val="footnote reference"/>
    <w:aliases w:val="Footnote Reference Superscript,SUPERS,BVI fnr,Footnote symbol,Footnote,(Footnote Reference),Footnote reference number,note TESI,EN Footnote Reference,Voetnootverwijzing,Times 10 Point,Exposant 3 Point,Appel note de bas d,fr,Style 19"/>
    <w:basedOn w:val="DefaultParagraphFont"/>
    <w:uiPriority w:val="99"/>
    <w:qFormat/>
    <w:rsid w:val="000C3833"/>
    <w:rPr>
      <w:vertAlign w:val="superscript"/>
    </w:rPr>
  </w:style>
  <w:style w:type="paragraph" w:styleId="BodyText">
    <w:name w:val="Body Text"/>
    <w:basedOn w:val="Normal"/>
    <w:rsid w:val="00044F77"/>
    <w:pPr>
      <w:overflowPunct/>
      <w:autoSpaceDE/>
      <w:autoSpaceDN/>
      <w:adjustRightInd/>
      <w:jc w:val="both"/>
      <w:textAlignment w:val="auto"/>
    </w:pPr>
    <w:rPr>
      <w:sz w:val="24"/>
      <w:szCs w:val="24"/>
    </w:rPr>
  </w:style>
  <w:style w:type="character" w:customStyle="1" w:styleId="DeltaViewInsertion">
    <w:name w:val="DeltaView Insertion"/>
    <w:rsid w:val="00B43D42"/>
    <w:rPr>
      <w:color w:val="0000FF"/>
      <w:spacing w:val="0"/>
      <w:u w:val="double"/>
    </w:rPr>
  </w:style>
  <w:style w:type="paragraph" w:styleId="Header">
    <w:name w:val="header"/>
    <w:basedOn w:val="Normal"/>
    <w:link w:val="HeaderChar"/>
    <w:uiPriority w:val="99"/>
    <w:rsid w:val="006927A2"/>
    <w:pPr>
      <w:tabs>
        <w:tab w:val="center" w:pos="4680"/>
        <w:tab w:val="right" w:pos="9360"/>
      </w:tabs>
    </w:pPr>
  </w:style>
  <w:style w:type="character" w:customStyle="1" w:styleId="HeaderChar">
    <w:name w:val="Header Char"/>
    <w:basedOn w:val="DefaultParagraphFont"/>
    <w:link w:val="Header"/>
    <w:uiPriority w:val="99"/>
    <w:rsid w:val="006927A2"/>
  </w:style>
  <w:style w:type="paragraph" w:styleId="Footer">
    <w:name w:val="footer"/>
    <w:basedOn w:val="Normal"/>
    <w:link w:val="FooterChar"/>
    <w:rsid w:val="006927A2"/>
    <w:pPr>
      <w:tabs>
        <w:tab w:val="center" w:pos="4680"/>
        <w:tab w:val="right" w:pos="9360"/>
      </w:tabs>
    </w:pPr>
  </w:style>
  <w:style w:type="character" w:customStyle="1" w:styleId="FooterChar">
    <w:name w:val="Footer Char"/>
    <w:basedOn w:val="DefaultParagraphFont"/>
    <w:link w:val="Footer"/>
    <w:rsid w:val="006927A2"/>
  </w:style>
  <w:style w:type="character" w:customStyle="1" w:styleId="FootnoteTextChar">
    <w:name w:val="Footnote Text Char"/>
    <w:aliases w:val="fn Char,ALTS FOOTNOTE Char,Style 15 Char,ft Char,Style 40 Char Char Char,Style 40 Char Char1,Footnote Text Char Char Char1,Footnote Text Char Char Char Char,Car Char,Footnote Text Char1 Char"/>
    <w:basedOn w:val="DefaultParagraphFont"/>
    <w:link w:val="FootnoteText"/>
    <w:uiPriority w:val="99"/>
    <w:locked/>
    <w:rsid w:val="005B2E2B"/>
  </w:style>
  <w:style w:type="character" w:customStyle="1" w:styleId="FootnoteTextChar2">
    <w:name w:val="Footnote Text Char2"/>
    <w:aliases w:val="Style 15 Char1,Car Char1,fn Char1,ALTS FOOTNOTE Char1,Footnote Text Char Char Char Char Char Char Char Char Char Char Char Char Char Char Char Char Char Char1,Footnote Text Char1 Char1,ft Char1,Footnote Text Char Char Char2"/>
    <w:uiPriority w:val="99"/>
    <w:locked/>
    <w:rsid w:val="00207381"/>
    <w:rPr>
      <w:sz w:val="24"/>
    </w:rPr>
  </w:style>
  <w:style w:type="paragraph" w:styleId="BalloonText">
    <w:name w:val="Balloon Text"/>
    <w:basedOn w:val="Normal"/>
    <w:link w:val="BalloonTextChar"/>
    <w:rsid w:val="0066688A"/>
    <w:rPr>
      <w:rFonts w:ascii="Tahoma" w:hAnsi="Tahoma" w:cs="Tahoma"/>
      <w:sz w:val="16"/>
      <w:szCs w:val="16"/>
    </w:rPr>
  </w:style>
  <w:style w:type="character" w:customStyle="1" w:styleId="BalloonTextChar">
    <w:name w:val="Balloon Text Char"/>
    <w:basedOn w:val="DefaultParagraphFont"/>
    <w:link w:val="BalloonText"/>
    <w:rsid w:val="0066688A"/>
    <w:rPr>
      <w:rFonts w:ascii="Tahoma" w:hAnsi="Tahoma" w:cs="Tahoma"/>
      <w:sz w:val="16"/>
      <w:szCs w:val="16"/>
    </w:rPr>
  </w:style>
  <w:style w:type="paragraph" w:customStyle="1" w:styleId="Default">
    <w:name w:val="Default"/>
    <w:rsid w:val="00DE5615"/>
    <w:pPr>
      <w:autoSpaceDE w:val="0"/>
      <w:autoSpaceDN w:val="0"/>
      <w:adjustRightInd w:val="0"/>
    </w:pPr>
    <w:rPr>
      <w:color w:val="000000"/>
      <w:sz w:val="24"/>
      <w:szCs w:val="24"/>
    </w:rPr>
  </w:style>
  <w:style w:type="character" w:styleId="CommentReference">
    <w:name w:val="annotation reference"/>
    <w:basedOn w:val="DefaultParagraphFont"/>
    <w:rsid w:val="00960B77"/>
    <w:rPr>
      <w:sz w:val="16"/>
      <w:szCs w:val="16"/>
    </w:rPr>
  </w:style>
  <w:style w:type="paragraph" w:styleId="CommentText">
    <w:name w:val="annotation text"/>
    <w:basedOn w:val="Normal"/>
    <w:link w:val="CommentTextChar"/>
    <w:rsid w:val="00960B77"/>
  </w:style>
  <w:style w:type="character" w:customStyle="1" w:styleId="CommentTextChar">
    <w:name w:val="Comment Text Char"/>
    <w:basedOn w:val="DefaultParagraphFont"/>
    <w:link w:val="CommentText"/>
    <w:rsid w:val="00960B77"/>
  </w:style>
  <w:style w:type="paragraph" w:styleId="CommentSubject">
    <w:name w:val="annotation subject"/>
    <w:basedOn w:val="CommentText"/>
    <w:next w:val="CommentText"/>
    <w:link w:val="CommentSubjectChar"/>
    <w:rsid w:val="00960B77"/>
    <w:rPr>
      <w:b/>
      <w:bCs/>
    </w:rPr>
  </w:style>
  <w:style w:type="character" w:customStyle="1" w:styleId="CommentSubjectChar">
    <w:name w:val="Comment Subject Char"/>
    <w:basedOn w:val="CommentTextChar"/>
    <w:link w:val="CommentSubject"/>
    <w:rsid w:val="00960B77"/>
    <w:rPr>
      <w:b/>
      <w:bCs/>
    </w:rPr>
  </w:style>
  <w:style w:type="paragraph" w:styleId="EndnoteText">
    <w:name w:val="endnote text"/>
    <w:basedOn w:val="Normal"/>
    <w:link w:val="EndnoteTextChar"/>
    <w:rsid w:val="001B07C0"/>
  </w:style>
  <w:style w:type="character" w:customStyle="1" w:styleId="EndnoteTextChar">
    <w:name w:val="Endnote Text Char"/>
    <w:basedOn w:val="DefaultParagraphFont"/>
    <w:link w:val="EndnoteText"/>
    <w:rsid w:val="001B07C0"/>
  </w:style>
  <w:style w:type="character" w:styleId="EndnoteReference">
    <w:name w:val="endnote reference"/>
    <w:basedOn w:val="DefaultParagraphFont"/>
    <w:rsid w:val="001B07C0"/>
    <w:rPr>
      <w:vertAlign w:val="superscript"/>
    </w:rPr>
  </w:style>
  <w:style w:type="character" w:customStyle="1" w:styleId="Heading1Char">
    <w:name w:val="Heading 1 Char"/>
    <w:basedOn w:val="DefaultParagraphFont"/>
    <w:link w:val="Heading1"/>
    <w:rsid w:val="00363A59"/>
    <w:rPr>
      <w:b/>
      <w:sz w:val="24"/>
      <w:szCs w:val="24"/>
    </w:rPr>
  </w:style>
  <w:style w:type="paragraph" w:styleId="Title">
    <w:name w:val="Title"/>
    <w:basedOn w:val="Heading1"/>
    <w:next w:val="Normal"/>
    <w:link w:val="TitleChar"/>
    <w:qFormat/>
    <w:rsid w:val="002216DB"/>
    <w:pPr>
      <w:jc w:val="center"/>
    </w:pPr>
  </w:style>
  <w:style w:type="character" w:customStyle="1" w:styleId="TitleChar">
    <w:name w:val="Title Char"/>
    <w:basedOn w:val="DefaultParagraphFont"/>
    <w:link w:val="Title"/>
    <w:rsid w:val="002216DB"/>
    <w:rPr>
      <w:b/>
      <w:sz w:val="24"/>
      <w:szCs w:val="24"/>
    </w:rPr>
  </w:style>
  <w:style w:type="character" w:styleId="Hyperlink">
    <w:name w:val="Hyperlink"/>
    <w:basedOn w:val="DefaultParagraphFont"/>
    <w:uiPriority w:val="99"/>
    <w:unhideWhenUsed/>
    <w:rsid w:val="00A248D0"/>
    <w:rPr>
      <w:color w:val="0000FF"/>
      <w:u w:val="single"/>
    </w:rPr>
  </w:style>
  <w:style w:type="paragraph" w:styleId="ListParagraph">
    <w:name w:val="List Paragraph"/>
    <w:basedOn w:val="Normal"/>
    <w:uiPriority w:val="34"/>
    <w:qFormat/>
    <w:rsid w:val="00B05067"/>
    <w:pPr>
      <w:overflowPunct/>
      <w:autoSpaceDE/>
      <w:autoSpaceDN/>
      <w:adjustRightInd/>
      <w:ind w:left="720"/>
      <w:textAlignment w:val="auto"/>
    </w:pPr>
    <w:rPr>
      <w:rFonts w:ascii="Calibri" w:eastAsiaTheme="minorHAnsi" w:hAnsi="Calibri" w:cs="Calibri"/>
      <w:sz w:val="22"/>
      <w:szCs w:val="22"/>
    </w:rPr>
  </w:style>
  <w:style w:type="table" w:styleId="GridTable1Light-Accent1">
    <w:name w:val="Grid Table 1 Light Accent 1"/>
    <w:basedOn w:val="TableNormal"/>
    <w:uiPriority w:val="46"/>
    <w:rsid w:val="00051C5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326797">
      <w:bodyDiv w:val="1"/>
      <w:marLeft w:val="0"/>
      <w:marRight w:val="0"/>
      <w:marTop w:val="0"/>
      <w:marBottom w:val="0"/>
      <w:divBdr>
        <w:top w:val="none" w:sz="0" w:space="0" w:color="auto"/>
        <w:left w:val="none" w:sz="0" w:space="0" w:color="auto"/>
        <w:bottom w:val="none" w:sz="0" w:space="0" w:color="auto"/>
        <w:right w:val="none" w:sz="0" w:space="0" w:color="auto"/>
      </w:divBdr>
      <w:divsChild>
        <w:div w:id="1530140902">
          <w:marLeft w:val="0"/>
          <w:marRight w:val="0"/>
          <w:marTop w:val="0"/>
          <w:marBottom w:val="0"/>
          <w:divBdr>
            <w:top w:val="none" w:sz="0" w:space="0" w:color="auto"/>
            <w:left w:val="none" w:sz="0" w:space="0" w:color="auto"/>
            <w:bottom w:val="none" w:sz="0" w:space="0" w:color="auto"/>
            <w:right w:val="none" w:sz="0" w:space="0" w:color="auto"/>
          </w:divBdr>
          <w:divsChild>
            <w:div w:id="90779236">
              <w:marLeft w:val="0"/>
              <w:marRight w:val="0"/>
              <w:marTop w:val="0"/>
              <w:marBottom w:val="0"/>
              <w:divBdr>
                <w:top w:val="none" w:sz="0" w:space="0" w:color="auto"/>
                <w:left w:val="none" w:sz="0" w:space="0" w:color="auto"/>
                <w:bottom w:val="none" w:sz="0" w:space="0" w:color="auto"/>
                <w:right w:val="none" w:sz="0" w:space="0" w:color="auto"/>
              </w:divBdr>
              <w:divsChild>
                <w:div w:id="504976787">
                  <w:marLeft w:val="0"/>
                  <w:marRight w:val="0"/>
                  <w:marTop w:val="0"/>
                  <w:marBottom w:val="0"/>
                  <w:divBdr>
                    <w:top w:val="none" w:sz="0" w:space="0" w:color="auto"/>
                    <w:left w:val="none" w:sz="0" w:space="0" w:color="auto"/>
                    <w:bottom w:val="none" w:sz="0" w:space="0" w:color="auto"/>
                    <w:right w:val="none" w:sz="0" w:space="0" w:color="auto"/>
                  </w:divBdr>
                  <w:divsChild>
                    <w:div w:id="1230767395">
                      <w:marLeft w:val="0"/>
                      <w:marRight w:val="0"/>
                      <w:marTop w:val="0"/>
                      <w:marBottom w:val="0"/>
                      <w:divBdr>
                        <w:top w:val="none" w:sz="0" w:space="0" w:color="auto"/>
                        <w:left w:val="none" w:sz="0" w:space="0" w:color="auto"/>
                        <w:bottom w:val="none" w:sz="0" w:space="0" w:color="auto"/>
                        <w:right w:val="none" w:sz="0" w:space="0" w:color="auto"/>
                      </w:divBdr>
                      <w:divsChild>
                        <w:div w:id="2119567996">
                          <w:marLeft w:val="0"/>
                          <w:marRight w:val="0"/>
                          <w:marTop w:val="0"/>
                          <w:marBottom w:val="0"/>
                          <w:divBdr>
                            <w:top w:val="none" w:sz="0" w:space="0" w:color="auto"/>
                            <w:left w:val="none" w:sz="0" w:space="0" w:color="auto"/>
                            <w:bottom w:val="none" w:sz="0" w:space="0" w:color="auto"/>
                            <w:right w:val="none" w:sz="0" w:space="0" w:color="auto"/>
                          </w:divBdr>
                          <w:divsChild>
                            <w:div w:id="1300113180">
                              <w:marLeft w:val="0"/>
                              <w:marRight w:val="0"/>
                              <w:marTop w:val="0"/>
                              <w:marBottom w:val="0"/>
                              <w:divBdr>
                                <w:top w:val="none" w:sz="0" w:space="0" w:color="auto"/>
                                <w:left w:val="none" w:sz="0" w:space="0" w:color="auto"/>
                                <w:bottom w:val="none" w:sz="0" w:space="0" w:color="auto"/>
                                <w:right w:val="none" w:sz="0" w:space="0" w:color="auto"/>
                              </w:divBdr>
                              <w:divsChild>
                                <w:div w:id="1857378896">
                                  <w:marLeft w:val="0"/>
                                  <w:marRight w:val="0"/>
                                  <w:marTop w:val="0"/>
                                  <w:marBottom w:val="0"/>
                                  <w:divBdr>
                                    <w:top w:val="none" w:sz="0" w:space="0" w:color="auto"/>
                                    <w:left w:val="none" w:sz="0" w:space="0" w:color="auto"/>
                                    <w:bottom w:val="none" w:sz="0" w:space="0" w:color="auto"/>
                                    <w:right w:val="none" w:sz="0" w:space="0" w:color="auto"/>
                                  </w:divBdr>
                                  <w:divsChild>
                                    <w:div w:id="726344376">
                                      <w:marLeft w:val="0"/>
                                      <w:marRight w:val="0"/>
                                      <w:marTop w:val="0"/>
                                      <w:marBottom w:val="0"/>
                                      <w:divBdr>
                                        <w:top w:val="none" w:sz="0" w:space="0" w:color="auto"/>
                                        <w:left w:val="none" w:sz="0" w:space="0" w:color="auto"/>
                                        <w:bottom w:val="none" w:sz="0" w:space="0" w:color="auto"/>
                                        <w:right w:val="none" w:sz="0" w:space="0" w:color="auto"/>
                                      </w:divBdr>
                                      <w:divsChild>
                                        <w:div w:id="1637028663">
                                          <w:marLeft w:val="0"/>
                                          <w:marRight w:val="0"/>
                                          <w:marTop w:val="0"/>
                                          <w:marBottom w:val="0"/>
                                          <w:divBdr>
                                            <w:top w:val="none" w:sz="0" w:space="0" w:color="auto"/>
                                            <w:left w:val="none" w:sz="0" w:space="0" w:color="auto"/>
                                            <w:bottom w:val="none" w:sz="0" w:space="0" w:color="auto"/>
                                            <w:right w:val="none" w:sz="0" w:space="0" w:color="auto"/>
                                          </w:divBdr>
                                          <w:divsChild>
                                            <w:div w:id="912936044">
                                              <w:marLeft w:val="0"/>
                                              <w:marRight w:val="0"/>
                                              <w:marTop w:val="0"/>
                                              <w:marBottom w:val="0"/>
                                              <w:divBdr>
                                                <w:top w:val="none" w:sz="0" w:space="0" w:color="auto"/>
                                                <w:left w:val="none" w:sz="0" w:space="0" w:color="auto"/>
                                                <w:bottom w:val="none" w:sz="0" w:space="0" w:color="auto"/>
                                                <w:right w:val="none" w:sz="0" w:space="0" w:color="auto"/>
                                              </w:divBdr>
                                              <w:divsChild>
                                                <w:div w:id="116674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3924703">
      <w:bodyDiv w:val="1"/>
      <w:marLeft w:val="0"/>
      <w:marRight w:val="0"/>
      <w:marTop w:val="0"/>
      <w:marBottom w:val="0"/>
      <w:divBdr>
        <w:top w:val="none" w:sz="0" w:space="0" w:color="auto"/>
        <w:left w:val="none" w:sz="0" w:space="0" w:color="auto"/>
        <w:bottom w:val="none" w:sz="0" w:space="0" w:color="auto"/>
        <w:right w:val="none" w:sz="0" w:space="0" w:color="auto"/>
      </w:divBdr>
    </w:div>
    <w:div w:id="202948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ec.gov/rules/exorders/2017/34-8214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Supporting Statement" ma:contentTypeID="0x0101008CE57A305FE3344E8586358791CCFB2000C9F78D5E4A2C59459FF625C61217844C" ma:contentTypeVersion="2" ma:contentTypeDescription="" ma:contentTypeScope="" ma:versionID="bf13ecfea42778a5883e3a16349c9ab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270F7-1876-4124-A301-4BC6B4C740F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6DEDCFA-9A50-4A8A-BB83-0C8F43442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5683EC6-322B-4139-8E26-E38AA331655F}">
  <ds:schemaRefs>
    <ds:schemaRef ds:uri="http://schemas.microsoft.com/sharepoint/v3/contenttype/forms"/>
  </ds:schemaRefs>
</ds:datastoreItem>
</file>

<file path=customXml/itemProps4.xml><?xml version="1.0" encoding="utf-8"?>
<ds:datastoreItem xmlns:ds="http://schemas.openxmlformats.org/officeDocument/2006/customXml" ds:itemID="{8E260C45-F173-4105-9C9E-9A91091FC984}">
  <ds:schemaRefs>
    <ds:schemaRef ds:uri="http://schemas.microsoft.com/sharepoint/events"/>
  </ds:schemaRefs>
</ds:datastoreItem>
</file>

<file path=customXml/itemProps5.xml><?xml version="1.0" encoding="utf-8"?>
<ds:datastoreItem xmlns:ds="http://schemas.openxmlformats.org/officeDocument/2006/customXml" ds:itemID="{03470AEA-E811-46CC-B791-7016EBAD7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9</Pages>
  <Words>2648</Words>
  <Characters>14903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Rule 17g-1: Application for registration as a nationally recognized statistical rating organization</vt:lpstr>
    </vt:vector>
  </TitlesOfParts>
  <Company>SEC</Company>
  <LinksUpToDate>false</LinksUpToDate>
  <CharactersWithSpaces>17516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17g-1: Application for registration as a nationally recognized statistical rating organization</dc:title>
  <dc:creator>wellsr</dc:creator>
  <cp:lastModifiedBy>Clague, Leah</cp:lastModifiedBy>
  <cp:revision>7</cp:revision>
  <cp:lastPrinted>2017-03-08T16:08:00Z</cp:lastPrinted>
  <dcterms:created xsi:type="dcterms:W3CDTF">2021-06-10T15:35:00Z</dcterms:created>
  <dcterms:modified xsi:type="dcterms:W3CDTF">2021-06-15T15:46:00Z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181f703f-8e43-4bfb-a6b8-ba5d25122de1</vt:lpwstr>
  </property>
  <property fmtid="{D5CDD505-2E9C-101B-9397-08002B2CF9AE}" pid="3" name="ContentTypeId">
    <vt:lpwstr>0x0101008CE57A305FE3344E8586358791CCFB2000C9F78D5E4A2C59459FF625C61217844C</vt:lpwstr>
  </property>
  <property fmtid="{D5CDD505-2E9C-101B-9397-08002B2CF9AE}" pid="4" name="_dlc_DocId">
    <vt:lpwstr>KKE47E4U7XZ3-2069-5291</vt:lpwstr>
  </property>
  <property fmtid="{D5CDD505-2E9C-101B-9397-08002B2CF9AE}" pid="5" name="_dlc_DocIdUrl">
    <vt:lpwstr>https://collaboration/sites/OIT/pra/_layouts/DocIdRedir.aspx?ID=KKE47E4U7XZ3-2069-5291, KKE47E4U7XZ3-2069-5291</vt:lpwstr>
  </property>
  <property fmtid="{D5CDD505-2E9C-101B-9397-08002B2CF9AE}" pid="6" name="Previously Modified By">
    <vt:lpwstr/>
  </property>
  <property fmtid="{D5CDD505-2E9C-101B-9397-08002B2CF9AE}" pid="7" name="Order">
    <vt:r8>254100</vt:r8>
  </property>
  <property fmtid="{D5CDD505-2E9C-101B-9397-08002B2CF9AE}" pid="8" name="ShowRepairView">
    <vt:lpwstr/>
  </property>
  <property fmtid="{D5CDD505-2E9C-101B-9397-08002B2CF9AE}" pid="9" name="xd_ProgID">
    <vt:lpwstr/>
  </property>
  <property fmtid="{D5CDD505-2E9C-101B-9397-08002B2CF9AE}" pid="10" name="_CopySource">
    <vt:lpwstr>https://collaboration/sites/OIT/pra/ICR Documents/3235-0649-[1408974666669]/Rule 17g-5 Supporting Statement.docx</vt:lpwstr>
  </property>
  <property fmtid="{D5CDD505-2E9C-101B-9397-08002B2CF9AE}" pid="11" name="TemplateUrl">
    <vt:lpwstr/>
  </property>
  <property fmtid="{D5CDD505-2E9C-101B-9397-08002B2CF9AE}" pid="12" name="ShowCombineView">
    <vt:lpwstr/>
  </property>
</Properties>
</file>