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2E23" w:rsidP="000E3975" w:rsidRDefault="00F008D8" w14:paraId="5E3091DD" w14:textId="7EC331EF">
      <w:pPr>
        <w:jc w:val="center"/>
        <w:rPr>
          <w:b/>
        </w:rPr>
      </w:pPr>
      <w:r w:rsidRPr="00512BF2">
        <w:rPr>
          <w:b/>
        </w:rPr>
        <w:t>20</w:t>
      </w:r>
      <w:r>
        <w:rPr>
          <w:b/>
        </w:rPr>
        <w:t>22</w:t>
      </w:r>
    </w:p>
    <w:p w:rsidR="004C544A" w:rsidP="000E3975" w:rsidRDefault="004C544A" w14:paraId="0858A2A8" w14:textId="77777777">
      <w:pPr>
        <w:jc w:val="center"/>
        <w:rPr>
          <w:b/>
        </w:rPr>
      </w:pPr>
      <w:r>
        <w:rPr>
          <w:b/>
        </w:rPr>
        <w:t>U.S. Department of Agriculture</w:t>
      </w:r>
    </w:p>
    <w:p w:rsidR="004C544A" w:rsidP="000E3975" w:rsidRDefault="004C544A" w14:paraId="4B64B290" w14:textId="77777777">
      <w:pPr>
        <w:jc w:val="center"/>
        <w:rPr>
          <w:b/>
        </w:rPr>
      </w:pPr>
      <w:r>
        <w:rPr>
          <w:b/>
        </w:rPr>
        <w:t>Rural Business-Cooperative Service</w:t>
      </w:r>
    </w:p>
    <w:p w:rsidR="004C544A" w:rsidP="000E3975" w:rsidRDefault="004C544A" w14:paraId="71232C9B" w14:textId="77777777">
      <w:pPr>
        <w:jc w:val="center"/>
        <w:rPr>
          <w:b/>
        </w:rPr>
      </w:pPr>
    </w:p>
    <w:p w:rsidRPr="00BD1C2A" w:rsidR="004C544A" w:rsidP="000E3975" w:rsidRDefault="004C544A" w14:paraId="6D731E88" w14:textId="77777777">
      <w:pPr>
        <w:jc w:val="center"/>
        <w:rPr>
          <w:b/>
        </w:rPr>
      </w:pPr>
      <w:r w:rsidRPr="00BD1C2A">
        <w:rPr>
          <w:b/>
        </w:rPr>
        <w:t>SUPPORTING STATEMENT</w:t>
      </w:r>
    </w:p>
    <w:p w:rsidR="00502E23" w:rsidP="000E3975" w:rsidRDefault="00502E23" w14:paraId="74673AB8" w14:textId="77777777">
      <w:pPr>
        <w:jc w:val="center"/>
        <w:rPr>
          <w:b/>
        </w:rPr>
      </w:pPr>
      <w:r w:rsidRPr="00BD1C2A">
        <w:rPr>
          <w:b/>
        </w:rPr>
        <w:t>Value-Added Producer Grants</w:t>
      </w:r>
      <w:r w:rsidR="003F0A4C">
        <w:rPr>
          <w:b/>
        </w:rPr>
        <w:t xml:space="preserve"> </w:t>
      </w:r>
    </w:p>
    <w:p w:rsidR="00B2134F" w:rsidP="000E3975" w:rsidRDefault="00B2134F" w14:paraId="374493AA" w14:textId="77777777">
      <w:pPr>
        <w:jc w:val="center"/>
        <w:rPr>
          <w:b/>
        </w:rPr>
      </w:pPr>
      <w:r>
        <w:rPr>
          <w:b/>
        </w:rPr>
        <w:t xml:space="preserve">Part </w:t>
      </w:r>
      <w:r w:rsidR="009D7BD4">
        <w:rPr>
          <w:b/>
        </w:rPr>
        <w:t>7</w:t>
      </w:r>
      <w:r>
        <w:rPr>
          <w:b/>
        </w:rPr>
        <w:t xml:space="preserve"> CFR 4284, subpart J</w:t>
      </w:r>
    </w:p>
    <w:p w:rsidR="003F0A4C" w:rsidP="000E3975" w:rsidRDefault="004C544A" w14:paraId="5CE1AD1C" w14:textId="77777777">
      <w:pPr>
        <w:jc w:val="center"/>
        <w:rPr>
          <w:b/>
        </w:rPr>
      </w:pPr>
      <w:r>
        <w:rPr>
          <w:b/>
        </w:rPr>
        <w:t xml:space="preserve">OMB Control No. </w:t>
      </w:r>
      <w:r w:rsidR="003F0A4C">
        <w:rPr>
          <w:b/>
        </w:rPr>
        <w:t>0570-</w:t>
      </w:r>
      <w:r w:rsidR="00216454">
        <w:rPr>
          <w:b/>
        </w:rPr>
        <w:t>0064</w:t>
      </w:r>
    </w:p>
    <w:p w:rsidRPr="00BD1C2A" w:rsidR="004C544A" w:rsidP="000E3975" w:rsidRDefault="004C544A" w14:paraId="58BAE888" w14:textId="77777777">
      <w:pPr>
        <w:jc w:val="center"/>
        <w:rPr>
          <w:b/>
        </w:rPr>
      </w:pPr>
    </w:p>
    <w:p w:rsidR="00502E23" w:rsidP="000E3975" w:rsidRDefault="00502E23" w14:paraId="15778FB0" w14:textId="77777777">
      <w:pPr>
        <w:jc w:val="center"/>
      </w:pPr>
    </w:p>
    <w:p w:rsidR="00F76EF9" w:rsidP="000E3975" w:rsidRDefault="00F76EF9" w14:paraId="26D00418" w14:textId="77777777">
      <w:r>
        <w:t>This package is submitted under a regular clearance as an extension of a currently approved collection.</w:t>
      </w:r>
    </w:p>
    <w:p w:rsidR="00F76EF9" w:rsidP="000E3975" w:rsidRDefault="00F76EF9" w14:paraId="1539C631" w14:textId="77777777"/>
    <w:p w:rsidR="003922C4" w:rsidP="000E3975" w:rsidRDefault="003922C4" w14:paraId="6475057D" w14:textId="77777777">
      <w:r>
        <w:t xml:space="preserve">A.  </w:t>
      </w:r>
      <w:r>
        <w:rPr>
          <w:u w:val="single"/>
        </w:rPr>
        <w:t>Justification</w:t>
      </w:r>
    </w:p>
    <w:p w:rsidR="003922C4" w:rsidP="000E3975" w:rsidRDefault="003922C4" w14:paraId="78607562" w14:textId="77777777"/>
    <w:p w:rsidRPr="005E522D" w:rsidR="003922C4" w:rsidP="000E3975" w:rsidRDefault="003922C4" w14:paraId="27841CCD" w14:textId="77777777">
      <w:pPr>
        <w:rPr>
          <w:b/>
          <w:bCs/>
          <w:u w:val="single"/>
        </w:rPr>
      </w:pPr>
      <w:r w:rsidRPr="005E522D">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1C2A" w:rsidP="000E3975" w:rsidRDefault="00BD1C2A" w14:paraId="1251A30A" w14:textId="77777777"/>
    <w:p w:rsidR="00BD1C2A" w:rsidP="000E3975" w:rsidRDefault="00BD1C2A" w14:paraId="60E883CF" w14:textId="38A4BCF7">
      <w:r>
        <w:t xml:space="preserve">The </w:t>
      </w:r>
      <w:r w:rsidR="00B70A2C">
        <w:t>Program Management Division</w:t>
      </w:r>
      <w:r>
        <w:t xml:space="preserve"> within the Rural Business-Cooperative Service administers the Value-Added Producer Grant (VAPG) program with significant support from State Rural Development Offices.  The primary objective of this program is to encourage producers of agricultural commodities to further refine or otherwise add value to these commodities to increase their value to end-users of the product.  These grants encourage greater participation in markets for value-added agricultural products and facilitate opening new markets for value-added agricultural products.  Grants are awarded either for planning purposes such as conducting a feasibility study or developing a business plan or for working capital expenses such as inventory, utilities, and salaries.</w:t>
      </w:r>
    </w:p>
    <w:p w:rsidR="00BD1C2A" w:rsidP="000E3975" w:rsidRDefault="00BD1C2A" w14:paraId="5315797C" w14:textId="77777777"/>
    <w:p w:rsidR="008471FF" w:rsidP="000E3975" w:rsidRDefault="00BD1C2A" w14:paraId="79E2695A" w14:textId="7DCD42E3">
      <w:bookmarkStart w:name="_Hlk76651632" w:id="0"/>
      <w:r>
        <w:t xml:space="preserve">The VAPG program is </w:t>
      </w:r>
      <w:r w:rsidR="000A5317">
        <w:t>currently approved under 0570-</w:t>
      </w:r>
      <w:r w:rsidR="00745236">
        <w:t xml:space="preserve">0064 </w:t>
      </w:r>
      <w:r w:rsidR="000A5317">
        <w:t xml:space="preserve">and is </w:t>
      </w:r>
      <w:r>
        <w:t xml:space="preserve">authorized </w:t>
      </w:r>
      <w:r w:rsidRPr="00F765C1" w:rsidR="00745236">
        <w:t>under section 231 of the Agriculture Risk Protection Act of 2000 (P</w:t>
      </w:r>
      <w:r w:rsidR="00F76EF9">
        <w:t>ub</w:t>
      </w:r>
      <w:r w:rsidRPr="00F765C1" w:rsidR="00745236">
        <w:t xml:space="preserve">. L. 106-224), as amended </w:t>
      </w:r>
      <w:r w:rsidRPr="00215D8B" w:rsidR="00745236">
        <w:t xml:space="preserve">by section </w:t>
      </w:r>
      <w:r w:rsidRPr="00215D8B" w:rsidR="00887EC1">
        <w:t xml:space="preserve">6203 </w:t>
      </w:r>
      <w:r w:rsidRPr="00215D8B" w:rsidR="00745236">
        <w:t xml:space="preserve">of the </w:t>
      </w:r>
      <w:r w:rsidRPr="00215D8B" w:rsidR="00887EC1">
        <w:t>Agricultural Act of 2014</w:t>
      </w:r>
      <w:r w:rsidRPr="00215D8B" w:rsidR="00745236">
        <w:t xml:space="preserve"> </w:t>
      </w:r>
      <w:r w:rsidRPr="00215D8B" w:rsidR="00887EC1">
        <w:t>(P</w:t>
      </w:r>
      <w:r w:rsidR="00D27A5F">
        <w:t>ub</w:t>
      </w:r>
      <w:r w:rsidRPr="00215D8B" w:rsidR="00887EC1">
        <w:t>. L. 113-179) (see 7 U.S.C. 1632a)</w:t>
      </w:r>
      <w:r w:rsidRPr="00215D8B" w:rsidR="00745236">
        <w:t xml:space="preserve">. </w:t>
      </w:r>
      <w:r w:rsidRPr="00215D8B">
        <w:t xml:space="preserve"> Funds are appropriated annually.</w:t>
      </w:r>
      <w:r w:rsidRPr="00215D8B" w:rsidR="00887EC1">
        <w:t xml:space="preserve"> </w:t>
      </w:r>
      <w:r w:rsidRPr="00215D8B">
        <w:t xml:space="preserve"> </w:t>
      </w:r>
      <w:r w:rsidRPr="00215D8B" w:rsidR="00887EC1">
        <w:t xml:space="preserve">In addition, </w:t>
      </w:r>
      <w:r w:rsidR="00916093">
        <w:t>the Consolidated Appropriations Act, 202</w:t>
      </w:r>
      <w:r w:rsidR="003B2037">
        <w:t>1</w:t>
      </w:r>
      <w:r w:rsidR="00916093">
        <w:t>, provides an additional $35 million in funding for COVID-19</w:t>
      </w:r>
      <w:r w:rsidRPr="00215D8B" w:rsidR="00887EC1">
        <w:t>.</w:t>
      </w:r>
      <w:r w:rsidRPr="00215D8B">
        <w:t xml:space="preserve"> </w:t>
      </w:r>
      <w:r w:rsidRPr="00215D8B" w:rsidR="00887EC1">
        <w:t>The</w:t>
      </w:r>
      <w:r w:rsidRPr="00215D8B">
        <w:t xml:space="preserve"> Agency requests grant applications using a Notice once a year in the Federal Registe</w:t>
      </w:r>
      <w:r w:rsidR="000918E7">
        <w:t>r</w:t>
      </w:r>
      <w:r w:rsidRPr="00215D8B">
        <w:t xml:space="preserve">. </w:t>
      </w:r>
      <w:bookmarkEnd w:id="0"/>
      <w:r w:rsidRPr="00215D8B">
        <w:t xml:space="preserve"> </w:t>
      </w:r>
    </w:p>
    <w:p w:rsidR="006B0BEE" w:rsidP="000E3975" w:rsidRDefault="006B0BEE" w14:paraId="7DF0A3B1" w14:textId="77777777"/>
    <w:p w:rsidRPr="005E522D" w:rsidR="00BB3185" w:rsidP="000E3975" w:rsidRDefault="00BB3185" w14:paraId="13C4C333" w14:textId="77777777">
      <w:pPr>
        <w:rPr>
          <w:b/>
          <w:bCs/>
        </w:rPr>
      </w:pPr>
      <w:r w:rsidRPr="005E522D">
        <w:rPr>
          <w:b/>
          <w:bCs/>
        </w:rPr>
        <w:t xml:space="preserve">2.  Indicate how, by whom, and for what purpose the information is to be used.  Except for </w:t>
      </w:r>
      <w:proofErr w:type="gramStart"/>
      <w:r w:rsidRPr="005E522D">
        <w:rPr>
          <w:b/>
          <w:bCs/>
        </w:rPr>
        <w:t>a new collection,</w:t>
      </w:r>
      <w:proofErr w:type="gramEnd"/>
      <w:r w:rsidRPr="005E522D">
        <w:rPr>
          <w:b/>
          <w:bCs/>
        </w:rPr>
        <w:t xml:space="preserve"> indicate the actual use the Agency has made of the information received from the current collection.</w:t>
      </w:r>
    </w:p>
    <w:p w:rsidR="00BD1C2A" w:rsidP="000E3975" w:rsidRDefault="00BD1C2A" w14:paraId="7E8145C7" w14:textId="77777777">
      <w:pPr>
        <w:rPr>
          <w:b/>
        </w:rPr>
      </w:pPr>
    </w:p>
    <w:p w:rsidR="0059085C" w:rsidP="00201D62" w:rsidRDefault="004C544A" w14:paraId="405EE3B8" w14:textId="38C61C41">
      <w:pPr>
        <w:pStyle w:val="BodyTextIndent2"/>
        <w:ind w:right="0" w:firstLine="0"/>
        <w:rPr>
          <w:sz w:val="24"/>
          <w:szCs w:val="24"/>
        </w:rPr>
      </w:pPr>
      <w:r>
        <w:rPr>
          <w:sz w:val="24"/>
          <w:szCs w:val="24"/>
        </w:rPr>
        <w:t>The i</w:t>
      </w:r>
      <w:r w:rsidR="00201D62">
        <w:rPr>
          <w:sz w:val="24"/>
          <w:szCs w:val="24"/>
        </w:rPr>
        <w:t xml:space="preserve">nformation is collected by Rural Development State and Area office staff, as delegated, from applicants and grantees.  The application information is used to confirm that the applicant and use of funds meet the eligibility requirements for the program as well as to assess the quality of the proposed project.  The grantees are required to submit financial status and performance </w:t>
      </w:r>
      <w:r w:rsidR="00201D62">
        <w:rPr>
          <w:sz w:val="24"/>
          <w:szCs w:val="24"/>
        </w:rPr>
        <w:lastRenderedPageBreak/>
        <w:t>reports to confirm funds are being expended as approved and requests for advance or reimbursement to request payment.</w:t>
      </w:r>
    </w:p>
    <w:p w:rsidR="0059085C" w:rsidP="00201D62" w:rsidRDefault="0059085C" w14:paraId="1352F093" w14:textId="77777777">
      <w:pPr>
        <w:pStyle w:val="BodyTextIndent2"/>
        <w:ind w:right="0" w:firstLine="0"/>
        <w:rPr>
          <w:sz w:val="24"/>
          <w:szCs w:val="24"/>
        </w:rPr>
      </w:pPr>
    </w:p>
    <w:p w:rsidR="00201D62" w:rsidP="00201D62" w:rsidRDefault="0001699A" w14:paraId="6FE3EC00" w14:textId="77777777">
      <w:pPr>
        <w:pStyle w:val="BodyTextIndent2"/>
        <w:ind w:right="0" w:firstLine="0"/>
        <w:rPr>
          <w:sz w:val="24"/>
        </w:rPr>
      </w:pPr>
      <w:r>
        <w:rPr>
          <w:sz w:val="24"/>
          <w:szCs w:val="24"/>
        </w:rPr>
        <w:t xml:space="preserve">The </w:t>
      </w:r>
      <w:r w:rsidR="003B2037">
        <w:rPr>
          <w:sz w:val="24"/>
          <w:szCs w:val="24"/>
        </w:rPr>
        <w:t xml:space="preserve">Reporting </w:t>
      </w:r>
      <w:r w:rsidR="006B095D">
        <w:rPr>
          <w:sz w:val="24"/>
          <w:szCs w:val="24"/>
        </w:rPr>
        <w:t xml:space="preserve">Requirements approved under this collection </w:t>
      </w:r>
      <w:proofErr w:type="gramStart"/>
      <w:r w:rsidR="006B095D">
        <w:rPr>
          <w:sz w:val="24"/>
          <w:szCs w:val="24"/>
        </w:rPr>
        <w:t>package,</w:t>
      </w:r>
      <w:proofErr w:type="gramEnd"/>
      <w:r w:rsidR="006B095D">
        <w:rPr>
          <w:sz w:val="24"/>
          <w:szCs w:val="24"/>
        </w:rPr>
        <w:t xml:space="preserve"> OMB Control number (0570-0064) are as follows:</w:t>
      </w:r>
    </w:p>
    <w:p w:rsidR="00201D62" w:rsidP="000E3975" w:rsidRDefault="00201D62" w14:paraId="15E1A979" w14:textId="77777777"/>
    <w:p w:rsidR="00F16DD4" w:rsidP="000E3975" w:rsidRDefault="00F16DD4" w14:paraId="0D2F48F9" w14:textId="77777777"/>
    <w:p w:rsidRPr="00F34FC6" w:rsidR="004413CC" w:rsidP="000E3975" w:rsidRDefault="00201D62" w14:paraId="6A0F2CE8" w14:textId="209C4A8D">
      <w:pPr>
        <w:rPr>
          <w:b/>
        </w:rPr>
      </w:pPr>
      <w:bookmarkStart w:name="_Hlk91763594" w:id="1"/>
      <w:r w:rsidRPr="00F34FC6">
        <w:rPr>
          <w:b/>
        </w:rPr>
        <w:t>PAPERWORK REQUIREMENTS – FORMS</w:t>
      </w:r>
      <w:r w:rsidR="000E1069">
        <w:rPr>
          <w:b/>
        </w:rPr>
        <w:t xml:space="preserve"> – under this OMB Docket</w:t>
      </w:r>
    </w:p>
    <w:bookmarkEnd w:id="1"/>
    <w:p w:rsidR="00F16DD4" w:rsidP="00201D62" w:rsidRDefault="00F16DD4" w14:paraId="633A9FD0" w14:textId="77777777">
      <w:pPr>
        <w:rPr>
          <w:u w:val="single"/>
        </w:rPr>
      </w:pPr>
    </w:p>
    <w:p w:rsidR="00201D62" w:rsidP="00201D62" w:rsidRDefault="00201D62" w14:paraId="04EF459F" w14:textId="326933C4">
      <w:r w:rsidRPr="005E522D">
        <w:rPr>
          <w:b/>
          <w:bCs/>
        </w:rPr>
        <w:t xml:space="preserve">Form AD-1048, “Certification Regarding Debarment, Suspension, and Other Responsibility Matters – Lower Tier Covered Transactions” </w:t>
      </w:r>
      <w:r w:rsidR="0001699A">
        <w:rPr>
          <w:u w:val="single"/>
        </w:rPr>
        <w:t>(OMB Control No. 0505-0027)</w:t>
      </w:r>
      <w:r w:rsidR="006917B4">
        <w:rPr>
          <w:u w:val="single"/>
        </w:rPr>
        <w:t>,</w:t>
      </w:r>
      <w:r w:rsidR="0059085C">
        <w:rPr>
          <w:u w:val="single"/>
        </w:rPr>
        <w:t xml:space="preserve"> </w:t>
      </w:r>
      <w:r>
        <w:t>to be completed each time the grantee will be entering into financial transactions with third-parties using grant or matching funds.  This form is completed by any sub-grantees or sub-contractors and is used by the Agency to confirm that these organizations are not debarred, suspended, or otherwise excluded from receiving Federal assistance.</w:t>
      </w:r>
    </w:p>
    <w:p w:rsidR="000E1069" w:rsidP="00201D62" w:rsidRDefault="000E1069" w14:paraId="08F3B1BC" w14:textId="07F6305F"/>
    <w:p w:rsidR="002C217C" w:rsidP="00F16DD4" w:rsidRDefault="002C217C" w14:paraId="0B47A4A9" w14:textId="77777777"/>
    <w:p w:rsidR="002C217C" w:rsidP="000E3975" w:rsidRDefault="002C217C" w14:paraId="5684A463" w14:textId="77777777"/>
    <w:p w:rsidRPr="00F34FC6" w:rsidR="00201D62" w:rsidP="000E3975" w:rsidRDefault="00201D62" w14:paraId="39A33E43" w14:textId="17B7267B">
      <w:pPr>
        <w:rPr>
          <w:b/>
        </w:rPr>
      </w:pPr>
      <w:r w:rsidRPr="00F34FC6">
        <w:rPr>
          <w:b/>
        </w:rPr>
        <w:t>PAPERWORK REQUIREMENTS – NO FORMS</w:t>
      </w:r>
      <w:r w:rsidR="000E1069">
        <w:rPr>
          <w:b/>
        </w:rPr>
        <w:t xml:space="preserve"> – under this OMB Docket</w:t>
      </w:r>
    </w:p>
    <w:p w:rsidR="004413CC" w:rsidP="000E3975" w:rsidRDefault="004413CC" w14:paraId="46985114" w14:textId="77777777"/>
    <w:p w:rsidR="00181887" w:rsidP="00181887" w:rsidRDefault="00ED1E78" w14:paraId="5C6B43B5" w14:textId="77777777">
      <w:r w:rsidRPr="00C01D65">
        <w:rPr>
          <w:u w:val="single"/>
        </w:rPr>
        <w:t>Project Proposal</w:t>
      </w:r>
      <w:r w:rsidR="00181887">
        <w:rPr>
          <w:u w:val="single"/>
        </w:rPr>
        <w:t xml:space="preserve"> – Working Capital Grants</w:t>
      </w:r>
      <w:r>
        <w:t>.</w:t>
      </w:r>
      <w:r w:rsidR="00181887">
        <w:t xml:space="preserve"> Applicants must submit a project proposal to apply for a working capital grant</w:t>
      </w:r>
      <w:r>
        <w:t>.</w:t>
      </w:r>
      <w:r w:rsidR="00181887">
        <w:t xml:space="preserve"> This grant is used to provide funds to operate a value-added project, specifically to pay the eligible project expenses related to the processing and/or marketing of the</w:t>
      </w:r>
    </w:p>
    <w:p w:rsidR="00ED1E78" w:rsidP="00181887" w:rsidRDefault="00181887" w14:paraId="1A114F9F" w14:textId="77777777">
      <w:r>
        <w:t>Value-Added Agricultural Product that are eligible uses of grant funds.</w:t>
      </w:r>
    </w:p>
    <w:p w:rsidR="00ED1E78" w:rsidP="000E3975" w:rsidRDefault="00ED1E78" w14:paraId="25284A93" w14:textId="77777777"/>
    <w:p w:rsidR="00ED1E78" w:rsidP="000E3975" w:rsidRDefault="000918E7" w14:paraId="15C1ABA4" w14:textId="77777777">
      <w:r>
        <w:rPr>
          <w:u w:val="single"/>
        </w:rPr>
        <w:t xml:space="preserve">Project Proposal – </w:t>
      </w:r>
      <w:r w:rsidR="00ED1E78">
        <w:rPr>
          <w:u w:val="single"/>
        </w:rPr>
        <w:t>Simplified</w:t>
      </w:r>
      <w:r>
        <w:rPr>
          <w:u w:val="single"/>
        </w:rPr>
        <w:t xml:space="preserve"> </w:t>
      </w:r>
      <w:r w:rsidR="00ED1E78">
        <w:rPr>
          <w:u w:val="single"/>
        </w:rPr>
        <w:t>Applications</w:t>
      </w:r>
      <w:r w:rsidR="00ED1E78">
        <w:t xml:space="preserve">.  Applicants requesting less than $50,000 </w:t>
      </w:r>
      <w:r>
        <w:t xml:space="preserve">for a working capital grant </w:t>
      </w:r>
      <w:r w:rsidR="00ED1E78">
        <w:t>will be allowed to submit a simplified application.</w:t>
      </w:r>
    </w:p>
    <w:p w:rsidR="00181887" w:rsidP="005E432B" w:rsidRDefault="00181887" w14:paraId="41E27BEF" w14:textId="77777777"/>
    <w:p w:rsidR="005E432B" w:rsidP="005E432B" w:rsidRDefault="005E432B" w14:paraId="28B952FF" w14:textId="77777777">
      <w:r w:rsidRPr="001C037F">
        <w:rPr>
          <w:u w:val="single"/>
        </w:rPr>
        <w:t>Project Proposal – Planning Grant Applications</w:t>
      </w:r>
      <w:r>
        <w:t xml:space="preserve">. Applicants must submit a project proposal to apply for a planning grant. This grant is used to facilitate </w:t>
      </w:r>
      <w:r w:rsidRPr="005E432B">
        <w:t>the development of a defined program</w:t>
      </w:r>
      <w:r>
        <w:t xml:space="preserve"> </w:t>
      </w:r>
      <w:r w:rsidRPr="005E432B">
        <w:t>of economic planning activities to</w:t>
      </w:r>
      <w:r>
        <w:t xml:space="preserve"> </w:t>
      </w:r>
      <w:r w:rsidRPr="005E432B">
        <w:t>determine the viability of a potential</w:t>
      </w:r>
      <w:r>
        <w:t xml:space="preserve"> </w:t>
      </w:r>
      <w:r w:rsidRPr="005E432B">
        <w:t>value-added Venture, and specifically</w:t>
      </w:r>
      <w:r>
        <w:t xml:space="preserve"> </w:t>
      </w:r>
      <w:r w:rsidRPr="005E432B">
        <w:t>for the purpose of paying for conducting</w:t>
      </w:r>
      <w:r>
        <w:t xml:space="preserve"> </w:t>
      </w:r>
      <w:r w:rsidRPr="005E432B">
        <w:t>and developing a Feasibility Study,</w:t>
      </w:r>
      <w:r>
        <w:t xml:space="preserve"> </w:t>
      </w:r>
      <w:r w:rsidRPr="005E432B">
        <w:t>Business Plan, and/or Marketing Plan</w:t>
      </w:r>
      <w:r>
        <w:t xml:space="preserve"> </w:t>
      </w:r>
      <w:r w:rsidRPr="005E432B">
        <w:t>associated with the processing and/or</w:t>
      </w:r>
      <w:r>
        <w:t xml:space="preserve"> </w:t>
      </w:r>
      <w:r w:rsidRPr="005E432B">
        <w:t>marketing of a Value-Added</w:t>
      </w:r>
      <w:r>
        <w:t xml:space="preserve"> </w:t>
      </w:r>
      <w:r w:rsidRPr="005E432B">
        <w:t>Agricultural Product.</w:t>
      </w:r>
    </w:p>
    <w:p w:rsidR="00ED1E78" w:rsidP="000E3975" w:rsidRDefault="00ED1E78" w14:paraId="68B1CBF0" w14:textId="77777777"/>
    <w:p w:rsidRPr="00F16DD4" w:rsidR="00F16DD4" w:rsidP="00F34FC6" w:rsidRDefault="00F16DD4" w14:paraId="07E9A516" w14:textId="77777777">
      <w:pPr>
        <w:autoSpaceDE w:val="0"/>
        <w:autoSpaceDN w:val="0"/>
        <w:adjustRightInd w:val="0"/>
      </w:pPr>
      <w:r w:rsidRPr="00F16DD4">
        <w:rPr>
          <w:u w:val="single"/>
        </w:rPr>
        <w:t>Priority Point Requirement for Best Contributes</w:t>
      </w:r>
      <w:r>
        <w:rPr>
          <w:u w:val="single"/>
        </w:rPr>
        <w:t>.</w:t>
      </w:r>
      <w:r>
        <w:t xml:space="preserve"> </w:t>
      </w:r>
      <w:r w:rsidR="00F34FC6">
        <w:t xml:space="preserve">  </w:t>
      </w:r>
      <w:r w:rsidRPr="00F34FC6" w:rsidR="00F34FC6">
        <w:t>Applicants for planning grants must</w:t>
      </w:r>
      <w:r w:rsidR="00F34FC6">
        <w:t xml:space="preserve"> </w:t>
      </w:r>
      <w:r w:rsidRPr="00F34FC6" w:rsidR="00F34FC6">
        <w:t>suggest at least one criterion by which</w:t>
      </w:r>
      <w:r w:rsidR="00F34FC6">
        <w:t xml:space="preserve"> </w:t>
      </w:r>
      <w:r w:rsidRPr="00F34FC6" w:rsidR="00F34FC6">
        <w:t>their performance under a grant could</w:t>
      </w:r>
      <w:r w:rsidR="00F34FC6">
        <w:t xml:space="preserve"> </w:t>
      </w:r>
      <w:r w:rsidRPr="00F34FC6" w:rsidR="00F34FC6">
        <w:t>be evaluated. Applicants for working</w:t>
      </w:r>
      <w:r w:rsidR="00F34FC6">
        <w:t xml:space="preserve"> </w:t>
      </w:r>
      <w:r w:rsidRPr="00F34FC6" w:rsidR="00F34FC6">
        <w:t>capital grants must identify the</w:t>
      </w:r>
      <w:r w:rsidR="00F34FC6">
        <w:t xml:space="preserve"> </w:t>
      </w:r>
      <w:r w:rsidRPr="00F34FC6" w:rsidR="00F34FC6">
        <w:t>projected increase in customer base,</w:t>
      </w:r>
      <w:r w:rsidR="00F34FC6">
        <w:t xml:space="preserve"> </w:t>
      </w:r>
      <w:r w:rsidRPr="00F34FC6" w:rsidR="00F34FC6">
        <w:t>revenue accruing to independent</w:t>
      </w:r>
      <w:r w:rsidR="00F34FC6">
        <w:t xml:space="preserve"> </w:t>
      </w:r>
      <w:r w:rsidRPr="00F34FC6" w:rsidR="00F34FC6">
        <w:t>producers, and number of jobs</w:t>
      </w:r>
      <w:r w:rsidR="00F34FC6">
        <w:t xml:space="preserve"> </w:t>
      </w:r>
      <w:r w:rsidRPr="00F34FC6" w:rsidR="00F34FC6">
        <w:t>attributed to the project.</w:t>
      </w:r>
    </w:p>
    <w:p w:rsidR="00F16DD4" w:rsidP="000E3975" w:rsidRDefault="00F16DD4" w14:paraId="296EE9E0" w14:textId="77777777">
      <w:pPr>
        <w:autoSpaceDE w:val="0"/>
        <w:autoSpaceDN w:val="0"/>
        <w:adjustRightInd w:val="0"/>
      </w:pPr>
    </w:p>
    <w:p w:rsidR="00471BA8" w:rsidP="00471BA8" w:rsidRDefault="00471BA8" w14:paraId="1F0F08A6" w14:textId="77777777">
      <w:r w:rsidRPr="001C037F">
        <w:rPr>
          <w:u w:val="single"/>
        </w:rPr>
        <w:t>Certification Regarding Lobbying</w:t>
      </w:r>
      <w:r>
        <w:t xml:space="preserve">.  Recipients must certify that they have not expended nor will expend any Federal funds to pay any person for influencing or attempting to influence an officer or employee of any agency, a Member of Congress, an officer or employee of Congress, or an employee of a Member of Congress in connection with any of the following covered actions: the awarding of any Federal contract, the making of any Federal grant, the making of any Federal loan, the entering into of any cooperative agreement, and the extension, continuation, renewal, </w:t>
      </w:r>
      <w:r>
        <w:lastRenderedPageBreak/>
        <w:t>amendment, or modification of any Federal contract, grant, loan, or cooperative agreement.  The certification must include the language prescribed by 2 CFR Part 418, Appendix A.</w:t>
      </w:r>
    </w:p>
    <w:p w:rsidR="00471BA8" w:rsidP="00471BA8" w:rsidRDefault="00471BA8" w14:paraId="1ECB8CB7" w14:textId="77777777"/>
    <w:p w:rsidR="00ED1E78" w:rsidP="000E3975" w:rsidRDefault="000918E7" w14:paraId="01E21C1B" w14:textId="77777777">
      <w:pPr>
        <w:autoSpaceDE w:val="0"/>
        <w:autoSpaceDN w:val="0"/>
        <w:adjustRightInd w:val="0"/>
      </w:pPr>
      <w:r>
        <w:rPr>
          <w:u w:val="single"/>
        </w:rPr>
        <w:t xml:space="preserve">Semi-Annual </w:t>
      </w:r>
      <w:r w:rsidRPr="00ED1E78" w:rsidR="00ED1E78">
        <w:rPr>
          <w:u w:val="single"/>
        </w:rPr>
        <w:t>Performance Reports</w:t>
      </w:r>
      <w:r w:rsidRPr="00C01D65" w:rsidR="00ED1E78">
        <w:t xml:space="preserve">.  </w:t>
      </w:r>
      <w:r>
        <w:rPr>
          <w:snapToGrid w:val="0"/>
        </w:rPr>
        <w:t>R</w:t>
      </w:r>
      <w:r w:rsidRPr="00C01D65" w:rsidR="00ED1E78">
        <w:rPr>
          <w:snapToGrid w:val="0"/>
        </w:rPr>
        <w:t xml:space="preserve">ecipients will be required to submit written project performance reports on a semi-annual basis.  </w:t>
      </w:r>
      <w:r>
        <w:rPr>
          <w:snapToGrid w:val="0"/>
        </w:rPr>
        <w:t>The agency will use these reports to gauge whether the recipient is making appropriate progress on the project.</w:t>
      </w:r>
    </w:p>
    <w:p w:rsidR="00ED1E78" w:rsidP="000E3975" w:rsidRDefault="00ED1E78" w14:paraId="5A5CE032" w14:textId="77777777">
      <w:pPr>
        <w:autoSpaceDE w:val="0"/>
        <w:autoSpaceDN w:val="0"/>
        <w:adjustRightInd w:val="0"/>
      </w:pPr>
    </w:p>
    <w:p w:rsidR="00ED1E78" w:rsidP="000E3975" w:rsidRDefault="00ED1E78" w14:paraId="3811B456" w14:textId="77777777">
      <w:pPr>
        <w:autoSpaceDE w:val="0"/>
        <w:autoSpaceDN w:val="0"/>
        <w:adjustRightInd w:val="0"/>
        <w:rPr>
          <w:snapToGrid w:val="0"/>
        </w:rPr>
      </w:pPr>
      <w:r w:rsidRPr="00C01D65">
        <w:rPr>
          <w:snapToGrid w:val="0"/>
          <w:u w:val="single"/>
        </w:rPr>
        <w:t xml:space="preserve">Final </w:t>
      </w:r>
      <w:r w:rsidR="000918E7">
        <w:rPr>
          <w:snapToGrid w:val="0"/>
          <w:u w:val="single"/>
        </w:rPr>
        <w:t xml:space="preserve">Performance </w:t>
      </w:r>
      <w:r w:rsidRPr="00C01D65">
        <w:rPr>
          <w:snapToGrid w:val="0"/>
          <w:u w:val="single"/>
        </w:rPr>
        <w:t>Report</w:t>
      </w:r>
      <w:r w:rsidRPr="00C01D65">
        <w:rPr>
          <w:snapToGrid w:val="0"/>
        </w:rPr>
        <w:t xml:space="preserve">.  </w:t>
      </w:r>
      <w:r w:rsidR="000918E7">
        <w:rPr>
          <w:snapToGrid w:val="0"/>
        </w:rPr>
        <w:t xml:space="preserve">Recipients will be required to submit a written performance report at the end of the period of performance.  The agency </w:t>
      </w:r>
      <w:r w:rsidRPr="00C01D65">
        <w:rPr>
          <w:snapToGrid w:val="0"/>
        </w:rPr>
        <w:t xml:space="preserve">will use </w:t>
      </w:r>
      <w:r w:rsidR="000918E7">
        <w:rPr>
          <w:snapToGrid w:val="0"/>
        </w:rPr>
        <w:t>this report</w:t>
      </w:r>
      <w:r w:rsidRPr="00C01D65">
        <w:rPr>
          <w:snapToGrid w:val="0"/>
        </w:rPr>
        <w:t xml:space="preserve"> to measure the achievements and the overall effectiveness of t</w:t>
      </w:r>
      <w:r w:rsidR="000918E7">
        <w:rPr>
          <w:snapToGrid w:val="0"/>
        </w:rPr>
        <w:t>he funded projects</w:t>
      </w:r>
      <w:r w:rsidRPr="00C01D65">
        <w:rPr>
          <w:snapToGrid w:val="0"/>
        </w:rPr>
        <w:t xml:space="preserve">.  </w:t>
      </w:r>
    </w:p>
    <w:p w:rsidRPr="00FA5335" w:rsidR="000E3975" w:rsidP="000E3975" w:rsidRDefault="000E3975" w14:paraId="1A400D61" w14:textId="77777777">
      <w:pPr>
        <w:pStyle w:val="Heading4"/>
        <w:rPr>
          <w:b w:val="0"/>
          <w:bCs w:val="0"/>
          <w:snapToGrid/>
          <w:szCs w:val="24"/>
        </w:rPr>
      </w:pPr>
      <w:r w:rsidRPr="00FA5335">
        <w:rPr>
          <w:b w:val="0"/>
        </w:rPr>
        <w:t xml:space="preserve">  </w:t>
      </w:r>
    </w:p>
    <w:p w:rsidR="002C217C" w:rsidP="000E3975" w:rsidRDefault="002C217C" w14:paraId="264DF651" w14:textId="77777777"/>
    <w:p w:rsidR="009D530B" w:rsidP="000E3975" w:rsidRDefault="002C217C" w14:paraId="17EF3E1F" w14:textId="2F0C53F7">
      <w:pPr>
        <w:rPr>
          <w:b/>
        </w:rPr>
      </w:pPr>
      <w:r>
        <w:rPr>
          <w:b/>
        </w:rPr>
        <w:t>FORM BURDEN</w:t>
      </w:r>
      <w:r w:rsidR="009D530B">
        <w:rPr>
          <w:b/>
        </w:rPr>
        <w:t xml:space="preserve"> APPROVED UNDER OTHER OMB NUMBERS</w:t>
      </w:r>
    </w:p>
    <w:p w:rsidR="000E1069" w:rsidP="000E3975" w:rsidRDefault="000E1069" w14:paraId="06FDEEEB" w14:textId="56C36C16">
      <w:pPr>
        <w:rPr>
          <w:b/>
        </w:rPr>
      </w:pPr>
    </w:p>
    <w:p w:rsidR="000E1069" w:rsidP="000E1069" w:rsidRDefault="000E1069" w14:paraId="33BA805C" w14:textId="77777777">
      <w:r w:rsidRPr="005E522D">
        <w:rPr>
          <w:b/>
          <w:bCs/>
          <w:u w:val="single"/>
        </w:rPr>
        <w:t>Form DD-214 “Report of Separation from the U.S. Military,”</w:t>
      </w:r>
      <w:r>
        <w:t xml:space="preserve"> to be completed once at time of application.  This form is submitted by Veteran Farmer or Rancher applicants seeking priority points, in accordance with 7 CFR4284.924.</w:t>
      </w:r>
    </w:p>
    <w:p w:rsidR="000E1069" w:rsidP="000E1069" w:rsidRDefault="000E1069" w14:paraId="14DB26DC" w14:textId="77777777"/>
    <w:p w:rsidR="000E1069" w:rsidP="000E1069" w:rsidRDefault="000E1069" w14:paraId="366E8CCE" w14:textId="77777777">
      <w:r w:rsidRPr="005E522D">
        <w:rPr>
          <w:b/>
          <w:bCs/>
          <w:u w:val="single"/>
        </w:rPr>
        <w:t>Form RD 1940-1, “Request for Obligation of Funds” (OMB No. 0570-0062)</w:t>
      </w:r>
      <w:r>
        <w:t>, to be completed once at the time of award.  This form is submitted by the grantee and used by the Agency to obligate funds.</w:t>
      </w:r>
    </w:p>
    <w:p w:rsidR="000E1069" w:rsidP="000E1069" w:rsidRDefault="000E1069" w14:paraId="4A1C8E3B" w14:textId="77777777">
      <w:pPr>
        <w:rPr>
          <w:u w:val="single"/>
        </w:rPr>
      </w:pPr>
    </w:p>
    <w:p w:rsidR="000E1069" w:rsidP="000E1069" w:rsidRDefault="000E1069" w14:paraId="44894DA4" w14:textId="77777777">
      <w:r w:rsidRPr="005E522D">
        <w:rPr>
          <w:b/>
          <w:bCs/>
          <w:u w:val="single"/>
        </w:rPr>
        <w:t>Form RD 1942-46, “Letter of Intent to Meet Conditions” (OMB No. 0570-0062)</w:t>
      </w:r>
      <w:r w:rsidRPr="00C01D65">
        <w:t xml:space="preserve">.  The applicant must complete, </w:t>
      </w:r>
      <w:proofErr w:type="gramStart"/>
      <w:r w:rsidRPr="00C01D65">
        <w:t>sign</w:t>
      </w:r>
      <w:proofErr w:type="gramEnd"/>
      <w:r w:rsidRPr="00C01D65">
        <w:t xml:space="preserve"> and return</w:t>
      </w:r>
      <w:r>
        <w:t xml:space="preserve"> to</w:t>
      </w:r>
      <w:r w:rsidRPr="00C01D65">
        <w:t xml:space="preserve"> the Agency</w:t>
      </w:r>
      <w:r>
        <w:t>.</w:t>
      </w:r>
    </w:p>
    <w:p w:rsidR="000E1069" w:rsidP="000E1069" w:rsidRDefault="000E1069" w14:paraId="62746F1B" w14:textId="77777777"/>
    <w:p w:rsidR="000E1069" w:rsidP="000E1069" w:rsidRDefault="000E1069" w14:paraId="27D7598B" w14:textId="77777777">
      <w:r w:rsidRPr="005E522D">
        <w:rPr>
          <w:b/>
          <w:bCs/>
          <w:u w:val="single"/>
        </w:rPr>
        <w:t>Form RD 4280-2, “Rural Business-Cooperative Service Financial Assistance Agreement” (OMB No. 0570-0067)</w:t>
      </w:r>
      <w:r>
        <w:t>.  This form must be signed by the Agency and the recipient before the award is considered approved.</w:t>
      </w:r>
    </w:p>
    <w:p w:rsidR="000E1069" w:rsidP="000E3975" w:rsidRDefault="000E1069" w14:paraId="2216631B" w14:textId="4FE4D7DA">
      <w:pPr>
        <w:rPr>
          <w:b/>
        </w:rPr>
      </w:pPr>
    </w:p>
    <w:p w:rsidR="000E1069" w:rsidP="000E3975" w:rsidRDefault="000E1069" w14:paraId="1939A642" w14:textId="53ABE035">
      <w:pPr>
        <w:rPr>
          <w:b/>
        </w:rPr>
      </w:pPr>
    </w:p>
    <w:p w:rsidR="000E1069" w:rsidP="000E3975" w:rsidRDefault="000E1069" w14:paraId="03C52DDF" w14:textId="3E7D649B">
      <w:pPr>
        <w:rPr>
          <w:b/>
        </w:rPr>
      </w:pPr>
    </w:p>
    <w:p w:rsidR="000E1069" w:rsidP="000E3975" w:rsidRDefault="000E1069" w14:paraId="6B8968AB" w14:textId="77777777"/>
    <w:p w:rsidR="009D530B" w:rsidP="000E3975" w:rsidRDefault="009D530B" w14:paraId="502EE3AF" w14:textId="77777777"/>
    <w:p w:rsidR="001C037F" w:rsidP="001C037F" w:rsidRDefault="00E64E84" w14:paraId="31E181CC" w14:textId="77777777">
      <w:r w:rsidRPr="005E522D">
        <w:rPr>
          <w:b/>
          <w:bCs/>
          <w:u w:val="single"/>
        </w:rPr>
        <w:t xml:space="preserve">Form </w:t>
      </w:r>
      <w:r w:rsidRPr="005E522D" w:rsidR="001C037F">
        <w:rPr>
          <w:b/>
          <w:bCs/>
          <w:u w:val="single"/>
        </w:rPr>
        <w:t xml:space="preserve">SF-424, </w:t>
      </w:r>
      <w:r w:rsidRPr="005E522D">
        <w:rPr>
          <w:b/>
          <w:bCs/>
          <w:u w:val="single"/>
        </w:rPr>
        <w:t>“</w:t>
      </w:r>
      <w:r w:rsidRPr="005E522D" w:rsidR="001C037F">
        <w:rPr>
          <w:b/>
          <w:bCs/>
          <w:u w:val="single"/>
        </w:rPr>
        <w:t>Application for Federal Assistance – Common Form</w:t>
      </w:r>
      <w:r w:rsidRPr="005E522D">
        <w:rPr>
          <w:b/>
          <w:bCs/>
          <w:u w:val="single"/>
        </w:rPr>
        <w:t>”</w:t>
      </w:r>
      <w:r w:rsidRPr="005E522D" w:rsidR="001C037F">
        <w:rPr>
          <w:b/>
          <w:bCs/>
          <w:u w:val="single"/>
        </w:rPr>
        <w:t xml:space="preserve"> (OMB No. 4040-0004)</w:t>
      </w:r>
      <w:r w:rsidRPr="00ED20E9" w:rsidR="001C037F">
        <w:t>.</w:t>
      </w:r>
      <w:r w:rsidR="001C037F">
        <w:t xml:space="preserve">  </w:t>
      </w:r>
      <w:r w:rsidRPr="00C01D65" w:rsidR="001C037F">
        <w:t xml:space="preserve">This </w:t>
      </w:r>
      <w:r>
        <w:t>form</w:t>
      </w:r>
      <w:r w:rsidRPr="00C01D65" w:rsidR="001C037F">
        <w:t xml:space="preserve"> is used by applicants as a required face sheet for applications for federal funding.</w:t>
      </w:r>
      <w:r w:rsidRPr="009D7BD4" w:rsidR="001C037F">
        <w:tab/>
      </w:r>
    </w:p>
    <w:p w:rsidR="001C037F" w:rsidP="000E3975" w:rsidRDefault="001C037F" w14:paraId="333D450E" w14:textId="77777777">
      <w:pPr>
        <w:rPr>
          <w:u w:val="single"/>
        </w:rPr>
      </w:pPr>
    </w:p>
    <w:p w:rsidRPr="00C01D65" w:rsidR="009D530B" w:rsidP="000E3975" w:rsidRDefault="00E64E84" w14:paraId="508EEAAC" w14:textId="77777777">
      <w:r w:rsidRPr="005E522D">
        <w:rPr>
          <w:b/>
          <w:bCs/>
          <w:u w:val="single"/>
        </w:rPr>
        <w:t xml:space="preserve">Form </w:t>
      </w:r>
      <w:r w:rsidRPr="005E522D" w:rsidR="009D530B">
        <w:rPr>
          <w:b/>
          <w:bCs/>
          <w:u w:val="single"/>
        </w:rPr>
        <w:t xml:space="preserve">SF-424A, </w:t>
      </w:r>
      <w:r w:rsidRPr="005E522D">
        <w:rPr>
          <w:b/>
          <w:bCs/>
          <w:u w:val="single"/>
        </w:rPr>
        <w:t>“</w:t>
      </w:r>
      <w:r w:rsidRPr="005E522D" w:rsidR="009D530B">
        <w:rPr>
          <w:b/>
          <w:bCs/>
          <w:u w:val="single"/>
        </w:rPr>
        <w:t>Budget Information - Non-Construction Programs</w:t>
      </w:r>
      <w:r w:rsidRPr="005E522D">
        <w:rPr>
          <w:b/>
          <w:bCs/>
          <w:u w:val="single"/>
        </w:rPr>
        <w:t>”</w:t>
      </w:r>
      <w:r w:rsidRPr="005E522D" w:rsidR="009D530B">
        <w:rPr>
          <w:b/>
          <w:bCs/>
          <w:u w:val="single"/>
        </w:rPr>
        <w:t xml:space="preserve"> (OMB No. 4040-0006)</w:t>
      </w:r>
      <w:r w:rsidRPr="00ED20E9" w:rsidR="009D530B">
        <w:t>.</w:t>
      </w:r>
      <w:r w:rsidR="00FA5335">
        <w:t xml:space="preserve">  </w:t>
      </w:r>
      <w:r w:rsidRPr="00C01D65" w:rsidR="009D530B">
        <w:t>This form must be completed by applicants to show the project's anticipated budget breakdown in terms of expense categories and division of Federal and non-Federal sources of funds.   Identifying the project’s requested funding by expense category is necessary to assure that the expense is necessary for successful conduct of the project, is allowable under applicable Federal cost principles, and is not prohibited under any applicable Federal statute or regulation.</w:t>
      </w:r>
    </w:p>
    <w:p w:rsidRPr="00C01D65" w:rsidR="009D530B" w:rsidP="000E3975" w:rsidRDefault="009D530B" w14:paraId="15CDB85B" w14:textId="77777777">
      <w:pPr>
        <w:rPr>
          <w:u w:val="single"/>
        </w:rPr>
      </w:pPr>
    </w:p>
    <w:p w:rsidR="00F16DD4" w:rsidP="008D19C1" w:rsidRDefault="00ED20E9" w14:paraId="620F5AD5" w14:textId="77777777">
      <w:r w:rsidRPr="005E522D">
        <w:rPr>
          <w:b/>
          <w:bCs/>
          <w:color w:val="000000"/>
          <w:u w:val="single"/>
        </w:rPr>
        <w:t xml:space="preserve">Form SF-425, “Federal Financial Report” (OMB No. </w:t>
      </w:r>
      <w:r w:rsidRPr="005E522D" w:rsidR="006E1CF6">
        <w:rPr>
          <w:b/>
          <w:bCs/>
          <w:color w:val="000000"/>
          <w:u w:val="single"/>
        </w:rPr>
        <w:t>4040-0014</w:t>
      </w:r>
      <w:r w:rsidRPr="005E522D">
        <w:rPr>
          <w:b/>
          <w:bCs/>
          <w:color w:val="000000"/>
        </w:rPr>
        <w:t>)</w:t>
      </w:r>
      <w:r w:rsidRPr="00FA5335">
        <w:rPr>
          <w:color w:val="000000"/>
        </w:rPr>
        <w:t>.  This form is used to confirm that funds are being spent in conformity with the budget and work plan</w:t>
      </w:r>
      <w:r w:rsidRPr="00FA5335">
        <w:t>.</w:t>
      </w:r>
    </w:p>
    <w:p w:rsidR="00F16DD4" w:rsidP="008D19C1" w:rsidRDefault="00F16DD4" w14:paraId="021C8FF3" w14:textId="77777777"/>
    <w:p w:rsidRPr="00CD6471" w:rsidR="00201D62" w:rsidP="00201D62" w:rsidRDefault="00201D62" w14:paraId="1CCB0657" w14:textId="77777777">
      <w:r w:rsidRPr="005E522D">
        <w:rPr>
          <w:b/>
          <w:bCs/>
          <w:u w:val="single"/>
        </w:rPr>
        <w:t>Form SF-LLL, “Disclosure of Lobbying Activities” (</w:t>
      </w:r>
      <w:r w:rsidRPr="005E522D" w:rsidR="00216454">
        <w:rPr>
          <w:b/>
          <w:bCs/>
          <w:u w:val="single"/>
        </w:rPr>
        <w:t xml:space="preserve">OMB No. </w:t>
      </w:r>
      <w:r w:rsidRPr="005E522D" w:rsidR="006E1CF6">
        <w:rPr>
          <w:b/>
          <w:bCs/>
          <w:u w:val="single"/>
        </w:rPr>
        <w:t>4040-0013</w:t>
      </w:r>
      <w:r w:rsidRPr="005E522D">
        <w:rPr>
          <w:b/>
          <w:bCs/>
          <w:u w:val="single"/>
        </w:rPr>
        <w:t>)</w:t>
      </w:r>
      <w:r w:rsidR="007C4DB7">
        <w:t>. This form is</w:t>
      </w:r>
      <w:r>
        <w:t xml:space="preserve"> to be completed once at the time of award.  This form is submitted by the </w:t>
      </w:r>
      <w:r w:rsidR="00E64E84">
        <w:t>recipient</w:t>
      </w:r>
      <w:r>
        <w:t xml:space="preserve"> and is used by the Agency to obtain disclosure of lobbying activities on the part of the </w:t>
      </w:r>
      <w:r w:rsidR="00E64E84">
        <w:t>recipient</w:t>
      </w:r>
      <w:r>
        <w:t>.</w:t>
      </w:r>
    </w:p>
    <w:p w:rsidR="00201D62" w:rsidP="00201D62" w:rsidRDefault="00201D62" w14:paraId="33BEFFC4" w14:textId="77777777">
      <w:pPr>
        <w:rPr>
          <w:u w:val="single"/>
        </w:rPr>
      </w:pPr>
    </w:p>
    <w:p w:rsidR="00201D62" w:rsidP="00201D62" w:rsidRDefault="00201D62" w14:paraId="4166C99C" w14:textId="77777777">
      <w:r w:rsidRPr="005E522D">
        <w:rPr>
          <w:b/>
          <w:bCs/>
          <w:u w:val="single"/>
        </w:rPr>
        <w:t xml:space="preserve">Form SF-270, “Request for Advance or Reimbursement” </w:t>
      </w:r>
      <w:r w:rsidRPr="005E522D" w:rsidR="00216454">
        <w:rPr>
          <w:b/>
          <w:bCs/>
          <w:u w:val="single"/>
        </w:rPr>
        <w:t>(</w:t>
      </w:r>
      <w:r w:rsidRPr="005E522D" w:rsidR="006E1CF6">
        <w:rPr>
          <w:b/>
          <w:bCs/>
          <w:u w:val="single"/>
        </w:rPr>
        <w:t>OMB No. 4040-0012</w:t>
      </w:r>
      <w:r w:rsidRPr="005E522D">
        <w:rPr>
          <w:b/>
          <w:bCs/>
          <w:u w:val="single"/>
        </w:rPr>
        <w:t>)</w:t>
      </w:r>
      <w:r w:rsidRPr="000E3975">
        <w:t xml:space="preserve">.  This form is used </w:t>
      </w:r>
      <w:r w:rsidR="00E64E84">
        <w:t xml:space="preserve">by the recipient </w:t>
      </w:r>
      <w:r w:rsidRPr="000E3975">
        <w:t xml:space="preserve">to request payment of funds under the </w:t>
      </w:r>
      <w:r w:rsidR="00E64E84">
        <w:t>award</w:t>
      </w:r>
      <w:r w:rsidRPr="000E3975">
        <w:t xml:space="preserve">. </w:t>
      </w:r>
      <w:r w:rsidR="00E64E84">
        <w:t xml:space="preserve"> F</w:t>
      </w:r>
      <w:r w:rsidRPr="000E3975">
        <w:t xml:space="preserve">unds will not be disbursed on more than a monthly basis. </w:t>
      </w:r>
    </w:p>
    <w:p w:rsidR="002C217C" w:rsidP="00201D62" w:rsidRDefault="002C217C" w14:paraId="1F51437C" w14:textId="77777777"/>
    <w:p w:rsidR="002C217C" w:rsidP="00201D62" w:rsidRDefault="002C217C" w14:paraId="0B96AF69" w14:textId="77777777"/>
    <w:p w:rsidR="00201D62" w:rsidP="00201D62" w:rsidRDefault="00201D62" w14:paraId="2ED40DF0" w14:textId="37B00823">
      <w:r>
        <w:rPr>
          <w:b/>
        </w:rPr>
        <w:t>RECORDKEEPING REQUIREMENTS</w:t>
      </w:r>
    </w:p>
    <w:p w:rsidR="00201D62" w:rsidP="00201D62" w:rsidRDefault="00201D62" w14:paraId="18276BE8" w14:textId="77777777"/>
    <w:p w:rsidR="00201D62" w:rsidP="00201D62" w:rsidRDefault="00201D62" w14:paraId="3B637434" w14:textId="1F3C2B37">
      <w:r>
        <w:t>U</w:t>
      </w:r>
      <w:r w:rsidR="00690505">
        <w:t xml:space="preserve">nited </w:t>
      </w:r>
      <w:r>
        <w:t>S</w:t>
      </w:r>
      <w:r w:rsidR="00690505">
        <w:t xml:space="preserve">tates </w:t>
      </w:r>
      <w:r>
        <w:t>D</w:t>
      </w:r>
      <w:r w:rsidR="00690505">
        <w:t xml:space="preserve">epartment of </w:t>
      </w:r>
      <w:r>
        <w:t>A</w:t>
      </w:r>
      <w:r w:rsidR="00690505">
        <w:t>griculture (USDA)</w:t>
      </w:r>
      <w:r>
        <w:t xml:space="preserve"> Administrative Requirements require that financial records, supporting documents, statistical </w:t>
      </w:r>
      <w:proofErr w:type="gramStart"/>
      <w:r>
        <w:t>records</w:t>
      </w:r>
      <w:proofErr w:type="gramEnd"/>
      <w:r>
        <w:t xml:space="preserve"> and all other records pertinent to the award will be retained for a period of at</w:t>
      </w:r>
      <w:r w:rsidR="002C217C">
        <w:t xml:space="preserve"> </w:t>
      </w:r>
      <w:r>
        <w:t>least three years after the period of performance has ended.  Records must be retained beyond three years if audit findings have not been resolved.</w:t>
      </w:r>
    </w:p>
    <w:p w:rsidRPr="00355F32" w:rsidR="000E1069" w:rsidP="00201D62" w:rsidRDefault="000E1069" w14:paraId="62528FDB" w14:textId="77777777"/>
    <w:p w:rsidRPr="008D19C1" w:rsidR="00BB3185" w:rsidP="008D19C1" w:rsidRDefault="00BB3185" w14:paraId="716DCF52" w14:textId="77777777">
      <w:pPr>
        <w:pStyle w:val="Heading2"/>
        <w:rPr>
          <w:rFonts w:ascii="Times New Roman" w:hAnsi="Times New Roman"/>
          <w:b w:val="0"/>
          <w:i w:val="0"/>
          <w:sz w:val="24"/>
          <w:szCs w:val="24"/>
        </w:rPr>
      </w:pPr>
      <w:r w:rsidRPr="005E522D">
        <w:rPr>
          <w:rFonts w:ascii="Times New Roman" w:hAnsi="Times New Roman"/>
          <w:bCs w:val="0"/>
          <w:i w:val="0"/>
          <w:sz w:val="24"/>
          <w:szCs w:val="24"/>
        </w:rPr>
        <w:t xml:space="preserve">3. </w:t>
      </w:r>
      <w:r w:rsidRPr="008D19C1">
        <w:rPr>
          <w:rFonts w:ascii="Times New Roman" w:hAnsi="Times New Roman"/>
          <w:b w:val="0"/>
          <w:i w:val="0"/>
          <w:sz w:val="24"/>
          <w:szCs w:val="24"/>
        </w:rPr>
        <w:t xml:space="preserve"> </w:t>
      </w:r>
      <w:r w:rsidRPr="005E522D">
        <w:rPr>
          <w:rFonts w:ascii="Times New Roman" w:hAnsi="Times New Roman"/>
          <w:bCs w:val="0"/>
          <w:i w:val="0"/>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8D19C1">
        <w:rPr>
          <w:rFonts w:ascii="Times New Roman" w:hAnsi="Times New Roman"/>
          <w:b w:val="0"/>
          <w:i w:val="0"/>
          <w:sz w:val="24"/>
          <w:szCs w:val="24"/>
        </w:rPr>
        <w:t>.</w:t>
      </w:r>
    </w:p>
    <w:p w:rsidR="00921075" w:rsidP="000E3975" w:rsidRDefault="00921075" w14:paraId="1CB7743A" w14:textId="77777777">
      <w:pPr>
        <w:rPr>
          <w:b/>
        </w:rPr>
      </w:pPr>
    </w:p>
    <w:p w:rsidR="00921075" w:rsidP="000E3975" w:rsidRDefault="00921075" w14:paraId="44F29D3A" w14:textId="77777777">
      <w:r>
        <w:t xml:space="preserve">Grant applications may be submitted electronically through Grants.gov.  Historically, approximately </w:t>
      </w:r>
      <w:r w:rsidR="00E64E84">
        <w:t>8-10</w:t>
      </w:r>
      <w:r>
        <w:t xml:space="preserve"> percent of applications have been submitted electronically.  Recipients are encouraged to submit reports electronically via e-mail to their grant monitors.</w:t>
      </w:r>
      <w:r w:rsidR="001B0E18">
        <w:t xml:space="preserve">  </w:t>
      </w:r>
      <w:r w:rsidR="00E64E84">
        <w:t>It should be noted that many of the applicants and recipients for this program do not have access to up-to-date technology, including high-speed internet, so the use of technology or electronic submissions is not always a time-saving method.  Thus, we continue to allow the submission of applications, reports, and other required documents via non-electronic methods.</w:t>
      </w:r>
    </w:p>
    <w:p w:rsidRPr="00921075" w:rsidR="00921075" w:rsidP="000E3975" w:rsidRDefault="00921075" w14:paraId="2A8690D7" w14:textId="77777777">
      <w:pPr>
        <w:ind w:left="360"/>
      </w:pPr>
    </w:p>
    <w:p w:rsidR="00BB3185" w:rsidP="000E3975" w:rsidRDefault="00BB3185" w14:paraId="076F489F" w14:textId="77777777">
      <w:r w:rsidRPr="005E522D">
        <w:rPr>
          <w:b/>
          <w:bCs/>
        </w:rPr>
        <w:t xml:space="preserve">4.  </w:t>
      </w:r>
      <w:r w:rsidRPr="005E522D">
        <w:rPr>
          <w:b/>
          <w:bCs/>
          <w:u w:val="single"/>
        </w:rPr>
        <w:t>Describe efforts to identify duplication.  Show specifically why any similar information already available cannot be used or modified for use for the purposes described in Item 2 above</w:t>
      </w:r>
      <w:r>
        <w:t>.</w:t>
      </w:r>
    </w:p>
    <w:p w:rsidR="00921075" w:rsidP="000E3975" w:rsidRDefault="00921075" w14:paraId="5341BE4C" w14:textId="77777777">
      <w:pPr>
        <w:rPr>
          <w:b/>
        </w:rPr>
      </w:pPr>
    </w:p>
    <w:p w:rsidR="00B66871" w:rsidP="000E3975" w:rsidRDefault="00B66871" w14:paraId="1C2E4ED7" w14:textId="77777777">
      <w:r>
        <w:t xml:space="preserve">The Agency has completed an analysis to determine what percentage of its VAPG recipients are also funded through other Agency programs and has determined that less than six percent of VAPG recipients also receive funding through another Agency program.  The Agency has also compared the VAPG program requirements to other Agency program requirements and determined that the VAPG program has unique program information requirements.  Thus, the Agency has </w:t>
      </w:r>
      <w:proofErr w:type="gramStart"/>
      <w:r>
        <w:t>made an effort</w:t>
      </w:r>
      <w:proofErr w:type="gramEnd"/>
      <w:r>
        <w:t xml:space="preserve"> to identify duplication and has found that similar information is not available for its applicants and recipients.</w:t>
      </w:r>
    </w:p>
    <w:p w:rsidRPr="00921075" w:rsidR="00921075" w:rsidP="000E3975" w:rsidRDefault="00B66871" w14:paraId="379350CB" w14:textId="77777777">
      <w:pPr>
        <w:ind w:left="360"/>
      </w:pPr>
      <w:r>
        <w:t xml:space="preserve"> </w:t>
      </w:r>
    </w:p>
    <w:p w:rsidR="00BB3185" w:rsidP="000E3975" w:rsidRDefault="00BB3185" w14:paraId="298F488D" w14:textId="77777777">
      <w:r w:rsidRPr="005E522D">
        <w:rPr>
          <w:b/>
          <w:bCs/>
        </w:rPr>
        <w:t xml:space="preserve">5.  </w:t>
      </w:r>
      <w:r w:rsidRPr="005E522D">
        <w:rPr>
          <w:b/>
          <w:bCs/>
          <w:u w:val="single"/>
        </w:rPr>
        <w:t>If the collection of information impacts small businesses or other small entities (item 5 of OMB Form 83-I), describe any methods used to minimize burden</w:t>
      </w:r>
      <w:r>
        <w:t>.</w:t>
      </w:r>
    </w:p>
    <w:p w:rsidR="00B66871" w:rsidP="000E3975" w:rsidRDefault="00B66871" w14:paraId="78DF03AA" w14:textId="77777777">
      <w:pPr>
        <w:rPr>
          <w:b/>
        </w:rPr>
      </w:pPr>
    </w:p>
    <w:p w:rsidR="00181887" w:rsidP="00181887" w:rsidRDefault="00B66871" w14:paraId="1E9C84AD" w14:textId="77777777">
      <w:r>
        <w:t>No significant economic impact is expected for small businesses or other small entities.</w:t>
      </w:r>
      <w:r w:rsidRPr="002C217C" w:rsidR="002C217C">
        <w:t xml:space="preserve"> </w:t>
      </w:r>
      <w:r w:rsidR="00181887">
        <w:t>The Agency estimates that approximately 75 percent of the agricultural producers (operators of</w:t>
      </w:r>
    </w:p>
    <w:p w:rsidR="00B66871" w:rsidP="00181887" w:rsidRDefault="00181887" w14:paraId="759A9452" w14:textId="77777777">
      <w:r>
        <w:t>Family Farms and beginning and Socially-Disadvantaged applicants) that utilize the program are considered small entities</w:t>
      </w:r>
      <w:r w:rsidR="002C217C">
        <w:t>.</w:t>
      </w:r>
    </w:p>
    <w:p w:rsidRPr="00B66871" w:rsidR="00B66871" w:rsidP="000E3975" w:rsidRDefault="00B66871" w14:paraId="463905D3" w14:textId="77777777">
      <w:pPr>
        <w:ind w:left="360"/>
      </w:pPr>
    </w:p>
    <w:p w:rsidR="00261F26" w:rsidP="000E3975" w:rsidRDefault="00261F26" w14:paraId="14A14932" w14:textId="77777777">
      <w:r w:rsidRPr="005E522D">
        <w:rPr>
          <w:b/>
          <w:bCs/>
        </w:rPr>
        <w:t xml:space="preserve">6.  </w:t>
      </w:r>
      <w:r w:rsidRPr="005E522D">
        <w:rPr>
          <w:b/>
          <w:bCs/>
          <w:u w:val="single"/>
        </w:rPr>
        <w:t>Describe the consequences to Federal program or policy activities if the collection is not conducted or conducted less frequently, as well as any technical or legal obstacles to reducing burden</w:t>
      </w:r>
      <w:r>
        <w:t>.</w:t>
      </w:r>
    </w:p>
    <w:p w:rsidR="00B66871" w:rsidP="000E3975" w:rsidRDefault="00B66871" w14:paraId="0A81B8F7" w14:textId="77777777">
      <w:pPr>
        <w:rPr>
          <w:b/>
        </w:rPr>
      </w:pPr>
    </w:p>
    <w:p w:rsidRPr="00B66871" w:rsidR="00B66871" w:rsidP="00BB1618" w:rsidRDefault="00B66871" w14:paraId="2DA19F3E" w14:textId="77777777">
      <w:r>
        <w:t>The information collection for grant applications is conducted annually by the Agency, but only once for the applicant.  It cannot be conducted less frequently because program funds are appropriated annually and must be awarded annually according to statutory and regulatory requirements.  Reporting is conducted at the minimum level (semi-annually) allowed by Federal regulations.</w:t>
      </w:r>
    </w:p>
    <w:p w:rsidR="00181887" w:rsidP="000E3975" w:rsidRDefault="00181887" w14:paraId="2C66DA40" w14:textId="77777777"/>
    <w:p w:rsidRPr="005E522D" w:rsidR="00261F26" w:rsidP="000E3975" w:rsidRDefault="00261F26" w14:paraId="00CFA318" w14:textId="77777777">
      <w:pPr>
        <w:rPr>
          <w:b/>
          <w:bCs/>
        </w:rPr>
      </w:pPr>
      <w:r w:rsidRPr="005E522D">
        <w:rPr>
          <w:b/>
          <w:bCs/>
        </w:rPr>
        <w:t xml:space="preserve">7.  </w:t>
      </w:r>
      <w:r w:rsidRPr="005E522D">
        <w:rPr>
          <w:b/>
          <w:bCs/>
          <w:u w:val="single"/>
        </w:rPr>
        <w:t>Explain any special circumstances that would cause an information collection to be conducted in a manner</w:t>
      </w:r>
      <w:r w:rsidRPr="005E522D">
        <w:rPr>
          <w:b/>
          <w:bCs/>
        </w:rPr>
        <w:t>:</w:t>
      </w:r>
    </w:p>
    <w:p w:rsidR="00B66871" w:rsidP="000E3975" w:rsidRDefault="00B66871" w14:paraId="38B07B07" w14:textId="77777777">
      <w:pPr>
        <w:rPr>
          <w:b/>
        </w:rPr>
      </w:pPr>
    </w:p>
    <w:p w:rsidR="00EB024D" w:rsidP="000E3975" w:rsidRDefault="00261F26" w14:paraId="656C94EE" w14:textId="77777777">
      <w:pPr>
        <w:numPr>
          <w:ilvl w:val="0"/>
          <w:numId w:val="3"/>
        </w:numPr>
      </w:pPr>
      <w:r>
        <w:rPr>
          <w:u w:val="single"/>
        </w:rPr>
        <w:t>Requiring respondents to report information more than quarterly</w:t>
      </w:r>
      <w:r>
        <w:t>.</w:t>
      </w:r>
      <w:r w:rsidR="0084746B">
        <w:t xml:space="preserve">  </w:t>
      </w:r>
    </w:p>
    <w:p w:rsidR="00EB024D" w:rsidP="000E3975" w:rsidRDefault="00EB024D" w14:paraId="119A6E84" w14:textId="77777777">
      <w:pPr>
        <w:ind w:left="285"/>
      </w:pPr>
    </w:p>
    <w:p w:rsidR="00B66871" w:rsidP="000E3975" w:rsidRDefault="00B66871" w14:paraId="6C8E81B0" w14:textId="77777777">
      <w:pPr>
        <w:ind w:left="285"/>
      </w:pPr>
      <w:r>
        <w:t xml:space="preserve">Grant recipients would only be required to submit reports more frequently than quarterly if they </w:t>
      </w:r>
      <w:r w:rsidR="00382565">
        <w:t>have demonstrated poor performance under past awards and/or have demonstrated poor financial management capabilities.</w:t>
      </w:r>
    </w:p>
    <w:p w:rsidRPr="00B66871" w:rsidR="00382565" w:rsidP="000E3975" w:rsidRDefault="00382565" w14:paraId="32121E92" w14:textId="77777777">
      <w:pPr>
        <w:ind w:left="1080"/>
      </w:pPr>
    </w:p>
    <w:p w:rsidR="00EB024D" w:rsidP="000E3975" w:rsidRDefault="00261F26" w14:paraId="7C2B9496" w14:textId="77777777">
      <w:pPr>
        <w:numPr>
          <w:ilvl w:val="0"/>
          <w:numId w:val="3"/>
        </w:numPr>
      </w:pPr>
      <w:r>
        <w:rPr>
          <w:u w:val="single"/>
        </w:rPr>
        <w:t>Requiring written responses in less than 30 days</w:t>
      </w:r>
      <w:r>
        <w:t>.</w:t>
      </w:r>
      <w:r w:rsidR="0084746B">
        <w:t xml:space="preserve">  </w:t>
      </w:r>
    </w:p>
    <w:p w:rsidR="00EB024D" w:rsidP="000E3975" w:rsidRDefault="00EB024D" w14:paraId="2EF03E9F" w14:textId="77777777">
      <w:pPr>
        <w:ind w:left="285"/>
      </w:pPr>
    </w:p>
    <w:p w:rsidR="00382565" w:rsidP="000E3975" w:rsidRDefault="00382565" w14:paraId="519F249D" w14:textId="77777777">
      <w:pPr>
        <w:ind w:left="285"/>
      </w:pPr>
      <w:r>
        <w:t>If a grant recipient requests an extension to the grant period and the Agency needs additional information to process the request, the recipient would be given less than 30 days to provide the additional information needed.</w:t>
      </w:r>
    </w:p>
    <w:p w:rsidRPr="00382565" w:rsidR="00382565" w:rsidP="000E3975" w:rsidRDefault="00382565" w14:paraId="614C867B" w14:textId="77777777">
      <w:pPr>
        <w:ind w:left="1080"/>
      </w:pPr>
    </w:p>
    <w:p w:rsidR="00EB024D" w:rsidP="000E3975" w:rsidRDefault="00261F26" w14:paraId="4FD008A8" w14:textId="77777777">
      <w:pPr>
        <w:numPr>
          <w:ilvl w:val="0"/>
          <w:numId w:val="3"/>
        </w:numPr>
      </w:pPr>
      <w:r>
        <w:rPr>
          <w:u w:val="single"/>
        </w:rPr>
        <w:t>Requiring more than an original and two copies</w:t>
      </w:r>
      <w:r>
        <w:t>.</w:t>
      </w:r>
      <w:r w:rsidR="0084746B">
        <w:t xml:space="preserve">  </w:t>
      </w:r>
    </w:p>
    <w:p w:rsidR="00EB024D" w:rsidP="000E3975" w:rsidRDefault="00EB024D" w14:paraId="7AE8E50D" w14:textId="77777777">
      <w:pPr>
        <w:ind w:left="285"/>
      </w:pPr>
    </w:p>
    <w:p w:rsidR="00382565" w:rsidP="000E3975" w:rsidRDefault="00382565" w14:paraId="53A823A0" w14:textId="77777777">
      <w:pPr>
        <w:ind w:left="285"/>
      </w:pPr>
      <w:r>
        <w:t>No special circumstances exist.</w:t>
      </w:r>
    </w:p>
    <w:p w:rsidRPr="00382565" w:rsidR="00382565" w:rsidP="000E3975" w:rsidRDefault="00382565" w14:paraId="746B8D5C" w14:textId="77777777">
      <w:pPr>
        <w:ind w:left="1080"/>
      </w:pPr>
    </w:p>
    <w:p w:rsidR="00EB024D" w:rsidP="000E3975" w:rsidRDefault="00261F26" w14:paraId="5D1AF343" w14:textId="77777777">
      <w:pPr>
        <w:numPr>
          <w:ilvl w:val="0"/>
          <w:numId w:val="3"/>
        </w:numPr>
      </w:pPr>
      <w:r>
        <w:rPr>
          <w:u w:val="single"/>
        </w:rPr>
        <w:t xml:space="preserve">Requiring respondents to retain records for more </w:t>
      </w:r>
      <w:proofErr w:type="spellStart"/>
      <w:r>
        <w:rPr>
          <w:u w:val="single"/>
        </w:rPr>
        <w:t>that</w:t>
      </w:r>
      <w:proofErr w:type="spellEnd"/>
      <w:r>
        <w:rPr>
          <w:u w:val="single"/>
        </w:rPr>
        <w:t xml:space="preserve"> 3 years</w:t>
      </w:r>
      <w:r>
        <w:t>.</w:t>
      </w:r>
      <w:r w:rsidR="0084746B">
        <w:t xml:space="preserve">  </w:t>
      </w:r>
    </w:p>
    <w:p w:rsidR="00EB024D" w:rsidP="000E3975" w:rsidRDefault="00EB024D" w14:paraId="6DF34075" w14:textId="77777777">
      <w:pPr>
        <w:ind w:left="285"/>
      </w:pPr>
    </w:p>
    <w:p w:rsidR="00382565" w:rsidP="000E3975" w:rsidRDefault="00382565" w14:paraId="27FCB0A8" w14:textId="77777777">
      <w:pPr>
        <w:ind w:left="285"/>
      </w:pPr>
      <w:r>
        <w:t>No special circumstances exist.</w:t>
      </w:r>
    </w:p>
    <w:p w:rsidRPr="00382565" w:rsidR="00382565" w:rsidP="000E3975" w:rsidRDefault="00382565" w14:paraId="2411E317" w14:textId="77777777">
      <w:pPr>
        <w:ind w:left="1080"/>
      </w:pPr>
    </w:p>
    <w:p w:rsidR="00EB024D" w:rsidP="000E3975" w:rsidRDefault="00261F26" w14:paraId="5D41BCD3" w14:textId="77777777">
      <w:pPr>
        <w:numPr>
          <w:ilvl w:val="0"/>
          <w:numId w:val="3"/>
        </w:numPr>
      </w:pPr>
      <w:r>
        <w:rPr>
          <w:u w:val="single"/>
        </w:rPr>
        <w:t>Not utilizing statistical sampling</w:t>
      </w:r>
      <w:r>
        <w:t>.</w:t>
      </w:r>
      <w:r w:rsidR="0084746B">
        <w:t xml:space="preserve">  </w:t>
      </w:r>
    </w:p>
    <w:p w:rsidR="00EB024D" w:rsidP="000E3975" w:rsidRDefault="00EB024D" w14:paraId="3DF5D1D4" w14:textId="77777777">
      <w:pPr>
        <w:ind w:left="285"/>
      </w:pPr>
    </w:p>
    <w:p w:rsidR="00382565" w:rsidP="000E3975" w:rsidRDefault="00382565" w14:paraId="1A7F906E" w14:textId="77777777">
      <w:pPr>
        <w:ind w:left="285"/>
      </w:pPr>
      <w:r>
        <w:t>No special circumstances exist.</w:t>
      </w:r>
    </w:p>
    <w:p w:rsidRPr="00382565" w:rsidR="00382565" w:rsidP="000E3975" w:rsidRDefault="00382565" w14:paraId="2AD47A58" w14:textId="77777777">
      <w:pPr>
        <w:ind w:left="1080"/>
      </w:pPr>
    </w:p>
    <w:p w:rsidR="00EB024D" w:rsidP="000E3975" w:rsidRDefault="00261F26" w14:paraId="34664628" w14:textId="77777777">
      <w:pPr>
        <w:numPr>
          <w:ilvl w:val="0"/>
          <w:numId w:val="3"/>
        </w:numPr>
      </w:pPr>
      <w:r>
        <w:rPr>
          <w:u w:val="single"/>
        </w:rPr>
        <w:t>Requiring use of statistical sampling which has not been reviewed and approved by OMB</w:t>
      </w:r>
      <w:r>
        <w:t>.</w:t>
      </w:r>
      <w:r w:rsidR="0084746B">
        <w:t xml:space="preserve">  </w:t>
      </w:r>
    </w:p>
    <w:p w:rsidR="00EB024D" w:rsidP="000E3975" w:rsidRDefault="00EB024D" w14:paraId="529E2B3F" w14:textId="77777777">
      <w:pPr>
        <w:ind w:left="285"/>
      </w:pPr>
    </w:p>
    <w:p w:rsidR="00382565" w:rsidP="000E3975" w:rsidRDefault="00382565" w14:paraId="18EDEB01" w14:textId="77777777">
      <w:pPr>
        <w:ind w:left="285"/>
      </w:pPr>
      <w:r>
        <w:t>No special circumstances exist.</w:t>
      </w:r>
    </w:p>
    <w:p w:rsidRPr="00382565" w:rsidR="00382565" w:rsidP="000E3975" w:rsidRDefault="00382565" w14:paraId="7A5D340A" w14:textId="77777777">
      <w:pPr>
        <w:ind w:left="1080"/>
      </w:pPr>
    </w:p>
    <w:p w:rsidR="00EB024D" w:rsidP="000E3975" w:rsidRDefault="00261F26" w14:paraId="64A26A0D" w14:textId="77777777">
      <w:pPr>
        <w:numPr>
          <w:ilvl w:val="0"/>
          <w:numId w:val="3"/>
        </w:numPr>
      </w:pPr>
      <w:r>
        <w:rPr>
          <w:u w:val="single"/>
        </w:rPr>
        <w:t>Requiring a pledge of confidentiality</w:t>
      </w:r>
      <w:r>
        <w:t>.</w:t>
      </w:r>
      <w:r w:rsidR="0084746B">
        <w:t xml:space="preserve">  </w:t>
      </w:r>
    </w:p>
    <w:p w:rsidR="00EB024D" w:rsidP="000E3975" w:rsidRDefault="00EB024D" w14:paraId="45CB6FD4" w14:textId="77777777">
      <w:pPr>
        <w:ind w:left="285"/>
      </w:pPr>
    </w:p>
    <w:p w:rsidR="00382565" w:rsidP="000E3975" w:rsidRDefault="00382565" w14:paraId="288E0291" w14:textId="77777777">
      <w:pPr>
        <w:ind w:left="285"/>
      </w:pPr>
      <w:r>
        <w:t>No special circumstances exist.</w:t>
      </w:r>
    </w:p>
    <w:p w:rsidRPr="00382565" w:rsidR="00382565" w:rsidP="000E3975" w:rsidRDefault="00382565" w14:paraId="6B053363" w14:textId="77777777">
      <w:pPr>
        <w:ind w:left="1080"/>
      </w:pPr>
    </w:p>
    <w:p w:rsidR="00EB024D" w:rsidP="000E3975" w:rsidRDefault="00261F26" w14:paraId="41915E71" w14:textId="77777777">
      <w:pPr>
        <w:numPr>
          <w:ilvl w:val="0"/>
          <w:numId w:val="3"/>
        </w:numPr>
      </w:pPr>
      <w:r>
        <w:rPr>
          <w:u w:val="single"/>
        </w:rPr>
        <w:t>Requiring submission of proprietary trade secrets</w:t>
      </w:r>
      <w:r>
        <w:t>.</w:t>
      </w:r>
      <w:r w:rsidR="0084746B">
        <w:t xml:space="preserve">  </w:t>
      </w:r>
    </w:p>
    <w:p w:rsidR="00EB024D" w:rsidP="000E3975" w:rsidRDefault="00EB024D" w14:paraId="00E0EA19" w14:textId="77777777">
      <w:pPr>
        <w:ind w:left="285"/>
      </w:pPr>
    </w:p>
    <w:p w:rsidRPr="00382565" w:rsidR="00382565" w:rsidP="000E3975" w:rsidRDefault="00382565" w14:paraId="4F817AC7" w14:textId="77777777">
      <w:pPr>
        <w:ind w:left="285"/>
      </w:pPr>
      <w:r>
        <w:t>No special circumstances exist.</w:t>
      </w:r>
    </w:p>
    <w:p w:rsidR="006B1BE5" w:rsidP="000E3975" w:rsidRDefault="006B1BE5" w14:paraId="354FF8E4" w14:textId="77777777"/>
    <w:p w:rsidRPr="005E522D" w:rsidR="002E75FC" w:rsidP="000E3975" w:rsidRDefault="002E75FC" w14:paraId="580C048A" w14:textId="77777777">
      <w:pPr>
        <w:rPr>
          <w:b/>
          <w:bCs/>
        </w:rPr>
      </w:pPr>
      <w:r w:rsidRPr="005E522D">
        <w:rPr>
          <w:b/>
          <w:bCs/>
        </w:rPr>
        <w:t xml:space="preserve">8.  </w:t>
      </w:r>
      <w:r w:rsidRPr="005E522D">
        <w:rPr>
          <w:b/>
          <w:bCs/>
          <w:u w:val="single"/>
        </w:rPr>
        <w:t xml:space="preserve">If applicable, identify the date and page number of </w:t>
      </w:r>
      <w:proofErr w:type="gramStart"/>
      <w:r w:rsidRPr="005E522D">
        <w:rPr>
          <w:b/>
          <w:bCs/>
          <w:u w:val="single"/>
        </w:rPr>
        <w:t>publication</w:t>
      </w:r>
      <w:proofErr w:type="gramEnd"/>
      <w:r w:rsidRPr="005E522D">
        <w:rPr>
          <w:b/>
          <w:bCs/>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5E522D">
        <w:rPr>
          <w:b/>
          <w:bCs/>
        </w:rPr>
        <w:t>.</w:t>
      </w:r>
    </w:p>
    <w:p w:rsidR="00161D5E" w:rsidP="000E3975" w:rsidRDefault="00161D5E" w14:paraId="6017076F" w14:textId="77777777">
      <w:pPr>
        <w:rPr>
          <w:b/>
        </w:rPr>
      </w:pPr>
    </w:p>
    <w:p w:rsidR="002C217C" w:rsidP="009E4D7E" w:rsidRDefault="009E4D7E" w14:paraId="6E851D57" w14:textId="4A5DA144">
      <w:r w:rsidRPr="009E4D7E">
        <w:t>As required by the Paperwork Reduction Act of 1995</w:t>
      </w:r>
      <w:r>
        <w:t>, a</w:t>
      </w:r>
      <w:r w:rsidR="004413CC">
        <w:t xml:space="preserve"> 60-day </w:t>
      </w:r>
      <w:r w:rsidR="00161D5E">
        <w:t>notice soliciting comments on the</w:t>
      </w:r>
      <w:r w:rsidR="004413CC">
        <w:t xml:space="preserve"> information collection w</w:t>
      </w:r>
      <w:r w:rsidR="006B1BE5">
        <w:t>as published</w:t>
      </w:r>
      <w:r w:rsidR="00D86BB3">
        <w:t xml:space="preserve"> </w:t>
      </w:r>
      <w:r w:rsidR="004C3887">
        <w:t>August 13</w:t>
      </w:r>
      <w:r w:rsidRPr="004C3887" w:rsidR="006B1BE5">
        <w:t>,</w:t>
      </w:r>
      <w:r w:rsidR="006B1BE5">
        <w:t xml:space="preserve"> 20</w:t>
      </w:r>
      <w:r w:rsidR="00082E28">
        <w:t>21</w:t>
      </w:r>
      <w:r w:rsidR="006B1BE5">
        <w:t xml:space="preserve">, </w:t>
      </w:r>
      <w:r w:rsidR="004C3887">
        <w:t>at 8</w:t>
      </w:r>
      <w:r w:rsidR="00082E28">
        <w:t>6</w:t>
      </w:r>
      <w:r w:rsidR="004C3887">
        <w:t xml:space="preserve"> FR </w:t>
      </w:r>
      <w:r w:rsidR="00082E28">
        <w:t>44689</w:t>
      </w:r>
      <w:r w:rsidR="00161D5E">
        <w:t xml:space="preserve">.  </w:t>
      </w:r>
      <w:r w:rsidR="00A95513">
        <w:t xml:space="preserve">No comments were received.  </w:t>
      </w:r>
    </w:p>
    <w:p w:rsidR="00D86BB3" w:rsidP="009E4D7E" w:rsidRDefault="00D86BB3" w14:paraId="03C381A7" w14:textId="77777777"/>
    <w:p w:rsidR="009E4D7E" w:rsidP="009E4D7E" w:rsidRDefault="001B637E" w14:paraId="5196E724" w14:textId="503E3E4C">
      <w:r>
        <w:t xml:space="preserve"> </w:t>
      </w:r>
      <w:r w:rsidR="00D86BB3">
        <w:t>Below are three contacts that provided significant feedback on the application process:</w:t>
      </w:r>
    </w:p>
    <w:p w:rsidR="002D3D01" w:rsidP="009E4D7E" w:rsidRDefault="002D3D01" w14:paraId="252E2B58" w14:textId="77777777"/>
    <w:p w:rsidR="00D86BB3" w:rsidP="00D86BB3" w:rsidRDefault="00D86BB3" w14:paraId="2894D14F" w14:textId="77777777">
      <w:r>
        <w:t xml:space="preserve">Glyn </w:t>
      </w:r>
      <w:proofErr w:type="spellStart"/>
      <w:r>
        <w:t>Mawr</w:t>
      </w:r>
      <w:proofErr w:type="spellEnd"/>
      <w:r>
        <w:t xml:space="preserve"> Vineyard &amp; Winery</w:t>
      </w:r>
    </w:p>
    <w:p w:rsidR="00D86BB3" w:rsidP="00D86BB3" w:rsidRDefault="00D86BB3" w14:paraId="46B21090" w14:textId="77777777">
      <w:r>
        <w:t>Olin, IA 52320</w:t>
      </w:r>
    </w:p>
    <w:p w:rsidR="00D86BB3" w:rsidP="00D86BB3" w:rsidRDefault="00D86BB3" w14:paraId="7D0B12DE" w14:textId="77777777"/>
    <w:p w:rsidR="00D86BB3" w:rsidP="00D86BB3" w:rsidRDefault="00D86BB3" w14:paraId="20A217DC" w14:textId="77777777">
      <w:r>
        <w:t>Montana Sheep Company</w:t>
      </w:r>
    </w:p>
    <w:p w:rsidR="00D86BB3" w:rsidP="00D86BB3" w:rsidRDefault="00D86BB3" w14:paraId="36C7180B" w14:textId="77777777">
      <w:r>
        <w:t>Fort Shaw, MT 59443</w:t>
      </w:r>
    </w:p>
    <w:p w:rsidR="00D86BB3" w:rsidP="00D86BB3" w:rsidRDefault="00D86BB3" w14:paraId="7E1575BF" w14:textId="77777777"/>
    <w:p w:rsidR="00D86BB3" w:rsidP="00D86BB3" w:rsidRDefault="00D86BB3" w14:paraId="46E2805D" w14:textId="77777777">
      <w:r>
        <w:t xml:space="preserve">Dba </w:t>
      </w:r>
      <w:proofErr w:type="spellStart"/>
      <w:r>
        <w:t>Munchkey</w:t>
      </w:r>
      <w:proofErr w:type="spellEnd"/>
      <w:r>
        <w:t xml:space="preserve"> Apples</w:t>
      </w:r>
    </w:p>
    <w:p w:rsidR="00D86BB3" w:rsidP="00D86BB3" w:rsidRDefault="00D86BB3" w14:paraId="50D250DA" w14:textId="77777777">
      <w:r>
        <w:t>Mt. Horeb, WI 53572</w:t>
      </w:r>
    </w:p>
    <w:p w:rsidRPr="00161D5E" w:rsidR="001808E2" w:rsidP="001808E2" w:rsidRDefault="001808E2" w14:paraId="2926EDAE" w14:textId="77777777"/>
    <w:p w:rsidR="002E75FC" w:rsidP="000E3975" w:rsidRDefault="002E75FC" w14:paraId="5579005B" w14:textId="77777777">
      <w:r w:rsidRPr="005E522D">
        <w:rPr>
          <w:b/>
          <w:bCs/>
        </w:rPr>
        <w:t xml:space="preserve">9.  </w:t>
      </w:r>
      <w:r w:rsidRPr="005E522D">
        <w:rPr>
          <w:b/>
          <w:bCs/>
          <w:u w:val="single"/>
        </w:rPr>
        <w:t>Explain any decision to provide any payment or gift to respondents, other than remuneration of contractors or grantees</w:t>
      </w:r>
      <w:r>
        <w:t>.</w:t>
      </w:r>
    </w:p>
    <w:p w:rsidR="00161D5E" w:rsidP="000E3975" w:rsidRDefault="00161D5E" w14:paraId="1E0F7C3A" w14:textId="77777777">
      <w:pPr>
        <w:rPr>
          <w:b/>
        </w:rPr>
      </w:pPr>
    </w:p>
    <w:p w:rsidR="00161D5E" w:rsidP="000E3975" w:rsidRDefault="00161D5E" w14:paraId="531D7664" w14:textId="77777777">
      <w:r>
        <w:t>No payments or gifts are provided to respondents.</w:t>
      </w:r>
    </w:p>
    <w:p w:rsidRPr="00161D5E" w:rsidR="00161D5E" w:rsidP="000E3975" w:rsidRDefault="00161D5E" w14:paraId="2C53B272" w14:textId="77777777">
      <w:pPr>
        <w:ind w:left="360"/>
      </w:pPr>
    </w:p>
    <w:p w:rsidR="002E75FC" w:rsidP="000E3975" w:rsidRDefault="002E75FC" w14:paraId="21F18A45" w14:textId="77777777">
      <w:r w:rsidRPr="005E522D">
        <w:rPr>
          <w:b/>
          <w:bCs/>
        </w:rPr>
        <w:t xml:space="preserve">10.  </w:t>
      </w:r>
      <w:r w:rsidRPr="005E522D">
        <w:rPr>
          <w:b/>
          <w:bCs/>
          <w:u w:val="single"/>
        </w:rPr>
        <w:t>Describe any assurance of confidentiality provided to respondents and the basis for the assurance in statute, regulation, or Agency policy</w:t>
      </w:r>
      <w:r>
        <w:t>.</w:t>
      </w:r>
    </w:p>
    <w:p w:rsidR="00161D5E" w:rsidP="000E3975" w:rsidRDefault="00161D5E" w14:paraId="4A523E26" w14:textId="77777777">
      <w:pPr>
        <w:rPr>
          <w:b/>
        </w:rPr>
      </w:pPr>
    </w:p>
    <w:p w:rsidR="00161D5E" w:rsidP="000E3975" w:rsidRDefault="00161D5E" w14:paraId="502723C7" w14:textId="77777777">
      <w:r>
        <w:t>It is the Agency’s policy to protect the information submitted by applicants and recipients to the extent permitted by law.</w:t>
      </w:r>
    </w:p>
    <w:p w:rsidRPr="00161D5E" w:rsidR="00161D5E" w:rsidP="000E3975" w:rsidRDefault="00161D5E" w14:paraId="08945952" w14:textId="77777777">
      <w:pPr>
        <w:ind w:left="360"/>
      </w:pPr>
    </w:p>
    <w:p w:rsidR="002E75FC" w:rsidP="000E3975" w:rsidRDefault="002E75FC" w14:paraId="3E3351F7" w14:textId="77777777">
      <w:r w:rsidRPr="005E522D">
        <w:rPr>
          <w:b/>
          <w:bCs/>
        </w:rPr>
        <w:t xml:space="preserve">11.  </w:t>
      </w:r>
      <w:r w:rsidRPr="005E522D">
        <w:rPr>
          <w:b/>
          <w:bCs/>
          <w:u w:val="single"/>
        </w:rPr>
        <w:t>Provide additional justification for any question of a sensitive nature, such as sexual behavior or attitudes, religious beliefs, and other matters that are commonly considered private</w:t>
      </w:r>
      <w:r>
        <w:t>.</w:t>
      </w:r>
    </w:p>
    <w:p w:rsidR="00161D5E" w:rsidP="000E3975" w:rsidRDefault="00161D5E" w14:paraId="51DC4CE4" w14:textId="77777777">
      <w:pPr>
        <w:rPr>
          <w:b/>
        </w:rPr>
      </w:pPr>
    </w:p>
    <w:p w:rsidR="00161D5E" w:rsidP="000E3975" w:rsidRDefault="00161D5E" w14:paraId="0B7EB0B5" w14:textId="77777777">
      <w:r>
        <w:t>No questions of a sensitive nature are asked.</w:t>
      </w:r>
    </w:p>
    <w:p w:rsidRPr="00161D5E" w:rsidR="00161D5E" w:rsidP="000E3975" w:rsidRDefault="00161D5E" w14:paraId="164DB61F" w14:textId="77777777">
      <w:pPr>
        <w:ind w:left="360"/>
      </w:pPr>
    </w:p>
    <w:p w:rsidR="002E75FC" w:rsidP="000E3975" w:rsidRDefault="002E75FC" w14:paraId="3E5076BD" w14:textId="77777777">
      <w:pPr>
        <w:rPr>
          <w:u w:val="single"/>
        </w:rPr>
      </w:pPr>
      <w:r w:rsidRPr="005E522D">
        <w:rPr>
          <w:b/>
          <w:bCs/>
        </w:rPr>
        <w:t xml:space="preserve">12.  </w:t>
      </w:r>
      <w:r w:rsidRPr="005E522D">
        <w:rPr>
          <w:b/>
          <w:bCs/>
          <w:u w:val="single"/>
        </w:rPr>
        <w:t>Provide estimates of the hour burden of the collection of information.  Indicate the number of respondents, frequency of response, annual hour burden, and an explanation of how the burden was estimated</w:t>
      </w:r>
      <w:r>
        <w:rPr>
          <w:u w:val="single"/>
        </w:rPr>
        <w:t xml:space="preserve">.  </w:t>
      </w:r>
    </w:p>
    <w:p w:rsidR="006C1C15" w:rsidP="000E3975" w:rsidRDefault="006C1C15" w14:paraId="2FE80255" w14:textId="77777777"/>
    <w:p w:rsidR="006C1C15" w:rsidP="006C1C15" w:rsidRDefault="00BB1618" w14:paraId="72AE5044" w14:textId="3D8183B4">
      <w:r>
        <w:t xml:space="preserve">Based on the FY </w:t>
      </w:r>
      <w:r w:rsidR="00690505">
        <w:t>202</w:t>
      </w:r>
      <w:r w:rsidR="000E7E0A">
        <w:t>1</w:t>
      </w:r>
      <w:r w:rsidR="00690505">
        <w:t xml:space="preserve"> </w:t>
      </w:r>
      <w:r>
        <w:t xml:space="preserve">applications and awards, we have estimated that there </w:t>
      </w:r>
      <w:r w:rsidR="0082205C">
        <w:t xml:space="preserve">are </w:t>
      </w:r>
      <w:r w:rsidR="000E7E0A">
        <w:t xml:space="preserve">828 </w:t>
      </w:r>
      <w:r w:rsidR="0082205C">
        <w:t xml:space="preserve">respondents for the application portion of the program and </w:t>
      </w:r>
      <w:r w:rsidR="000E7E0A">
        <w:t xml:space="preserve">470 </w:t>
      </w:r>
      <w:r w:rsidR="0082205C">
        <w:t>respondents for the award portion of the program</w:t>
      </w:r>
      <w:r w:rsidR="00077448">
        <w:t xml:space="preserve">.  While applicants need only submit their applications once each year, recipients need to submit financial and performance reports twice each year, along with a single submission of required forms as part of the award process, giving us an estimated </w:t>
      </w:r>
      <w:r w:rsidR="00FB6427">
        <w:t>3648</w:t>
      </w:r>
      <w:r w:rsidR="000E7E0A">
        <w:t xml:space="preserve"> </w:t>
      </w:r>
      <w:r w:rsidR="00077448">
        <w:t xml:space="preserve">responses and </w:t>
      </w:r>
      <w:r w:rsidR="00FB6427">
        <w:t>81,862</w:t>
      </w:r>
      <w:r w:rsidR="000E7E0A">
        <w:t xml:space="preserve"> </w:t>
      </w:r>
      <w:r w:rsidR="00077448">
        <w:t xml:space="preserve">burden hours each year. </w:t>
      </w:r>
      <w:r w:rsidR="006C1C15">
        <w:rPr>
          <w:b/>
        </w:rPr>
        <w:t xml:space="preserve"> </w:t>
      </w:r>
      <w:r w:rsidR="00161D5E">
        <w:t xml:space="preserve">See </w:t>
      </w:r>
      <w:r w:rsidR="00077448">
        <w:t xml:space="preserve">the </w:t>
      </w:r>
      <w:r w:rsidR="00161D5E">
        <w:t>attached spreadsheet</w:t>
      </w:r>
      <w:r w:rsidR="002E75FC">
        <w:t xml:space="preserve"> for</w:t>
      </w:r>
      <w:r w:rsidRPr="006C1C15" w:rsidR="006C1C15">
        <w:t xml:space="preserve"> </w:t>
      </w:r>
      <w:r w:rsidR="006C1C15">
        <w:t xml:space="preserve">a more detailed breakdown of </w:t>
      </w:r>
      <w:r w:rsidR="002E75FC">
        <w:t>the number of respondents, frequency of response, and annual hour burden</w:t>
      </w:r>
      <w:r w:rsidR="00161D5E">
        <w:t>.</w:t>
      </w:r>
      <w:r w:rsidR="002E75FC">
        <w:t xml:space="preserve">  </w:t>
      </w:r>
    </w:p>
    <w:p w:rsidR="006C1C15" w:rsidP="006C1C15" w:rsidRDefault="006C1C15" w14:paraId="244A354B" w14:textId="77777777"/>
    <w:p w:rsidR="006C1C15" w:rsidP="006C1C15" w:rsidRDefault="002E75FC" w14:paraId="4DEB4A00" w14:textId="46B28319">
      <w:r>
        <w:t xml:space="preserve">The burden was estimated by program </w:t>
      </w:r>
      <w:r w:rsidR="00CE6E3F">
        <w:t>staff that has</w:t>
      </w:r>
      <w:r w:rsidR="008471FF">
        <w:t xml:space="preserve"> </w:t>
      </w:r>
      <w:r>
        <w:t>worked with the program for several years as well as by previous applicants and recipients who estimated the time and cost for putting together applications and reports.</w:t>
      </w:r>
      <w:r w:rsidR="00DA47E0">
        <w:t xml:space="preserve">  </w:t>
      </w:r>
      <w:r w:rsidR="008471FF">
        <w:t xml:space="preserve">The number of applicants and award recipients is based on actual </w:t>
      </w:r>
      <w:r w:rsidR="000E7E0A">
        <w:t xml:space="preserve">and estimated </w:t>
      </w:r>
      <w:r w:rsidR="008471FF">
        <w:t xml:space="preserve">figures from the most recent </w:t>
      </w:r>
      <w:r w:rsidR="00077448">
        <w:t xml:space="preserve">application and award processes in FY </w:t>
      </w:r>
      <w:r w:rsidR="000E7E0A">
        <w:t>2021</w:t>
      </w:r>
      <w:r w:rsidR="00ED023F">
        <w:t xml:space="preserve">. </w:t>
      </w:r>
    </w:p>
    <w:p w:rsidR="006C1C15" w:rsidP="006C1C15" w:rsidRDefault="006C1C15" w14:paraId="5682ADFA" w14:textId="77777777"/>
    <w:p w:rsidRPr="00C37BB7" w:rsidR="00161D5E" w:rsidP="006C1C15" w:rsidRDefault="00DA47E0" w14:paraId="6E5930B3" w14:textId="4DD3A6C5">
      <w:r>
        <w:t xml:space="preserve">The Agency used </w:t>
      </w:r>
      <w:r w:rsidR="001808E2">
        <w:t>a mean wage rate</w:t>
      </w:r>
      <w:r>
        <w:t xml:space="preserve"> </w:t>
      </w:r>
      <w:r w:rsidR="001808E2">
        <w:t>of $</w:t>
      </w:r>
      <w:r w:rsidR="00EF6842">
        <w:t>41.</w:t>
      </w:r>
      <w:r w:rsidR="004614A0">
        <w:t xml:space="preserve">23 </w:t>
      </w:r>
      <w:r w:rsidR="001808E2">
        <w:t xml:space="preserve">for the applicant burden section </w:t>
      </w:r>
      <w:r w:rsidRPr="006E7AEF" w:rsidR="001808E2">
        <w:t xml:space="preserve">from the Bureau of Labor Statistics, May </w:t>
      </w:r>
      <w:r w:rsidR="008F78D7">
        <w:t>20</w:t>
      </w:r>
      <w:r w:rsidR="009E0EAB">
        <w:t>20</w:t>
      </w:r>
      <w:r w:rsidR="008F78D7">
        <w:t xml:space="preserve"> </w:t>
      </w:r>
      <w:r w:rsidRPr="006E7AEF" w:rsidR="001808E2">
        <w:t>National Occupational Employment and Wage Estimates</w:t>
      </w:r>
      <w:r w:rsidR="001808E2">
        <w:t xml:space="preserve"> </w:t>
      </w:r>
      <w:r w:rsidRPr="006E7AEF" w:rsidR="001808E2">
        <w:t>United States (</w:t>
      </w:r>
      <w:hyperlink w:history="1" r:id="rId8">
        <w:r w:rsidRPr="00AB28CF" w:rsidR="00C37BB7">
          <w:rPr>
            <w:rStyle w:val="Hyperlink"/>
          </w:rPr>
          <w:t>http://www.bls.gov/oes/current/oes_nat.htm</w:t>
        </w:r>
      </w:hyperlink>
      <w:r w:rsidR="001808E2">
        <w:t>)</w:t>
      </w:r>
      <w:r w:rsidRPr="006E7AEF" w:rsidR="001808E2">
        <w:t xml:space="preserve">.  Mean wages by occupation for the following classes: </w:t>
      </w:r>
      <w:r w:rsidR="001808E2">
        <w:t xml:space="preserve">Management </w:t>
      </w:r>
      <w:r w:rsidR="002B1CDC">
        <w:t xml:space="preserve">Analyst </w:t>
      </w:r>
      <w:r w:rsidR="001808E2">
        <w:t>$</w:t>
      </w:r>
      <w:r w:rsidR="009E0EAB">
        <w:t>46</w:t>
      </w:r>
      <w:r w:rsidR="00D726E7">
        <w:t>.</w:t>
      </w:r>
      <w:r w:rsidR="009E0EAB">
        <w:t>91</w:t>
      </w:r>
      <w:r w:rsidR="001808E2">
        <w:t xml:space="preserve">; Postsecondary School </w:t>
      </w:r>
      <w:r w:rsidR="002B1CDC">
        <w:t xml:space="preserve">Teacher </w:t>
      </w:r>
      <w:r w:rsidR="001808E2">
        <w:t>(University Professor) $</w:t>
      </w:r>
      <w:r w:rsidR="00EB38E0">
        <w:t>39.85</w:t>
      </w:r>
      <w:r w:rsidR="001808E2">
        <w:t>; Farm/Ranch Manager $</w:t>
      </w:r>
      <w:r w:rsidR="009E0EAB">
        <w:t>36</w:t>
      </w:r>
      <w:r w:rsidR="00D726E7">
        <w:t>.</w:t>
      </w:r>
      <w:r w:rsidR="009E0EAB">
        <w:t>93</w:t>
      </w:r>
      <w:r w:rsidR="001808E2">
        <w:t xml:space="preserve">.  </w:t>
      </w:r>
      <w:r w:rsidR="00337228">
        <w:t>The wages include 31% to account for benefits.</w:t>
      </w:r>
    </w:p>
    <w:p w:rsidR="004E7997" w:rsidP="000E3975" w:rsidRDefault="004E7997" w14:paraId="6EAE3DE8" w14:textId="77777777"/>
    <w:p w:rsidR="002E75FC" w:rsidP="000E3975" w:rsidRDefault="002E75FC" w14:paraId="2D89E94A" w14:textId="77777777">
      <w:r w:rsidRPr="005E522D">
        <w:rPr>
          <w:b/>
          <w:bCs/>
        </w:rPr>
        <w:t xml:space="preserve">13.  </w:t>
      </w:r>
      <w:r w:rsidRPr="005E522D">
        <w:rPr>
          <w:b/>
          <w:bCs/>
          <w:u w:val="single"/>
        </w:rPr>
        <w:t>Provide an estimate of the total annual cost burden to respondents or recordkeepers resulting from the collection of information</w:t>
      </w:r>
      <w:r>
        <w:t>.</w:t>
      </w:r>
    </w:p>
    <w:p w:rsidR="00161D5E" w:rsidP="000E3975" w:rsidRDefault="00161D5E" w14:paraId="1EC7870A" w14:textId="77777777">
      <w:pPr>
        <w:rPr>
          <w:b/>
        </w:rPr>
      </w:pPr>
    </w:p>
    <w:p w:rsidR="002E75FC" w:rsidP="000E3975" w:rsidRDefault="002E75FC" w14:paraId="6794453A" w14:textId="77777777">
      <w:pPr>
        <w:ind w:left="450"/>
      </w:pPr>
      <w:r>
        <w:t xml:space="preserve">a.  </w:t>
      </w:r>
      <w:r>
        <w:rPr>
          <w:u w:val="single"/>
        </w:rPr>
        <w:t>Total capital and start-up cost component (annualized over its expected useful life)</w:t>
      </w:r>
      <w:r>
        <w:t>.</w:t>
      </w:r>
      <w:r w:rsidR="00EB024D">
        <w:t xml:space="preserve">  </w:t>
      </w:r>
    </w:p>
    <w:p w:rsidR="002E75FC" w:rsidP="000E3975" w:rsidRDefault="002E75FC" w14:paraId="3E309D8F" w14:textId="77777777">
      <w:pPr>
        <w:rPr>
          <w:b/>
        </w:rPr>
      </w:pPr>
    </w:p>
    <w:p w:rsidR="002E75FC" w:rsidP="000E3975" w:rsidRDefault="004413CC" w14:paraId="6A194878" w14:textId="77777777">
      <w:pPr>
        <w:ind w:left="720"/>
      </w:pPr>
      <w:r>
        <w:t xml:space="preserve">There are no </w:t>
      </w:r>
      <w:r w:rsidR="00A95513">
        <w:t xml:space="preserve">capital and </w:t>
      </w:r>
      <w:r>
        <w:t>start-up costs involved.</w:t>
      </w:r>
    </w:p>
    <w:p w:rsidR="004413CC" w:rsidP="000E3975" w:rsidRDefault="004413CC" w14:paraId="66FE1568" w14:textId="77777777">
      <w:pPr>
        <w:ind w:left="720"/>
      </w:pPr>
    </w:p>
    <w:p w:rsidR="002E75FC" w:rsidP="000E3975" w:rsidRDefault="002E75FC" w14:paraId="3C88339D" w14:textId="77777777">
      <w:pPr>
        <w:ind w:left="450"/>
      </w:pPr>
      <w:r>
        <w:t xml:space="preserve">b.  </w:t>
      </w:r>
      <w:r>
        <w:rPr>
          <w:u w:val="single"/>
        </w:rPr>
        <w:t>Total operation and maintenance and purchase of services component</w:t>
      </w:r>
      <w:r>
        <w:t>.</w:t>
      </w:r>
      <w:r w:rsidR="004413CC">
        <w:t xml:space="preserve">  </w:t>
      </w:r>
    </w:p>
    <w:p w:rsidR="004413CC" w:rsidP="000E3975" w:rsidRDefault="004413CC" w14:paraId="5030D90A" w14:textId="77777777">
      <w:pPr>
        <w:ind w:left="450"/>
      </w:pPr>
    </w:p>
    <w:p w:rsidR="004413CC" w:rsidP="000E3975" w:rsidRDefault="004413CC" w14:paraId="7D0327A6" w14:textId="77777777">
      <w:pPr>
        <w:ind w:left="720"/>
      </w:pPr>
      <w:r>
        <w:t>There are no operation and maintenance and purchase of services involved.</w:t>
      </w:r>
    </w:p>
    <w:p w:rsidR="002E75FC" w:rsidP="000E3975" w:rsidRDefault="002E75FC" w14:paraId="7D151565" w14:textId="77777777">
      <w:pPr>
        <w:ind w:left="1080" w:firstLine="360"/>
      </w:pPr>
    </w:p>
    <w:p w:rsidR="002E75FC" w:rsidP="000E3975" w:rsidRDefault="002E75FC" w14:paraId="2CE2BAE7" w14:textId="77777777">
      <w:r w:rsidRPr="005E522D">
        <w:rPr>
          <w:b/>
          <w:bCs/>
        </w:rPr>
        <w:t xml:space="preserve">14.  </w:t>
      </w:r>
      <w:r w:rsidRPr="005E522D">
        <w:rPr>
          <w:b/>
          <w:bCs/>
          <w:u w:val="single"/>
        </w:rPr>
        <w:t>Provide estimates of annualized cost to the Federal Government.  Provide a description of the method used to estimate cost and any other expense that would not have been incurred without this collection of information</w:t>
      </w:r>
      <w:r>
        <w:rPr>
          <w:u w:val="single"/>
        </w:rPr>
        <w:t>.</w:t>
      </w:r>
    </w:p>
    <w:p w:rsidR="00161D5E" w:rsidP="000E3975" w:rsidRDefault="00161D5E" w14:paraId="11290976" w14:textId="77777777">
      <w:pPr>
        <w:rPr>
          <w:b/>
        </w:rPr>
      </w:pPr>
    </w:p>
    <w:p w:rsidR="008432DD" w:rsidP="000E3975" w:rsidRDefault="00077448" w14:paraId="6E5CA9AA" w14:textId="52B0697E">
      <w:r>
        <w:t>We estimate the annualized cost to the Federal Government to be $</w:t>
      </w:r>
      <w:r w:rsidR="00ED2910">
        <w:t>2</w:t>
      </w:r>
      <w:r>
        <w:t>,</w:t>
      </w:r>
      <w:r w:rsidR="00ED2910">
        <w:t>047</w:t>
      </w:r>
      <w:r>
        <w:t>,</w:t>
      </w:r>
      <w:r w:rsidR="00ED2910">
        <w:t>317</w:t>
      </w:r>
      <w:r>
        <w:t xml:space="preserve">.  </w:t>
      </w:r>
      <w:r w:rsidR="002E75FC">
        <w:t xml:space="preserve">The method used to estimate cost was to rely on estimates of National Office program staff regarding how much time was spent by program staff on each component of the program.  The GS </w:t>
      </w:r>
      <w:r>
        <w:t>wage</w:t>
      </w:r>
      <w:r w:rsidR="002E75FC">
        <w:t xml:space="preserve"> rate tables for </w:t>
      </w:r>
      <w:r w:rsidR="001B01F0">
        <w:t xml:space="preserve">2021 </w:t>
      </w:r>
      <w:r w:rsidR="002E75FC">
        <w:t xml:space="preserve">were used to estimate the wage rates for each type of Agency function, depending on </w:t>
      </w:r>
      <w:r w:rsidR="002E75FC">
        <w:lastRenderedPageBreak/>
        <w:t>the grade level of the person who typically performs that function</w:t>
      </w:r>
      <w:r w:rsidR="000A37A1">
        <w:t xml:space="preserve">. </w:t>
      </w:r>
      <w:r w:rsidR="002A0128">
        <w:t>Wage</w:t>
      </w:r>
      <w:r w:rsidR="000A37A1">
        <w:t xml:space="preserve"> rates </w:t>
      </w:r>
      <w:r w:rsidR="002A0128">
        <w:t xml:space="preserve">were adjusted to </w:t>
      </w:r>
      <w:r w:rsidR="000A37A1">
        <w:t>include 36.25% for employee benefits and 28% for overhead costs.</w:t>
      </w:r>
    </w:p>
    <w:p w:rsidR="00077448" w:rsidP="000E3975" w:rsidRDefault="00077448" w14:paraId="73E5C8A1" w14:textId="77777777"/>
    <w:p w:rsidR="00077448" w:rsidP="000E3975" w:rsidRDefault="00077448" w14:paraId="514EBBA7" w14:textId="77777777">
      <w:r>
        <w:t>We used the following wage rates to estimate costs:</w:t>
      </w:r>
    </w:p>
    <w:p w:rsidR="00077448" w:rsidP="000E3975" w:rsidRDefault="00077448" w14:paraId="5481D68D"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6"/>
        <w:gridCol w:w="2348"/>
        <w:gridCol w:w="2323"/>
        <w:gridCol w:w="2333"/>
      </w:tblGrid>
      <w:tr w:rsidR="00077448" w:rsidTr="00D05589" w14:paraId="0FD51991" w14:textId="77777777">
        <w:tc>
          <w:tcPr>
            <w:tcW w:w="2394" w:type="dxa"/>
            <w:shd w:val="clear" w:color="auto" w:fill="auto"/>
          </w:tcPr>
          <w:p w:rsidRPr="00D05589" w:rsidR="00077448" w:rsidP="00D05589" w:rsidRDefault="00077448" w14:paraId="1410B3BF" w14:textId="77777777">
            <w:pPr>
              <w:jc w:val="center"/>
              <w:rPr>
                <w:b/>
              </w:rPr>
            </w:pPr>
            <w:r w:rsidRPr="00D05589">
              <w:rPr>
                <w:b/>
              </w:rPr>
              <w:t>Geographic Location</w:t>
            </w:r>
          </w:p>
        </w:tc>
        <w:tc>
          <w:tcPr>
            <w:tcW w:w="2394" w:type="dxa"/>
            <w:shd w:val="clear" w:color="auto" w:fill="auto"/>
          </w:tcPr>
          <w:p w:rsidRPr="00D05589" w:rsidR="00077448" w:rsidP="00D05589" w:rsidRDefault="00077448" w14:paraId="5FCC55AA" w14:textId="77777777">
            <w:pPr>
              <w:jc w:val="center"/>
              <w:rPr>
                <w:b/>
              </w:rPr>
            </w:pPr>
            <w:r w:rsidRPr="00D05589">
              <w:rPr>
                <w:b/>
              </w:rPr>
              <w:t>GS Level/Title</w:t>
            </w:r>
          </w:p>
        </w:tc>
        <w:tc>
          <w:tcPr>
            <w:tcW w:w="2394" w:type="dxa"/>
            <w:shd w:val="clear" w:color="auto" w:fill="auto"/>
          </w:tcPr>
          <w:p w:rsidRPr="00D05589" w:rsidR="00077448" w:rsidP="00D05589" w:rsidRDefault="00077448" w14:paraId="3CFF4C33" w14:textId="77777777">
            <w:pPr>
              <w:jc w:val="center"/>
              <w:rPr>
                <w:b/>
              </w:rPr>
            </w:pPr>
            <w:r w:rsidRPr="00D05589">
              <w:rPr>
                <w:b/>
              </w:rPr>
              <w:t>Hourly Wage Rate</w:t>
            </w:r>
          </w:p>
        </w:tc>
        <w:tc>
          <w:tcPr>
            <w:tcW w:w="2394" w:type="dxa"/>
            <w:shd w:val="clear" w:color="auto" w:fill="auto"/>
          </w:tcPr>
          <w:p w:rsidRPr="00D05589" w:rsidR="00077448" w:rsidP="00D05589" w:rsidRDefault="00077448" w14:paraId="291B1A85" w14:textId="77777777">
            <w:pPr>
              <w:jc w:val="center"/>
              <w:rPr>
                <w:b/>
              </w:rPr>
            </w:pPr>
            <w:r w:rsidRPr="00D05589">
              <w:rPr>
                <w:b/>
              </w:rPr>
              <w:t>Adjusted Wage Rate</w:t>
            </w:r>
          </w:p>
        </w:tc>
      </w:tr>
      <w:tr w:rsidR="00077448" w:rsidTr="00D05589" w14:paraId="5E4D9D21" w14:textId="77777777">
        <w:tc>
          <w:tcPr>
            <w:tcW w:w="2394" w:type="dxa"/>
            <w:shd w:val="clear" w:color="auto" w:fill="auto"/>
          </w:tcPr>
          <w:p w:rsidR="00077448" w:rsidP="000E3975" w:rsidRDefault="00077448" w14:paraId="7D427A75" w14:textId="77777777">
            <w:r>
              <w:t>Rest of U.S.</w:t>
            </w:r>
          </w:p>
        </w:tc>
        <w:tc>
          <w:tcPr>
            <w:tcW w:w="2394" w:type="dxa"/>
            <w:shd w:val="clear" w:color="auto" w:fill="auto"/>
          </w:tcPr>
          <w:p w:rsidR="00077448" w:rsidP="000E3975" w:rsidRDefault="00077448" w14:paraId="7A60CFD7" w14:textId="77777777">
            <w:r>
              <w:t>GS-07 (step 5)</w:t>
            </w:r>
          </w:p>
          <w:p w:rsidR="00077448" w:rsidP="000E3975" w:rsidRDefault="00077448" w14:paraId="6F125653" w14:textId="77777777">
            <w:r>
              <w:t>Program Technician</w:t>
            </w:r>
          </w:p>
        </w:tc>
        <w:tc>
          <w:tcPr>
            <w:tcW w:w="2394" w:type="dxa"/>
            <w:shd w:val="clear" w:color="auto" w:fill="auto"/>
          </w:tcPr>
          <w:p w:rsidR="00077448" w:rsidP="00D05589" w:rsidRDefault="00077448" w14:paraId="2D86ABA9" w14:textId="1F360413">
            <w:pPr>
              <w:jc w:val="right"/>
            </w:pPr>
            <w:r>
              <w:t>$</w:t>
            </w:r>
            <w:r w:rsidR="004614A0">
              <w:t>23</w:t>
            </w:r>
            <w:r>
              <w:t>.</w:t>
            </w:r>
            <w:r w:rsidR="004614A0">
              <w:t>72</w:t>
            </w:r>
          </w:p>
        </w:tc>
        <w:tc>
          <w:tcPr>
            <w:tcW w:w="2394" w:type="dxa"/>
            <w:shd w:val="clear" w:color="auto" w:fill="auto"/>
          </w:tcPr>
          <w:p w:rsidR="00077448" w:rsidP="00D05589" w:rsidRDefault="00077448" w14:paraId="22742F77" w14:textId="1F396024">
            <w:pPr>
              <w:jc w:val="right"/>
            </w:pPr>
            <w:r>
              <w:t>$</w:t>
            </w:r>
            <w:r w:rsidR="004614A0">
              <w:t>38</w:t>
            </w:r>
            <w:r>
              <w:t>.</w:t>
            </w:r>
            <w:r w:rsidR="004614A0">
              <w:t>96</w:t>
            </w:r>
          </w:p>
        </w:tc>
      </w:tr>
      <w:tr w:rsidR="00077448" w:rsidTr="00D05589" w14:paraId="7304A3CA" w14:textId="77777777">
        <w:tc>
          <w:tcPr>
            <w:tcW w:w="2394" w:type="dxa"/>
            <w:shd w:val="clear" w:color="auto" w:fill="auto"/>
          </w:tcPr>
          <w:p w:rsidR="00077448" w:rsidP="000E3975" w:rsidRDefault="002A0128" w14:paraId="6291DDF7" w14:textId="77777777">
            <w:r>
              <w:t>Rest of U.S.</w:t>
            </w:r>
          </w:p>
        </w:tc>
        <w:tc>
          <w:tcPr>
            <w:tcW w:w="2394" w:type="dxa"/>
            <w:shd w:val="clear" w:color="auto" w:fill="auto"/>
          </w:tcPr>
          <w:p w:rsidR="00077448" w:rsidP="000E3975" w:rsidRDefault="002A0128" w14:paraId="10FD4AEA" w14:textId="77777777">
            <w:r>
              <w:t>GS-13 (step 5)</w:t>
            </w:r>
          </w:p>
          <w:p w:rsidR="002A0128" w:rsidP="000E3975" w:rsidRDefault="002A0128" w14:paraId="602FA1FC" w14:textId="77777777">
            <w:r>
              <w:t>Program Specialist</w:t>
            </w:r>
          </w:p>
        </w:tc>
        <w:tc>
          <w:tcPr>
            <w:tcW w:w="2394" w:type="dxa"/>
            <w:shd w:val="clear" w:color="auto" w:fill="auto"/>
          </w:tcPr>
          <w:p w:rsidR="00077448" w:rsidP="00D05589" w:rsidRDefault="002A0128" w14:paraId="1E663C7B" w14:textId="088398F7">
            <w:pPr>
              <w:jc w:val="right"/>
            </w:pPr>
            <w:r>
              <w:t>$</w:t>
            </w:r>
            <w:r w:rsidR="004614A0">
              <w:t>50</w:t>
            </w:r>
            <w:r>
              <w:t>.</w:t>
            </w:r>
            <w:r w:rsidR="004614A0">
              <w:t>04</w:t>
            </w:r>
          </w:p>
        </w:tc>
        <w:tc>
          <w:tcPr>
            <w:tcW w:w="2394" w:type="dxa"/>
            <w:shd w:val="clear" w:color="auto" w:fill="auto"/>
          </w:tcPr>
          <w:p w:rsidR="00077448" w:rsidP="00D05589" w:rsidRDefault="002A0128" w14:paraId="532AFECB" w14:textId="28730938">
            <w:pPr>
              <w:jc w:val="right"/>
            </w:pPr>
            <w:r>
              <w:t>$</w:t>
            </w:r>
            <w:r w:rsidR="004614A0">
              <w:t>79</w:t>
            </w:r>
            <w:r>
              <w:t>.</w:t>
            </w:r>
            <w:r w:rsidR="004614A0">
              <w:t>19</w:t>
            </w:r>
          </w:p>
          <w:p w:rsidR="002A0128" w:rsidP="00D05589" w:rsidRDefault="002A0128" w14:paraId="337D8FDB" w14:textId="77777777">
            <w:pPr>
              <w:jc w:val="right"/>
            </w:pPr>
          </w:p>
        </w:tc>
      </w:tr>
      <w:tr w:rsidR="00077448" w:rsidTr="00D05589" w14:paraId="6611F9EF" w14:textId="77777777">
        <w:tc>
          <w:tcPr>
            <w:tcW w:w="2394" w:type="dxa"/>
            <w:shd w:val="clear" w:color="auto" w:fill="auto"/>
          </w:tcPr>
          <w:p w:rsidR="00077448" w:rsidP="000E3975" w:rsidRDefault="002A0128" w14:paraId="140C776B" w14:textId="77777777">
            <w:r>
              <w:t>WDC</w:t>
            </w:r>
          </w:p>
        </w:tc>
        <w:tc>
          <w:tcPr>
            <w:tcW w:w="2394" w:type="dxa"/>
            <w:shd w:val="clear" w:color="auto" w:fill="auto"/>
          </w:tcPr>
          <w:p w:rsidR="00077448" w:rsidP="000E3975" w:rsidRDefault="002A0128" w14:paraId="3D4E013D" w14:textId="77777777">
            <w:r>
              <w:t>GS-13 (step 5)</w:t>
            </w:r>
          </w:p>
          <w:p w:rsidR="002A0128" w:rsidP="000E3975" w:rsidRDefault="002A0128" w14:paraId="749251EE" w14:textId="77777777">
            <w:r>
              <w:t>Management and Program Analyst</w:t>
            </w:r>
          </w:p>
        </w:tc>
        <w:tc>
          <w:tcPr>
            <w:tcW w:w="2394" w:type="dxa"/>
            <w:shd w:val="clear" w:color="auto" w:fill="auto"/>
          </w:tcPr>
          <w:p w:rsidR="00077448" w:rsidP="00D05589" w:rsidRDefault="002A0128" w14:paraId="2C5E1052" w14:textId="274E9C47">
            <w:pPr>
              <w:jc w:val="right"/>
            </w:pPr>
            <w:r>
              <w:t>$</w:t>
            </w:r>
            <w:r w:rsidR="004614A0">
              <w:t>56</w:t>
            </w:r>
            <w:r>
              <w:t>.</w:t>
            </w:r>
            <w:r w:rsidR="004614A0">
              <w:t>31</w:t>
            </w:r>
          </w:p>
        </w:tc>
        <w:tc>
          <w:tcPr>
            <w:tcW w:w="2394" w:type="dxa"/>
            <w:shd w:val="clear" w:color="auto" w:fill="auto"/>
          </w:tcPr>
          <w:p w:rsidR="00077448" w:rsidP="00D05589" w:rsidRDefault="002A0128" w14:paraId="2FA4F32E" w14:textId="0DCE1794">
            <w:pPr>
              <w:jc w:val="right"/>
            </w:pPr>
            <w:r>
              <w:t>$</w:t>
            </w:r>
            <w:r w:rsidR="004614A0">
              <w:t>92</w:t>
            </w:r>
            <w:r>
              <w:t>.49</w:t>
            </w:r>
          </w:p>
        </w:tc>
      </w:tr>
      <w:tr w:rsidR="00077448" w:rsidTr="00D05589" w14:paraId="00C8CB14" w14:textId="77777777">
        <w:tc>
          <w:tcPr>
            <w:tcW w:w="2394" w:type="dxa"/>
            <w:shd w:val="clear" w:color="auto" w:fill="auto"/>
          </w:tcPr>
          <w:p w:rsidR="00077448" w:rsidP="000E3975" w:rsidRDefault="002A0128" w14:paraId="5AAE37F0" w14:textId="77777777">
            <w:r>
              <w:t>Rest of U.S.</w:t>
            </w:r>
          </w:p>
        </w:tc>
        <w:tc>
          <w:tcPr>
            <w:tcW w:w="2394" w:type="dxa"/>
            <w:shd w:val="clear" w:color="auto" w:fill="auto"/>
          </w:tcPr>
          <w:p w:rsidR="002A0128" w:rsidP="000E3975" w:rsidRDefault="002A0128" w14:paraId="68A4E487" w14:textId="77777777">
            <w:r>
              <w:t>Non-Federal</w:t>
            </w:r>
          </w:p>
          <w:p w:rsidR="00077448" w:rsidP="000E3975" w:rsidRDefault="002A0128" w14:paraId="18DFEFEE" w14:textId="77777777">
            <w:r>
              <w:t>Independent Reviewer</w:t>
            </w:r>
          </w:p>
        </w:tc>
        <w:tc>
          <w:tcPr>
            <w:tcW w:w="2394" w:type="dxa"/>
            <w:shd w:val="clear" w:color="auto" w:fill="auto"/>
          </w:tcPr>
          <w:p w:rsidR="00077448" w:rsidP="00D05589" w:rsidRDefault="002A0128" w14:paraId="62042B9D" w14:textId="77777777">
            <w:pPr>
              <w:jc w:val="right"/>
            </w:pPr>
            <w:r>
              <w:t>33.33</w:t>
            </w:r>
          </w:p>
        </w:tc>
        <w:tc>
          <w:tcPr>
            <w:tcW w:w="2394" w:type="dxa"/>
            <w:shd w:val="clear" w:color="auto" w:fill="auto"/>
          </w:tcPr>
          <w:p w:rsidR="00077448" w:rsidP="00D05589" w:rsidRDefault="002A0128" w14:paraId="550A220A" w14:textId="77777777">
            <w:pPr>
              <w:jc w:val="right"/>
            </w:pPr>
            <w:r>
              <w:t>N/A</w:t>
            </w:r>
          </w:p>
        </w:tc>
      </w:tr>
    </w:tbl>
    <w:p w:rsidR="00077448" w:rsidP="000E3975" w:rsidRDefault="00077448" w14:paraId="322371E4" w14:textId="77777777"/>
    <w:p w:rsidR="002E75FC" w:rsidP="000E3975" w:rsidRDefault="002E75FC" w14:paraId="14D51771" w14:textId="77777777">
      <w:r w:rsidRPr="005E522D">
        <w:rPr>
          <w:b/>
          <w:bCs/>
        </w:rPr>
        <w:t xml:space="preserve">15.  </w:t>
      </w:r>
      <w:r w:rsidRPr="005E522D">
        <w:rPr>
          <w:b/>
          <w:bCs/>
          <w:u w:val="single"/>
        </w:rPr>
        <w:t>Explain the reasons for any program changes or adjustments reported in items 13 or 14 of the OMB Form 83-I</w:t>
      </w:r>
      <w:r>
        <w:t>.</w:t>
      </w:r>
    </w:p>
    <w:p w:rsidR="00161D5E" w:rsidP="000E3975" w:rsidRDefault="00161D5E" w14:paraId="4DF10056" w14:textId="77777777">
      <w:pPr>
        <w:rPr>
          <w:b/>
        </w:rPr>
      </w:pPr>
    </w:p>
    <w:p w:rsidRPr="00BD1C2A" w:rsidR="00161D5E" w:rsidP="00A95513" w:rsidRDefault="003D2EEA" w14:paraId="31A6C0DE" w14:textId="138A5774">
      <w:pPr>
        <w:rPr>
          <w:b/>
        </w:rPr>
      </w:pPr>
      <w:r>
        <w:t xml:space="preserve">This package reflects </w:t>
      </w:r>
      <w:r w:rsidR="002A0128">
        <w:t xml:space="preserve">changes from the previous submission in terms of the number of applicants and recipients, which are </w:t>
      </w:r>
      <w:r w:rsidR="00E35986">
        <w:t>higher</w:t>
      </w:r>
      <w:r w:rsidR="002A0128">
        <w:t xml:space="preserve"> than previously submitted</w:t>
      </w:r>
      <w:r w:rsidR="00D31189">
        <w:t xml:space="preserve"> </w:t>
      </w:r>
      <w:r w:rsidR="00774EF1">
        <w:t>resulting in a</w:t>
      </w:r>
      <w:r w:rsidR="00E35986">
        <w:t>n increase</w:t>
      </w:r>
      <w:r w:rsidR="00774EF1">
        <w:t xml:space="preserve"> of </w:t>
      </w:r>
      <w:proofErr w:type="gramStart"/>
      <w:r w:rsidR="00774EF1">
        <w:t>responses  and</w:t>
      </w:r>
      <w:proofErr w:type="gramEnd"/>
      <w:r w:rsidR="00774EF1">
        <w:t xml:space="preserve"> hours</w:t>
      </w:r>
      <w:r w:rsidR="00C108DC">
        <w:t>.</w:t>
      </w:r>
      <w:r w:rsidR="002A0128">
        <w:t xml:space="preserve"> </w:t>
      </w:r>
      <w:r w:rsidR="00ED2910">
        <w:t>The t</w:t>
      </w:r>
      <w:r w:rsidR="002A0128">
        <w:t>otal cost amount</w:t>
      </w:r>
      <w:r w:rsidR="00C2051F">
        <w:t xml:space="preserve"> </w:t>
      </w:r>
      <w:r w:rsidR="00ED2910">
        <w:t xml:space="preserve">increase is proportional to the increase in number of responses.  </w:t>
      </w:r>
    </w:p>
    <w:p w:rsidR="00181887" w:rsidP="000E3975" w:rsidRDefault="00181887" w14:paraId="6541C9BB" w14:textId="77777777"/>
    <w:p w:rsidR="00DA47E0" w:rsidP="000E3975" w:rsidRDefault="00DA47E0" w14:paraId="27E4F6E8" w14:textId="77777777">
      <w:r w:rsidRPr="005E522D">
        <w:rPr>
          <w:b/>
          <w:bCs/>
        </w:rPr>
        <w:t xml:space="preserve">16.  </w:t>
      </w:r>
      <w:r w:rsidRPr="005E522D">
        <w:rPr>
          <w:b/>
          <w:bCs/>
          <w:u w:val="single"/>
        </w:rPr>
        <w:t>For collection of information whose results will be published, outline plans for tabulation and publication</w:t>
      </w:r>
      <w:r>
        <w:t>.</w:t>
      </w:r>
    </w:p>
    <w:p w:rsidR="00980D63" w:rsidP="000E3975" w:rsidRDefault="00980D63" w14:paraId="15E0F24F" w14:textId="77777777">
      <w:pPr>
        <w:rPr>
          <w:b/>
        </w:rPr>
      </w:pPr>
    </w:p>
    <w:p w:rsidR="00980D63" w:rsidP="000E3975" w:rsidRDefault="00980D63" w14:paraId="71BC73DF" w14:textId="77777777">
      <w:r>
        <w:t>The results of this information collection will not be published.</w:t>
      </w:r>
    </w:p>
    <w:p w:rsidRPr="00980D63" w:rsidR="00980D63" w:rsidP="000E3975" w:rsidRDefault="00980D63" w14:paraId="65B63489" w14:textId="77777777">
      <w:pPr>
        <w:ind w:left="360"/>
      </w:pPr>
    </w:p>
    <w:p w:rsidR="00DA47E0" w:rsidP="000E3975" w:rsidRDefault="00DA47E0" w14:paraId="1A0A55CC" w14:textId="77777777">
      <w:r w:rsidRPr="005E522D">
        <w:rPr>
          <w:b/>
          <w:bCs/>
        </w:rPr>
        <w:t xml:space="preserve">17.  </w:t>
      </w:r>
      <w:r w:rsidRPr="005E522D">
        <w:rPr>
          <w:b/>
          <w:bCs/>
          <w:u w:val="single"/>
        </w:rPr>
        <w:t>If seeking approval to not display the expiration date for OMB approval of the information collection, explain the reasons that display would be inappropriate</w:t>
      </w:r>
      <w:r>
        <w:t>.</w:t>
      </w:r>
    </w:p>
    <w:p w:rsidR="00980D63" w:rsidP="000E3975" w:rsidRDefault="00980D63" w14:paraId="198A2769" w14:textId="77777777">
      <w:pPr>
        <w:rPr>
          <w:b/>
        </w:rPr>
      </w:pPr>
    </w:p>
    <w:p w:rsidR="004E7997" w:rsidP="004E7997" w:rsidRDefault="004E7997" w14:paraId="6416B8BD" w14:textId="77777777">
      <w:pPr>
        <w:tabs>
          <w:tab w:val="left" w:pos="-720"/>
          <w:tab w:val="left" w:pos="0"/>
          <w:tab w:val="left" w:pos="720"/>
        </w:tabs>
        <w:suppressAutoHyphens/>
      </w:pPr>
      <w:r>
        <w:t>These forms are used in other Rural Development information collections; therefore, it is not practical to include an OMB expiration date because of the different expiration dates for each collection.  RD is seeking approval to not display the OMB expiration date on these forms.</w:t>
      </w:r>
    </w:p>
    <w:p w:rsidRPr="00980D63" w:rsidR="00980D63" w:rsidP="004E7997" w:rsidRDefault="004E7997" w14:paraId="56BA2372" w14:textId="77777777">
      <w:pPr>
        <w:tabs>
          <w:tab w:val="left" w:pos="1950"/>
        </w:tabs>
        <w:ind w:left="360"/>
      </w:pPr>
      <w:r>
        <w:tab/>
      </w:r>
    </w:p>
    <w:p w:rsidR="00DA47E0" w:rsidP="000E3975" w:rsidRDefault="00DA47E0" w14:paraId="3DEE9EC3" w14:textId="77777777">
      <w:r w:rsidRPr="005E522D">
        <w:rPr>
          <w:b/>
          <w:bCs/>
        </w:rPr>
        <w:t xml:space="preserve">18.  </w:t>
      </w:r>
      <w:r w:rsidRPr="005E522D">
        <w:rPr>
          <w:b/>
          <w:bCs/>
          <w:u w:val="single"/>
        </w:rPr>
        <w:t>Explain each exception to the certification statement identified in item 19 on OMB 83-I</w:t>
      </w:r>
      <w:r>
        <w:t>.</w:t>
      </w:r>
    </w:p>
    <w:p w:rsidR="00980D63" w:rsidP="000E3975" w:rsidRDefault="00980D63" w14:paraId="064D6A39" w14:textId="77777777">
      <w:pPr>
        <w:rPr>
          <w:b/>
        </w:rPr>
      </w:pPr>
    </w:p>
    <w:p w:rsidR="00980D63" w:rsidP="000E3975" w:rsidRDefault="00980D63" w14:paraId="62F0B5D7" w14:textId="77777777">
      <w:r>
        <w:t>There are no exceptions to the certification statement.</w:t>
      </w:r>
    </w:p>
    <w:p w:rsidRPr="00980D63" w:rsidR="00980D63" w:rsidP="000E3975" w:rsidRDefault="00980D63" w14:paraId="477CEE98" w14:textId="77777777">
      <w:pPr>
        <w:ind w:left="360"/>
      </w:pPr>
    </w:p>
    <w:p w:rsidRPr="005E522D" w:rsidR="00DA47E0" w:rsidP="000E3975" w:rsidRDefault="00DA47E0" w14:paraId="1EDA0FDE" w14:textId="77777777">
      <w:pPr>
        <w:rPr>
          <w:b/>
          <w:bCs/>
          <w:u w:val="single"/>
        </w:rPr>
      </w:pPr>
      <w:r w:rsidRPr="005E522D">
        <w:rPr>
          <w:b/>
          <w:bCs/>
        </w:rPr>
        <w:t xml:space="preserve">19.  </w:t>
      </w:r>
      <w:r w:rsidRPr="005E522D">
        <w:rPr>
          <w:b/>
          <w:bCs/>
          <w:u w:val="single"/>
        </w:rPr>
        <w:t>How is this information collection related to the Service Center Initiative (SCI)?  Will the information collection be part of the one stop shopping concept?</w:t>
      </w:r>
    </w:p>
    <w:p w:rsidR="00980D63" w:rsidP="000E3975" w:rsidRDefault="00980D63" w14:paraId="2E9F788A" w14:textId="77777777">
      <w:pPr>
        <w:rPr>
          <w:b/>
        </w:rPr>
      </w:pPr>
    </w:p>
    <w:p w:rsidRPr="00980D63" w:rsidR="00980D63" w:rsidP="008432DD" w:rsidRDefault="00980D63" w14:paraId="36E00526" w14:textId="77777777">
      <w:r>
        <w:lastRenderedPageBreak/>
        <w:t>This information collection is not related to the SCI.  Nor will this information collection be part of the one-stop shopping concept.</w:t>
      </w:r>
    </w:p>
    <w:sectPr w:rsidRPr="00980D63" w:rsidR="00980D63" w:rsidSect="00AE5BA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F7674" w14:textId="77777777" w:rsidR="005471AA" w:rsidRDefault="005471AA" w:rsidP="005621F2">
      <w:r>
        <w:separator/>
      </w:r>
    </w:p>
  </w:endnote>
  <w:endnote w:type="continuationSeparator" w:id="0">
    <w:p w14:paraId="3974CB4D" w14:textId="77777777" w:rsidR="005471AA" w:rsidRDefault="005471AA" w:rsidP="0056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BE74" w14:textId="77777777" w:rsidR="00F76EF9" w:rsidRDefault="00F76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26F3C" w14:textId="77777777" w:rsidR="0082205C" w:rsidRDefault="0082205C">
    <w:pPr>
      <w:pStyle w:val="Footer"/>
      <w:jc w:val="center"/>
    </w:pPr>
    <w:r>
      <w:fldChar w:fldCharType="begin"/>
    </w:r>
    <w:r>
      <w:instrText xml:space="preserve"> PAGE   \* MERGEFORMAT </w:instrText>
    </w:r>
    <w:r>
      <w:fldChar w:fldCharType="separate"/>
    </w:r>
    <w:r w:rsidR="009136F7">
      <w:rPr>
        <w:noProof/>
      </w:rPr>
      <w:t>1</w:t>
    </w:r>
    <w:r>
      <w:fldChar w:fldCharType="end"/>
    </w:r>
  </w:p>
  <w:p w14:paraId="396228FD" w14:textId="77777777" w:rsidR="0082205C" w:rsidRDefault="008220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E30A7" w14:textId="77777777" w:rsidR="00F76EF9" w:rsidRDefault="00F76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CE5EA" w14:textId="77777777" w:rsidR="005471AA" w:rsidRDefault="005471AA" w:rsidP="005621F2">
      <w:r>
        <w:separator/>
      </w:r>
    </w:p>
  </w:footnote>
  <w:footnote w:type="continuationSeparator" w:id="0">
    <w:p w14:paraId="3B8FF3AC" w14:textId="77777777" w:rsidR="005471AA" w:rsidRDefault="005471AA" w:rsidP="00562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F47A8" w14:textId="1C210EFF" w:rsidR="00F76EF9" w:rsidRDefault="00F76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C9FEA" w14:textId="3B490F40" w:rsidR="00F76EF9" w:rsidRDefault="00F76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24442" w14:textId="6B4A4AB6" w:rsidR="00F76EF9" w:rsidRDefault="00F76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257011"/>
    <w:multiLevelType w:val="hybridMultilevel"/>
    <w:tmpl w:val="BC4EA4E4"/>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7F74A48"/>
    <w:multiLevelType w:val="hybridMultilevel"/>
    <w:tmpl w:val="07E07D6A"/>
    <w:lvl w:ilvl="0" w:tplc="0409000F">
      <w:start w:val="1"/>
      <w:numFmt w:val="decimal"/>
      <w:lvlText w:val="%1."/>
      <w:lvlJc w:val="left"/>
      <w:pPr>
        <w:tabs>
          <w:tab w:val="num" w:pos="360"/>
        </w:tabs>
        <w:ind w:left="360" w:hanging="360"/>
      </w:pPr>
      <w:rPr>
        <w:rFonts w:hint="default"/>
      </w:rPr>
    </w:lvl>
    <w:lvl w:ilvl="1" w:tplc="E3501152">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F3909A2"/>
    <w:multiLevelType w:val="hybridMultilevel"/>
    <w:tmpl w:val="997CAE0A"/>
    <w:lvl w:ilvl="0" w:tplc="E2B03438">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23"/>
    <w:rsid w:val="0001699A"/>
    <w:rsid w:val="0001719A"/>
    <w:rsid w:val="00021A81"/>
    <w:rsid w:val="00051CA7"/>
    <w:rsid w:val="00056C34"/>
    <w:rsid w:val="00077448"/>
    <w:rsid w:val="00082E28"/>
    <w:rsid w:val="0008512D"/>
    <w:rsid w:val="000918E7"/>
    <w:rsid w:val="000925B8"/>
    <w:rsid w:val="000A37A1"/>
    <w:rsid w:val="000A5317"/>
    <w:rsid w:val="000B3D20"/>
    <w:rsid w:val="000C55C7"/>
    <w:rsid w:val="000E1069"/>
    <w:rsid w:val="000E3975"/>
    <w:rsid w:val="000E4301"/>
    <w:rsid w:val="000E7E0A"/>
    <w:rsid w:val="00124932"/>
    <w:rsid w:val="00134392"/>
    <w:rsid w:val="001527AB"/>
    <w:rsid w:val="00161D5E"/>
    <w:rsid w:val="00174784"/>
    <w:rsid w:val="001808E2"/>
    <w:rsid w:val="00181887"/>
    <w:rsid w:val="001B01F0"/>
    <w:rsid w:val="001B0E18"/>
    <w:rsid w:val="001B637E"/>
    <w:rsid w:val="001C037F"/>
    <w:rsid w:val="001C0C06"/>
    <w:rsid w:val="001D0765"/>
    <w:rsid w:val="00201D62"/>
    <w:rsid w:val="00215D8B"/>
    <w:rsid w:val="00216454"/>
    <w:rsid w:val="00250741"/>
    <w:rsid w:val="00261937"/>
    <w:rsid w:val="00261F26"/>
    <w:rsid w:val="00265F5B"/>
    <w:rsid w:val="0026614D"/>
    <w:rsid w:val="00293D4D"/>
    <w:rsid w:val="0029417A"/>
    <w:rsid w:val="002976F9"/>
    <w:rsid w:val="00297E79"/>
    <w:rsid w:val="002A0128"/>
    <w:rsid w:val="002B0CFF"/>
    <w:rsid w:val="002B1CDC"/>
    <w:rsid w:val="002C217C"/>
    <w:rsid w:val="002D24AD"/>
    <w:rsid w:val="002D3D01"/>
    <w:rsid w:val="002E75FC"/>
    <w:rsid w:val="00304760"/>
    <w:rsid w:val="00305E2A"/>
    <w:rsid w:val="00337228"/>
    <w:rsid w:val="0035481A"/>
    <w:rsid w:val="003617CF"/>
    <w:rsid w:val="00363487"/>
    <w:rsid w:val="0037198B"/>
    <w:rsid w:val="00382565"/>
    <w:rsid w:val="00382F21"/>
    <w:rsid w:val="00386197"/>
    <w:rsid w:val="00390A29"/>
    <w:rsid w:val="003922C4"/>
    <w:rsid w:val="0039289C"/>
    <w:rsid w:val="003A6284"/>
    <w:rsid w:val="003B2037"/>
    <w:rsid w:val="003C7C86"/>
    <w:rsid w:val="003D2EEA"/>
    <w:rsid w:val="003F0A4C"/>
    <w:rsid w:val="003F0CB4"/>
    <w:rsid w:val="004100F3"/>
    <w:rsid w:val="004413CC"/>
    <w:rsid w:val="004614A0"/>
    <w:rsid w:val="00471BA8"/>
    <w:rsid w:val="00474D25"/>
    <w:rsid w:val="00481BD8"/>
    <w:rsid w:val="004964C1"/>
    <w:rsid w:val="004A0EA5"/>
    <w:rsid w:val="004C3887"/>
    <w:rsid w:val="004C544A"/>
    <w:rsid w:val="004E7997"/>
    <w:rsid w:val="00500BF4"/>
    <w:rsid w:val="00502E23"/>
    <w:rsid w:val="00512BF2"/>
    <w:rsid w:val="005239D0"/>
    <w:rsid w:val="0053022F"/>
    <w:rsid w:val="005471AA"/>
    <w:rsid w:val="005621F2"/>
    <w:rsid w:val="0059085C"/>
    <w:rsid w:val="005972D1"/>
    <w:rsid w:val="005E432B"/>
    <w:rsid w:val="005E522D"/>
    <w:rsid w:val="00604C13"/>
    <w:rsid w:val="00652F4F"/>
    <w:rsid w:val="00661A9E"/>
    <w:rsid w:val="00664EFE"/>
    <w:rsid w:val="00670A5C"/>
    <w:rsid w:val="00690505"/>
    <w:rsid w:val="006917B4"/>
    <w:rsid w:val="006B095D"/>
    <w:rsid w:val="006B0BEE"/>
    <w:rsid w:val="006B1BE5"/>
    <w:rsid w:val="006B4751"/>
    <w:rsid w:val="006C1C15"/>
    <w:rsid w:val="006E1CF6"/>
    <w:rsid w:val="006E5DE3"/>
    <w:rsid w:val="006E6011"/>
    <w:rsid w:val="007221E9"/>
    <w:rsid w:val="007235FC"/>
    <w:rsid w:val="00726E01"/>
    <w:rsid w:val="00745236"/>
    <w:rsid w:val="00745723"/>
    <w:rsid w:val="00774EF1"/>
    <w:rsid w:val="007878DB"/>
    <w:rsid w:val="007A3BFF"/>
    <w:rsid w:val="007C4DB7"/>
    <w:rsid w:val="0080011F"/>
    <w:rsid w:val="008128DB"/>
    <w:rsid w:val="0081361C"/>
    <w:rsid w:val="008164A0"/>
    <w:rsid w:val="00821434"/>
    <w:rsid w:val="0082205C"/>
    <w:rsid w:val="008224C7"/>
    <w:rsid w:val="00827D16"/>
    <w:rsid w:val="00831A69"/>
    <w:rsid w:val="00832479"/>
    <w:rsid w:val="00834BFB"/>
    <w:rsid w:val="008432DD"/>
    <w:rsid w:val="008471FF"/>
    <w:rsid w:val="0084746B"/>
    <w:rsid w:val="00872FF8"/>
    <w:rsid w:val="00873A10"/>
    <w:rsid w:val="00887EC1"/>
    <w:rsid w:val="008B5CD9"/>
    <w:rsid w:val="008D19C1"/>
    <w:rsid w:val="008E2116"/>
    <w:rsid w:val="008F78D7"/>
    <w:rsid w:val="00912EE5"/>
    <w:rsid w:val="009136F7"/>
    <w:rsid w:val="00916093"/>
    <w:rsid w:val="00921075"/>
    <w:rsid w:val="00923021"/>
    <w:rsid w:val="009366CC"/>
    <w:rsid w:val="009444FE"/>
    <w:rsid w:val="00947D79"/>
    <w:rsid w:val="0095255F"/>
    <w:rsid w:val="00980D63"/>
    <w:rsid w:val="00980F88"/>
    <w:rsid w:val="009D530B"/>
    <w:rsid w:val="009D7BD4"/>
    <w:rsid w:val="009E0EAB"/>
    <w:rsid w:val="009E29CA"/>
    <w:rsid w:val="009E4D7E"/>
    <w:rsid w:val="00A30F82"/>
    <w:rsid w:val="00A35D4F"/>
    <w:rsid w:val="00A403DB"/>
    <w:rsid w:val="00A47F84"/>
    <w:rsid w:val="00A717C6"/>
    <w:rsid w:val="00A82646"/>
    <w:rsid w:val="00A95513"/>
    <w:rsid w:val="00AB2EDF"/>
    <w:rsid w:val="00AD0172"/>
    <w:rsid w:val="00AE5BA3"/>
    <w:rsid w:val="00AF1B9C"/>
    <w:rsid w:val="00AF444F"/>
    <w:rsid w:val="00B029AF"/>
    <w:rsid w:val="00B046C5"/>
    <w:rsid w:val="00B2134F"/>
    <w:rsid w:val="00B27786"/>
    <w:rsid w:val="00B340EF"/>
    <w:rsid w:val="00B57F8B"/>
    <w:rsid w:val="00B66871"/>
    <w:rsid w:val="00B70A2C"/>
    <w:rsid w:val="00BB1618"/>
    <w:rsid w:val="00BB3185"/>
    <w:rsid w:val="00BC13FF"/>
    <w:rsid w:val="00BD1C2A"/>
    <w:rsid w:val="00BE222C"/>
    <w:rsid w:val="00BE2F6A"/>
    <w:rsid w:val="00C04E8D"/>
    <w:rsid w:val="00C071E6"/>
    <w:rsid w:val="00C108DC"/>
    <w:rsid w:val="00C2051F"/>
    <w:rsid w:val="00C37BB7"/>
    <w:rsid w:val="00C44686"/>
    <w:rsid w:val="00C45FBE"/>
    <w:rsid w:val="00C52225"/>
    <w:rsid w:val="00C73AB3"/>
    <w:rsid w:val="00CE6E3F"/>
    <w:rsid w:val="00D0171F"/>
    <w:rsid w:val="00D039CC"/>
    <w:rsid w:val="00D05589"/>
    <w:rsid w:val="00D16915"/>
    <w:rsid w:val="00D16CEF"/>
    <w:rsid w:val="00D27A5F"/>
    <w:rsid w:val="00D31189"/>
    <w:rsid w:val="00D41A0A"/>
    <w:rsid w:val="00D5041D"/>
    <w:rsid w:val="00D726E7"/>
    <w:rsid w:val="00D86BB3"/>
    <w:rsid w:val="00D92935"/>
    <w:rsid w:val="00DA2AD1"/>
    <w:rsid w:val="00DA47E0"/>
    <w:rsid w:val="00DB56F0"/>
    <w:rsid w:val="00DC0AFA"/>
    <w:rsid w:val="00E143C6"/>
    <w:rsid w:val="00E35986"/>
    <w:rsid w:val="00E4122F"/>
    <w:rsid w:val="00E64E84"/>
    <w:rsid w:val="00E678C6"/>
    <w:rsid w:val="00E777E0"/>
    <w:rsid w:val="00E8252E"/>
    <w:rsid w:val="00EB024D"/>
    <w:rsid w:val="00EB1AAD"/>
    <w:rsid w:val="00EB26B7"/>
    <w:rsid w:val="00EB38E0"/>
    <w:rsid w:val="00EB68D1"/>
    <w:rsid w:val="00EC2F69"/>
    <w:rsid w:val="00ED023F"/>
    <w:rsid w:val="00ED1E78"/>
    <w:rsid w:val="00ED20E9"/>
    <w:rsid w:val="00ED2910"/>
    <w:rsid w:val="00EF6842"/>
    <w:rsid w:val="00EF793F"/>
    <w:rsid w:val="00F008D8"/>
    <w:rsid w:val="00F0543A"/>
    <w:rsid w:val="00F16DD4"/>
    <w:rsid w:val="00F20818"/>
    <w:rsid w:val="00F325BA"/>
    <w:rsid w:val="00F34FC6"/>
    <w:rsid w:val="00F613E3"/>
    <w:rsid w:val="00F735E1"/>
    <w:rsid w:val="00F76EF9"/>
    <w:rsid w:val="00F772D8"/>
    <w:rsid w:val="00F823E8"/>
    <w:rsid w:val="00F9259A"/>
    <w:rsid w:val="00F95F70"/>
    <w:rsid w:val="00FA0DB2"/>
    <w:rsid w:val="00FA4C50"/>
    <w:rsid w:val="00FA5335"/>
    <w:rsid w:val="00FB6427"/>
    <w:rsid w:val="00FC631F"/>
    <w:rsid w:val="00FF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40F0957"/>
  <w15:chartTrackingRefBased/>
  <w15:docId w15:val="{3B17CECE-0B9F-4A1D-A044-B6A61182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81BD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9D530B"/>
    <w:pPr>
      <w:keepNext/>
      <w:spacing w:before="240" w:after="60"/>
      <w:outlineLvl w:val="1"/>
    </w:pPr>
    <w:rPr>
      <w:rFonts w:ascii="Cambria" w:hAnsi="Cambria"/>
      <w:b/>
      <w:bCs/>
      <w:i/>
      <w:iCs/>
      <w:sz w:val="28"/>
      <w:szCs w:val="28"/>
      <w:lang w:val="x-none" w:eastAsia="x-none"/>
    </w:rPr>
  </w:style>
  <w:style w:type="paragraph" w:styleId="Heading4">
    <w:name w:val="heading 4"/>
    <w:basedOn w:val="Normal"/>
    <w:next w:val="Normal"/>
    <w:link w:val="Heading4Char"/>
    <w:qFormat/>
    <w:rsid w:val="00ED1E78"/>
    <w:pPr>
      <w:keepNext/>
      <w:outlineLvl w:val="3"/>
    </w:pPr>
    <w:rPr>
      <w:b/>
      <w:bCs/>
      <w:snapToGrid w:val="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ED1E78"/>
    <w:rPr>
      <w:b/>
      <w:bCs/>
      <w:snapToGrid w:val="0"/>
      <w:sz w:val="24"/>
    </w:rPr>
  </w:style>
  <w:style w:type="character" w:customStyle="1" w:styleId="Heading2Char">
    <w:name w:val="Heading 2 Char"/>
    <w:link w:val="Heading2"/>
    <w:rsid w:val="009D530B"/>
    <w:rPr>
      <w:rFonts w:ascii="Cambria" w:eastAsia="Times New Roman" w:hAnsi="Cambria" w:cs="Times New Roman"/>
      <w:b/>
      <w:bCs/>
      <w:i/>
      <w:iCs/>
      <w:sz w:val="28"/>
      <w:szCs w:val="28"/>
    </w:rPr>
  </w:style>
  <w:style w:type="paragraph" w:styleId="BalloonText">
    <w:name w:val="Balloon Text"/>
    <w:basedOn w:val="Normal"/>
    <w:link w:val="BalloonTextChar"/>
    <w:rsid w:val="008471FF"/>
    <w:rPr>
      <w:rFonts w:ascii="Tahoma" w:hAnsi="Tahoma"/>
      <w:sz w:val="16"/>
      <w:szCs w:val="16"/>
      <w:lang w:val="x-none" w:eastAsia="x-none"/>
    </w:rPr>
  </w:style>
  <w:style w:type="character" w:customStyle="1" w:styleId="BalloonTextChar">
    <w:name w:val="Balloon Text Char"/>
    <w:link w:val="BalloonText"/>
    <w:rsid w:val="008471FF"/>
    <w:rPr>
      <w:rFonts w:ascii="Tahoma" w:hAnsi="Tahoma" w:cs="Tahoma"/>
      <w:sz w:val="16"/>
      <w:szCs w:val="16"/>
    </w:rPr>
  </w:style>
  <w:style w:type="paragraph" w:styleId="Header">
    <w:name w:val="header"/>
    <w:basedOn w:val="Normal"/>
    <w:link w:val="HeaderChar"/>
    <w:uiPriority w:val="99"/>
    <w:rsid w:val="005621F2"/>
    <w:pPr>
      <w:tabs>
        <w:tab w:val="center" w:pos="4680"/>
        <w:tab w:val="right" w:pos="9360"/>
      </w:tabs>
    </w:pPr>
    <w:rPr>
      <w:lang w:val="x-none" w:eastAsia="x-none"/>
    </w:rPr>
  </w:style>
  <w:style w:type="character" w:customStyle="1" w:styleId="HeaderChar">
    <w:name w:val="Header Char"/>
    <w:link w:val="Header"/>
    <w:uiPriority w:val="99"/>
    <w:rsid w:val="005621F2"/>
    <w:rPr>
      <w:sz w:val="24"/>
      <w:szCs w:val="24"/>
    </w:rPr>
  </w:style>
  <w:style w:type="paragraph" w:styleId="Footer">
    <w:name w:val="footer"/>
    <w:basedOn w:val="Normal"/>
    <w:link w:val="FooterChar"/>
    <w:uiPriority w:val="99"/>
    <w:rsid w:val="005621F2"/>
    <w:pPr>
      <w:tabs>
        <w:tab w:val="center" w:pos="4680"/>
        <w:tab w:val="right" w:pos="9360"/>
      </w:tabs>
    </w:pPr>
    <w:rPr>
      <w:lang w:val="x-none" w:eastAsia="x-none"/>
    </w:rPr>
  </w:style>
  <w:style w:type="character" w:customStyle="1" w:styleId="FooterChar">
    <w:name w:val="Footer Char"/>
    <w:link w:val="Footer"/>
    <w:uiPriority w:val="99"/>
    <w:rsid w:val="005621F2"/>
    <w:rPr>
      <w:sz w:val="24"/>
      <w:szCs w:val="24"/>
    </w:rPr>
  </w:style>
  <w:style w:type="paragraph" w:styleId="BodyTextIndent2">
    <w:name w:val="Body Text Indent 2"/>
    <w:basedOn w:val="Normal"/>
    <w:link w:val="BodyTextIndent2Char"/>
    <w:rsid w:val="00201D62"/>
    <w:pPr>
      <w:tabs>
        <w:tab w:val="left" w:pos="-720"/>
        <w:tab w:val="left" w:pos="0"/>
      </w:tabs>
      <w:suppressAutoHyphens/>
      <w:ind w:right="1440" w:hanging="720"/>
    </w:pPr>
    <w:rPr>
      <w:sz w:val="20"/>
      <w:szCs w:val="20"/>
    </w:rPr>
  </w:style>
  <w:style w:type="character" w:customStyle="1" w:styleId="BodyTextIndent2Char">
    <w:name w:val="Body Text Indent 2 Char"/>
    <w:basedOn w:val="DefaultParagraphFont"/>
    <w:link w:val="BodyTextIndent2"/>
    <w:rsid w:val="00201D62"/>
  </w:style>
  <w:style w:type="character" w:styleId="CommentReference">
    <w:name w:val="annotation reference"/>
    <w:rsid w:val="00201D62"/>
    <w:rPr>
      <w:sz w:val="16"/>
      <w:szCs w:val="16"/>
    </w:rPr>
  </w:style>
  <w:style w:type="paragraph" w:styleId="CommentText">
    <w:name w:val="annotation text"/>
    <w:basedOn w:val="Normal"/>
    <w:link w:val="CommentTextChar"/>
    <w:rsid w:val="00201D62"/>
    <w:rPr>
      <w:sz w:val="20"/>
      <w:szCs w:val="20"/>
    </w:rPr>
  </w:style>
  <w:style w:type="character" w:customStyle="1" w:styleId="CommentTextChar">
    <w:name w:val="Comment Text Char"/>
    <w:basedOn w:val="DefaultParagraphFont"/>
    <w:link w:val="CommentText"/>
    <w:rsid w:val="00201D62"/>
  </w:style>
  <w:style w:type="paragraph" w:styleId="CommentSubject">
    <w:name w:val="annotation subject"/>
    <w:basedOn w:val="CommentText"/>
    <w:next w:val="CommentText"/>
    <w:link w:val="CommentSubjectChar"/>
    <w:rsid w:val="00201D62"/>
    <w:rPr>
      <w:b/>
      <w:bCs/>
      <w:lang w:val="x-none" w:eastAsia="x-none"/>
    </w:rPr>
  </w:style>
  <w:style w:type="character" w:customStyle="1" w:styleId="CommentSubjectChar">
    <w:name w:val="Comment Subject Char"/>
    <w:link w:val="CommentSubject"/>
    <w:rsid w:val="00201D62"/>
    <w:rPr>
      <w:b/>
      <w:bCs/>
    </w:rPr>
  </w:style>
  <w:style w:type="table" w:styleId="TableGrid">
    <w:name w:val="Table Grid"/>
    <w:basedOn w:val="TableNormal"/>
    <w:rsid w:val="0007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81BD8"/>
    <w:rPr>
      <w:rFonts w:ascii="Calibri Light" w:eastAsia="Times New Roman" w:hAnsi="Calibri Light" w:cs="Times New Roman"/>
      <w:b/>
      <w:bCs/>
      <w:kern w:val="32"/>
      <w:sz w:val="32"/>
      <w:szCs w:val="32"/>
    </w:rPr>
  </w:style>
  <w:style w:type="character" w:styleId="LineNumber">
    <w:name w:val="line number"/>
    <w:basedOn w:val="DefaultParagraphFont"/>
    <w:rsid w:val="00F76EF9"/>
  </w:style>
  <w:style w:type="character" w:styleId="Hyperlink">
    <w:name w:val="Hyperlink"/>
    <w:basedOn w:val="DefaultParagraphFont"/>
    <w:rsid w:val="00C37BB7"/>
    <w:rPr>
      <w:color w:val="0563C1" w:themeColor="hyperlink"/>
      <w:u w:val="single"/>
    </w:rPr>
  </w:style>
  <w:style w:type="character" w:styleId="UnresolvedMention">
    <w:name w:val="Unresolved Mention"/>
    <w:basedOn w:val="DefaultParagraphFont"/>
    <w:uiPriority w:val="99"/>
    <w:semiHidden/>
    <w:unhideWhenUsed/>
    <w:rsid w:val="00C37BB7"/>
    <w:rPr>
      <w:color w:val="605E5C"/>
      <w:shd w:val="clear" w:color="auto" w:fill="E1DFDD"/>
    </w:rPr>
  </w:style>
  <w:style w:type="character" w:styleId="FollowedHyperlink">
    <w:name w:val="FollowedHyperlink"/>
    <w:basedOn w:val="DefaultParagraphFont"/>
    <w:rsid w:val="00C37B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922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36504-DA89-4CF1-A124-83E4DF088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2838</Words>
  <Characters>16271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Date:  June 15, 2007</vt:lpstr>
    </vt:vector>
  </TitlesOfParts>
  <Company>USDA</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June 15, 2007</dc:title>
  <dc:subject/>
  <dc:creator>gail.thuner</dc:creator>
  <cp:keywords/>
  <cp:lastModifiedBy>Jones, Robin.M - RD, WASHINGTON, DC</cp:lastModifiedBy>
  <cp:revision>2</cp:revision>
  <dcterms:created xsi:type="dcterms:W3CDTF">2022-01-03T21:24:00Z</dcterms:created>
  <dcterms:modified xsi:type="dcterms:W3CDTF">2022-01-03T21:24:00Z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