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E402C" w:rsidR="00502EB8" w:rsidP="007A1A4E" w:rsidRDefault="00893DD7">
      <w:pPr>
        <w:tabs>
          <w:tab w:val="center" w:pos="4680"/>
          <w:tab w:val="left" w:pos="5040"/>
          <w:tab w:val="left" w:pos="5760"/>
          <w:tab w:val="left" w:pos="6480"/>
          <w:tab w:val="left" w:pos="7200"/>
          <w:tab w:val="left" w:pos="7920"/>
          <w:tab w:val="left" w:pos="8640"/>
          <w:tab w:val="right" w:pos="9360"/>
        </w:tabs>
        <w:jc w:val="center"/>
        <w:rPr>
          <w:b/>
        </w:rPr>
      </w:pPr>
      <w:r w:rsidRPr="000E402C">
        <w:rPr>
          <w:b/>
        </w:rPr>
        <w:t>SUPPORTING STATEMENT</w:t>
      </w:r>
    </w:p>
    <w:p w:rsidRPr="000E402C" w:rsidR="000E402C" w:rsidP="000E402C" w:rsidRDefault="000E402C">
      <w:pPr>
        <w:tabs>
          <w:tab w:val="center" w:pos="4680"/>
          <w:tab w:val="left" w:pos="5040"/>
          <w:tab w:val="left" w:pos="5760"/>
          <w:tab w:val="left" w:pos="6480"/>
          <w:tab w:val="left" w:pos="7200"/>
          <w:tab w:val="left" w:pos="7920"/>
          <w:tab w:val="left" w:pos="8640"/>
          <w:tab w:val="right" w:pos="9360"/>
        </w:tabs>
        <w:jc w:val="center"/>
        <w:rPr>
          <w:b/>
        </w:rPr>
      </w:pPr>
      <w:r w:rsidRPr="000E402C">
        <w:rPr>
          <w:b/>
        </w:rPr>
        <w:t>U.S. Department of Commerce</w:t>
      </w:r>
    </w:p>
    <w:p w:rsidR="000E402C" w:rsidP="000E402C" w:rsidRDefault="000E402C">
      <w:pPr>
        <w:tabs>
          <w:tab w:val="center" w:pos="4680"/>
          <w:tab w:val="left" w:pos="5040"/>
          <w:tab w:val="left" w:pos="5760"/>
          <w:tab w:val="left" w:pos="6480"/>
          <w:tab w:val="left" w:pos="7200"/>
          <w:tab w:val="left" w:pos="7920"/>
          <w:tab w:val="left" w:pos="8640"/>
          <w:tab w:val="right" w:pos="9360"/>
        </w:tabs>
        <w:jc w:val="center"/>
        <w:rPr>
          <w:b/>
        </w:rPr>
      </w:pPr>
      <w:r w:rsidRPr="000E402C">
        <w:rPr>
          <w:b/>
        </w:rPr>
        <w:t>National Oceanic &amp; Atmospheric Administration</w:t>
      </w:r>
    </w:p>
    <w:p w:rsidR="00E170BE" w:rsidP="00893DD7" w:rsidRDefault="00E170BE">
      <w:pPr>
        <w:tabs>
          <w:tab w:val="center" w:pos="4680"/>
          <w:tab w:val="left" w:pos="5040"/>
          <w:tab w:val="left" w:pos="5760"/>
          <w:tab w:val="left" w:pos="6480"/>
          <w:tab w:val="left" w:pos="7200"/>
          <w:tab w:val="left" w:pos="7920"/>
          <w:tab w:val="left" w:pos="8640"/>
          <w:tab w:val="right" w:pos="9360"/>
        </w:tabs>
        <w:jc w:val="center"/>
        <w:rPr>
          <w:b/>
        </w:rPr>
      </w:pPr>
      <w:r w:rsidRPr="00E170BE">
        <w:rPr>
          <w:b/>
        </w:rPr>
        <w:t xml:space="preserve">An Observer Program for At-Sea Processing Vessels in the Pacific Coast Groundfish Fishery </w:t>
      </w:r>
    </w:p>
    <w:p w:rsidRPr="000E402C" w:rsidR="007A1A4E" w:rsidP="00893DD7" w:rsidRDefault="006A6340">
      <w:pPr>
        <w:tabs>
          <w:tab w:val="center" w:pos="4680"/>
          <w:tab w:val="left" w:pos="5040"/>
          <w:tab w:val="left" w:pos="5760"/>
          <w:tab w:val="left" w:pos="6480"/>
          <w:tab w:val="left" w:pos="7200"/>
          <w:tab w:val="left" w:pos="7920"/>
          <w:tab w:val="left" w:pos="8640"/>
          <w:tab w:val="right" w:pos="9360"/>
        </w:tabs>
        <w:jc w:val="center"/>
        <w:rPr>
          <w:b/>
        </w:rPr>
      </w:pPr>
      <w:r w:rsidRPr="000E402C">
        <w:rPr>
          <w:b/>
        </w:rPr>
        <w:t xml:space="preserve">OMB </w:t>
      </w:r>
      <w:r w:rsidR="000E402C">
        <w:rPr>
          <w:b/>
        </w:rPr>
        <w:t>Control No</w:t>
      </w:r>
      <w:r w:rsidRPr="000E402C">
        <w:rPr>
          <w:b/>
        </w:rPr>
        <w:t xml:space="preserve">. </w:t>
      </w:r>
      <w:r w:rsidRPr="000E402C" w:rsidR="007A1A4E">
        <w:rPr>
          <w:b/>
        </w:rPr>
        <w:t>0648-</w:t>
      </w:r>
      <w:r w:rsidR="00E170BE">
        <w:rPr>
          <w:b/>
        </w:rPr>
        <w:t>0500</w:t>
      </w:r>
    </w:p>
    <w:p w:rsidRPr="000E402C" w:rsidR="007A1A4E" w:rsidP="002B39F6" w:rsidRDefault="007A1A4E">
      <w:pPr>
        <w:jc w:val="center"/>
        <w:rPr>
          <w:b/>
          <w:color w:val="000000"/>
        </w:rPr>
      </w:pPr>
    </w:p>
    <w:p w:rsidRPr="000E402C" w:rsidR="008C6AE0" w:rsidP="008C6AE0" w:rsidRDefault="000E4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Pr>
          <w:b/>
          <w:color w:val="000000"/>
        </w:rPr>
        <w:t>Abstract</w:t>
      </w:r>
    </w:p>
    <w:p w:rsidR="008C6AE0" w:rsidP="008C6AE0" w:rsidRDefault="008C6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Pr="00E170BE" w:rsidR="00FC7740" w:rsidP="00FC7740" w:rsidRDefault="00FC7740">
      <w:pPr>
        <w:autoSpaceDE w:val="0"/>
        <w:autoSpaceDN w:val="0"/>
        <w:adjustRightInd w:val="0"/>
      </w:pPr>
      <w:r w:rsidRPr="00E170BE">
        <w:t xml:space="preserve">This request is for extension of the current collection for the Monitoring Programs for Vessels in the Pacific Coast Groundfish Fishery. </w:t>
      </w:r>
    </w:p>
    <w:p w:rsidRPr="000E402C" w:rsidR="00FC7740" w:rsidP="008C6AE0" w:rsidRDefault="00FC7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Pr="00E170BE" w:rsidR="00E170BE" w:rsidP="00E170BE" w:rsidRDefault="00E170BE">
      <w:pPr>
        <w:autoSpaceDE w:val="0"/>
        <w:autoSpaceDN w:val="0"/>
        <w:adjustRightInd w:val="0"/>
      </w:pPr>
      <w:r w:rsidRPr="00E170BE">
        <w:t xml:space="preserve">In 2011, the National Marine Fisheries Service (NMFS) mandated observer requirements for the West Coast groundfish trawl catch shares program. For all fishery sectors, observers </w:t>
      </w:r>
      <w:proofErr w:type="gramStart"/>
      <w:r w:rsidRPr="00E170BE">
        <w:t>must be obtained</w:t>
      </w:r>
      <w:proofErr w:type="gramEnd"/>
      <w:r w:rsidRPr="00E170BE">
        <w:t xml:space="preserve"> through third-party observer provider companies operating under permits issued by NMFS. The regulations at §§ 660.140 (h), 660.150 (j), and 660.160 (g), specify observer coverage requirements for trawl vessels and define the responsibilities for observer providers, including reporting requirements. Regulations at §660.140 (</w:t>
      </w:r>
      <w:proofErr w:type="spellStart"/>
      <w:r w:rsidRPr="00E170BE">
        <w:t>i</w:t>
      </w:r>
      <w:proofErr w:type="spellEnd"/>
      <w:r w:rsidRPr="00E170BE">
        <w:t xml:space="preserve">) specify requirements for catch monitor coverage for first receivers. Data collected by observers </w:t>
      </w:r>
      <w:proofErr w:type="gramStart"/>
      <w:r w:rsidRPr="00E170BE">
        <w:t>are used</w:t>
      </w:r>
      <w:proofErr w:type="gramEnd"/>
      <w:r w:rsidRPr="00E170BE">
        <w:t xml:space="preserve"> by NMFS to estimate total landed catch and discards, monitor the attainment of annual groundfish allocations, estimate catch rates of prohibited species, and as a component in stock assessments. These data are necessary to comply with the Magnuson-Stevens Act requirements to prevent overfishing. In addition, observer data </w:t>
      </w:r>
      <w:proofErr w:type="gramStart"/>
      <w:r w:rsidRPr="00E170BE">
        <w:t>is used</w:t>
      </w:r>
      <w:proofErr w:type="gramEnd"/>
      <w:r w:rsidRPr="00E170BE">
        <w:t xml:space="preserve"> to assess fishing related mortality of protected and endangered species. </w:t>
      </w:r>
    </w:p>
    <w:p w:rsidRPr="000E402C" w:rsidR="007A71D9" w:rsidP="00BC70FC" w:rsidRDefault="007A71D9">
      <w:pPr>
        <w:autoSpaceDE w:val="0"/>
        <w:autoSpaceDN w:val="0"/>
        <w:adjustRightInd w:val="0"/>
      </w:pPr>
    </w:p>
    <w:p w:rsidRPr="000E402C" w:rsidR="00ED369E" w:rsidP="00893DD7" w:rsidRDefault="00893DD7">
      <w:pPr>
        <w:autoSpaceDE w:val="0"/>
        <w:autoSpaceDN w:val="0"/>
        <w:adjustRightInd w:val="0"/>
        <w:rPr>
          <w:b/>
          <w:bCs/>
          <w:color w:val="000000"/>
        </w:rPr>
      </w:pPr>
      <w:r w:rsidRPr="000E402C">
        <w:rPr>
          <w:b/>
          <w:bCs/>
          <w:color w:val="000000"/>
        </w:rPr>
        <w:t>A.</w:t>
      </w:r>
      <w:r w:rsidRPr="000E402C">
        <w:rPr>
          <w:b/>
          <w:bCs/>
          <w:color w:val="000000"/>
        </w:rPr>
        <w:tab/>
      </w:r>
      <w:r w:rsidRPr="000E402C" w:rsidR="00ED369E">
        <w:rPr>
          <w:b/>
          <w:bCs/>
          <w:color w:val="000000"/>
        </w:rPr>
        <w:t>JUSTIFICATION</w:t>
      </w:r>
    </w:p>
    <w:p w:rsidRPr="000E402C" w:rsidR="00A511D9" w:rsidP="00ED369E" w:rsidRDefault="00A511D9">
      <w:pPr>
        <w:autoSpaceDE w:val="0"/>
        <w:autoSpaceDN w:val="0"/>
        <w:adjustRightInd w:val="0"/>
        <w:rPr>
          <w:b/>
          <w:bCs/>
          <w:color w:val="1F497D"/>
        </w:rPr>
      </w:pPr>
    </w:p>
    <w:p w:rsidRPr="000E402C" w:rsidR="00ED369E" w:rsidP="00893DD7" w:rsidRDefault="00893DD7">
      <w:pPr>
        <w:autoSpaceDE w:val="0"/>
        <w:autoSpaceDN w:val="0"/>
        <w:adjustRightInd w:val="0"/>
        <w:rPr>
          <w:color w:val="000000"/>
        </w:rPr>
      </w:pPr>
      <w:r w:rsidRPr="000E402C">
        <w:rPr>
          <w:b/>
          <w:bCs/>
          <w:color w:val="000000"/>
        </w:rPr>
        <w:t xml:space="preserve">1. </w:t>
      </w:r>
      <w:r w:rsidRPr="000E402C" w:rsidR="00ED369E">
        <w:rPr>
          <w:b/>
          <w:bCs/>
          <w:color w:val="000000"/>
        </w:rPr>
        <w:t xml:space="preserve"> </w:t>
      </w:r>
      <w:r w:rsidRPr="000E402C" w:rsidR="000E402C">
        <w:rPr>
          <w:b/>
          <w:bCs/>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0E402C" w:rsidR="00ED369E" w:rsidP="00ED369E" w:rsidRDefault="00ED369E">
      <w:pPr>
        <w:autoSpaceDE w:val="0"/>
        <w:autoSpaceDN w:val="0"/>
        <w:adjustRightInd w:val="0"/>
        <w:rPr>
          <w:color w:val="000000"/>
        </w:rPr>
      </w:pPr>
    </w:p>
    <w:p w:rsidRPr="00E170BE" w:rsidR="00E170BE" w:rsidP="00E170BE" w:rsidRDefault="00E170BE">
      <w:pPr>
        <w:autoSpaceDE w:val="0"/>
        <w:autoSpaceDN w:val="0"/>
        <w:adjustRightInd w:val="0"/>
      </w:pPr>
    </w:p>
    <w:p w:rsidRPr="00E170BE" w:rsidR="00E170BE" w:rsidP="00E170BE" w:rsidRDefault="00E170BE">
      <w:pPr>
        <w:autoSpaceDE w:val="0"/>
        <w:autoSpaceDN w:val="0"/>
        <w:adjustRightInd w:val="0"/>
      </w:pPr>
      <w:r w:rsidRPr="00E170BE">
        <w:t>The Pacific Coast groundfish fishery in waters off the West Coast (Washington, Oregon and California) is managed pursuant to the</w:t>
      </w:r>
      <w:hyperlink w:history="1" r:id="rId8">
        <w:r w:rsidRPr="00E170BE">
          <w:rPr>
            <w:rStyle w:val="Hyperlink"/>
          </w:rPr>
          <w:t xml:space="preserve"> Magnuson-Stevens Fishery Conservation and Management Act</w:t>
        </w:r>
      </w:hyperlink>
      <w:r w:rsidRPr="00E170BE">
        <w:t xml:space="preserve"> (Magnuson-Stevens Act) as amended in 2006, and the Pacific Coast Groundfish Fishery Management Plan (FMP).  The Magnuson-Stevens Act at 16 U.S.C. 1853(b)(8) allows one or more observers be carried on board a vessel of the United States engaged in fishing for species that are subject to an FMP, for the purpose of collecting data necessary for the conservation and management of the fishery. </w:t>
      </w:r>
    </w:p>
    <w:p w:rsidRPr="00E170BE" w:rsidR="00E170BE" w:rsidP="00E170BE" w:rsidRDefault="00E170BE">
      <w:pPr>
        <w:autoSpaceDE w:val="0"/>
        <w:autoSpaceDN w:val="0"/>
        <w:adjustRightInd w:val="0"/>
      </w:pPr>
    </w:p>
    <w:p w:rsidRPr="00E170BE" w:rsidR="00E170BE" w:rsidP="00E170BE" w:rsidRDefault="00E170BE">
      <w:pPr>
        <w:autoSpaceDE w:val="0"/>
        <w:autoSpaceDN w:val="0"/>
        <w:adjustRightInd w:val="0"/>
      </w:pPr>
      <w:r w:rsidRPr="00E170BE">
        <w:t xml:space="preserve">The Pacific Coast groundfish fleet is comprised of vessels ranging in size from 18 feet to nearly 700 feet.  These vessels harvest a diverse array of bottom and midwater species with a variety of fishing gear including midwater trawl, bottom trawl, and fixed gears (longline, trap or pot, set net, stationary hook-and-line gear including vertical hook and line, troll, and trammel net). Processing vessels in the at-sea whiting trawl fishery fish for </w:t>
      </w:r>
      <w:r w:rsidRPr="00E170BE">
        <w:lastRenderedPageBreak/>
        <w:t xml:space="preserve">weeks or months before returning to port.  Trawl vessels delivering catch to shore-based processors often fish for three to five days per trip.  In comparison, the small fixed gear vessels take single day trips on fair weather days and fish primarily in nearshore areas.  </w:t>
      </w:r>
    </w:p>
    <w:p w:rsidRPr="00E170BE" w:rsidR="00E170BE" w:rsidP="00E170BE" w:rsidRDefault="00E170BE">
      <w:pPr>
        <w:autoSpaceDE w:val="0"/>
        <w:autoSpaceDN w:val="0"/>
        <w:adjustRightInd w:val="0"/>
      </w:pPr>
    </w:p>
    <w:p w:rsidRPr="00E170BE" w:rsidR="00E170BE" w:rsidP="00E170BE" w:rsidRDefault="00E170BE">
      <w:pPr>
        <w:autoSpaceDE w:val="0"/>
        <w:autoSpaceDN w:val="0"/>
        <w:adjustRightInd w:val="0"/>
      </w:pPr>
      <w:r w:rsidRPr="00E170BE">
        <w:t xml:space="preserve">Observers are a uniformly trained group of scientists who </w:t>
      </w:r>
      <w:proofErr w:type="gramStart"/>
      <w:r w:rsidRPr="00E170BE">
        <w:t>are stationed</w:t>
      </w:r>
      <w:proofErr w:type="gramEnd"/>
      <w:r w:rsidRPr="00E170BE">
        <w:t xml:space="preserve"> aboard vessels to gather fishery conservation and management data that would otherwise not be available for managing the fisheries.  The groundfish regulations at</w:t>
      </w:r>
      <w:hyperlink w:history="1" r:id="rId9">
        <w:r w:rsidRPr="00E170BE">
          <w:rPr>
            <w:rStyle w:val="Hyperlink"/>
          </w:rPr>
          <w:t xml:space="preserve"> § 50 CFR 660</w:t>
        </w:r>
      </w:hyperlink>
      <w:r w:rsidRPr="00E170BE">
        <w:t xml:space="preserve"> establish frameworks for certified observers for the trawl fisheries.  Trawl fishery participants obtain the services of certified observers by working directly with permitted providers.  In addition to certified observers, NMFS works cooperatively with Pacific States Marine Fisheries Commission to provide observers in the limited entry fixed gear (LEFG) and open access (OA) fisheries. </w:t>
      </w:r>
    </w:p>
    <w:p w:rsidRPr="00E170BE" w:rsidR="00E170BE" w:rsidP="00E170BE" w:rsidRDefault="00E170BE">
      <w:pPr>
        <w:autoSpaceDE w:val="0"/>
        <w:autoSpaceDN w:val="0"/>
        <w:adjustRightInd w:val="0"/>
      </w:pPr>
    </w:p>
    <w:p w:rsidRPr="00E170BE" w:rsidR="00E170BE" w:rsidP="00E170BE" w:rsidRDefault="00E170BE">
      <w:pPr>
        <w:autoSpaceDE w:val="0"/>
        <w:autoSpaceDN w:val="0"/>
        <w:adjustRightInd w:val="0"/>
      </w:pPr>
      <w:r w:rsidRPr="00E170BE">
        <w:t xml:space="preserve">In January 2011, NMFS implemented a catch share program for the Pacific Coast groundfish fishery’s trawl fleet.  Trawl vessels delivering to shore-based processors (first receivers) </w:t>
      </w:r>
      <w:proofErr w:type="gramStart"/>
      <w:r w:rsidRPr="00E170BE">
        <w:t>are managed</w:t>
      </w:r>
      <w:proofErr w:type="gramEnd"/>
      <w:r w:rsidRPr="00E170BE">
        <w:t xml:space="preserve"> under the Shorebased</w:t>
      </w:r>
      <w:bookmarkStart w:name="_GoBack" w:id="0"/>
      <w:bookmarkEnd w:id="0"/>
      <w:r w:rsidRPr="00E170BE">
        <w:t xml:space="preserve"> Individual Fishery Quota (IFQ) Program.  Trawl harvesting and processing vessels in the at-sea whiting fisheries </w:t>
      </w:r>
      <w:proofErr w:type="gramStart"/>
      <w:r w:rsidRPr="00E170BE">
        <w:t>are managed</w:t>
      </w:r>
      <w:proofErr w:type="gramEnd"/>
      <w:r w:rsidRPr="00E170BE">
        <w:t xml:space="preserve"> under fisheries cooperatives, including the Mothership Coop and Catcher/processor Coop.  The regulations at §§ 660.140 (h), 660.150 (j), 660.160 (g), specify observer coverage requirements for the trawl vessels and define the responsibilities for observer providers, including reporting requirements.  </w:t>
      </w:r>
      <w:r>
        <w:t>Regulations at</w:t>
      </w:r>
      <w:r w:rsidRPr="00E170BE">
        <w:t xml:space="preserve"> § 660.140 (</w:t>
      </w:r>
      <w:proofErr w:type="spellStart"/>
      <w:r w:rsidRPr="00E170BE">
        <w:t>i</w:t>
      </w:r>
      <w:proofErr w:type="spellEnd"/>
      <w:r w:rsidRPr="00E170BE">
        <w:t xml:space="preserve">) specify requirements for catch monitor coverage for first receivers. Trawl vessels in the IFQ program and catcher vessels in the Mothership Coop program are required to carry one certified observer on all fishing trips.  Processing vessels in the Mothership Coop and Catcher/processor Coop fisheries are required to carry one certified observer on all fishing trips if the vessel is less than 125 feet in length and two certified observers if the vessel length is 125 feet or over.  In addition to the rationalized trawl fisheries, regulations at § 660.216 and 660.316 require certified observers for vessels that process catch in the </w:t>
      </w:r>
      <w:r>
        <w:t xml:space="preserve">limited entry </w:t>
      </w:r>
      <w:r w:rsidRPr="00E170BE">
        <w:t>F</w:t>
      </w:r>
      <w:r>
        <w:t xml:space="preserve">ixed </w:t>
      </w:r>
      <w:r w:rsidRPr="00E170BE">
        <w:t>G</w:t>
      </w:r>
      <w:r>
        <w:t>ear</w:t>
      </w:r>
      <w:r w:rsidRPr="00E170BE">
        <w:t xml:space="preserve"> and O</w:t>
      </w:r>
      <w:r>
        <w:t xml:space="preserve">pen </w:t>
      </w:r>
      <w:r w:rsidRPr="00E170BE">
        <w:t>A</w:t>
      </w:r>
      <w:r>
        <w:t>ccess</w:t>
      </w:r>
      <w:r w:rsidRPr="00E170BE">
        <w:t xml:space="preserve"> fisheries.  Processing vessels under 125 feet are required to carry one certified observer and processing vessels 125 feet and over are required to carry two certified observers.  Regulations at § 660.140 (</w:t>
      </w:r>
      <w:proofErr w:type="spellStart"/>
      <w:r w:rsidRPr="00E170BE">
        <w:t>i</w:t>
      </w:r>
      <w:proofErr w:type="spellEnd"/>
      <w:r w:rsidRPr="00E170BE">
        <w:t xml:space="preserve">) specify requirements for certified catch monitor coverage for first receivers.  First receivers accepting trawl IFQ program catch must have a catch monitor present whenever IFQ catch </w:t>
      </w:r>
      <w:proofErr w:type="gramStart"/>
      <w:r w:rsidRPr="00E170BE">
        <w:t>is landed</w:t>
      </w:r>
      <w:proofErr w:type="gramEnd"/>
      <w:r w:rsidRPr="00E170BE">
        <w:t xml:space="preserve">.  Certified observers and certified catch monitors </w:t>
      </w:r>
      <w:proofErr w:type="gramStart"/>
      <w:r w:rsidRPr="00E170BE">
        <w:t>are provided</w:t>
      </w:r>
      <w:proofErr w:type="gramEnd"/>
      <w:r w:rsidRPr="00E170BE">
        <w:t xml:space="preserve"> by businesses referred to as permitted providers.  The permitting process for these providers </w:t>
      </w:r>
      <w:proofErr w:type="gramStart"/>
      <w:r w:rsidRPr="00E170BE">
        <w:t>is addressed</w:t>
      </w:r>
      <w:proofErr w:type="gramEnd"/>
      <w:r w:rsidRPr="00E170BE">
        <w:t xml:space="preserve"> within OMB Control No. 0648-0619.</w:t>
      </w:r>
    </w:p>
    <w:p w:rsidRPr="00E170BE" w:rsidR="00E170BE" w:rsidP="00E170BE" w:rsidRDefault="00E170BE">
      <w:pPr>
        <w:autoSpaceDE w:val="0"/>
        <w:autoSpaceDN w:val="0"/>
        <w:adjustRightInd w:val="0"/>
      </w:pPr>
    </w:p>
    <w:p w:rsidRPr="00E170BE" w:rsidR="00E170BE" w:rsidP="00E170BE" w:rsidRDefault="00E170BE">
      <w:pPr>
        <w:autoSpaceDE w:val="0"/>
        <w:autoSpaceDN w:val="0"/>
        <w:adjustRightInd w:val="0"/>
      </w:pPr>
      <w:r w:rsidRPr="00E170BE">
        <w:t xml:space="preserve">For the trawl IFQ fishery, certified observers primarily focus on verifying the composition of catch discarded at sea, while </w:t>
      </w:r>
      <w:proofErr w:type="gramStart"/>
      <w:r w:rsidRPr="00E170BE">
        <w:t>the composition of retained catch is verified by certified catch monitors</w:t>
      </w:r>
      <w:proofErr w:type="gramEnd"/>
      <w:r w:rsidRPr="00E170BE">
        <w:t xml:space="preserve"> when the retained catch is landed at the first receivers.  </w:t>
      </w:r>
      <w:proofErr w:type="gramStart"/>
      <w:r w:rsidRPr="00E170BE">
        <w:t>All IFQ landings must be monitored by a catch monitor</w:t>
      </w:r>
      <w:proofErr w:type="gramEnd"/>
      <w:r w:rsidRPr="00E170BE">
        <w:t xml:space="preserve">.  Catch monitors verify that all landed catch </w:t>
      </w:r>
      <w:proofErr w:type="gramStart"/>
      <w:r w:rsidRPr="00E170BE">
        <w:t>is sorted</w:t>
      </w:r>
      <w:proofErr w:type="gramEnd"/>
      <w:r w:rsidRPr="00E170BE">
        <w:t xml:space="preserve"> to the correct groups and that the weights reported on electronic fish tickets are accurate. As with certified observers, catch monitors </w:t>
      </w:r>
      <w:proofErr w:type="gramStart"/>
      <w:r w:rsidRPr="00E170BE">
        <w:t>are funded</w:t>
      </w:r>
      <w:proofErr w:type="gramEnd"/>
      <w:r w:rsidRPr="00E170BE">
        <w:t xml:space="preserve"> by the industry and are employees of third-party service providers.</w:t>
      </w:r>
    </w:p>
    <w:p w:rsidRPr="00E170BE" w:rsidR="00E170BE" w:rsidP="00E170BE" w:rsidRDefault="00E170BE">
      <w:pPr>
        <w:autoSpaceDE w:val="0"/>
        <w:autoSpaceDN w:val="0"/>
        <w:adjustRightInd w:val="0"/>
      </w:pPr>
    </w:p>
    <w:p w:rsidRPr="00E170BE" w:rsidR="00E170BE" w:rsidP="00E170BE" w:rsidRDefault="00E170BE">
      <w:pPr>
        <w:autoSpaceDE w:val="0"/>
        <w:autoSpaceDN w:val="0"/>
        <w:adjustRightInd w:val="0"/>
      </w:pPr>
      <w:r w:rsidRPr="00E170BE">
        <w:lastRenderedPageBreak/>
        <w:t>This collection pertains to the collection of the following information from observer providers:</w:t>
      </w:r>
    </w:p>
    <w:p w:rsidRPr="00E170BE" w:rsidR="00E170BE" w:rsidP="00E170BE" w:rsidRDefault="00E170BE">
      <w:pPr>
        <w:numPr>
          <w:ilvl w:val="0"/>
          <w:numId w:val="33"/>
        </w:numPr>
        <w:autoSpaceDE w:val="0"/>
        <w:autoSpaceDN w:val="0"/>
        <w:adjustRightInd w:val="0"/>
      </w:pPr>
      <w:r w:rsidRPr="00E170BE">
        <w:t>Training/briefing Registration</w:t>
      </w:r>
    </w:p>
    <w:p w:rsidRPr="00E170BE" w:rsidR="00E170BE" w:rsidP="00E170BE" w:rsidRDefault="00E170BE">
      <w:pPr>
        <w:numPr>
          <w:ilvl w:val="0"/>
          <w:numId w:val="33"/>
        </w:numPr>
        <w:autoSpaceDE w:val="0"/>
        <w:autoSpaceDN w:val="0"/>
        <w:adjustRightInd w:val="0"/>
      </w:pPr>
      <w:r w:rsidRPr="00E170BE">
        <w:t>Notification of observer's Physical Examination</w:t>
      </w:r>
    </w:p>
    <w:p w:rsidRPr="00E170BE" w:rsidR="00E170BE" w:rsidP="00E170BE" w:rsidRDefault="00E170BE">
      <w:pPr>
        <w:numPr>
          <w:ilvl w:val="0"/>
          <w:numId w:val="33"/>
        </w:numPr>
        <w:autoSpaceDE w:val="0"/>
        <w:autoSpaceDN w:val="0"/>
        <w:adjustRightInd w:val="0"/>
      </w:pPr>
      <w:r w:rsidRPr="00E170BE">
        <w:t>Debriefing registration</w:t>
      </w:r>
    </w:p>
    <w:p w:rsidRPr="00E170BE" w:rsidR="00E170BE" w:rsidP="00E170BE" w:rsidRDefault="00E170BE">
      <w:pPr>
        <w:numPr>
          <w:ilvl w:val="0"/>
          <w:numId w:val="33"/>
        </w:numPr>
        <w:autoSpaceDE w:val="0"/>
        <w:autoSpaceDN w:val="0"/>
        <w:adjustRightInd w:val="0"/>
      </w:pPr>
      <w:r w:rsidRPr="00E170BE">
        <w:t>Safety checklist submission to NMFS (actual completion of the checklists is covered under OMB Control No. 0648-0593)</w:t>
      </w:r>
    </w:p>
    <w:p w:rsidRPr="00E170BE" w:rsidR="00E170BE" w:rsidP="00E170BE" w:rsidRDefault="00E170BE">
      <w:pPr>
        <w:numPr>
          <w:ilvl w:val="0"/>
          <w:numId w:val="33"/>
        </w:numPr>
        <w:autoSpaceDE w:val="0"/>
        <w:autoSpaceDN w:val="0"/>
        <w:adjustRightInd w:val="0"/>
      </w:pPr>
      <w:r w:rsidRPr="00E170BE">
        <w:t>Certificate of insurance</w:t>
      </w:r>
    </w:p>
    <w:p w:rsidRPr="00E170BE" w:rsidR="00E170BE" w:rsidP="00E170BE" w:rsidRDefault="00E170BE">
      <w:pPr>
        <w:numPr>
          <w:ilvl w:val="0"/>
          <w:numId w:val="33"/>
        </w:numPr>
        <w:autoSpaceDE w:val="0"/>
        <w:autoSpaceDN w:val="0"/>
        <w:adjustRightInd w:val="0"/>
      </w:pPr>
      <w:r w:rsidRPr="00E170BE">
        <w:t>Observer provider contracts</w:t>
      </w:r>
    </w:p>
    <w:p w:rsidRPr="00E170BE" w:rsidR="00E170BE" w:rsidP="00E170BE" w:rsidRDefault="00E170BE">
      <w:pPr>
        <w:numPr>
          <w:ilvl w:val="0"/>
          <w:numId w:val="33"/>
        </w:numPr>
        <w:autoSpaceDE w:val="0"/>
        <w:autoSpaceDN w:val="0"/>
        <w:adjustRightInd w:val="0"/>
      </w:pPr>
      <w:r w:rsidRPr="00E170BE">
        <w:t>Observer status reports</w:t>
      </w:r>
    </w:p>
    <w:p w:rsidRPr="00E170BE" w:rsidR="00E170BE" w:rsidP="00E170BE" w:rsidRDefault="00E170BE">
      <w:pPr>
        <w:numPr>
          <w:ilvl w:val="0"/>
          <w:numId w:val="33"/>
        </w:numPr>
        <w:autoSpaceDE w:val="0"/>
        <w:autoSpaceDN w:val="0"/>
        <w:adjustRightInd w:val="0"/>
      </w:pPr>
      <w:r w:rsidRPr="00E170BE">
        <w:t>Informational materials</w:t>
      </w:r>
    </w:p>
    <w:p w:rsidRPr="00E170BE" w:rsidR="00E170BE" w:rsidP="00E170BE" w:rsidRDefault="00E170BE">
      <w:pPr>
        <w:numPr>
          <w:ilvl w:val="0"/>
          <w:numId w:val="33"/>
        </w:numPr>
        <w:autoSpaceDE w:val="0"/>
        <w:autoSpaceDN w:val="0"/>
        <w:adjustRightInd w:val="0"/>
      </w:pPr>
      <w:r w:rsidRPr="00E170BE">
        <w:t>Other reports on Observer harassment, safety concerns or performance problems</w:t>
      </w:r>
    </w:p>
    <w:p w:rsidRPr="00E170BE" w:rsidR="00E170BE" w:rsidP="00E170BE" w:rsidRDefault="00E170BE">
      <w:pPr>
        <w:autoSpaceDE w:val="0"/>
        <w:autoSpaceDN w:val="0"/>
        <w:adjustRightInd w:val="0"/>
      </w:pPr>
    </w:p>
    <w:p w:rsidRPr="00E170BE" w:rsidR="00E170BE" w:rsidP="00E170BE" w:rsidRDefault="00E170BE">
      <w:pPr>
        <w:autoSpaceDE w:val="0"/>
        <w:autoSpaceDN w:val="0"/>
        <w:adjustRightInd w:val="0"/>
      </w:pPr>
      <w:r w:rsidRPr="00E170BE">
        <w:t xml:space="preserve">This collection also pertains to the burden on vessels in the limited entry and open access sectors that provide the following information necessary for observer coverage when required: </w:t>
      </w:r>
    </w:p>
    <w:p w:rsidRPr="00E170BE" w:rsidR="00E170BE" w:rsidP="00E170BE" w:rsidRDefault="00E170BE">
      <w:pPr>
        <w:numPr>
          <w:ilvl w:val="0"/>
          <w:numId w:val="34"/>
        </w:numPr>
        <w:autoSpaceDE w:val="0"/>
        <w:autoSpaceDN w:val="0"/>
        <w:adjustRightInd w:val="0"/>
      </w:pPr>
      <w:r w:rsidRPr="00E170BE">
        <w:t>Departure notification</w:t>
      </w:r>
    </w:p>
    <w:p w:rsidRPr="00E170BE" w:rsidR="00E170BE" w:rsidP="00E170BE" w:rsidRDefault="00E170BE">
      <w:pPr>
        <w:numPr>
          <w:ilvl w:val="0"/>
          <w:numId w:val="34"/>
        </w:numPr>
        <w:autoSpaceDE w:val="0"/>
        <w:autoSpaceDN w:val="0"/>
        <w:adjustRightInd w:val="0"/>
      </w:pPr>
      <w:r w:rsidRPr="00E170BE">
        <w:t>Cease fishing notification</w:t>
      </w:r>
    </w:p>
    <w:p w:rsidRPr="00E170BE" w:rsidR="00E170BE" w:rsidP="00E170BE" w:rsidRDefault="00E170BE">
      <w:pPr>
        <w:autoSpaceDE w:val="0"/>
        <w:autoSpaceDN w:val="0"/>
        <w:adjustRightInd w:val="0"/>
      </w:pPr>
    </w:p>
    <w:p w:rsidRPr="00E170BE" w:rsidR="00E170BE" w:rsidP="00E170BE" w:rsidRDefault="00E170BE">
      <w:pPr>
        <w:autoSpaceDE w:val="0"/>
        <w:autoSpaceDN w:val="0"/>
        <w:adjustRightInd w:val="0"/>
      </w:pPr>
      <w:r w:rsidRPr="00E170BE">
        <w:t>This collection pertains to the collection of the following information from catch monitor providers:</w:t>
      </w:r>
    </w:p>
    <w:p w:rsidRPr="00E170BE" w:rsidR="00E170BE" w:rsidP="00E170BE" w:rsidRDefault="00E170BE">
      <w:pPr>
        <w:numPr>
          <w:ilvl w:val="0"/>
          <w:numId w:val="35"/>
        </w:numPr>
        <w:autoSpaceDE w:val="0"/>
        <w:autoSpaceDN w:val="0"/>
        <w:adjustRightInd w:val="0"/>
      </w:pPr>
      <w:r w:rsidRPr="00E170BE">
        <w:t>Training/briefing Registration</w:t>
      </w:r>
    </w:p>
    <w:p w:rsidRPr="00E170BE" w:rsidR="00E170BE" w:rsidP="00E170BE" w:rsidRDefault="00E170BE">
      <w:pPr>
        <w:numPr>
          <w:ilvl w:val="0"/>
          <w:numId w:val="35"/>
        </w:numPr>
        <w:autoSpaceDE w:val="0"/>
        <w:autoSpaceDN w:val="0"/>
        <w:adjustRightInd w:val="0"/>
      </w:pPr>
      <w:r w:rsidRPr="00E170BE">
        <w:t>Notification of catch monitor’s Physical Examination</w:t>
      </w:r>
    </w:p>
    <w:p w:rsidRPr="00E170BE" w:rsidR="00E170BE" w:rsidP="00E170BE" w:rsidRDefault="00E170BE">
      <w:pPr>
        <w:numPr>
          <w:ilvl w:val="0"/>
          <w:numId w:val="35"/>
        </w:numPr>
        <w:autoSpaceDE w:val="0"/>
        <w:autoSpaceDN w:val="0"/>
        <w:adjustRightInd w:val="0"/>
      </w:pPr>
      <w:r w:rsidRPr="00E170BE">
        <w:t>Certificate of insurance</w:t>
      </w:r>
    </w:p>
    <w:p w:rsidRPr="00E170BE" w:rsidR="00E170BE" w:rsidP="00E170BE" w:rsidRDefault="00E170BE">
      <w:pPr>
        <w:numPr>
          <w:ilvl w:val="0"/>
          <w:numId w:val="35"/>
        </w:numPr>
        <w:autoSpaceDE w:val="0"/>
        <w:autoSpaceDN w:val="0"/>
        <w:adjustRightInd w:val="0"/>
      </w:pPr>
      <w:r w:rsidRPr="00E170BE">
        <w:t>Catch monitor provider contracts</w:t>
      </w:r>
    </w:p>
    <w:p w:rsidRPr="00E170BE" w:rsidR="00E170BE" w:rsidP="00E170BE" w:rsidRDefault="00E170BE">
      <w:pPr>
        <w:numPr>
          <w:ilvl w:val="0"/>
          <w:numId w:val="35"/>
        </w:numPr>
        <w:autoSpaceDE w:val="0"/>
        <w:autoSpaceDN w:val="0"/>
        <w:adjustRightInd w:val="0"/>
      </w:pPr>
      <w:r w:rsidRPr="00E170BE">
        <w:t>Catch monitor status report</w:t>
      </w:r>
    </w:p>
    <w:p w:rsidRPr="00E170BE" w:rsidR="00E170BE" w:rsidP="00E170BE" w:rsidRDefault="00E170BE">
      <w:pPr>
        <w:numPr>
          <w:ilvl w:val="0"/>
          <w:numId w:val="35"/>
        </w:numPr>
        <w:autoSpaceDE w:val="0"/>
        <w:autoSpaceDN w:val="0"/>
        <w:adjustRightInd w:val="0"/>
      </w:pPr>
      <w:r w:rsidRPr="00E170BE">
        <w:t>Informational materials</w:t>
      </w:r>
    </w:p>
    <w:p w:rsidR="00E170BE" w:rsidP="00E170BE" w:rsidRDefault="00E170BE">
      <w:pPr>
        <w:numPr>
          <w:ilvl w:val="0"/>
          <w:numId w:val="35"/>
        </w:numPr>
        <w:autoSpaceDE w:val="0"/>
        <w:autoSpaceDN w:val="0"/>
        <w:adjustRightInd w:val="0"/>
      </w:pPr>
      <w:r w:rsidRPr="00E170BE">
        <w:t>Other reports on harassment, prohibited actions, illness or injury, or performance problems</w:t>
      </w:r>
    </w:p>
    <w:p w:rsidR="00E170BE" w:rsidP="00E170BE" w:rsidRDefault="00E170BE">
      <w:pPr>
        <w:autoSpaceDE w:val="0"/>
        <w:autoSpaceDN w:val="0"/>
        <w:adjustRightInd w:val="0"/>
      </w:pPr>
    </w:p>
    <w:p w:rsidRPr="00E170BE" w:rsidR="00E170BE" w:rsidP="00E170BE" w:rsidRDefault="00E170BE">
      <w:pPr>
        <w:autoSpaceDE w:val="0"/>
        <w:autoSpaceDN w:val="0"/>
        <w:adjustRightInd w:val="0"/>
      </w:pPr>
      <w:r w:rsidRPr="00E170BE">
        <w:t xml:space="preserve">Data collected by certified observers </w:t>
      </w:r>
      <w:proofErr w:type="gramStart"/>
      <w:r w:rsidRPr="00E170BE">
        <w:t>are used</w:t>
      </w:r>
      <w:proofErr w:type="gramEnd"/>
      <w:r w:rsidRPr="00E170BE">
        <w:t xml:space="preserve"> by the National Marine Fisheries Service (NMFS) to estimate total landed catch, discards, monitor the attainment of annual groundfish allocations, estimate catch rates of prohibited species, and in stock assessments.  Observer data is necessary to comply with the Magnuson-Stevens Act requirements to prevent overfishing.  In addition, observer data is key to maintaining the integrity of the trawl rationalization program such that total catch mortality stays within the trawl allocations and bycatch remains lower than the pre-rationalized fishery.  Observer data </w:t>
      </w:r>
      <w:proofErr w:type="gramStart"/>
      <w:r w:rsidRPr="00E170BE">
        <w:t>is also used</w:t>
      </w:r>
      <w:proofErr w:type="gramEnd"/>
      <w:r w:rsidRPr="00E170BE">
        <w:t xml:space="preserve"> to assess fishing-related mortality of protected and endangered species.</w:t>
      </w:r>
    </w:p>
    <w:p w:rsidRPr="00E170BE" w:rsidR="00E170BE" w:rsidP="00E170BE" w:rsidRDefault="00E170BE">
      <w:pPr>
        <w:autoSpaceDE w:val="0"/>
        <w:autoSpaceDN w:val="0"/>
        <w:adjustRightInd w:val="0"/>
      </w:pPr>
    </w:p>
    <w:p w:rsidRPr="00E170BE" w:rsidR="00E170BE" w:rsidP="00E170BE" w:rsidRDefault="00E170BE">
      <w:pPr>
        <w:autoSpaceDE w:val="0"/>
        <w:autoSpaceDN w:val="0"/>
        <w:adjustRightInd w:val="0"/>
      </w:pPr>
      <w:proofErr w:type="gramStart"/>
      <w:r w:rsidRPr="00E170BE">
        <w:t>Information submitted by observer and catch monitor providers (training/briefing registration, notification of physical examination, debriefing registration, safety checklist, certificate of insurance, provider contracts, status reports, informational reports, and other reports on harassment, safety concerns or performance problems) is used to efficiently and effectively determine the eligibility of trainees such that well-qualified individuals are trained and deployed as fisheries observers and catch monitors.</w:t>
      </w:r>
      <w:proofErr w:type="gramEnd"/>
      <w:r w:rsidRPr="00E170BE">
        <w:t xml:space="preserve">  The materials </w:t>
      </w:r>
      <w:proofErr w:type="gramStart"/>
      <w:r w:rsidRPr="00E170BE">
        <w:t>are also used</w:t>
      </w:r>
      <w:proofErr w:type="gramEnd"/>
      <w:r w:rsidRPr="00E170BE">
        <w:t xml:space="preserve"> to ensure the wellbeing of observers and catch monitors.</w:t>
      </w:r>
    </w:p>
    <w:p w:rsidRPr="00E170BE" w:rsidR="00E170BE" w:rsidP="00E170BE" w:rsidRDefault="00E170BE">
      <w:pPr>
        <w:autoSpaceDE w:val="0"/>
        <w:autoSpaceDN w:val="0"/>
        <w:adjustRightInd w:val="0"/>
      </w:pPr>
    </w:p>
    <w:p w:rsidRPr="00E170BE" w:rsidR="00E170BE" w:rsidP="00E170BE" w:rsidRDefault="00E170BE">
      <w:pPr>
        <w:autoSpaceDE w:val="0"/>
        <w:autoSpaceDN w:val="0"/>
        <w:adjustRightInd w:val="0"/>
      </w:pPr>
      <w:r w:rsidRPr="00E170BE">
        <w:t xml:space="preserve">Some vessels, such as LEFG and OA vessels, do not have a 100% observer requirement. A portion of those vessels, approximately 30% of the fleet annually, are required to carry observers if </w:t>
      </w:r>
      <w:proofErr w:type="gramStart"/>
      <w:r w:rsidRPr="00E170BE">
        <w:t>they are selected in a random process by the Northwest Fisheries Science Center Observer Program</w:t>
      </w:r>
      <w:proofErr w:type="gramEnd"/>
      <w:r w:rsidRPr="00E170BE">
        <w:t xml:space="preserve"> at the beginning of the fishing year. The captains </w:t>
      </w:r>
      <w:proofErr w:type="gramStart"/>
      <w:r w:rsidRPr="00E170BE">
        <w:t>are notified</w:t>
      </w:r>
      <w:proofErr w:type="gramEnd"/>
      <w:r w:rsidRPr="00E170BE">
        <w:t xml:space="preserve"> of the observer requirement, and they must call and inform the observer program 24 hours in advance of departure.</w:t>
      </w:r>
    </w:p>
    <w:p w:rsidRPr="00E170BE" w:rsidR="00E170BE" w:rsidP="00E170BE" w:rsidRDefault="00E170BE">
      <w:pPr>
        <w:autoSpaceDE w:val="0"/>
        <w:autoSpaceDN w:val="0"/>
        <w:adjustRightInd w:val="0"/>
      </w:pPr>
    </w:p>
    <w:p w:rsidRPr="00E170BE" w:rsidR="00E170BE" w:rsidP="00E170BE" w:rsidRDefault="00E170BE">
      <w:pPr>
        <w:autoSpaceDE w:val="0"/>
        <w:autoSpaceDN w:val="0"/>
        <w:adjustRightInd w:val="0"/>
      </w:pPr>
      <w:r w:rsidRPr="00E170BE">
        <w:t xml:space="preserve">Departure and cease fishing notifications submitted by LEFG and OA vessels are necessary for NMFS to: 1) identify which vessels need to carry observers, and 2) to coordinate the placement of observers aboard vessels.  The cease fishing notification is necessary to identify which vessels are in the pool of vessels </w:t>
      </w:r>
      <w:proofErr w:type="gramStart"/>
      <w:r w:rsidRPr="00E170BE">
        <w:t>being sampled</w:t>
      </w:r>
      <w:proofErr w:type="gramEnd"/>
      <w:r w:rsidRPr="00E170BE">
        <w:t xml:space="preserve">.  Knowing which vessels are no longer part of the sample pool will allow NMFS to adjust selection methods to meet the desired observer coverage levels while allowing observer effort to </w:t>
      </w:r>
      <w:proofErr w:type="gramStart"/>
      <w:r w:rsidRPr="00E170BE">
        <w:t>be used</w:t>
      </w:r>
      <w:proofErr w:type="gramEnd"/>
      <w:r w:rsidRPr="00E170BE">
        <w:t xml:space="preserve"> efficiently.  It is necessary for a vessel owner, operator or representative to submit these reports because only they can make statements about their future intent.</w:t>
      </w:r>
    </w:p>
    <w:p w:rsidRPr="00E170BE" w:rsidR="00E170BE" w:rsidP="00E170BE" w:rsidRDefault="00E170BE">
      <w:pPr>
        <w:autoSpaceDE w:val="0"/>
        <w:autoSpaceDN w:val="0"/>
        <w:adjustRightInd w:val="0"/>
      </w:pPr>
    </w:p>
    <w:p w:rsidRPr="000E402C" w:rsidR="00922246" w:rsidP="0021652C" w:rsidRDefault="00922246">
      <w:pPr>
        <w:autoSpaceDE w:val="0"/>
        <w:autoSpaceDN w:val="0"/>
        <w:adjustRightInd w:val="0"/>
        <w:rPr>
          <w:b/>
          <w:bCs/>
          <w:color w:val="000000"/>
          <w:highlight w:val="yellow"/>
        </w:rPr>
      </w:pPr>
    </w:p>
    <w:p w:rsidR="00545E61" w:rsidP="0021652C" w:rsidRDefault="00F7544A">
      <w:pPr>
        <w:autoSpaceDE w:val="0"/>
        <w:autoSpaceDN w:val="0"/>
        <w:adjustRightInd w:val="0"/>
        <w:rPr>
          <w:rFonts w:eastAsia="Arial"/>
          <w:b/>
          <w:sz w:val="22"/>
          <w:szCs w:val="22"/>
          <w:lang w:bidi="en-US"/>
        </w:rPr>
      </w:pPr>
      <w:r w:rsidRPr="003D39B2">
        <w:rPr>
          <w:b/>
          <w:bCs/>
          <w:color w:val="000000"/>
        </w:rPr>
        <w:t xml:space="preserve">2. </w:t>
      </w:r>
      <w:r w:rsidRPr="003D39B2" w:rsidR="0021652C">
        <w:rPr>
          <w:b/>
          <w:bCs/>
          <w:color w:val="000000"/>
        </w:rPr>
        <w:t xml:space="preserve"> </w:t>
      </w:r>
      <w:r w:rsidRPr="003D39B2" w:rsidR="006C0F48">
        <w:rPr>
          <w:rFonts w:eastAsia="Arial"/>
          <w:b/>
          <w:lang w:bidi="en-US"/>
        </w:rPr>
        <w:t xml:space="preserve">Indicate how, by whom, and for what purpose the information is to </w:t>
      </w:r>
      <w:proofErr w:type="gramStart"/>
      <w:r w:rsidRPr="003D39B2" w:rsidR="006C0F48">
        <w:rPr>
          <w:rFonts w:eastAsia="Arial"/>
          <w:b/>
          <w:lang w:bidi="en-US"/>
        </w:rPr>
        <w:t>be used</w:t>
      </w:r>
      <w:proofErr w:type="gramEnd"/>
      <w:r w:rsidRPr="003D39B2" w:rsidR="006C0F48">
        <w:rPr>
          <w:rFonts w:eastAsia="Arial"/>
          <w:b/>
          <w:lang w:bidi="en-US"/>
        </w:rPr>
        <w:t>. Except for a new collection, indicate the actual use the agency has made of the information received from the current</w:t>
      </w:r>
      <w:r w:rsidRPr="003D39B2" w:rsidR="006C0F48">
        <w:rPr>
          <w:rFonts w:eastAsia="Arial"/>
          <w:b/>
          <w:spacing w:val="-1"/>
          <w:lang w:bidi="en-US"/>
        </w:rPr>
        <w:t xml:space="preserve"> </w:t>
      </w:r>
      <w:r w:rsidRPr="003D39B2" w:rsidR="006C0F48">
        <w:rPr>
          <w:rFonts w:eastAsia="Arial"/>
          <w:b/>
          <w:lang w:bidi="en-US"/>
        </w:rPr>
        <w:t>collection</w:t>
      </w:r>
      <w:r w:rsidRPr="006C0F48" w:rsidR="006C0F48">
        <w:rPr>
          <w:rFonts w:eastAsia="Arial"/>
          <w:b/>
          <w:sz w:val="22"/>
          <w:szCs w:val="22"/>
          <w:lang w:bidi="en-US"/>
        </w:rPr>
        <w:t>.</w:t>
      </w:r>
    </w:p>
    <w:p w:rsidR="006C0F48" w:rsidP="0021652C" w:rsidRDefault="006C0F48">
      <w:pPr>
        <w:autoSpaceDE w:val="0"/>
        <w:autoSpaceDN w:val="0"/>
        <w:adjustRightInd w:val="0"/>
        <w:rPr>
          <w:b/>
          <w:bCs/>
          <w:color w:val="000000"/>
        </w:rPr>
      </w:pPr>
    </w:p>
    <w:p w:rsidRPr="00973C0B" w:rsidR="00973C0B" w:rsidP="00973C0B" w:rsidRDefault="00973C0B">
      <w:pPr>
        <w:autoSpaceDE w:val="0"/>
        <w:autoSpaceDN w:val="0"/>
        <w:adjustRightInd w:val="0"/>
        <w:rPr>
          <w:bCs/>
          <w:color w:val="000000"/>
        </w:rPr>
      </w:pPr>
      <w:r w:rsidRPr="00973C0B">
        <w:rPr>
          <w:bCs/>
          <w:color w:val="000000"/>
        </w:rPr>
        <w:t xml:space="preserve">Information submitted by the observer providers </w:t>
      </w:r>
      <w:proofErr w:type="gramStart"/>
      <w:r>
        <w:rPr>
          <w:bCs/>
          <w:color w:val="000000"/>
        </w:rPr>
        <w:t>is</w:t>
      </w:r>
      <w:r w:rsidRPr="00973C0B">
        <w:rPr>
          <w:bCs/>
          <w:color w:val="000000"/>
        </w:rPr>
        <w:t xml:space="preserve"> used</w:t>
      </w:r>
      <w:proofErr w:type="gramEnd"/>
      <w:r w:rsidRPr="00973C0B">
        <w:rPr>
          <w:bCs/>
          <w:color w:val="000000"/>
        </w:rPr>
        <w:t xml:space="preserve"> as follows:</w:t>
      </w:r>
    </w:p>
    <w:p w:rsidRPr="00973C0B" w:rsidR="00973C0B" w:rsidP="00973C0B" w:rsidRDefault="00973C0B">
      <w:pPr>
        <w:autoSpaceDE w:val="0"/>
        <w:autoSpaceDN w:val="0"/>
        <w:adjustRightInd w:val="0"/>
        <w:rPr>
          <w:bCs/>
          <w:color w:val="000000"/>
        </w:rPr>
      </w:pPr>
    </w:p>
    <w:p w:rsidRPr="00973C0B" w:rsidR="00973C0B" w:rsidP="00973C0B" w:rsidRDefault="00973C0B">
      <w:pPr>
        <w:autoSpaceDE w:val="0"/>
        <w:autoSpaceDN w:val="0"/>
        <w:adjustRightInd w:val="0"/>
        <w:rPr>
          <w:bCs/>
          <w:color w:val="000000"/>
        </w:rPr>
      </w:pPr>
      <w:r w:rsidRPr="00973C0B">
        <w:rPr>
          <w:b/>
          <w:bCs/>
          <w:color w:val="000000"/>
        </w:rPr>
        <w:t>Observer Training/Briefing Registration.</w:t>
      </w:r>
      <w:r w:rsidRPr="00973C0B">
        <w:rPr>
          <w:bCs/>
          <w:color w:val="000000"/>
        </w:rPr>
        <w:t xml:space="preserve">  </w:t>
      </w:r>
      <w:proofErr w:type="gramStart"/>
      <w:r w:rsidRPr="00973C0B">
        <w:rPr>
          <w:bCs/>
          <w:color w:val="000000"/>
        </w:rPr>
        <w:t>Prior to the beginning of a scheduled observer certification training session, observer providers send the following information to the Observer Program Office: date of requested training; a list of observer candidates that includes each candidate’s full name, date of birth, gender, and length of contract; a copy of each candidate’s academic transcripts and resume; and a statement signed by the observer candidate under penalty of perjury which discloses the candidate’s criminal convictions.</w:t>
      </w:r>
      <w:proofErr w:type="gramEnd"/>
      <w:r w:rsidRPr="00973C0B">
        <w:rPr>
          <w:bCs/>
          <w:color w:val="000000"/>
        </w:rPr>
        <w:t xml:space="preserve">  The requested information ensures that sufficient class space </w:t>
      </w:r>
      <w:proofErr w:type="gramStart"/>
      <w:r w:rsidRPr="00973C0B">
        <w:rPr>
          <w:bCs/>
          <w:color w:val="000000"/>
        </w:rPr>
        <w:t>will be reserved</w:t>
      </w:r>
      <w:proofErr w:type="gramEnd"/>
      <w:r w:rsidRPr="00973C0B">
        <w:rPr>
          <w:bCs/>
          <w:color w:val="000000"/>
        </w:rPr>
        <w:t xml:space="preserve"> for the candidates during the training session requested and that each potential, new observer meets the observer educational qualification standards. </w:t>
      </w:r>
    </w:p>
    <w:p w:rsidRPr="00973C0B" w:rsidR="00973C0B" w:rsidP="00973C0B" w:rsidRDefault="00973C0B">
      <w:pPr>
        <w:autoSpaceDE w:val="0"/>
        <w:autoSpaceDN w:val="0"/>
        <w:adjustRightInd w:val="0"/>
        <w:rPr>
          <w:bCs/>
          <w:color w:val="000000"/>
        </w:rPr>
      </w:pPr>
    </w:p>
    <w:p w:rsidRPr="00973C0B" w:rsidR="00973C0B" w:rsidP="00973C0B" w:rsidRDefault="00973C0B">
      <w:pPr>
        <w:autoSpaceDE w:val="0"/>
        <w:autoSpaceDN w:val="0"/>
        <w:adjustRightInd w:val="0"/>
        <w:rPr>
          <w:bCs/>
          <w:color w:val="000000"/>
        </w:rPr>
      </w:pPr>
      <w:r w:rsidRPr="00973C0B">
        <w:rPr>
          <w:b/>
          <w:bCs/>
          <w:color w:val="000000"/>
        </w:rPr>
        <w:t>Notification of Observer's Physical Examination</w:t>
      </w:r>
      <w:r w:rsidRPr="00973C0B">
        <w:rPr>
          <w:bCs/>
          <w:color w:val="000000"/>
        </w:rPr>
        <w:t xml:space="preserve">.  Physical examinations are necessary because working as an observer aboard fishing vessels or on processors is a physically demanding and dangerous occupation.  An individual must be physically fit.  Unfit observers could endanger the wellbeing of themselves and the safety of others.  Notification of the physical examination allows NMFS to verify that all observers meet the program standards. </w:t>
      </w:r>
    </w:p>
    <w:p w:rsidRPr="00973C0B" w:rsidR="00973C0B" w:rsidP="00973C0B" w:rsidRDefault="00973C0B">
      <w:pPr>
        <w:autoSpaceDE w:val="0"/>
        <w:autoSpaceDN w:val="0"/>
        <w:adjustRightInd w:val="0"/>
        <w:rPr>
          <w:bCs/>
          <w:color w:val="000000"/>
        </w:rPr>
      </w:pPr>
    </w:p>
    <w:p w:rsidR="00973C0B" w:rsidP="00973C0B" w:rsidRDefault="00973C0B">
      <w:pPr>
        <w:autoSpaceDE w:val="0"/>
        <w:autoSpaceDN w:val="0"/>
        <w:adjustRightInd w:val="0"/>
        <w:rPr>
          <w:bCs/>
          <w:color w:val="000000"/>
        </w:rPr>
      </w:pPr>
      <w:r w:rsidRPr="00973C0B">
        <w:rPr>
          <w:b/>
          <w:bCs/>
          <w:color w:val="000000"/>
        </w:rPr>
        <w:t xml:space="preserve">Observer debriefing registration.  </w:t>
      </w:r>
      <w:r w:rsidRPr="00973C0B">
        <w:rPr>
          <w:bCs/>
          <w:color w:val="000000"/>
        </w:rPr>
        <w:t xml:space="preserve">This information allows for an efficient and effective debriefing process of an observer with Observer Program personnel.  Observer debriefing registration information must </w:t>
      </w:r>
      <w:proofErr w:type="gramStart"/>
      <w:r w:rsidRPr="00973C0B">
        <w:rPr>
          <w:bCs/>
          <w:color w:val="000000"/>
        </w:rPr>
        <w:t>include:</w:t>
      </w:r>
      <w:proofErr w:type="gramEnd"/>
      <w:r w:rsidRPr="00973C0B">
        <w:rPr>
          <w:bCs/>
          <w:color w:val="000000"/>
        </w:rPr>
        <w:t xml:space="preserve"> the observer's name, current port assignment and requested debriefing date.</w:t>
      </w:r>
    </w:p>
    <w:p w:rsidR="003D39B2" w:rsidP="00973C0B" w:rsidRDefault="003D39B2">
      <w:pPr>
        <w:autoSpaceDE w:val="0"/>
        <w:autoSpaceDN w:val="0"/>
        <w:adjustRightInd w:val="0"/>
        <w:rPr>
          <w:bCs/>
          <w:color w:val="000000"/>
        </w:rPr>
      </w:pPr>
    </w:p>
    <w:p w:rsidRPr="00973C0B" w:rsidR="00973C0B" w:rsidP="00973C0B" w:rsidRDefault="00973C0B">
      <w:pPr>
        <w:autoSpaceDE w:val="0"/>
        <w:autoSpaceDN w:val="0"/>
        <w:adjustRightInd w:val="0"/>
        <w:rPr>
          <w:bCs/>
          <w:color w:val="000000"/>
        </w:rPr>
      </w:pPr>
      <w:r w:rsidRPr="00973C0B">
        <w:rPr>
          <w:b/>
          <w:bCs/>
          <w:color w:val="000000"/>
        </w:rPr>
        <w:t xml:space="preserve">Observer safety checklist.  </w:t>
      </w:r>
      <w:r w:rsidRPr="00973C0B">
        <w:rPr>
          <w:bCs/>
          <w:color w:val="000000"/>
        </w:rPr>
        <w:t>O</w:t>
      </w:r>
      <w:r w:rsidRPr="00973C0B">
        <w:rPr>
          <w:bCs/>
          <w:iCs/>
          <w:color w:val="000000"/>
        </w:rPr>
        <w:t xml:space="preserve">bserver provider responsibilities include the submission of the current Vessel Safety Checklists that </w:t>
      </w:r>
      <w:proofErr w:type="gramStart"/>
      <w:r w:rsidRPr="00973C0B">
        <w:rPr>
          <w:bCs/>
          <w:iCs/>
          <w:color w:val="000000"/>
        </w:rPr>
        <w:t>are completed</w:t>
      </w:r>
      <w:proofErr w:type="gramEnd"/>
      <w:r w:rsidRPr="00973C0B">
        <w:rPr>
          <w:bCs/>
          <w:iCs/>
          <w:color w:val="000000"/>
        </w:rPr>
        <w:t xml:space="preserve"> during a pre-cruise check.  </w:t>
      </w:r>
      <w:r w:rsidRPr="00973C0B">
        <w:rPr>
          <w:bCs/>
          <w:color w:val="000000"/>
        </w:rPr>
        <w:t xml:space="preserve">Submission of the completed checklist to the Observer Program is necessary to ensure that the vessels that observers </w:t>
      </w:r>
      <w:proofErr w:type="gramStart"/>
      <w:r w:rsidRPr="00973C0B">
        <w:rPr>
          <w:bCs/>
          <w:color w:val="000000"/>
        </w:rPr>
        <w:t>are deployed</w:t>
      </w:r>
      <w:proofErr w:type="gramEnd"/>
      <w:r w:rsidRPr="00973C0B">
        <w:rPr>
          <w:bCs/>
          <w:color w:val="000000"/>
        </w:rPr>
        <w:t xml:space="preserve"> on meet the minimum safety requirements specified for the issuance of a Commercial Fishing Vessel Safety Decal in the time between U.S. Coast Guard inspections.</w:t>
      </w:r>
    </w:p>
    <w:p w:rsidRPr="00973C0B" w:rsidR="00973C0B" w:rsidP="00973C0B" w:rsidRDefault="00973C0B">
      <w:pPr>
        <w:autoSpaceDE w:val="0"/>
        <w:autoSpaceDN w:val="0"/>
        <w:adjustRightInd w:val="0"/>
        <w:rPr>
          <w:b/>
          <w:bCs/>
          <w:color w:val="000000"/>
        </w:rPr>
      </w:pPr>
    </w:p>
    <w:p w:rsidRPr="00973C0B" w:rsidR="00973C0B" w:rsidP="00973C0B" w:rsidRDefault="00973C0B">
      <w:pPr>
        <w:autoSpaceDE w:val="0"/>
        <w:autoSpaceDN w:val="0"/>
        <w:adjustRightInd w:val="0"/>
        <w:rPr>
          <w:bCs/>
          <w:color w:val="000000"/>
        </w:rPr>
      </w:pPr>
      <w:r w:rsidRPr="00973C0B">
        <w:rPr>
          <w:b/>
          <w:bCs/>
          <w:color w:val="000000"/>
        </w:rPr>
        <w:t xml:space="preserve">Observer certificate of insurance.  </w:t>
      </w:r>
      <w:r w:rsidRPr="00973C0B">
        <w:rPr>
          <w:bCs/>
          <w:color w:val="000000"/>
        </w:rPr>
        <w:t xml:space="preserve">Copies of “certificates of insurance”, that name the NMFS Northwest Fishery Science Center Observer Program leader manager as the “certificate holder”, are to </w:t>
      </w:r>
      <w:proofErr w:type="gramStart"/>
      <w:r w:rsidRPr="00973C0B">
        <w:rPr>
          <w:bCs/>
          <w:color w:val="000000"/>
        </w:rPr>
        <w:t>be submitted</w:t>
      </w:r>
      <w:proofErr w:type="gramEnd"/>
      <w:r w:rsidRPr="00973C0B">
        <w:rPr>
          <w:bCs/>
          <w:color w:val="000000"/>
        </w:rPr>
        <w:t xml:space="preserve"> to the Observer Program Office by February 1 of each year.  The certificates of insurance are to verify the provider has adequate coverage provisions for observers and that the insurance company will notify the certificate holder if insurance coverage is changed or canceled.</w:t>
      </w:r>
    </w:p>
    <w:p w:rsidRPr="00973C0B" w:rsidR="00973C0B" w:rsidP="00973C0B" w:rsidRDefault="00973C0B">
      <w:pPr>
        <w:autoSpaceDE w:val="0"/>
        <w:autoSpaceDN w:val="0"/>
        <w:adjustRightInd w:val="0"/>
        <w:rPr>
          <w:bCs/>
          <w:color w:val="000000"/>
        </w:rPr>
      </w:pPr>
    </w:p>
    <w:p w:rsidRPr="00973C0B" w:rsidR="00973C0B" w:rsidP="00973C0B" w:rsidRDefault="00973C0B">
      <w:pPr>
        <w:autoSpaceDE w:val="0"/>
        <w:autoSpaceDN w:val="0"/>
        <w:adjustRightInd w:val="0"/>
        <w:rPr>
          <w:bCs/>
          <w:color w:val="000000"/>
        </w:rPr>
      </w:pPr>
      <w:r w:rsidRPr="00973C0B">
        <w:rPr>
          <w:b/>
          <w:bCs/>
          <w:color w:val="000000"/>
        </w:rPr>
        <w:t xml:space="preserve">Observer provider contracts.  </w:t>
      </w:r>
      <w:r w:rsidRPr="00973C0B">
        <w:rPr>
          <w:bCs/>
          <w:color w:val="000000"/>
        </w:rPr>
        <w:t xml:space="preserve">If requested, observer providers must submit to the Observer Program a completed and unaltered copy of each type of signed and valid contract (including all attachments, appendices, addendums, and exhibits incorporated into the contract) between the observer provider and those entities requiring observer services.  </w:t>
      </w:r>
      <w:proofErr w:type="gramStart"/>
      <w:r w:rsidRPr="00973C0B">
        <w:rPr>
          <w:bCs/>
          <w:color w:val="000000"/>
        </w:rPr>
        <w:t>Observer providers must also submit to the Observer Program upon request, a completed and unaltered copy of the current or most recent signed and valid contract (including all attachments, appendices, addendums, and exhibits incorporated into the contract and any agreements or policies with regard to observer compensation or salary levels) between the observer provider and the particular entity identified by the Observer Program or with specific observers.</w:t>
      </w:r>
      <w:proofErr w:type="gramEnd"/>
      <w:r w:rsidRPr="00973C0B">
        <w:rPr>
          <w:bCs/>
          <w:color w:val="000000"/>
        </w:rPr>
        <w:t xml:space="preserve">  Observer contracts </w:t>
      </w:r>
      <w:proofErr w:type="gramStart"/>
      <w:r w:rsidRPr="00973C0B">
        <w:rPr>
          <w:bCs/>
          <w:color w:val="000000"/>
        </w:rPr>
        <w:t>are needed</w:t>
      </w:r>
      <w:proofErr w:type="gramEnd"/>
      <w:r w:rsidRPr="00973C0B">
        <w:rPr>
          <w:bCs/>
          <w:color w:val="000000"/>
        </w:rPr>
        <w:t xml:space="preserve"> to evaluate the working conditions that observers are experiencing and to evaluate that deployments are handled fairly and consistently.  Vessel contracts </w:t>
      </w:r>
      <w:proofErr w:type="gramStart"/>
      <w:r w:rsidRPr="00973C0B">
        <w:rPr>
          <w:bCs/>
          <w:color w:val="000000"/>
        </w:rPr>
        <w:t>are needed</w:t>
      </w:r>
      <w:proofErr w:type="gramEnd"/>
      <w:r w:rsidRPr="00973C0B">
        <w:rPr>
          <w:bCs/>
          <w:color w:val="000000"/>
        </w:rPr>
        <w:t xml:space="preserve"> to evaluate the cost of observing the fishery coast-wide and any disparities between ports.  These contracts are also needed to verify they are meeting </w:t>
      </w:r>
      <w:proofErr w:type="gramStart"/>
      <w:r w:rsidRPr="00973C0B">
        <w:rPr>
          <w:bCs/>
          <w:color w:val="000000"/>
        </w:rPr>
        <w:t>any and all</w:t>
      </w:r>
      <w:proofErr w:type="gramEnd"/>
      <w:r w:rsidRPr="00973C0B">
        <w:rPr>
          <w:bCs/>
          <w:color w:val="000000"/>
        </w:rPr>
        <w:t xml:space="preserve"> federal regulations. </w:t>
      </w:r>
    </w:p>
    <w:p w:rsidRPr="00973C0B" w:rsidR="00973C0B" w:rsidP="00973C0B" w:rsidRDefault="00973C0B">
      <w:pPr>
        <w:autoSpaceDE w:val="0"/>
        <w:autoSpaceDN w:val="0"/>
        <w:adjustRightInd w:val="0"/>
        <w:rPr>
          <w:b/>
          <w:bCs/>
          <w:color w:val="000000"/>
        </w:rPr>
      </w:pPr>
    </w:p>
    <w:p w:rsidR="00973C0B" w:rsidP="00973C0B" w:rsidRDefault="00973C0B">
      <w:pPr>
        <w:autoSpaceDE w:val="0"/>
        <w:autoSpaceDN w:val="0"/>
        <w:adjustRightInd w:val="0"/>
        <w:rPr>
          <w:bCs/>
          <w:color w:val="000000"/>
        </w:rPr>
      </w:pPr>
      <w:r w:rsidRPr="00973C0B">
        <w:rPr>
          <w:b/>
          <w:bCs/>
          <w:color w:val="000000"/>
        </w:rPr>
        <w:t xml:space="preserve">Observer status reports. </w:t>
      </w:r>
      <w:r w:rsidRPr="00973C0B">
        <w:rPr>
          <w:bCs/>
          <w:color w:val="000000"/>
        </w:rPr>
        <w:t xml:space="preserve"> An observer provider must provide the Observer Program access to an updated list of observer deployments.  Trip information includes observer provider name, observer last name, observer first name, trip start date, trip end date, status of observer, vessel name, and vessel identification number.  Accurate and timely observer deployment information is important for fisheries management.  Observer providers handle the logistics of observer deployments and are the only ones who know this information real-time. Knowing where observers are at all times is also imperative should emergencies arise while</w:t>
      </w:r>
      <w:r>
        <w:rPr>
          <w:bCs/>
          <w:color w:val="000000"/>
        </w:rPr>
        <w:t xml:space="preserve"> an observer </w:t>
      </w:r>
      <w:proofErr w:type="gramStart"/>
      <w:r>
        <w:rPr>
          <w:bCs/>
          <w:color w:val="000000"/>
        </w:rPr>
        <w:t>is deployed</w:t>
      </w:r>
      <w:proofErr w:type="gramEnd"/>
      <w:r>
        <w:rPr>
          <w:bCs/>
          <w:color w:val="000000"/>
        </w:rPr>
        <w:t xml:space="preserve"> at sea.</w:t>
      </w:r>
    </w:p>
    <w:p w:rsidRPr="00973C0B" w:rsidR="00973C0B" w:rsidP="00973C0B" w:rsidRDefault="00973C0B">
      <w:pPr>
        <w:autoSpaceDE w:val="0"/>
        <w:autoSpaceDN w:val="0"/>
        <w:adjustRightInd w:val="0"/>
        <w:rPr>
          <w:b/>
          <w:bCs/>
          <w:color w:val="000000"/>
        </w:rPr>
      </w:pPr>
    </w:p>
    <w:p w:rsidR="00973C0B" w:rsidP="00973C0B" w:rsidRDefault="00973C0B">
      <w:pPr>
        <w:autoSpaceDE w:val="0"/>
        <w:autoSpaceDN w:val="0"/>
        <w:adjustRightInd w:val="0"/>
        <w:rPr>
          <w:bCs/>
          <w:color w:val="000000"/>
        </w:rPr>
      </w:pPr>
      <w:r w:rsidRPr="00973C0B">
        <w:rPr>
          <w:b/>
          <w:bCs/>
          <w:color w:val="000000"/>
        </w:rPr>
        <w:t>Observer Informational materials.</w:t>
      </w:r>
      <w:r w:rsidRPr="00973C0B">
        <w:rPr>
          <w:bCs/>
          <w:color w:val="000000"/>
        </w:rPr>
        <w:t xml:space="preserve">  Observer providers must submit to Observer Program, if requested, copies of any information developed and used by the observer providers distributed to vessels, such as informational pamphlets, payment notification, description of observer duties, etc.  The training and duties of an observer are a responsibility of the observer program.  It is important to maintain consistency within the fleet and represent the duties re</w:t>
      </w:r>
      <w:r>
        <w:rPr>
          <w:bCs/>
          <w:color w:val="000000"/>
        </w:rPr>
        <w:t>quired of observers accurately.</w:t>
      </w:r>
    </w:p>
    <w:p w:rsidRPr="00973C0B" w:rsidR="00973C0B" w:rsidP="00973C0B" w:rsidRDefault="00973C0B">
      <w:pPr>
        <w:autoSpaceDE w:val="0"/>
        <w:autoSpaceDN w:val="0"/>
        <w:adjustRightInd w:val="0"/>
        <w:rPr>
          <w:bCs/>
          <w:color w:val="000000"/>
        </w:rPr>
      </w:pPr>
    </w:p>
    <w:p w:rsidRPr="00973C0B" w:rsidR="00973C0B" w:rsidP="00973C0B" w:rsidRDefault="00973C0B">
      <w:pPr>
        <w:autoSpaceDE w:val="0"/>
        <w:autoSpaceDN w:val="0"/>
        <w:adjustRightInd w:val="0"/>
        <w:rPr>
          <w:b/>
          <w:bCs/>
          <w:color w:val="000000"/>
        </w:rPr>
      </w:pPr>
      <w:r w:rsidRPr="00973C0B">
        <w:rPr>
          <w:b/>
          <w:bCs/>
          <w:color w:val="000000"/>
        </w:rPr>
        <w:t>Other reports on Observer harassment, safety concerns or performance problems.</w:t>
      </w:r>
    </w:p>
    <w:p w:rsidRPr="00973C0B" w:rsidR="00973C0B" w:rsidP="00973C0B" w:rsidRDefault="00973C0B">
      <w:pPr>
        <w:autoSpaceDE w:val="0"/>
        <w:autoSpaceDN w:val="0"/>
        <w:adjustRightInd w:val="0"/>
        <w:rPr>
          <w:bCs/>
          <w:color w:val="000000"/>
        </w:rPr>
      </w:pPr>
      <w:proofErr w:type="gramStart"/>
      <w:r w:rsidRPr="00973C0B">
        <w:rPr>
          <w:bCs/>
          <w:color w:val="000000"/>
        </w:rPr>
        <w:t>Reports on the following topics must be submitted to the Observer Program by the observer provider within 24 hours after the observer provider becomes aware of the problem: 1) observer harassment, 2) any prohibited action against observers concerns about vessel or processor safety, 3) any illness or injury that prevents the observer from completing his/her duties, 4) any information, allegations or reports regarding observer conflict of interest or breech of the observer standards of behavior.</w:t>
      </w:r>
      <w:proofErr w:type="gramEnd"/>
      <w:r w:rsidRPr="00973C0B">
        <w:rPr>
          <w:bCs/>
          <w:color w:val="000000"/>
        </w:rPr>
        <w:t xml:space="preserve">  Review of these reports provides NMFS with an effective tool to monitor and enforce standards of observer conduct and to identify problems on vessels that may compromise the observer’s health and well-being.</w:t>
      </w:r>
    </w:p>
    <w:p w:rsidRPr="00973C0B" w:rsidR="00973C0B" w:rsidP="00973C0B" w:rsidRDefault="00973C0B">
      <w:pPr>
        <w:autoSpaceDE w:val="0"/>
        <w:autoSpaceDN w:val="0"/>
        <w:adjustRightInd w:val="0"/>
        <w:rPr>
          <w:bCs/>
          <w:color w:val="000000"/>
        </w:rPr>
      </w:pPr>
    </w:p>
    <w:p w:rsidRPr="00973C0B" w:rsidR="00973C0B" w:rsidP="00973C0B" w:rsidRDefault="00973C0B">
      <w:pPr>
        <w:autoSpaceDE w:val="0"/>
        <w:autoSpaceDN w:val="0"/>
        <w:adjustRightInd w:val="0"/>
        <w:rPr>
          <w:bCs/>
          <w:color w:val="000000"/>
        </w:rPr>
      </w:pPr>
      <w:r w:rsidRPr="00973C0B">
        <w:rPr>
          <w:b/>
          <w:bCs/>
          <w:color w:val="000000"/>
        </w:rPr>
        <w:t xml:space="preserve">LEFG and OA harvesting and processing vessel-departure reports. </w:t>
      </w:r>
      <w:r w:rsidRPr="00973C0B">
        <w:rPr>
          <w:bCs/>
          <w:color w:val="000000"/>
        </w:rPr>
        <w:t xml:space="preserve">Vessel-departure reports (no form) </w:t>
      </w:r>
      <w:proofErr w:type="gramStart"/>
      <w:r w:rsidRPr="00973C0B">
        <w:rPr>
          <w:bCs/>
          <w:color w:val="000000"/>
        </w:rPr>
        <w:t>can be submitted</w:t>
      </w:r>
      <w:proofErr w:type="gramEnd"/>
      <w:r w:rsidRPr="00973C0B">
        <w:rPr>
          <w:bCs/>
          <w:color w:val="000000"/>
        </w:rPr>
        <w:t xml:space="preserve"> to NOAA Fisheries or its designated agent via a toll-free phone number (1-866-880-8064) to provide notice of expected departure dates and times. A call </w:t>
      </w:r>
      <w:proofErr w:type="gramStart"/>
      <w:r w:rsidRPr="00973C0B">
        <w:rPr>
          <w:bCs/>
          <w:color w:val="000000"/>
        </w:rPr>
        <w:t>must be made</w:t>
      </w:r>
      <w:proofErr w:type="gramEnd"/>
      <w:r w:rsidRPr="00973C0B">
        <w:rPr>
          <w:bCs/>
          <w:color w:val="000000"/>
        </w:rPr>
        <w:t xml:space="preserve"> at least 24 hours prior to departure for fishing.  The information collected is whether a vessel plans to start or end fishing in 24 hours.  Information from departure reports </w:t>
      </w:r>
      <w:proofErr w:type="gramStart"/>
      <w:r w:rsidRPr="00973C0B">
        <w:rPr>
          <w:bCs/>
          <w:color w:val="000000"/>
        </w:rPr>
        <w:t>is used</w:t>
      </w:r>
      <w:proofErr w:type="gramEnd"/>
      <w:r w:rsidRPr="00973C0B">
        <w:rPr>
          <w:bCs/>
          <w:color w:val="000000"/>
        </w:rPr>
        <w:t xml:space="preserve"> by the Observer Program to determine whether to place observers on selected vessels in order to obtain detailed information on fishing practices and the characteristics of the catch.  These data </w:t>
      </w:r>
      <w:proofErr w:type="gramStart"/>
      <w:r w:rsidRPr="00973C0B">
        <w:rPr>
          <w:bCs/>
          <w:color w:val="000000"/>
        </w:rPr>
        <w:t>are needed</w:t>
      </w:r>
      <w:proofErr w:type="gramEnd"/>
      <w:r w:rsidRPr="00973C0B">
        <w:rPr>
          <w:bCs/>
          <w:color w:val="000000"/>
        </w:rPr>
        <w:t xml:space="preserve"> to estimate total catch by species, collect data necessary to assess the status of stocks, to determine protected species interactions, and to evaluate economic conditions in the fishery.</w:t>
      </w:r>
    </w:p>
    <w:p w:rsidRPr="00973C0B" w:rsidR="00973C0B" w:rsidP="00973C0B" w:rsidRDefault="00973C0B">
      <w:pPr>
        <w:autoSpaceDE w:val="0"/>
        <w:autoSpaceDN w:val="0"/>
        <w:adjustRightInd w:val="0"/>
        <w:rPr>
          <w:bCs/>
          <w:color w:val="000000"/>
        </w:rPr>
      </w:pPr>
    </w:p>
    <w:p w:rsidRPr="00973C0B" w:rsidR="00973C0B" w:rsidP="00973C0B" w:rsidRDefault="00973C0B">
      <w:pPr>
        <w:autoSpaceDE w:val="0"/>
        <w:autoSpaceDN w:val="0"/>
        <w:adjustRightInd w:val="0"/>
        <w:rPr>
          <w:bCs/>
          <w:color w:val="000000"/>
        </w:rPr>
      </w:pPr>
      <w:r w:rsidRPr="00973C0B">
        <w:rPr>
          <w:b/>
          <w:bCs/>
          <w:color w:val="000000"/>
        </w:rPr>
        <w:t xml:space="preserve">LEFG and OA harvesting and processing cease-fishing reports.  </w:t>
      </w:r>
      <w:r w:rsidRPr="00973C0B">
        <w:rPr>
          <w:bCs/>
          <w:color w:val="000000"/>
        </w:rPr>
        <w:t xml:space="preserve">Cease-fishing reports (no form) </w:t>
      </w:r>
      <w:proofErr w:type="gramStart"/>
      <w:r w:rsidRPr="00973C0B">
        <w:rPr>
          <w:bCs/>
          <w:color w:val="000000"/>
        </w:rPr>
        <w:t>can be submitted</w:t>
      </w:r>
      <w:proofErr w:type="gramEnd"/>
      <w:r w:rsidRPr="00973C0B">
        <w:rPr>
          <w:bCs/>
          <w:color w:val="000000"/>
        </w:rPr>
        <w:t xml:space="preserve"> to NOAA Fisheries or its designated agent via a toll-free phone number (1-866-880-8064) to provide notice, not less than 24 hours after ceasing all groundfish fishing, for the purpose of, leaving the fishery management area or to fish for species not managed under the FMP. This report </w:t>
      </w:r>
      <w:proofErr w:type="gramStart"/>
      <w:r w:rsidRPr="00973C0B">
        <w:rPr>
          <w:bCs/>
          <w:color w:val="000000"/>
        </w:rPr>
        <w:t>would be made</w:t>
      </w:r>
      <w:proofErr w:type="gramEnd"/>
      <w:r w:rsidRPr="00973C0B">
        <w:rPr>
          <w:bCs/>
          <w:color w:val="000000"/>
        </w:rPr>
        <w:t xml:space="preserve"> when a vessel in the observed portion of the fleet ceases to participate in the groundfish fishery. Cease-fishing reports </w:t>
      </w:r>
      <w:proofErr w:type="gramStart"/>
      <w:r w:rsidRPr="00973C0B">
        <w:rPr>
          <w:bCs/>
          <w:color w:val="000000"/>
        </w:rPr>
        <w:t>are needed</w:t>
      </w:r>
      <w:proofErr w:type="gramEnd"/>
      <w:r w:rsidRPr="00973C0B">
        <w:rPr>
          <w:bCs/>
          <w:color w:val="000000"/>
        </w:rPr>
        <w:t xml:space="preserve"> to define the population of vessels that are being sampled, and to adjust selection methods to meet the desired observer coverage levels so observer effort can be used efficiently.</w:t>
      </w:r>
    </w:p>
    <w:p w:rsidRPr="00973C0B" w:rsidR="00973C0B" w:rsidP="00973C0B" w:rsidRDefault="00973C0B">
      <w:pPr>
        <w:autoSpaceDE w:val="0"/>
        <w:autoSpaceDN w:val="0"/>
        <w:adjustRightInd w:val="0"/>
        <w:rPr>
          <w:bCs/>
          <w:color w:val="000000"/>
        </w:rPr>
      </w:pPr>
    </w:p>
    <w:p w:rsidRPr="00973C0B" w:rsidR="00973C0B" w:rsidP="00973C0B" w:rsidRDefault="00973C0B">
      <w:pPr>
        <w:autoSpaceDE w:val="0"/>
        <w:autoSpaceDN w:val="0"/>
        <w:adjustRightInd w:val="0"/>
        <w:rPr>
          <w:bCs/>
          <w:color w:val="000000"/>
        </w:rPr>
      </w:pPr>
      <w:r w:rsidRPr="00973C0B">
        <w:rPr>
          <w:b/>
          <w:bCs/>
          <w:color w:val="000000"/>
        </w:rPr>
        <w:t xml:space="preserve">Catch Monitor training/briefing registration.  </w:t>
      </w:r>
      <w:proofErr w:type="gramStart"/>
      <w:r w:rsidRPr="00973C0B">
        <w:rPr>
          <w:bCs/>
          <w:color w:val="000000"/>
        </w:rPr>
        <w:t>Prior to the beginning of a scheduled certification training session catch monitor providers send the following information to the Catch Monitor Program Office: a list of catch monitor candidates and requested training dates, each candidate’s full name, date of birth, and gender; a copy of each candidate’s academic transcripts and resume; a statement signed by the candidate under penalty of perjury which discloses the candidate’s criminal convictions.</w:t>
      </w:r>
      <w:proofErr w:type="gramEnd"/>
      <w:r w:rsidRPr="00973C0B">
        <w:rPr>
          <w:bCs/>
          <w:color w:val="000000"/>
        </w:rPr>
        <w:t xml:space="preserve">  For briefings, providers need only send the candidates full name and requested briefing date.  The requested information ensures that sufficient class space </w:t>
      </w:r>
      <w:proofErr w:type="gramStart"/>
      <w:r w:rsidRPr="00973C0B">
        <w:rPr>
          <w:bCs/>
          <w:color w:val="000000"/>
        </w:rPr>
        <w:t>will be reserved</w:t>
      </w:r>
      <w:proofErr w:type="gramEnd"/>
      <w:r w:rsidRPr="00973C0B">
        <w:rPr>
          <w:bCs/>
          <w:color w:val="000000"/>
        </w:rPr>
        <w:t xml:space="preserve"> for the candidates during the training session requested and that each potential, new catch monitor meets the educational qualification standards. </w:t>
      </w:r>
    </w:p>
    <w:p w:rsidRPr="00973C0B" w:rsidR="00973C0B" w:rsidP="00973C0B" w:rsidRDefault="00973C0B">
      <w:pPr>
        <w:autoSpaceDE w:val="0"/>
        <w:autoSpaceDN w:val="0"/>
        <w:adjustRightInd w:val="0"/>
        <w:rPr>
          <w:bCs/>
          <w:color w:val="000000"/>
        </w:rPr>
      </w:pPr>
    </w:p>
    <w:p w:rsidRPr="00973C0B" w:rsidR="00973C0B" w:rsidP="00973C0B" w:rsidRDefault="00973C0B">
      <w:pPr>
        <w:autoSpaceDE w:val="0"/>
        <w:autoSpaceDN w:val="0"/>
        <w:adjustRightInd w:val="0"/>
        <w:rPr>
          <w:bCs/>
          <w:color w:val="000000"/>
        </w:rPr>
      </w:pPr>
      <w:r w:rsidRPr="00973C0B">
        <w:rPr>
          <w:b/>
          <w:bCs/>
          <w:color w:val="000000"/>
        </w:rPr>
        <w:t xml:space="preserve">Catch Monitor notification of catch monitor’s physical examination. </w:t>
      </w:r>
      <w:r w:rsidRPr="00973C0B">
        <w:rPr>
          <w:bCs/>
          <w:color w:val="000000"/>
        </w:rPr>
        <w:t xml:space="preserve">Physical examinations are necessary because working as a catch monitor is a physically demanding and dangerous occupation.  An individual must be physically fit.  Unfit catch monitors could endanger the wellbeing of themselves and the safety of others.  Notification of the physical examination allows NMFS to verify that all observers meet the program standards. </w:t>
      </w:r>
    </w:p>
    <w:p w:rsidRPr="00973C0B" w:rsidR="00973C0B" w:rsidP="00973C0B" w:rsidRDefault="00973C0B">
      <w:pPr>
        <w:autoSpaceDE w:val="0"/>
        <w:autoSpaceDN w:val="0"/>
        <w:adjustRightInd w:val="0"/>
        <w:rPr>
          <w:b/>
          <w:bCs/>
          <w:color w:val="000000"/>
        </w:rPr>
      </w:pPr>
    </w:p>
    <w:p w:rsidRPr="00973C0B" w:rsidR="00973C0B" w:rsidP="00973C0B" w:rsidRDefault="00973C0B">
      <w:pPr>
        <w:autoSpaceDE w:val="0"/>
        <w:autoSpaceDN w:val="0"/>
        <w:adjustRightInd w:val="0"/>
        <w:rPr>
          <w:bCs/>
          <w:color w:val="000000"/>
        </w:rPr>
      </w:pPr>
      <w:r w:rsidRPr="00973C0B">
        <w:rPr>
          <w:b/>
          <w:bCs/>
          <w:color w:val="000000"/>
        </w:rPr>
        <w:t>Catch monitor certificate of insurance.</w:t>
      </w:r>
      <w:r w:rsidRPr="00973C0B">
        <w:rPr>
          <w:bCs/>
          <w:color w:val="000000"/>
        </w:rPr>
        <w:t xml:space="preserve">  Copies of ‘‘certificates of insurance’’, that names the Catch Monitor Program coordinator as the ‘‘certificate holder’’, are to be submitted to the Catch Monitor Program Office by February 1 of each year.  The certificates of insurance verifies the coverage provisions and that the insurance company will notify the certificate holder if insurance coverage is changed or canceled.</w:t>
      </w:r>
    </w:p>
    <w:p w:rsidRPr="00973C0B" w:rsidR="00973C0B" w:rsidP="00973C0B" w:rsidRDefault="00973C0B">
      <w:pPr>
        <w:autoSpaceDE w:val="0"/>
        <w:autoSpaceDN w:val="0"/>
        <w:adjustRightInd w:val="0"/>
        <w:rPr>
          <w:bCs/>
          <w:color w:val="000000"/>
        </w:rPr>
      </w:pPr>
    </w:p>
    <w:p w:rsidRPr="00973C0B" w:rsidR="00973C0B" w:rsidP="00973C0B" w:rsidRDefault="00973C0B">
      <w:pPr>
        <w:autoSpaceDE w:val="0"/>
        <w:autoSpaceDN w:val="0"/>
        <w:adjustRightInd w:val="0"/>
        <w:rPr>
          <w:bCs/>
          <w:color w:val="000000"/>
        </w:rPr>
      </w:pPr>
      <w:r w:rsidRPr="00973C0B">
        <w:rPr>
          <w:b/>
          <w:bCs/>
          <w:color w:val="000000"/>
        </w:rPr>
        <w:t xml:space="preserve">Catch monitor provider contracts.  </w:t>
      </w:r>
      <w:r w:rsidRPr="00973C0B">
        <w:rPr>
          <w:bCs/>
          <w:color w:val="000000"/>
        </w:rPr>
        <w:t xml:space="preserve">If requested, catch monitor providers must submit to the catch monitor program a completed and unaltered copy of each type of signed and valid contract. Catch monitor providers must also submit to the catch monitor program upon request, a completed and unaltered copy of the current or most recent signed and valid contract between the catch monitor provider and the particular entity identified by the catch monitor program or with specific catch monitors. Catch monitor contracts are needed to evaluate the working conditions that catch monitors are experiencing and to evaluate that assignments </w:t>
      </w:r>
      <w:proofErr w:type="gramStart"/>
      <w:r w:rsidRPr="00973C0B">
        <w:rPr>
          <w:bCs/>
          <w:color w:val="000000"/>
        </w:rPr>
        <w:t>are handled</w:t>
      </w:r>
      <w:proofErr w:type="gramEnd"/>
      <w:r w:rsidRPr="00973C0B">
        <w:rPr>
          <w:bCs/>
          <w:color w:val="000000"/>
        </w:rPr>
        <w:t xml:space="preserve"> fairly and consistently.  First receiver contracts </w:t>
      </w:r>
      <w:proofErr w:type="gramStart"/>
      <w:r w:rsidRPr="00973C0B">
        <w:rPr>
          <w:bCs/>
          <w:color w:val="000000"/>
        </w:rPr>
        <w:t>are needed</w:t>
      </w:r>
      <w:proofErr w:type="gramEnd"/>
      <w:r w:rsidRPr="00973C0B">
        <w:rPr>
          <w:bCs/>
          <w:color w:val="000000"/>
        </w:rPr>
        <w:t xml:space="preserve"> to evaluate the cost of monitoring the fishery coast-wide and any disparities between ports.  These contracts are also needed to verify they are meeting </w:t>
      </w:r>
      <w:proofErr w:type="gramStart"/>
      <w:r w:rsidRPr="00973C0B">
        <w:rPr>
          <w:bCs/>
          <w:color w:val="000000"/>
        </w:rPr>
        <w:t>any and all</w:t>
      </w:r>
      <w:proofErr w:type="gramEnd"/>
      <w:r w:rsidRPr="00973C0B">
        <w:rPr>
          <w:bCs/>
          <w:color w:val="000000"/>
        </w:rPr>
        <w:t xml:space="preserve"> federal regulations.</w:t>
      </w:r>
    </w:p>
    <w:p w:rsidRPr="00973C0B" w:rsidR="00973C0B" w:rsidP="00973C0B" w:rsidRDefault="00973C0B">
      <w:pPr>
        <w:autoSpaceDE w:val="0"/>
        <w:autoSpaceDN w:val="0"/>
        <w:adjustRightInd w:val="0"/>
        <w:rPr>
          <w:bCs/>
          <w:color w:val="000000"/>
        </w:rPr>
      </w:pPr>
    </w:p>
    <w:p w:rsidRPr="00973C0B" w:rsidR="00973C0B" w:rsidP="00973C0B" w:rsidRDefault="00973C0B">
      <w:pPr>
        <w:autoSpaceDE w:val="0"/>
        <w:autoSpaceDN w:val="0"/>
        <w:adjustRightInd w:val="0"/>
        <w:rPr>
          <w:bCs/>
          <w:color w:val="000000"/>
        </w:rPr>
      </w:pPr>
      <w:r w:rsidRPr="00973C0B">
        <w:rPr>
          <w:b/>
          <w:bCs/>
          <w:color w:val="000000"/>
        </w:rPr>
        <w:t xml:space="preserve">Catch monitor status report </w:t>
      </w:r>
      <w:r w:rsidRPr="00973C0B">
        <w:rPr>
          <w:bCs/>
          <w:color w:val="000000"/>
        </w:rPr>
        <w:t xml:space="preserve">Each Tuesday, catch monitor providers must provide the Catch Monitor Program with an updated list of deployments. Deployment information includes provider name, catch monitor last name, catch monitor first name, trip start date, trip end date, status of catch monitor, vessel name, and vessel identification number, date monitored offload, first receiver assignment.  Accurate and timely deployment information is important for knowing that the coverage requirements </w:t>
      </w:r>
      <w:proofErr w:type="gramStart"/>
      <w:r w:rsidRPr="00973C0B">
        <w:rPr>
          <w:bCs/>
          <w:color w:val="000000"/>
        </w:rPr>
        <w:t>are being met</w:t>
      </w:r>
      <w:proofErr w:type="gramEnd"/>
      <w:r w:rsidRPr="00973C0B">
        <w:rPr>
          <w:bCs/>
          <w:color w:val="000000"/>
        </w:rPr>
        <w:t xml:space="preserve">, and for knowing where catch monitors are at all times is also important should emergencies arise. </w:t>
      </w:r>
    </w:p>
    <w:p w:rsidRPr="00973C0B" w:rsidR="00973C0B" w:rsidP="00973C0B" w:rsidRDefault="00973C0B">
      <w:pPr>
        <w:autoSpaceDE w:val="0"/>
        <w:autoSpaceDN w:val="0"/>
        <w:adjustRightInd w:val="0"/>
        <w:rPr>
          <w:bCs/>
          <w:color w:val="000000"/>
        </w:rPr>
      </w:pPr>
    </w:p>
    <w:p w:rsidRPr="00973C0B" w:rsidR="00973C0B" w:rsidP="00973C0B" w:rsidRDefault="00973C0B">
      <w:pPr>
        <w:autoSpaceDE w:val="0"/>
        <w:autoSpaceDN w:val="0"/>
        <w:adjustRightInd w:val="0"/>
        <w:rPr>
          <w:bCs/>
          <w:color w:val="000000"/>
        </w:rPr>
      </w:pPr>
      <w:r w:rsidRPr="00973C0B">
        <w:rPr>
          <w:b/>
          <w:bCs/>
          <w:color w:val="000000"/>
        </w:rPr>
        <w:t xml:space="preserve">Catch monitor informational materials.  </w:t>
      </w:r>
      <w:r w:rsidRPr="00973C0B">
        <w:rPr>
          <w:bCs/>
          <w:color w:val="000000"/>
        </w:rPr>
        <w:t xml:space="preserve">If requested, catch monitor providers must submit copies of any information developed and used by the catch monitor providers and distributed to first receivers, including, but not limited to, informational pamphlets, payment notification, and description of catch monitor duties.  The training and duties of catch monitors are the responsibility of the catch monitor program.  It is important to maintain consistency within the fishery and represent the duties required of catch monitors accurately. </w:t>
      </w:r>
    </w:p>
    <w:p w:rsidRPr="00973C0B" w:rsidR="00973C0B" w:rsidP="00973C0B" w:rsidRDefault="00973C0B">
      <w:pPr>
        <w:autoSpaceDE w:val="0"/>
        <w:autoSpaceDN w:val="0"/>
        <w:adjustRightInd w:val="0"/>
        <w:rPr>
          <w:bCs/>
          <w:color w:val="000000"/>
        </w:rPr>
      </w:pPr>
    </w:p>
    <w:p w:rsidRPr="00973C0B" w:rsidR="00973C0B" w:rsidP="00973C0B" w:rsidRDefault="00973C0B">
      <w:pPr>
        <w:autoSpaceDE w:val="0"/>
        <w:autoSpaceDN w:val="0"/>
        <w:adjustRightInd w:val="0"/>
        <w:rPr>
          <w:bCs/>
          <w:color w:val="000000"/>
        </w:rPr>
      </w:pPr>
      <w:r w:rsidRPr="00973C0B">
        <w:rPr>
          <w:b/>
          <w:bCs/>
          <w:color w:val="000000"/>
        </w:rPr>
        <w:t xml:space="preserve">Other catch monitor reports on harassment, prohibited actions, illness or injury, or performance problems.  </w:t>
      </w:r>
      <w:proofErr w:type="gramStart"/>
      <w:r w:rsidRPr="00973C0B">
        <w:rPr>
          <w:bCs/>
          <w:color w:val="000000"/>
        </w:rPr>
        <w:t>Reports of harassment, prohibited actions, illness or injury or performance problems must be submitted in writing to the Catch Monitor Program by the catch monitor provider via fax</w:t>
      </w:r>
      <w:proofErr w:type="gramEnd"/>
      <w:r w:rsidRPr="00973C0B">
        <w:rPr>
          <w:bCs/>
          <w:color w:val="000000"/>
        </w:rPr>
        <w:t xml:space="preserve"> or e-mail address designated by the catch monitor program within 24 hours after the catch monitor provider becomes aware.  These reports are an effective tool </w:t>
      </w:r>
      <w:proofErr w:type="gramStart"/>
      <w:r w:rsidRPr="00973C0B">
        <w:rPr>
          <w:bCs/>
          <w:color w:val="000000"/>
        </w:rPr>
        <w:t>for monitoring and enforcing catch monitor responsibilities and to identify problems that may compromise the observer’s health and well-being</w:t>
      </w:r>
      <w:proofErr w:type="gramEnd"/>
      <w:r w:rsidRPr="00973C0B">
        <w:rPr>
          <w:bCs/>
          <w:color w:val="000000"/>
        </w:rPr>
        <w:t>.</w:t>
      </w:r>
    </w:p>
    <w:p w:rsidR="00E376E6" w:rsidP="00973C0B" w:rsidRDefault="00E376E6">
      <w:pPr>
        <w:autoSpaceDE w:val="0"/>
        <w:autoSpaceDN w:val="0"/>
        <w:adjustRightInd w:val="0"/>
        <w:rPr>
          <w:bCs/>
          <w:color w:val="000000"/>
        </w:rPr>
      </w:pPr>
    </w:p>
    <w:p w:rsidRPr="00973C0B" w:rsidR="00973C0B" w:rsidP="00973C0B" w:rsidRDefault="00973C0B">
      <w:pPr>
        <w:autoSpaceDE w:val="0"/>
        <w:autoSpaceDN w:val="0"/>
        <w:adjustRightInd w:val="0"/>
        <w:rPr>
          <w:bCs/>
          <w:color w:val="000000"/>
        </w:rPr>
      </w:pPr>
      <w:r w:rsidRPr="00973C0B">
        <w:rPr>
          <w:bCs/>
          <w:color w:val="000000"/>
        </w:rPr>
        <w:t xml:space="preserve">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w:t>
      </w:r>
      <w:proofErr w:type="gramStart"/>
      <w:r w:rsidRPr="00973C0B">
        <w:rPr>
          <w:bCs/>
          <w:color w:val="000000"/>
        </w:rPr>
        <w:t>is designed</w:t>
      </w:r>
      <w:proofErr w:type="gramEnd"/>
      <w:r w:rsidRPr="00973C0B">
        <w:rPr>
          <w:bCs/>
          <w:color w:val="000000"/>
        </w:rPr>
        <w:t xml:space="preserve"> to yield data that meet all applicable information quality guidelines. Prior to dissemination, the information </w:t>
      </w:r>
      <w:proofErr w:type="gramStart"/>
      <w:r w:rsidRPr="00973C0B">
        <w:rPr>
          <w:bCs/>
          <w:color w:val="000000"/>
        </w:rPr>
        <w:t>will be subjected</w:t>
      </w:r>
      <w:proofErr w:type="gramEnd"/>
      <w:r w:rsidRPr="00973C0B">
        <w:rPr>
          <w:bCs/>
          <w:color w:val="000000"/>
        </w:rPr>
        <w:t xml:space="preserve"> to quality control measures and a pre-dissemination review pursuant to </w:t>
      </w:r>
      <w:hyperlink w:history="1" r:id="rId10">
        <w:r w:rsidRPr="00973C0B">
          <w:rPr>
            <w:rStyle w:val="Hyperlink"/>
            <w:bCs/>
          </w:rPr>
          <w:t>Section 515 of Public Law 106-554</w:t>
        </w:r>
      </w:hyperlink>
      <w:r w:rsidRPr="00973C0B">
        <w:rPr>
          <w:bCs/>
          <w:color w:val="000000"/>
        </w:rPr>
        <w:t>.</w:t>
      </w:r>
    </w:p>
    <w:p w:rsidRPr="00973C0B" w:rsidR="00973C0B" w:rsidP="0021652C" w:rsidRDefault="00973C0B">
      <w:pPr>
        <w:autoSpaceDE w:val="0"/>
        <w:autoSpaceDN w:val="0"/>
        <w:adjustRightInd w:val="0"/>
        <w:rPr>
          <w:bCs/>
          <w:color w:val="000000"/>
        </w:rPr>
      </w:pPr>
    </w:p>
    <w:p w:rsidR="00247F0F" w:rsidP="003D39B2" w:rsidRDefault="006036B9">
      <w:pPr>
        <w:pStyle w:val="ListParagraph"/>
        <w:widowControl w:val="0"/>
        <w:tabs>
          <w:tab w:val="left" w:pos="360"/>
        </w:tabs>
        <w:autoSpaceDE w:val="0"/>
        <w:autoSpaceDN w:val="0"/>
        <w:spacing w:before="199"/>
        <w:ind w:left="0"/>
        <w:rPr>
          <w:rFonts w:eastAsia="Arial"/>
          <w:b/>
          <w:lang w:bidi="en-US"/>
        </w:rPr>
      </w:pPr>
      <w:r w:rsidRPr="000E402C">
        <w:rPr>
          <w:b/>
          <w:bCs/>
          <w:color w:val="000000"/>
        </w:rPr>
        <w:t xml:space="preserve">3. </w:t>
      </w:r>
      <w:r w:rsidRPr="00112898" w:rsidR="00112898">
        <w:rPr>
          <w:rFonts w:eastAsia="Arial"/>
          <w:b/>
          <w:lang w:bidi="en-U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112898" w:rsidR="00112898">
        <w:rPr>
          <w:rFonts w:eastAsia="Arial"/>
          <w:b/>
          <w:spacing w:val="-6"/>
          <w:lang w:bidi="en-US"/>
        </w:rPr>
        <w:t xml:space="preserve"> </w:t>
      </w:r>
      <w:r w:rsidRPr="00112898" w:rsidR="00112898">
        <w:rPr>
          <w:rFonts w:eastAsia="Arial"/>
          <w:b/>
          <w:lang w:bidi="en-US"/>
        </w:rPr>
        <w:t>burden.</w:t>
      </w:r>
    </w:p>
    <w:p w:rsidRPr="00247F0F" w:rsidR="00247F0F" w:rsidP="00247F0F" w:rsidRDefault="00247F0F">
      <w:pPr>
        <w:tabs>
          <w:tab w:val="left" w:pos="360"/>
        </w:tabs>
        <w:spacing w:before="80"/>
        <w:rPr>
          <w:color w:val="000000"/>
        </w:rPr>
      </w:pPr>
      <w:r w:rsidRPr="00247F0F">
        <w:rPr>
          <w:color w:val="000000"/>
        </w:rPr>
        <w:t xml:space="preserve">The periodic reports and information submitted by observer and catch monitor providers consist of extractions of the required data from their existing database systems into a report form that </w:t>
      </w:r>
      <w:proofErr w:type="gramStart"/>
      <w:r w:rsidRPr="00247F0F">
        <w:rPr>
          <w:color w:val="000000"/>
        </w:rPr>
        <w:t>is then submitted</w:t>
      </w:r>
      <w:proofErr w:type="gramEnd"/>
      <w:r w:rsidRPr="00247F0F">
        <w:rPr>
          <w:color w:val="000000"/>
        </w:rPr>
        <w:t xml:space="preserve"> to the Observers and Catch Monitor Programs.  The Observer Program utilizes a web-interface database in which observer providers enter training/briefing registration information, provide updated observer status reports and upload copies of vessel safety checklists.  This system </w:t>
      </w:r>
      <w:proofErr w:type="gramStart"/>
      <w:r w:rsidRPr="00247F0F">
        <w:rPr>
          <w:color w:val="000000"/>
        </w:rPr>
        <w:t>is used</w:t>
      </w:r>
      <w:proofErr w:type="gramEnd"/>
      <w:r w:rsidRPr="00247F0F">
        <w:rPr>
          <w:color w:val="000000"/>
        </w:rPr>
        <w:t xml:space="preserve"> to reduce the time it takes for providers to report information, to organize all information in one secure location and provide immediate access for observer staff, providers</w:t>
      </w:r>
      <w:r w:rsidR="0011423A">
        <w:rPr>
          <w:color w:val="000000"/>
        </w:rPr>
        <w:t>,</w:t>
      </w:r>
      <w:r w:rsidRPr="00247F0F">
        <w:rPr>
          <w:color w:val="000000"/>
        </w:rPr>
        <w:t xml:space="preserve"> and the office of law enforcement in the case of an emergency.  The system also provides automatic notification if observer certification requirements are about to expire and allows debriefing interviews to be scheduled with observers and their providers.  The Catch Monitor program will continue to receive submissions via e-mail.</w:t>
      </w:r>
      <w:r w:rsidR="003D39B2">
        <w:rPr>
          <w:color w:val="000000"/>
        </w:rPr>
        <w:t xml:space="preserve"> </w:t>
      </w:r>
      <w:r w:rsidRPr="00247F0F">
        <w:rPr>
          <w:color w:val="000000"/>
        </w:rPr>
        <w:t xml:space="preserve">Departure and cease-fishing notifications </w:t>
      </w:r>
      <w:proofErr w:type="gramStart"/>
      <w:r w:rsidRPr="00247F0F">
        <w:rPr>
          <w:color w:val="000000"/>
        </w:rPr>
        <w:t>are made</w:t>
      </w:r>
      <w:proofErr w:type="gramEnd"/>
      <w:r w:rsidRPr="00247F0F">
        <w:rPr>
          <w:color w:val="000000"/>
        </w:rPr>
        <w:t xml:space="preserve"> by telephone to NOAA Fisheries or its designated agent. </w:t>
      </w:r>
    </w:p>
    <w:p w:rsidR="00247F0F" w:rsidP="00112898" w:rsidRDefault="00247F0F">
      <w:pPr>
        <w:pStyle w:val="ListParagraph"/>
        <w:widowControl w:val="0"/>
        <w:tabs>
          <w:tab w:val="left" w:pos="360"/>
        </w:tabs>
        <w:autoSpaceDE w:val="0"/>
        <w:autoSpaceDN w:val="0"/>
        <w:spacing w:before="80"/>
        <w:ind w:left="0"/>
        <w:rPr>
          <w:b/>
          <w:color w:val="000000"/>
        </w:rPr>
      </w:pPr>
    </w:p>
    <w:p w:rsidRPr="000E402C" w:rsidR="006036B9" w:rsidP="00112898" w:rsidRDefault="006036B9">
      <w:pPr>
        <w:pStyle w:val="ListParagraph"/>
        <w:widowControl w:val="0"/>
        <w:tabs>
          <w:tab w:val="left" w:pos="360"/>
        </w:tabs>
        <w:autoSpaceDE w:val="0"/>
        <w:autoSpaceDN w:val="0"/>
        <w:spacing w:before="80"/>
        <w:ind w:left="0"/>
        <w:rPr>
          <w:b/>
          <w:bCs/>
          <w:color w:val="000000"/>
        </w:rPr>
      </w:pPr>
      <w:r w:rsidRPr="000E402C">
        <w:rPr>
          <w:b/>
          <w:bCs/>
          <w:color w:val="000000"/>
        </w:rPr>
        <w:t xml:space="preserve">4. </w:t>
      </w:r>
      <w:r w:rsidRPr="00112898" w:rsidR="00112898">
        <w:rPr>
          <w:rFonts w:eastAsia="Arial"/>
          <w:b/>
          <w:lang w:bidi="en-US"/>
        </w:rPr>
        <w:t>Describe efforts to identify duplication. Show specifically why any similar information already available cannot be used or modified for use for the purposes described in Question</w:t>
      </w:r>
      <w:r w:rsidRPr="00112898" w:rsidR="00112898">
        <w:rPr>
          <w:rFonts w:eastAsia="Arial"/>
          <w:b/>
          <w:spacing w:val="-42"/>
          <w:lang w:bidi="en-US"/>
        </w:rPr>
        <w:t xml:space="preserve"> </w:t>
      </w:r>
      <w:proofErr w:type="gramStart"/>
      <w:r w:rsidRPr="00112898" w:rsidR="00112898">
        <w:rPr>
          <w:rFonts w:eastAsia="Arial"/>
          <w:b/>
          <w:lang w:bidi="en-US"/>
        </w:rPr>
        <w:t>2</w:t>
      </w:r>
      <w:proofErr w:type="gramEnd"/>
      <w:r w:rsidR="00112898">
        <w:rPr>
          <w:rFonts w:eastAsia="Arial"/>
          <w:b/>
          <w:lang w:bidi="en-US"/>
        </w:rPr>
        <w:t>.</w:t>
      </w:r>
    </w:p>
    <w:p w:rsidRPr="000E402C" w:rsidR="00B368AB" w:rsidP="004B6DDD" w:rsidRDefault="00B368AB">
      <w:pPr>
        <w:autoSpaceDE w:val="0"/>
        <w:autoSpaceDN w:val="0"/>
        <w:adjustRightInd w:val="0"/>
      </w:pPr>
    </w:p>
    <w:p w:rsidRPr="00247F0F" w:rsidR="00247F0F" w:rsidP="00247F0F" w:rsidRDefault="00247F0F">
      <w:pPr>
        <w:autoSpaceDE w:val="0"/>
        <w:autoSpaceDN w:val="0"/>
        <w:adjustRightInd w:val="0"/>
      </w:pPr>
      <w:r w:rsidRPr="00247F0F">
        <w:t xml:space="preserve">Relative to observer- and catch monitor-submitted data, no duplication </w:t>
      </w:r>
      <w:proofErr w:type="gramStart"/>
      <w:r w:rsidRPr="00247F0F">
        <w:t>has been identified</w:t>
      </w:r>
      <w:proofErr w:type="gramEnd"/>
      <w:r w:rsidRPr="00247F0F">
        <w:t xml:space="preserve">.  All information is unique to the Pacific Coast groundfish fishery. The departure and cease-fishing reports submitted by vessels in the LEFG and OA fisheries are information submissions that are unique to the needs of the observer program.  Duplication with other collections does not exist.  </w:t>
      </w:r>
      <w:proofErr w:type="gramStart"/>
      <w:r w:rsidRPr="00247F0F">
        <w:t>Data collected by the vessel monitoring system (VMS) can be used to identify when a vessel departs on a fishing trip, but cannot identify the operator’s intent in advance such that arrangements can be made for the placement of an observer nor can VMS data identify a vessel operator’s intent to cease fishing only for the remainder of the cumulative period or fishing year.</w:t>
      </w:r>
      <w:proofErr w:type="gramEnd"/>
    </w:p>
    <w:p w:rsidRPr="000E402C" w:rsidR="006036B9" w:rsidP="002321C0" w:rsidRDefault="006036B9">
      <w:pPr>
        <w:autoSpaceDE w:val="0"/>
        <w:autoSpaceDN w:val="0"/>
        <w:adjustRightInd w:val="0"/>
        <w:rPr>
          <w:color w:val="000000"/>
          <w:highlight w:val="yellow"/>
        </w:rPr>
      </w:pPr>
    </w:p>
    <w:p w:rsidRPr="000E402C" w:rsidR="006036B9" w:rsidP="00991E0A" w:rsidRDefault="006036B9">
      <w:pPr>
        <w:keepNext/>
        <w:autoSpaceDE w:val="0"/>
        <w:autoSpaceDN w:val="0"/>
        <w:adjustRightInd w:val="0"/>
        <w:rPr>
          <w:b/>
          <w:bCs/>
          <w:color w:val="000000"/>
        </w:rPr>
      </w:pPr>
      <w:r w:rsidRPr="000E402C">
        <w:rPr>
          <w:b/>
          <w:bCs/>
          <w:color w:val="000000"/>
        </w:rPr>
        <w:t>5.</w:t>
      </w:r>
      <w:r w:rsidRPr="000E402C" w:rsidR="006A6340">
        <w:rPr>
          <w:b/>
          <w:bCs/>
          <w:color w:val="000000"/>
        </w:rPr>
        <w:t xml:space="preserve"> </w:t>
      </w:r>
      <w:r w:rsidRPr="000E402C">
        <w:rPr>
          <w:b/>
          <w:bCs/>
          <w:color w:val="000000"/>
        </w:rPr>
        <w:t xml:space="preserve"> If the collection of information involves small businesses or other small entities, describe the methods used to minimize burden.</w:t>
      </w:r>
    </w:p>
    <w:p w:rsidRPr="000E402C" w:rsidR="006036B9" w:rsidP="00991E0A" w:rsidRDefault="006036B9">
      <w:pPr>
        <w:keepNext/>
        <w:autoSpaceDE w:val="0"/>
        <w:autoSpaceDN w:val="0"/>
        <w:adjustRightInd w:val="0"/>
        <w:rPr>
          <w:b/>
          <w:bCs/>
          <w:color w:val="000000"/>
        </w:rPr>
      </w:pPr>
    </w:p>
    <w:p w:rsidRPr="00247F0F" w:rsidR="00247F0F" w:rsidP="00247F0F" w:rsidRDefault="00247F0F">
      <w:p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247F0F">
        <w:t xml:space="preserve">All of the observer and catch monitor providers and vessels affected by this collection </w:t>
      </w:r>
      <w:proofErr w:type="gramStart"/>
      <w:r w:rsidRPr="00247F0F">
        <w:t>are considered</w:t>
      </w:r>
      <w:proofErr w:type="gramEnd"/>
      <w:r w:rsidRPr="00247F0F">
        <w:t xml:space="preserve"> small businesses.  Given the relatively small numbers of applicants, separate requirements based on size of business </w:t>
      </w:r>
      <w:proofErr w:type="gramStart"/>
      <w:r w:rsidRPr="00247F0F">
        <w:t>have not been developed</w:t>
      </w:r>
      <w:proofErr w:type="gramEnd"/>
      <w:r w:rsidRPr="00247F0F">
        <w:t xml:space="preserve">.  Only the minimum data required to meet the objectives of the overall monitoring program </w:t>
      </w:r>
      <w:proofErr w:type="gramStart"/>
      <w:r w:rsidRPr="00247F0F">
        <w:t>are requested</w:t>
      </w:r>
      <w:proofErr w:type="gramEnd"/>
      <w:r w:rsidRPr="00247F0F">
        <w:t xml:space="preserve"> from all applicants.</w:t>
      </w:r>
    </w:p>
    <w:p w:rsidRPr="00247F0F" w:rsidR="00247F0F" w:rsidP="00247F0F" w:rsidRDefault="00247F0F">
      <w:p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247F0F" w:rsidR="00247F0F" w:rsidP="00247F0F" w:rsidRDefault="00247F0F">
      <w:p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247F0F">
        <w:t xml:space="preserve">To minimize the burden on vessels in the LEFG and OA fleets, NMFS collects only the minimum data necessary to effectively place observers within the fleet in a manner that is consistent with a </w:t>
      </w:r>
      <w:proofErr w:type="gramStart"/>
      <w:r w:rsidRPr="00247F0F">
        <w:t>statistically-sound</w:t>
      </w:r>
      <w:proofErr w:type="gramEnd"/>
      <w:r w:rsidRPr="00247F0F">
        <w:t xml:space="preserve"> coverage plan. In addition</w:t>
      </w:r>
      <w:r w:rsidR="0011423A">
        <w:t>,</w:t>
      </w:r>
      <w:r w:rsidRPr="00247F0F">
        <w:t xml:space="preserve"> a toll-free number is available for use in order to reduce the burden on small entities.</w:t>
      </w:r>
    </w:p>
    <w:p w:rsidRPr="000E402C" w:rsidR="00B368AB" w:rsidP="00991E0A" w:rsidRDefault="00B368AB">
      <w:p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rPr>
          <w:color w:val="1F497D"/>
          <w:highlight w:val="yellow"/>
        </w:rPr>
      </w:pPr>
    </w:p>
    <w:p w:rsidRPr="000E402C" w:rsidR="006036B9" w:rsidP="006036B9" w:rsidRDefault="006036B9">
      <w:pPr>
        <w:autoSpaceDE w:val="0"/>
        <w:autoSpaceDN w:val="0"/>
        <w:adjustRightInd w:val="0"/>
        <w:rPr>
          <w:b/>
          <w:bCs/>
          <w:color w:val="000000"/>
        </w:rPr>
      </w:pPr>
      <w:r w:rsidRPr="000E402C">
        <w:rPr>
          <w:b/>
          <w:bCs/>
          <w:color w:val="000000"/>
        </w:rPr>
        <w:t>6.</w:t>
      </w:r>
      <w:r w:rsidRPr="000E402C" w:rsidR="006A6340">
        <w:rPr>
          <w:b/>
          <w:bCs/>
          <w:color w:val="000000"/>
        </w:rPr>
        <w:t xml:space="preserve"> </w:t>
      </w:r>
      <w:r w:rsidRPr="000E402C">
        <w:rPr>
          <w:b/>
          <w:bCs/>
          <w:color w:val="000000"/>
        </w:rPr>
        <w:t xml:space="preserve"> Describe the consequences to the Federal program or policy activities if the collection </w:t>
      </w:r>
      <w:proofErr w:type="gramStart"/>
      <w:r w:rsidRPr="000E402C">
        <w:rPr>
          <w:b/>
          <w:bCs/>
          <w:color w:val="000000"/>
        </w:rPr>
        <w:t>is not conducted</w:t>
      </w:r>
      <w:proofErr w:type="gramEnd"/>
      <w:r w:rsidRPr="000E402C">
        <w:rPr>
          <w:b/>
          <w:bCs/>
          <w:color w:val="000000"/>
        </w:rPr>
        <w:t xml:space="preserve"> or is conducted less frequently</w:t>
      </w:r>
      <w:r w:rsidR="00112898">
        <w:rPr>
          <w:b/>
          <w:bCs/>
          <w:color w:val="000000"/>
        </w:rPr>
        <w:t xml:space="preserve">, </w:t>
      </w:r>
      <w:r w:rsidRPr="00112898" w:rsidR="00112898">
        <w:rPr>
          <w:rFonts w:eastAsia="Arial"/>
          <w:b/>
          <w:lang w:bidi="en-US"/>
        </w:rPr>
        <w:t>as well as any technical or legal obstacles to reducing burden.</w:t>
      </w:r>
    </w:p>
    <w:p w:rsidRPr="000E402C" w:rsidR="00570F39" w:rsidP="00570F39" w:rsidRDefault="0057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1F497D"/>
          <w:highlight w:val="yellow"/>
        </w:rPr>
      </w:pPr>
    </w:p>
    <w:p w:rsidRPr="00247F0F" w:rsidR="00247F0F" w:rsidP="00247F0F" w:rsidRDefault="00247F0F">
      <w:pPr>
        <w:autoSpaceDE w:val="0"/>
        <w:autoSpaceDN w:val="0"/>
        <w:adjustRightInd w:val="0"/>
      </w:pPr>
      <w:r w:rsidRPr="00247F0F">
        <w:t xml:space="preserve">The information required from providers is necessary for the efficient operation of an Observer Program and </w:t>
      </w:r>
      <w:r w:rsidR="0011423A">
        <w:t>a</w:t>
      </w:r>
      <w:r w:rsidRPr="00247F0F">
        <w:t xml:space="preserve"> Catch Monitor program and must be submitted in the </w:t>
      </w:r>
      <w:proofErr w:type="gramStart"/>
      <w:r w:rsidRPr="00247F0F">
        <w:t>time frames</w:t>
      </w:r>
      <w:proofErr w:type="gramEnd"/>
      <w:r w:rsidRPr="00247F0F">
        <w:t xml:space="preserve"> requested.  Collecting this information less frequently would jeopardize the goals and objectives of the monitoring programs and the effective management of the</w:t>
      </w:r>
      <w:r w:rsidR="003D39B2">
        <w:t xml:space="preserve"> West Coast groundfish fishery.</w:t>
      </w:r>
      <w:r w:rsidRPr="00247F0F">
        <w:t xml:space="preserve"> NMFS believes that data quality </w:t>
      </w:r>
      <w:proofErr w:type="gramStart"/>
      <w:r w:rsidRPr="00247F0F">
        <w:t>will be maintained</w:t>
      </w:r>
      <w:proofErr w:type="gramEnd"/>
      <w:r w:rsidRPr="00247F0F">
        <w:t xml:space="preserve"> by creating a regulatory structure for managing observer, catch monitor and provider performance.</w:t>
      </w:r>
    </w:p>
    <w:p w:rsidRPr="00247F0F" w:rsidR="00247F0F" w:rsidP="00247F0F" w:rsidRDefault="00247F0F">
      <w:pPr>
        <w:autoSpaceDE w:val="0"/>
        <w:autoSpaceDN w:val="0"/>
        <w:adjustRightInd w:val="0"/>
      </w:pPr>
    </w:p>
    <w:p w:rsidRPr="00247F0F" w:rsidR="00247F0F" w:rsidP="00247F0F" w:rsidRDefault="00247F0F">
      <w:pPr>
        <w:autoSpaceDE w:val="0"/>
        <w:autoSpaceDN w:val="0"/>
        <w:adjustRightInd w:val="0"/>
      </w:pPr>
      <w:r w:rsidRPr="00247F0F">
        <w:t xml:space="preserve">All information required from the LEFG and OA vessels is necessary to effectively place observers within the fleet in a manner that is consistent with a </w:t>
      </w:r>
      <w:proofErr w:type="gramStart"/>
      <w:r w:rsidRPr="00247F0F">
        <w:t>statistically-sound</w:t>
      </w:r>
      <w:proofErr w:type="gramEnd"/>
      <w:r w:rsidRPr="00247F0F">
        <w:t xml:space="preserve"> coverage plan. Collecting this information less frequently is likely to impair the ability to place observers according to the coverage plan and this would significantly reduce the usefulness of data collected for conservation and management purposes.</w:t>
      </w:r>
    </w:p>
    <w:p w:rsidRPr="000E402C" w:rsidR="00CD3C45" w:rsidP="00CD3C45" w:rsidRDefault="00CD3C45">
      <w:pPr>
        <w:autoSpaceDE w:val="0"/>
        <w:autoSpaceDN w:val="0"/>
        <w:adjustRightInd w:val="0"/>
        <w:rPr>
          <w:noProof/>
        </w:rPr>
      </w:pPr>
    </w:p>
    <w:p w:rsidRPr="000E402C" w:rsidR="006036B9" w:rsidP="006036B9" w:rsidRDefault="006036B9">
      <w:pPr>
        <w:autoSpaceDE w:val="0"/>
        <w:autoSpaceDN w:val="0"/>
        <w:adjustRightInd w:val="0"/>
        <w:rPr>
          <w:b/>
          <w:bCs/>
          <w:color w:val="000000"/>
        </w:rPr>
      </w:pPr>
      <w:r w:rsidRPr="000E402C">
        <w:rPr>
          <w:b/>
          <w:bCs/>
          <w:color w:val="000000"/>
        </w:rPr>
        <w:t xml:space="preserve">7. </w:t>
      </w:r>
      <w:r w:rsidRPr="000E402C" w:rsidR="00893DD7">
        <w:rPr>
          <w:b/>
          <w:bCs/>
          <w:color w:val="000000"/>
        </w:rPr>
        <w:t xml:space="preserve"> </w:t>
      </w:r>
      <w:r w:rsidRPr="000E402C">
        <w:rPr>
          <w:b/>
          <w:bCs/>
          <w:color w:val="000000"/>
        </w:rPr>
        <w:t>Explain any special circumstances that require the collection to be conducted in a</w:t>
      </w:r>
    </w:p>
    <w:p w:rsidRPr="000E402C" w:rsidR="006036B9" w:rsidP="006036B9" w:rsidRDefault="006036B9">
      <w:pPr>
        <w:autoSpaceDE w:val="0"/>
        <w:autoSpaceDN w:val="0"/>
        <w:adjustRightInd w:val="0"/>
        <w:rPr>
          <w:b/>
          <w:bCs/>
          <w:color w:val="000000"/>
        </w:rPr>
      </w:pPr>
      <w:proofErr w:type="gramStart"/>
      <w:r w:rsidRPr="000E402C">
        <w:rPr>
          <w:b/>
          <w:bCs/>
          <w:color w:val="000000"/>
        </w:rPr>
        <w:t>manner</w:t>
      </w:r>
      <w:proofErr w:type="gramEnd"/>
      <w:r w:rsidRPr="000E402C">
        <w:rPr>
          <w:b/>
          <w:bCs/>
          <w:color w:val="000000"/>
        </w:rPr>
        <w:t xml:space="preserve"> inconsistent with OMB guidelines.</w:t>
      </w:r>
    </w:p>
    <w:p w:rsidRPr="000E402C" w:rsidR="008527FF" w:rsidP="006036B9" w:rsidRDefault="008527FF">
      <w:pPr>
        <w:autoSpaceDE w:val="0"/>
        <w:autoSpaceDN w:val="0"/>
        <w:adjustRightInd w:val="0"/>
        <w:rPr>
          <w:b/>
          <w:bCs/>
          <w:color w:val="1F497D"/>
        </w:rPr>
      </w:pPr>
    </w:p>
    <w:p w:rsidRPr="00112898" w:rsidR="00112898" w:rsidP="00112898" w:rsidRDefault="003C487E">
      <w:pPr>
        <w:widowControl w:val="0"/>
        <w:autoSpaceDE w:val="0"/>
        <w:autoSpaceDN w:val="0"/>
        <w:spacing w:before="120"/>
        <w:rPr>
          <w:rFonts w:eastAsia="Arial"/>
          <w:lang w:bidi="en-US"/>
        </w:rPr>
      </w:pPr>
      <w:r>
        <w:rPr>
          <w:rFonts w:eastAsia="Arial"/>
          <w:lang w:bidi="en-US"/>
        </w:rPr>
        <w:t xml:space="preserve">This collection </w:t>
      </w:r>
      <w:proofErr w:type="gramStart"/>
      <w:r>
        <w:rPr>
          <w:rFonts w:eastAsia="Arial"/>
          <w:lang w:bidi="en-US"/>
        </w:rPr>
        <w:t>will be conducted</w:t>
      </w:r>
      <w:proofErr w:type="gramEnd"/>
      <w:r>
        <w:rPr>
          <w:rFonts w:eastAsia="Arial"/>
          <w:lang w:bidi="en-US"/>
        </w:rPr>
        <w:t xml:space="preserve"> in a manner that is consistent with OMB guidelines.</w:t>
      </w:r>
    </w:p>
    <w:p w:rsidR="00112898" w:rsidP="00112898" w:rsidRDefault="00112898">
      <w:pPr>
        <w:pStyle w:val="ListParagraph"/>
        <w:widowControl w:val="0"/>
        <w:tabs>
          <w:tab w:val="left" w:pos="360"/>
        </w:tabs>
        <w:autoSpaceDE w:val="0"/>
        <w:autoSpaceDN w:val="0"/>
        <w:spacing w:before="80"/>
        <w:ind w:left="0"/>
        <w:rPr>
          <w:b/>
          <w:bCs/>
          <w:color w:val="1F497D"/>
        </w:rPr>
      </w:pPr>
    </w:p>
    <w:p w:rsidRPr="00112898" w:rsidR="00112898" w:rsidP="00112898" w:rsidRDefault="006036B9">
      <w:pPr>
        <w:pStyle w:val="ListParagraph"/>
        <w:widowControl w:val="0"/>
        <w:tabs>
          <w:tab w:val="left" w:pos="360"/>
        </w:tabs>
        <w:autoSpaceDE w:val="0"/>
        <w:autoSpaceDN w:val="0"/>
        <w:spacing w:before="80"/>
        <w:ind w:left="0"/>
        <w:rPr>
          <w:rFonts w:eastAsia="Arial"/>
          <w:b/>
          <w:lang w:bidi="en-US"/>
        </w:rPr>
      </w:pPr>
      <w:r w:rsidRPr="000E402C">
        <w:rPr>
          <w:b/>
          <w:bCs/>
          <w:color w:val="000000"/>
        </w:rPr>
        <w:t xml:space="preserve">8. </w:t>
      </w:r>
      <w:r w:rsidRPr="000E402C" w:rsidR="006A6340">
        <w:rPr>
          <w:b/>
          <w:bCs/>
          <w:color w:val="000000"/>
        </w:rPr>
        <w:t xml:space="preserve"> </w:t>
      </w:r>
      <w:r w:rsidRPr="00112898" w:rsidR="00112898">
        <w:rPr>
          <w:rFonts w:eastAsia="Arial"/>
          <w:b/>
          <w:lang w:bidi="en-US"/>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0E402C" w:rsidR="005F0090" w:rsidP="006036B9" w:rsidRDefault="005F0090">
      <w:pPr>
        <w:autoSpaceDE w:val="0"/>
        <w:autoSpaceDN w:val="0"/>
        <w:adjustRightInd w:val="0"/>
        <w:rPr>
          <w:b/>
          <w:bCs/>
          <w:color w:val="1F497D"/>
          <w:highlight w:val="yellow"/>
        </w:rPr>
      </w:pPr>
    </w:p>
    <w:p w:rsidR="005E642D" w:rsidP="006C33F7" w:rsidRDefault="003F7B75">
      <w:pPr>
        <w:autoSpaceDE w:val="0"/>
        <w:autoSpaceDN w:val="0"/>
        <w:adjustRightInd w:val="0"/>
        <w:rPr>
          <w:color w:val="000000"/>
        </w:rPr>
      </w:pPr>
      <w:r w:rsidRPr="000E402C">
        <w:rPr>
          <w:color w:val="000000"/>
        </w:rPr>
        <w:t>A Federal Register notice published</w:t>
      </w:r>
      <w:r w:rsidRPr="000E402C" w:rsidR="009E4819">
        <w:rPr>
          <w:color w:val="000000"/>
        </w:rPr>
        <w:t xml:space="preserve"> on </w:t>
      </w:r>
      <w:r w:rsidR="00247F0F">
        <w:rPr>
          <w:color w:val="000000"/>
        </w:rPr>
        <w:t>January 6, 2021</w:t>
      </w:r>
      <w:r w:rsidRPr="000E402C" w:rsidR="009E4819">
        <w:rPr>
          <w:color w:val="000000"/>
        </w:rPr>
        <w:t xml:space="preserve"> (8</w:t>
      </w:r>
      <w:r w:rsidR="00247F0F">
        <w:rPr>
          <w:color w:val="000000"/>
        </w:rPr>
        <w:t>6</w:t>
      </w:r>
      <w:r w:rsidRPr="000E402C" w:rsidR="009E4819">
        <w:rPr>
          <w:color w:val="000000"/>
        </w:rPr>
        <w:t xml:space="preserve"> FR </w:t>
      </w:r>
      <w:r w:rsidR="00247F0F">
        <w:rPr>
          <w:color w:val="000000"/>
        </w:rPr>
        <w:t>522</w:t>
      </w:r>
      <w:r w:rsidRPr="000E402C" w:rsidR="009E4819">
        <w:rPr>
          <w:color w:val="000000"/>
        </w:rPr>
        <w:t>)</w:t>
      </w:r>
      <w:r w:rsidR="003B126F">
        <w:rPr>
          <w:color w:val="000000"/>
        </w:rPr>
        <w:t>, soliciting</w:t>
      </w:r>
      <w:r w:rsidRPr="000E402C">
        <w:rPr>
          <w:color w:val="000000"/>
        </w:rPr>
        <w:t xml:space="preserve"> public comments</w:t>
      </w:r>
      <w:r w:rsidRPr="000E402C" w:rsidR="009E4819">
        <w:rPr>
          <w:color w:val="000000"/>
        </w:rPr>
        <w:t xml:space="preserve">. </w:t>
      </w:r>
      <w:r w:rsidRPr="000E402C" w:rsidR="001010EB">
        <w:rPr>
          <w:color w:val="000000"/>
        </w:rPr>
        <w:t xml:space="preserve">We </w:t>
      </w:r>
      <w:r w:rsidRPr="00DA507E" w:rsidR="001010EB">
        <w:rPr>
          <w:color w:val="000000"/>
        </w:rPr>
        <w:t xml:space="preserve">received </w:t>
      </w:r>
      <w:r w:rsidRPr="00DA507E" w:rsidR="00DA507E">
        <w:rPr>
          <w:color w:val="000000"/>
        </w:rPr>
        <w:t xml:space="preserve">no </w:t>
      </w:r>
      <w:r w:rsidRPr="00DA507E" w:rsidR="001010EB">
        <w:rPr>
          <w:color w:val="000000"/>
        </w:rPr>
        <w:t>comment</w:t>
      </w:r>
      <w:r w:rsidRPr="00DA507E" w:rsidR="003B126F">
        <w:rPr>
          <w:color w:val="000000"/>
        </w:rPr>
        <w:t>s</w:t>
      </w:r>
      <w:r w:rsidRPr="000E402C" w:rsidR="001010EB">
        <w:rPr>
          <w:color w:val="000000"/>
        </w:rPr>
        <w:t xml:space="preserve"> </w:t>
      </w:r>
      <w:r w:rsidRPr="000E402C" w:rsidR="009E4819">
        <w:rPr>
          <w:color w:val="000000"/>
        </w:rPr>
        <w:t>on the information collection requirements.</w:t>
      </w:r>
      <w:r w:rsidRPr="000E402C" w:rsidR="001010EB">
        <w:rPr>
          <w:color w:val="000000"/>
        </w:rPr>
        <w:t xml:space="preserve"> </w:t>
      </w:r>
    </w:p>
    <w:p w:rsidR="003C487E" w:rsidP="006C33F7" w:rsidRDefault="003C487E">
      <w:pPr>
        <w:autoSpaceDE w:val="0"/>
        <w:autoSpaceDN w:val="0"/>
        <w:adjustRightInd w:val="0"/>
        <w:rPr>
          <w:color w:val="000000"/>
        </w:rPr>
      </w:pPr>
    </w:p>
    <w:p w:rsidRPr="003C487E" w:rsidR="003C487E" w:rsidP="006C33F7" w:rsidRDefault="003C487E">
      <w:pPr>
        <w:autoSpaceDE w:val="0"/>
        <w:autoSpaceDN w:val="0"/>
        <w:adjustRightInd w:val="0"/>
        <w:rPr>
          <w:color w:val="000000"/>
        </w:rPr>
      </w:pPr>
      <w:r w:rsidRPr="003C487E">
        <w:rPr>
          <w:color w:val="000000"/>
        </w:rPr>
        <w:t xml:space="preserve">NMFS reached out to several </w:t>
      </w:r>
      <w:r>
        <w:rPr>
          <w:color w:val="000000"/>
        </w:rPr>
        <w:t>providers</w:t>
      </w:r>
      <w:r w:rsidRPr="003C487E">
        <w:rPr>
          <w:color w:val="000000"/>
        </w:rPr>
        <w:t xml:space="preserve"> in an effort to obtain their views on the availability of data, frequency of collection, the clarity of instructions and recordkeeping, disclosure, or reporting format (if any), and on the data elements to be recorded, disclosed, or reported.  No responses </w:t>
      </w:r>
      <w:proofErr w:type="gramStart"/>
      <w:r w:rsidRPr="003C487E">
        <w:rPr>
          <w:color w:val="000000"/>
        </w:rPr>
        <w:t>were received</w:t>
      </w:r>
      <w:proofErr w:type="gramEnd"/>
      <w:r w:rsidRPr="003C487E">
        <w:rPr>
          <w:color w:val="000000"/>
        </w:rPr>
        <w:t>.</w:t>
      </w:r>
    </w:p>
    <w:p w:rsidRPr="000E402C" w:rsidR="003F7B75" w:rsidP="006C33F7" w:rsidRDefault="003F7B75">
      <w:pPr>
        <w:autoSpaceDE w:val="0"/>
        <w:autoSpaceDN w:val="0"/>
        <w:adjustRightInd w:val="0"/>
        <w:rPr>
          <w:color w:val="000000"/>
        </w:rPr>
      </w:pPr>
    </w:p>
    <w:p w:rsidRPr="000E402C" w:rsidR="005F0090" w:rsidP="005F0090" w:rsidRDefault="005F0090">
      <w:pPr>
        <w:autoSpaceDE w:val="0"/>
        <w:autoSpaceDN w:val="0"/>
        <w:adjustRightInd w:val="0"/>
        <w:rPr>
          <w:b/>
          <w:bCs/>
          <w:color w:val="000000"/>
        </w:rPr>
      </w:pPr>
      <w:r w:rsidRPr="000E402C">
        <w:rPr>
          <w:b/>
          <w:bCs/>
          <w:color w:val="000000"/>
        </w:rPr>
        <w:t>9.</w:t>
      </w:r>
      <w:r w:rsidRPr="000E402C" w:rsidR="00893DD7">
        <w:rPr>
          <w:b/>
          <w:bCs/>
          <w:color w:val="000000"/>
        </w:rPr>
        <w:t xml:space="preserve"> </w:t>
      </w:r>
      <w:r w:rsidRPr="000E402C">
        <w:rPr>
          <w:b/>
          <w:bCs/>
          <w:color w:val="000000"/>
        </w:rPr>
        <w:t xml:space="preserve"> Explain any decisions to provide payments or gifts to respondents, other than</w:t>
      </w:r>
      <w:r w:rsidR="003D39B2">
        <w:rPr>
          <w:b/>
          <w:bCs/>
          <w:color w:val="000000"/>
        </w:rPr>
        <w:t xml:space="preserve"> remuneration </w:t>
      </w:r>
      <w:r w:rsidRPr="000E402C">
        <w:rPr>
          <w:b/>
          <w:bCs/>
          <w:color w:val="000000"/>
        </w:rPr>
        <w:t>of contractors or grantees.</w:t>
      </w:r>
    </w:p>
    <w:p w:rsidRPr="000E402C" w:rsidR="005F0090" w:rsidP="005F0090" w:rsidRDefault="005F0090">
      <w:pPr>
        <w:autoSpaceDE w:val="0"/>
        <w:autoSpaceDN w:val="0"/>
        <w:adjustRightInd w:val="0"/>
        <w:rPr>
          <w:color w:val="000000"/>
          <w:highlight w:val="yellow"/>
        </w:rPr>
      </w:pPr>
    </w:p>
    <w:p w:rsidRPr="000E402C" w:rsidR="005F0090" w:rsidP="005F0090" w:rsidRDefault="005F0090">
      <w:pPr>
        <w:autoSpaceDE w:val="0"/>
        <w:autoSpaceDN w:val="0"/>
        <w:adjustRightInd w:val="0"/>
        <w:rPr>
          <w:color w:val="1F497D"/>
        </w:rPr>
      </w:pPr>
      <w:r w:rsidRPr="000E402C">
        <w:rPr>
          <w:color w:val="000000"/>
        </w:rPr>
        <w:t xml:space="preserve">No payments or gifts </w:t>
      </w:r>
      <w:proofErr w:type="gramStart"/>
      <w:r w:rsidRPr="000E402C">
        <w:rPr>
          <w:color w:val="000000"/>
        </w:rPr>
        <w:t>are provided</w:t>
      </w:r>
      <w:proofErr w:type="gramEnd"/>
      <w:r w:rsidR="00DA507E">
        <w:rPr>
          <w:color w:val="000000"/>
        </w:rPr>
        <w:t xml:space="preserve"> to respondents</w:t>
      </w:r>
      <w:r w:rsidRPr="000E402C">
        <w:rPr>
          <w:color w:val="000000"/>
        </w:rPr>
        <w:t>.</w:t>
      </w:r>
    </w:p>
    <w:p w:rsidRPr="000E402C" w:rsidR="005F0090" w:rsidP="005F0090" w:rsidRDefault="005F0090">
      <w:pPr>
        <w:autoSpaceDE w:val="0"/>
        <w:autoSpaceDN w:val="0"/>
        <w:adjustRightInd w:val="0"/>
        <w:rPr>
          <w:color w:val="1F497D"/>
          <w:highlight w:val="yellow"/>
        </w:rPr>
      </w:pPr>
    </w:p>
    <w:p w:rsidRPr="000E402C" w:rsidR="005F0090" w:rsidP="005F0090" w:rsidRDefault="005F0090">
      <w:pPr>
        <w:autoSpaceDE w:val="0"/>
        <w:autoSpaceDN w:val="0"/>
        <w:adjustRightInd w:val="0"/>
        <w:rPr>
          <w:b/>
          <w:bCs/>
          <w:color w:val="000000"/>
        </w:rPr>
      </w:pPr>
      <w:r w:rsidRPr="000E402C">
        <w:rPr>
          <w:b/>
          <w:bCs/>
          <w:color w:val="000000"/>
        </w:rPr>
        <w:t xml:space="preserve">10. </w:t>
      </w:r>
      <w:r w:rsidRPr="000E402C" w:rsidR="00893DD7">
        <w:rPr>
          <w:b/>
          <w:bCs/>
          <w:color w:val="000000"/>
        </w:rPr>
        <w:t xml:space="preserve"> </w:t>
      </w:r>
      <w:r w:rsidRPr="003B126F" w:rsidR="003B126F">
        <w:rPr>
          <w:b/>
          <w:bCs/>
          <w:color w:val="000000"/>
          <w:lang w:bidi="en-US"/>
        </w:rPr>
        <w:t>Describe any assurance of confidentiality provided to respondents and the basis for the assurance in statute, regulation, or agency policy. If the collection requires a systems of</w:t>
      </w:r>
      <w:r w:rsidR="008B0A17">
        <w:rPr>
          <w:b/>
          <w:bCs/>
          <w:color w:val="000000"/>
          <w:lang w:bidi="en-US"/>
        </w:rPr>
        <w:t xml:space="preserve"> </w:t>
      </w:r>
      <w:r w:rsidRPr="008B0A17" w:rsidR="008B0A17">
        <w:rPr>
          <w:rFonts w:eastAsia="Arial"/>
          <w:b/>
          <w:lang w:bidi="en-US"/>
        </w:rPr>
        <w:t xml:space="preserve">records notice (SORN) or privacy impact assessment (PIA), those </w:t>
      </w:r>
      <w:proofErr w:type="gramStart"/>
      <w:r w:rsidRPr="008B0A17" w:rsidR="008B0A17">
        <w:rPr>
          <w:rFonts w:eastAsia="Arial"/>
          <w:b/>
          <w:lang w:bidi="en-US"/>
        </w:rPr>
        <w:t>should be cited and described here</w:t>
      </w:r>
      <w:proofErr w:type="gramEnd"/>
      <w:r w:rsidRPr="008B0A17" w:rsidR="008B0A17">
        <w:rPr>
          <w:rFonts w:eastAsia="Arial"/>
          <w:b/>
          <w:lang w:bidi="en-US"/>
        </w:rPr>
        <w:t>.</w:t>
      </w:r>
    </w:p>
    <w:p w:rsidRPr="000E402C" w:rsidR="005F0090" w:rsidP="005F0090" w:rsidRDefault="005F0090">
      <w:pPr>
        <w:autoSpaceDE w:val="0"/>
        <w:autoSpaceDN w:val="0"/>
        <w:adjustRightInd w:val="0"/>
        <w:rPr>
          <w:b/>
          <w:bCs/>
          <w:color w:val="000000"/>
          <w:highlight w:val="yellow"/>
        </w:rPr>
      </w:pPr>
    </w:p>
    <w:p w:rsidRPr="008319F1" w:rsidR="008319F1" w:rsidP="008319F1" w:rsidRDefault="008319F1">
      <w:pPr>
        <w:widowControl w:val="0"/>
        <w:autoSpaceDE w:val="0"/>
        <w:autoSpaceDN w:val="0"/>
        <w:adjustRightInd w:val="0"/>
        <w:rPr>
          <w:b/>
          <w:bCs/>
        </w:rPr>
      </w:pPr>
      <w:r w:rsidRPr="008319F1">
        <w:t xml:space="preserve">Because the information collected is from commercial operations, under the Magnuson-Stevens Act (16 U.S.C. 1801 et seq.), all data submitted </w:t>
      </w:r>
      <w:proofErr w:type="gramStart"/>
      <w:r w:rsidRPr="008319F1">
        <w:t>are treated</w:t>
      </w:r>
      <w:proofErr w:type="gramEnd"/>
      <w:r w:rsidRPr="008319F1">
        <w:t xml:space="preserve"> in accordance with </w:t>
      </w:r>
      <w:hyperlink w:history="1" r:id="rId11">
        <w:r w:rsidRPr="008319F1">
          <w:rPr>
            <w:rStyle w:val="Hyperlink"/>
          </w:rPr>
          <w:t>NOAA Administrative Order 216-100, Protection of Confidential Fisheries Statistics</w:t>
        </w:r>
      </w:hyperlink>
      <w:r w:rsidRPr="008319F1">
        <w:t>.  The information collected under this regulatory package is managed by NMFS on a computer network in accordance with relevant IT security policies and regulations such as the standards set out in Appendix III, A Security of Automated Information Resources, to</w:t>
      </w:r>
      <w:r w:rsidRPr="008319F1">
        <w:rPr>
          <w:u w:val="single"/>
        </w:rPr>
        <w:t xml:space="preserve"> </w:t>
      </w:r>
      <w:hyperlink w:history="1" r:id="rId12">
        <w:r w:rsidRPr="008319F1">
          <w:rPr>
            <w:rStyle w:val="Hyperlink"/>
          </w:rPr>
          <w:t>OMB Circular A-130</w:t>
        </w:r>
      </w:hyperlink>
      <w:r w:rsidRPr="008319F1">
        <w:t xml:space="preserve">; the </w:t>
      </w:r>
      <w:hyperlink w:history="1" r:id="rId13">
        <w:r w:rsidRPr="008319F1">
          <w:rPr>
            <w:rStyle w:val="Hyperlink"/>
          </w:rPr>
          <w:t>Computer Security Act</w:t>
        </w:r>
      </w:hyperlink>
      <w:r w:rsidRPr="008319F1">
        <w:t xml:space="preserve">; and the </w:t>
      </w:r>
      <w:hyperlink w:history="1" r:id="rId14">
        <w:r w:rsidRPr="008319F1">
          <w:rPr>
            <w:rStyle w:val="Hyperlink"/>
          </w:rPr>
          <w:t>Government Information Security Reform Act</w:t>
        </w:r>
      </w:hyperlink>
      <w:r w:rsidRPr="008319F1">
        <w:t xml:space="preserve">. These procedures </w:t>
      </w:r>
      <w:proofErr w:type="gramStart"/>
      <w:r w:rsidRPr="008319F1">
        <w:t>have been implemented</w:t>
      </w:r>
      <w:proofErr w:type="gramEnd"/>
      <w:r w:rsidRPr="008319F1">
        <w:t xml:space="preserve"> under the NMFS Operations Manual entitled, "Data Security Handbook for the Northwest-Alaska Region, National Marine Fisheries Service."</w:t>
      </w:r>
    </w:p>
    <w:p w:rsidR="00DC06F9" w:rsidP="00DC06F9" w:rsidRDefault="00DC06F9">
      <w:pPr>
        <w:widowControl w:val="0"/>
        <w:autoSpaceDE w:val="0"/>
        <w:autoSpaceDN w:val="0"/>
        <w:adjustRightInd w:val="0"/>
      </w:pPr>
    </w:p>
    <w:p w:rsidRPr="00DC06F9" w:rsidR="00DC06F9" w:rsidP="00DC06F9" w:rsidRDefault="00DC06F9">
      <w:pPr>
        <w:widowControl w:val="0"/>
        <w:autoSpaceDE w:val="0"/>
        <w:autoSpaceDN w:val="0"/>
        <w:adjustRightInd w:val="0"/>
      </w:pPr>
      <w:r w:rsidRPr="00DC06F9">
        <w:t>The information collected is part of a Privacy Act System of Records (SORN), COMMERCE/NOAA #19, Permits and Registrations for United States Federally Regulated Fisheries. A notice was published in the Federal Register on April 17, 2008 (73 FR 20914) and became effective on June 11, 2008 (73 FR 33065). An amended SORN was published on August 7, 2015 (80 FR 47457) and became effective on September 15, 2015 (80 FR 55327).</w:t>
      </w:r>
    </w:p>
    <w:p w:rsidRPr="000E402C" w:rsidR="002A173C" w:rsidP="005F0090" w:rsidRDefault="002A173C">
      <w:pPr>
        <w:autoSpaceDE w:val="0"/>
        <w:autoSpaceDN w:val="0"/>
        <w:adjustRightInd w:val="0"/>
        <w:rPr>
          <w:color w:val="000000"/>
          <w:highlight w:val="yellow"/>
        </w:rPr>
      </w:pPr>
    </w:p>
    <w:p w:rsidRPr="008B0A17" w:rsidR="008B0A17" w:rsidP="008B0A17" w:rsidRDefault="005F0090">
      <w:pPr>
        <w:adjustRightInd w:val="0"/>
        <w:rPr>
          <w:b/>
          <w:bCs/>
          <w:color w:val="000000"/>
          <w:lang w:bidi="en-US"/>
        </w:rPr>
      </w:pPr>
      <w:r w:rsidRPr="000E402C">
        <w:rPr>
          <w:b/>
          <w:bCs/>
          <w:color w:val="000000"/>
        </w:rPr>
        <w:t xml:space="preserve">11. </w:t>
      </w:r>
      <w:r w:rsidRPr="000E402C" w:rsidR="00893DD7">
        <w:rPr>
          <w:b/>
          <w:bCs/>
          <w:color w:val="000000"/>
        </w:rPr>
        <w:t xml:space="preserve"> </w:t>
      </w:r>
      <w:r w:rsidRPr="008B0A17" w:rsidR="008B0A17">
        <w:rPr>
          <w:b/>
          <w:bCs/>
          <w:color w:val="000000"/>
          <w:lang w:bidi="en-US"/>
        </w:rPr>
        <w:t xml:space="preserve">Provide additional justification for any questions of a sensitive nature, such as sexual behavior or attitudes, religious beliefs, and other matters that </w:t>
      </w:r>
      <w:proofErr w:type="gramStart"/>
      <w:r w:rsidRPr="008B0A17" w:rsidR="008B0A17">
        <w:rPr>
          <w:b/>
          <w:bCs/>
          <w:color w:val="000000"/>
          <w:lang w:bidi="en-US"/>
        </w:rPr>
        <w:t>are commonly considered</w:t>
      </w:r>
      <w:proofErr w:type="gramEnd"/>
      <w:r w:rsidRPr="008B0A17" w:rsidR="008B0A17">
        <w:rPr>
          <w:b/>
          <w:bCs/>
          <w:color w:val="000000"/>
          <w:lang w:bidi="en-US"/>
        </w:rPr>
        <w:t xml:space="preserve"> private. This justification should include the reasons why the agency considers the questions necessary, the specific uses to be made of the information, the explanation to </w:t>
      </w:r>
      <w:proofErr w:type="gramStart"/>
      <w:r w:rsidRPr="008B0A17" w:rsidR="008B0A17">
        <w:rPr>
          <w:b/>
          <w:bCs/>
          <w:color w:val="000000"/>
          <w:lang w:bidi="en-US"/>
        </w:rPr>
        <w:t>be given</w:t>
      </w:r>
      <w:proofErr w:type="gramEnd"/>
      <w:r w:rsidRPr="008B0A17" w:rsidR="008B0A17">
        <w:rPr>
          <w:b/>
          <w:bCs/>
          <w:color w:val="000000"/>
          <w:lang w:bidi="en-US"/>
        </w:rPr>
        <w:t xml:space="preserve"> to persons from whom the information is requested, and any steps to be taken to obtain their consent.</w:t>
      </w:r>
    </w:p>
    <w:p w:rsidRPr="000E402C" w:rsidR="005F0090" w:rsidP="006036B9" w:rsidRDefault="005F0090">
      <w:pPr>
        <w:rPr>
          <w:color w:val="000000"/>
          <w:highlight w:val="yellow"/>
        </w:rPr>
      </w:pPr>
    </w:p>
    <w:p w:rsidRPr="000E402C" w:rsidR="005F0090" w:rsidP="006036B9" w:rsidRDefault="005F0090">
      <w:pPr>
        <w:rPr>
          <w:color w:val="000000"/>
        </w:rPr>
      </w:pPr>
      <w:r w:rsidRPr="000E402C">
        <w:rPr>
          <w:color w:val="000000"/>
        </w:rPr>
        <w:t xml:space="preserve">There are no questions of a sensitive nature </w:t>
      </w:r>
      <w:proofErr w:type="gramStart"/>
      <w:r w:rsidRPr="000E402C">
        <w:rPr>
          <w:color w:val="000000"/>
        </w:rPr>
        <w:t>being asked</w:t>
      </w:r>
      <w:proofErr w:type="gramEnd"/>
      <w:r w:rsidRPr="000E402C">
        <w:rPr>
          <w:color w:val="000000"/>
        </w:rPr>
        <w:t>.</w:t>
      </w:r>
    </w:p>
    <w:p w:rsidRPr="000E402C" w:rsidR="005F0090" w:rsidP="006036B9" w:rsidRDefault="005F0090">
      <w:pPr>
        <w:rPr>
          <w:color w:val="000000"/>
          <w:highlight w:val="yellow"/>
        </w:rPr>
      </w:pPr>
    </w:p>
    <w:p w:rsidRPr="008B0A17" w:rsidR="008B0A17" w:rsidP="008B0A17" w:rsidRDefault="005F0090">
      <w:pPr>
        <w:adjustRightInd w:val="0"/>
        <w:rPr>
          <w:b/>
          <w:bCs/>
          <w:color w:val="000000"/>
          <w:lang w:bidi="en-US"/>
        </w:rPr>
      </w:pPr>
      <w:r w:rsidRPr="000E402C">
        <w:rPr>
          <w:b/>
          <w:bCs/>
          <w:color w:val="000000"/>
        </w:rPr>
        <w:t xml:space="preserve">12. </w:t>
      </w:r>
      <w:r w:rsidRPr="000E402C" w:rsidR="00893DD7">
        <w:rPr>
          <w:b/>
          <w:bCs/>
          <w:color w:val="000000"/>
        </w:rPr>
        <w:t xml:space="preserve"> </w:t>
      </w:r>
      <w:r w:rsidRPr="008B0A17" w:rsidR="008B0A17">
        <w:rPr>
          <w:b/>
          <w:bCs/>
          <w:color w:val="000000"/>
          <w:lang w:bidi="en-US"/>
        </w:rPr>
        <w:t>Provide estimates of the hour burden of the collection of information.</w:t>
      </w:r>
    </w:p>
    <w:p w:rsidRPr="000E402C" w:rsidR="004E5E92" w:rsidP="00393A81" w:rsidRDefault="004E5E92">
      <w:pPr>
        <w:autoSpaceDE w:val="0"/>
        <w:autoSpaceDN w:val="0"/>
        <w:adjustRightInd w:val="0"/>
        <w:rPr>
          <w:rFonts w:eastAsia="Calibri"/>
          <w:b/>
          <w:bCs/>
          <w:highlight w:val="yellow"/>
        </w:rPr>
      </w:pPr>
    </w:p>
    <w:p w:rsidRPr="00F322C7" w:rsidR="00F322C7" w:rsidP="00F322C7" w:rsidRDefault="00C33B46">
      <w:pPr>
        <w:autoSpaceDE w:val="0"/>
        <w:autoSpaceDN w:val="0"/>
        <w:adjustRightInd w:val="0"/>
        <w:rPr>
          <w:rFonts w:eastAsia="Calibri"/>
          <w:bCs/>
        </w:rPr>
      </w:pPr>
      <w:r w:rsidRPr="00C33B46">
        <w:rPr>
          <w:rFonts w:eastAsia="Calibri"/>
          <w:bCs/>
        </w:rPr>
        <w:t xml:space="preserve">In all, 268 respondents are expected to send </w:t>
      </w:r>
      <w:proofErr w:type="gramStart"/>
      <w:r w:rsidRPr="00C33B46">
        <w:rPr>
          <w:rFonts w:eastAsia="Calibri"/>
          <w:bCs/>
        </w:rPr>
        <w:t>a total of 3,710</w:t>
      </w:r>
      <w:proofErr w:type="gramEnd"/>
      <w:r w:rsidRPr="00C33B46">
        <w:rPr>
          <w:rFonts w:eastAsia="Calibri"/>
          <w:bCs/>
        </w:rPr>
        <w:t xml:space="preserve"> responses, representing a total burden of 6</w:t>
      </w:r>
      <w:r w:rsidR="00F322C7">
        <w:rPr>
          <w:rFonts w:eastAsia="Calibri"/>
          <w:bCs/>
        </w:rPr>
        <w:t>2</w:t>
      </w:r>
      <w:r w:rsidR="00905359">
        <w:rPr>
          <w:rFonts w:eastAsia="Calibri"/>
          <w:bCs/>
        </w:rPr>
        <w:t>1</w:t>
      </w:r>
      <w:r w:rsidRPr="00C33B46">
        <w:rPr>
          <w:rFonts w:eastAsia="Calibri"/>
          <w:bCs/>
        </w:rPr>
        <w:t xml:space="preserve"> hours</w:t>
      </w:r>
      <w:r w:rsidR="00F322C7">
        <w:rPr>
          <w:rFonts w:eastAsia="Calibri"/>
          <w:bCs/>
        </w:rPr>
        <w:t xml:space="preserve"> (Table 1)</w:t>
      </w:r>
      <w:r w:rsidRPr="00C33B46">
        <w:rPr>
          <w:rFonts w:eastAsia="Calibri"/>
          <w:bCs/>
        </w:rPr>
        <w:t xml:space="preserve">. </w:t>
      </w:r>
      <w:r w:rsidRPr="00F322C7" w:rsidR="00F322C7">
        <w:rPr>
          <w:rFonts w:eastAsia="Calibri"/>
          <w:bCs/>
        </w:rPr>
        <w:t>The labor cost estimate of $25/hour comes from the BLS Occupational Outlook Handbook occupation code 45-1011 for “First-line supervisors of farming, fishing, and forestry workers”, who are paid a median wage of $25.11 per hour (</w:t>
      </w:r>
      <w:hyperlink w:history="1" w:anchor="45-0000" r:id="rId15">
        <w:r w:rsidRPr="00F322C7" w:rsidR="00F322C7">
          <w:rPr>
            <w:rStyle w:val="Hyperlink"/>
            <w:rFonts w:eastAsia="Calibri"/>
            <w:bCs/>
          </w:rPr>
          <w:t>https://www.bls.gov/oes/current/oes_wa.htm#45-0000</w:t>
        </w:r>
      </w:hyperlink>
      <w:r w:rsidRPr="00F322C7" w:rsidR="00F322C7">
        <w:rPr>
          <w:rFonts w:eastAsia="Calibri"/>
          <w:bCs/>
        </w:rPr>
        <w:t>). The estimated total labor cost is $</w:t>
      </w:r>
      <w:r w:rsidR="00F322C7">
        <w:rPr>
          <w:rFonts w:eastAsia="Calibri"/>
          <w:bCs/>
        </w:rPr>
        <w:t>15,500</w:t>
      </w:r>
      <w:r w:rsidRPr="00F322C7" w:rsidR="00F322C7">
        <w:rPr>
          <w:rFonts w:eastAsia="Calibri"/>
          <w:bCs/>
        </w:rPr>
        <w:t>.</w:t>
      </w:r>
    </w:p>
    <w:p w:rsidRPr="00C33B46" w:rsidR="00C33B46" w:rsidP="00C33B46" w:rsidRDefault="00C33B46">
      <w:pPr>
        <w:autoSpaceDE w:val="0"/>
        <w:autoSpaceDN w:val="0"/>
        <w:adjustRightInd w:val="0"/>
        <w:rPr>
          <w:rFonts w:eastAsia="Calibri"/>
          <w:bCs/>
        </w:rPr>
      </w:pPr>
    </w:p>
    <w:p w:rsidR="00C33B46" w:rsidP="00393A81" w:rsidRDefault="00C33B46">
      <w:pPr>
        <w:autoSpaceDE w:val="0"/>
        <w:autoSpaceDN w:val="0"/>
        <w:adjustRightInd w:val="0"/>
        <w:rPr>
          <w:rFonts w:eastAsia="Calibri"/>
          <w:bCs/>
        </w:rPr>
      </w:pPr>
      <w:r w:rsidRPr="00C33B46">
        <w:rPr>
          <w:rFonts w:eastAsia="Calibri"/>
          <w:bCs/>
        </w:rPr>
        <w:t xml:space="preserve">The information collection includes departure and cease-fishing reports which would be a toll-free phone call placed to the Observer Program, or its designated agent. The labor costs to the industry to provide this information increases as the number of vessels in the pool of potentially observed vessels increases.  The maximum cost to the fleet to provide departure and cease-fishing reports </w:t>
      </w:r>
      <w:proofErr w:type="gramStart"/>
      <w:r w:rsidRPr="00C33B46">
        <w:rPr>
          <w:rFonts w:eastAsia="Calibri"/>
          <w:bCs/>
        </w:rPr>
        <w:t>is based</w:t>
      </w:r>
      <w:proofErr w:type="gramEnd"/>
      <w:r w:rsidRPr="00C33B46">
        <w:rPr>
          <w:rFonts w:eastAsia="Calibri"/>
          <w:bCs/>
        </w:rPr>
        <w:t xml:space="preserve"> on a coverage strategy in which 30 percent of the fleet would be required to report in a given year. </w:t>
      </w:r>
    </w:p>
    <w:p w:rsidR="00F322C7" w:rsidP="00C33B46" w:rsidRDefault="00F322C7">
      <w:pPr>
        <w:autoSpaceDE w:val="0"/>
        <w:autoSpaceDN w:val="0"/>
        <w:adjustRightInd w:val="0"/>
        <w:rPr>
          <w:rFonts w:ascii="TimesNewRoman,BoldItalic" w:hAnsi="TimesNewRoman,BoldItalic" w:cs="TimesNewRoman,BoldItalic"/>
          <w:b/>
          <w:bCs/>
          <w:i/>
          <w:iCs/>
          <w:sz w:val="20"/>
          <w:szCs w:val="20"/>
        </w:rPr>
      </w:pPr>
    </w:p>
    <w:p w:rsidR="00CA6561" w:rsidP="00C33B46" w:rsidRDefault="00CA6561">
      <w:pPr>
        <w:autoSpaceDE w:val="0"/>
        <w:autoSpaceDN w:val="0"/>
        <w:adjustRightInd w:val="0"/>
        <w:rPr>
          <w:rFonts w:ascii="TimesNewRoman,BoldItalic" w:hAnsi="TimesNewRoman,BoldItalic" w:cs="TimesNewRoman,BoldItalic"/>
          <w:b/>
          <w:bCs/>
          <w:i/>
          <w:iCs/>
          <w:sz w:val="20"/>
          <w:szCs w:val="20"/>
        </w:rPr>
      </w:pPr>
    </w:p>
    <w:p w:rsidRPr="00C33B46" w:rsidR="00C33B46" w:rsidP="00C33B46" w:rsidRDefault="00C33B46">
      <w:pPr>
        <w:autoSpaceDE w:val="0"/>
        <w:autoSpaceDN w:val="0"/>
        <w:adjustRightInd w:val="0"/>
      </w:pPr>
      <w:r w:rsidRPr="00C33B46">
        <w:rPr>
          <w:rFonts w:ascii="TimesNewRoman,BoldItalic" w:hAnsi="TimesNewRoman,BoldItalic" w:cs="TimesNewRoman,BoldItalic"/>
          <w:b/>
          <w:bCs/>
          <w:i/>
          <w:iCs/>
          <w:sz w:val="20"/>
          <w:szCs w:val="20"/>
        </w:rPr>
        <w:t>Table 1.  Burden and Labor Cost</w:t>
      </w:r>
    </w:p>
    <w:p w:rsidRPr="00C33B46" w:rsidR="00C33B46" w:rsidP="00C33B46" w:rsidRDefault="00C33B46">
      <w:pPr>
        <w:widowControl w:val="0"/>
        <w:autoSpaceDE w:val="0"/>
        <w:autoSpaceDN w:val="0"/>
        <w:adjustRightInd w:val="0"/>
        <w:rPr>
          <w:rFonts w:ascii="TimesNewRoman,BoldItalic" w:hAnsi="TimesNewRoman,BoldItalic" w:cs="TimesNewRoman,BoldItalic"/>
          <w:b/>
          <w:bCs/>
          <w:i/>
          <w:iCs/>
          <w:sz w:val="20"/>
          <w:szCs w:val="20"/>
        </w:rPr>
      </w:pPr>
    </w:p>
    <w:tbl>
      <w:tblPr>
        <w:tblW w:w="973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4A0" w:firstRow="1" w:lastRow="0" w:firstColumn="1" w:lastColumn="0" w:noHBand="0" w:noVBand="1"/>
      </w:tblPr>
      <w:tblGrid>
        <w:gridCol w:w="2723"/>
        <w:gridCol w:w="1226"/>
        <w:gridCol w:w="1632"/>
        <w:gridCol w:w="1102"/>
        <w:gridCol w:w="1038"/>
        <w:gridCol w:w="1132"/>
        <w:gridCol w:w="877"/>
      </w:tblGrid>
      <w:tr w:rsidRPr="009A4B52" w:rsidR="00905359" w:rsidTr="00677AB0">
        <w:trPr>
          <w:cantSplit/>
          <w:trHeight w:val="561"/>
          <w:tblHeader/>
          <w:jc w:val="center"/>
        </w:trPr>
        <w:tc>
          <w:tcPr>
            <w:tcW w:w="2723" w:type="dxa"/>
            <w:tcBorders>
              <w:top w:val="single" w:color="000000" w:sz="6" w:space="0"/>
              <w:left w:val="single" w:color="000000" w:sz="6" w:space="0"/>
              <w:bottom w:val="single" w:color="000000" w:sz="6" w:space="0"/>
              <w:right w:val="single" w:color="000000" w:sz="6" w:space="0"/>
            </w:tcBorders>
            <w:shd w:val="clear" w:color="auto" w:fill="BDD6EE" w:themeFill="accent1" w:themeFillTint="66"/>
            <w:vAlign w:val="center"/>
            <w:hideMark/>
          </w:tcPr>
          <w:p w:rsidRPr="009A4B52" w:rsidR="00905359" w:rsidP="00677AB0" w:rsidRDefault="00905359">
            <w:pPr>
              <w:jc w:val="center"/>
              <w:rPr>
                <w:bCs/>
                <w:color w:val="000000"/>
                <w:sz w:val="20"/>
                <w:szCs w:val="20"/>
              </w:rPr>
            </w:pPr>
            <w:r>
              <w:rPr>
                <w:bCs/>
                <w:color w:val="000000"/>
                <w:sz w:val="20"/>
                <w:szCs w:val="20"/>
              </w:rPr>
              <w:t>Type o</w:t>
            </w:r>
            <w:r w:rsidRPr="009A4B52">
              <w:rPr>
                <w:bCs/>
                <w:color w:val="000000"/>
                <w:sz w:val="20"/>
                <w:szCs w:val="20"/>
              </w:rPr>
              <w:t>f Response</w:t>
            </w:r>
          </w:p>
        </w:tc>
        <w:tc>
          <w:tcPr>
            <w:tcW w:w="1226" w:type="dxa"/>
            <w:tcBorders>
              <w:top w:val="single" w:color="000000" w:sz="6" w:space="0"/>
              <w:left w:val="single" w:color="CCCCCC" w:sz="6" w:space="0"/>
              <w:bottom w:val="single" w:color="000000" w:sz="6" w:space="0"/>
              <w:right w:val="single" w:color="000000" w:sz="6" w:space="0"/>
            </w:tcBorders>
            <w:shd w:val="clear" w:color="auto" w:fill="BDD6EE" w:themeFill="accent1" w:themeFillTint="66"/>
            <w:vAlign w:val="center"/>
            <w:hideMark/>
          </w:tcPr>
          <w:p w:rsidRPr="009A4B52" w:rsidR="00905359" w:rsidP="00677AB0" w:rsidRDefault="00905359">
            <w:pPr>
              <w:jc w:val="center"/>
              <w:rPr>
                <w:bCs/>
                <w:color w:val="000000"/>
                <w:sz w:val="20"/>
                <w:szCs w:val="20"/>
              </w:rPr>
            </w:pPr>
            <w:r w:rsidRPr="009A4B52">
              <w:rPr>
                <w:bCs/>
                <w:color w:val="000000"/>
                <w:sz w:val="20"/>
                <w:szCs w:val="20"/>
              </w:rPr>
              <w:t>Respon</w:t>
            </w:r>
            <w:r>
              <w:rPr>
                <w:bCs/>
                <w:color w:val="000000"/>
                <w:sz w:val="20"/>
                <w:szCs w:val="20"/>
              </w:rPr>
              <w:t>d-</w:t>
            </w:r>
            <w:proofErr w:type="spellStart"/>
            <w:r w:rsidRPr="009A4B52">
              <w:rPr>
                <w:bCs/>
                <w:color w:val="000000"/>
                <w:sz w:val="20"/>
                <w:szCs w:val="20"/>
              </w:rPr>
              <w:t>ents</w:t>
            </w:r>
            <w:proofErr w:type="spellEnd"/>
          </w:p>
        </w:tc>
        <w:tc>
          <w:tcPr>
            <w:tcW w:w="1632" w:type="dxa"/>
            <w:tcBorders>
              <w:top w:val="single" w:color="000000" w:sz="6" w:space="0"/>
              <w:left w:val="single" w:color="CCCCCC" w:sz="6" w:space="0"/>
              <w:bottom w:val="single" w:color="000000" w:sz="6" w:space="0"/>
              <w:right w:val="single" w:color="000000" w:sz="6" w:space="0"/>
            </w:tcBorders>
            <w:shd w:val="clear" w:color="auto" w:fill="BDD6EE" w:themeFill="accent1" w:themeFillTint="66"/>
            <w:vAlign w:val="center"/>
            <w:hideMark/>
          </w:tcPr>
          <w:p w:rsidRPr="009A4B52" w:rsidR="00905359" w:rsidP="00677AB0" w:rsidRDefault="00905359">
            <w:pPr>
              <w:jc w:val="center"/>
              <w:rPr>
                <w:bCs/>
                <w:color w:val="000000"/>
                <w:sz w:val="20"/>
                <w:szCs w:val="20"/>
              </w:rPr>
            </w:pPr>
            <w:r w:rsidRPr="009A4B52">
              <w:rPr>
                <w:bCs/>
                <w:color w:val="000000"/>
                <w:sz w:val="20"/>
                <w:szCs w:val="20"/>
              </w:rPr>
              <w:t>Annual Responses Per Respondent</w:t>
            </w:r>
          </w:p>
        </w:tc>
        <w:tc>
          <w:tcPr>
            <w:tcW w:w="1102" w:type="dxa"/>
            <w:tcBorders>
              <w:top w:val="single" w:color="000000" w:sz="6" w:space="0"/>
              <w:left w:val="single" w:color="CCCCCC" w:sz="6" w:space="0"/>
              <w:bottom w:val="single" w:color="000000" w:sz="6" w:space="0"/>
              <w:right w:val="single" w:color="000000" w:sz="6" w:space="0"/>
            </w:tcBorders>
            <w:shd w:val="clear" w:color="auto" w:fill="BDD6EE" w:themeFill="accent1" w:themeFillTint="66"/>
            <w:vAlign w:val="center"/>
            <w:hideMark/>
          </w:tcPr>
          <w:p w:rsidRPr="009A4B52" w:rsidR="00905359" w:rsidP="00677AB0" w:rsidRDefault="00905359">
            <w:pPr>
              <w:jc w:val="center"/>
              <w:rPr>
                <w:bCs/>
                <w:color w:val="000000"/>
                <w:sz w:val="20"/>
                <w:szCs w:val="20"/>
              </w:rPr>
            </w:pPr>
            <w:r w:rsidRPr="009A4B52">
              <w:rPr>
                <w:bCs/>
                <w:color w:val="000000"/>
                <w:sz w:val="20"/>
                <w:szCs w:val="20"/>
              </w:rPr>
              <w:t>Total Annual Responses</w:t>
            </w:r>
          </w:p>
        </w:tc>
        <w:tc>
          <w:tcPr>
            <w:tcW w:w="1038" w:type="dxa"/>
            <w:tcBorders>
              <w:top w:val="single" w:color="000000" w:sz="6" w:space="0"/>
              <w:left w:val="single" w:color="CCCCCC" w:sz="6" w:space="0"/>
              <w:bottom w:val="single" w:color="000000" w:sz="6" w:space="0"/>
              <w:right w:val="single" w:color="000000" w:sz="6" w:space="0"/>
            </w:tcBorders>
            <w:shd w:val="clear" w:color="auto" w:fill="BDD6EE" w:themeFill="accent1" w:themeFillTint="66"/>
            <w:vAlign w:val="center"/>
            <w:hideMark/>
          </w:tcPr>
          <w:p w:rsidRPr="009A4B52" w:rsidR="00905359" w:rsidP="00677AB0" w:rsidRDefault="00905359">
            <w:pPr>
              <w:jc w:val="center"/>
              <w:rPr>
                <w:bCs/>
                <w:color w:val="000000"/>
                <w:sz w:val="20"/>
                <w:szCs w:val="20"/>
              </w:rPr>
            </w:pPr>
            <w:r w:rsidRPr="009A4B52">
              <w:rPr>
                <w:bCs/>
                <w:color w:val="000000"/>
                <w:sz w:val="20"/>
                <w:szCs w:val="20"/>
              </w:rPr>
              <w:t>Time Per Response (minutes)</w:t>
            </w:r>
          </w:p>
        </w:tc>
        <w:tc>
          <w:tcPr>
            <w:tcW w:w="1132" w:type="dxa"/>
            <w:tcBorders>
              <w:top w:val="single" w:color="000000" w:sz="6" w:space="0"/>
              <w:left w:val="single" w:color="CCCCCC" w:sz="6" w:space="0"/>
              <w:bottom w:val="single" w:color="000000" w:sz="6" w:space="0"/>
              <w:right w:val="single" w:color="000000" w:sz="6" w:space="0"/>
            </w:tcBorders>
            <w:shd w:val="clear" w:color="auto" w:fill="BDD6EE" w:themeFill="accent1" w:themeFillTint="66"/>
            <w:vAlign w:val="center"/>
            <w:hideMark/>
          </w:tcPr>
          <w:p w:rsidRPr="009A4B52" w:rsidR="00905359" w:rsidP="00677AB0" w:rsidRDefault="00905359">
            <w:pPr>
              <w:jc w:val="center"/>
              <w:rPr>
                <w:bCs/>
                <w:color w:val="000000"/>
                <w:sz w:val="20"/>
                <w:szCs w:val="20"/>
              </w:rPr>
            </w:pPr>
            <w:r w:rsidRPr="009A4B52">
              <w:rPr>
                <w:bCs/>
                <w:color w:val="000000"/>
                <w:sz w:val="20"/>
                <w:szCs w:val="20"/>
              </w:rPr>
              <w:t>Total Response Time (hours)</w:t>
            </w:r>
          </w:p>
        </w:tc>
        <w:tc>
          <w:tcPr>
            <w:tcW w:w="877" w:type="dxa"/>
            <w:tcBorders>
              <w:top w:val="single" w:color="000000" w:sz="6" w:space="0"/>
              <w:left w:val="single" w:color="CCCCCC" w:sz="6" w:space="0"/>
              <w:bottom w:val="single" w:color="000000" w:sz="6" w:space="0"/>
              <w:right w:val="single" w:color="000000" w:sz="6" w:space="0"/>
            </w:tcBorders>
            <w:shd w:val="clear" w:color="auto" w:fill="BDD6EE" w:themeFill="accent1" w:themeFillTint="66"/>
            <w:vAlign w:val="center"/>
            <w:hideMark/>
          </w:tcPr>
          <w:p w:rsidRPr="009A4B52" w:rsidR="00905359" w:rsidP="00677AB0" w:rsidRDefault="00905359">
            <w:pPr>
              <w:jc w:val="center"/>
              <w:rPr>
                <w:bCs/>
                <w:color w:val="000000"/>
                <w:sz w:val="20"/>
                <w:szCs w:val="20"/>
              </w:rPr>
            </w:pPr>
            <w:r w:rsidRPr="009A4B52">
              <w:rPr>
                <w:bCs/>
                <w:color w:val="000000"/>
                <w:sz w:val="20"/>
                <w:szCs w:val="20"/>
              </w:rPr>
              <w:t>Total Labor Cost</w:t>
            </w:r>
          </w:p>
        </w:tc>
      </w:tr>
      <w:tr w:rsidRPr="00C33B46" w:rsidR="00905359" w:rsidTr="00677AB0">
        <w:trPr>
          <w:trHeight w:val="261"/>
          <w:jc w:val="center"/>
        </w:trPr>
        <w:tc>
          <w:tcPr>
            <w:tcW w:w="2723" w:type="dxa"/>
            <w:tcBorders>
              <w:top w:val="single" w:color="CCCCCC" w:sz="6" w:space="0"/>
              <w:left w:val="single" w:color="000000" w:sz="6" w:space="0"/>
              <w:bottom w:val="single" w:color="000000" w:sz="6" w:space="0"/>
              <w:right w:val="single" w:color="000000" w:sz="6" w:space="0"/>
            </w:tcBorders>
            <w:vAlign w:val="bottom"/>
            <w:hideMark/>
          </w:tcPr>
          <w:p w:rsidRPr="00C33B46" w:rsidR="00905359" w:rsidP="00677AB0" w:rsidRDefault="00905359">
            <w:pPr>
              <w:rPr>
                <w:bCs/>
                <w:color w:val="000000"/>
                <w:sz w:val="20"/>
                <w:szCs w:val="20"/>
              </w:rPr>
            </w:pPr>
            <w:r w:rsidRPr="009A4B52">
              <w:rPr>
                <w:color w:val="000000"/>
                <w:sz w:val="20"/>
                <w:szCs w:val="20"/>
              </w:rPr>
              <w:t>Observer provider contracts</w:t>
            </w:r>
          </w:p>
        </w:tc>
        <w:tc>
          <w:tcPr>
            <w:tcW w:w="1226" w:type="dxa"/>
            <w:vMerge w:val="restart"/>
            <w:tcBorders>
              <w:left w:val="single" w:color="CCCCCC" w:sz="6" w:space="0"/>
              <w:right w:val="single" w:color="000000" w:sz="6" w:space="0"/>
            </w:tcBorders>
            <w:vAlign w:val="center"/>
          </w:tcPr>
          <w:p w:rsidR="00905359" w:rsidP="00677AB0" w:rsidRDefault="00905359">
            <w:pPr>
              <w:jc w:val="center"/>
              <w:rPr>
                <w:color w:val="000000"/>
                <w:sz w:val="20"/>
                <w:szCs w:val="20"/>
              </w:rPr>
            </w:pPr>
            <w:r>
              <w:rPr>
                <w:color w:val="000000"/>
                <w:sz w:val="20"/>
                <w:szCs w:val="20"/>
              </w:rPr>
              <w:t>5 Providers</w:t>
            </w:r>
          </w:p>
          <w:p w:rsidRPr="00C33B46" w:rsidR="00905359" w:rsidP="00677AB0" w:rsidRDefault="00905359">
            <w:pPr>
              <w:rPr>
                <w:color w:val="000000"/>
                <w:sz w:val="20"/>
                <w:szCs w:val="20"/>
              </w:rPr>
            </w:pPr>
          </w:p>
        </w:tc>
        <w:tc>
          <w:tcPr>
            <w:tcW w:w="1632" w:type="dxa"/>
            <w:tcBorders>
              <w:top w:val="single" w:color="CCCCCC" w:sz="6" w:space="0"/>
              <w:left w:val="single" w:color="CCCCCC" w:sz="6" w:space="0"/>
              <w:bottom w:val="single" w:color="000000" w:sz="6" w:space="0"/>
              <w:right w:val="single" w:color="000000" w:sz="6" w:space="0"/>
            </w:tcBorders>
            <w:vAlign w:val="bottom"/>
            <w:hideMark/>
          </w:tcPr>
          <w:p w:rsidRPr="00C33B46" w:rsidR="00905359" w:rsidP="00677AB0" w:rsidRDefault="00905359">
            <w:pPr>
              <w:jc w:val="center"/>
              <w:rPr>
                <w:color w:val="000000"/>
                <w:sz w:val="20"/>
                <w:szCs w:val="20"/>
              </w:rPr>
            </w:pPr>
            <w:r w:rsidRPr="009A4B52">
              <w:rPr>
                <w:color w:val="000000"/>
                <w:sz w:val="20"/>
                <w:szCs w:val="20"/>
              </w:rPr>
              <w:t>10</w:t>
            </w:r>
          </w:p>
        </w:tc>
        <w:tc>
          <w:tcPr>
            <w:tcW w:w="1102" w:type="dxa"/>
            <w:tcBorders>
              <w:top w:val="single" w:color="CCCCCC" w:sz="6" w:space="0"/>
              <w:left w:val="single" w:color="CCCCCC" w:sz="6" w:space="0"/>
              <w:bottom w:val="single" w:color="000000" w:sz="6" w:space="0"/>
              <w:right w:val="single" w:color="000000" w:sz="6" w:space="0"/>
            </w:tcBorders>
            <w:vAlign w:val="bottom"/>
            <w:hideMark/>
          </w:tcPr>
          <w:p w:rsidRPr="00C33B46" w:rsidR="00905359" w:rsidP="00677AB0" w:rsidRDefault="00905359">
            <w:pPr>
              <w:jc w:val="center"/>
              <w:rPr>
                <w:color w:val="000000"/>
                <w:sz w:val="20"/>
                <w:szCs w:val="20"/>
              </w:rPr>
            </w:pPr>
            <w:r w:rsidRPr="009A4B52">
              <w:rPr>
                <w:color w:val="000000"/>
                <w:sz w:val="20"/>
                <w:szCs w:val="20"/>
              </w:rPr>
              <w:t>50</w:t>
            </w:r>
          </w:p>
        </w:tc>
        <w:tc>
          <w:tcPr>
            <w:tcW w:w="1038" w:type="dxa"/>
            <w:tcBorders>
              <w:top w:val="single" w:color="CCCCCC" w:sz="6" w:space="0"/>
              <w:left w:val="single" w:color="CCCCCC" w:sz="6" w:space="0"/>
              <w:bottom w:val="single" w:color="000000" w:sz="6" w:space="0"/>
              <w:right w:val="single" w:color="000000" w:sz="6" w:space="0"/>
            </w:tcBorders>
            <w:vAlign w:val="bottom"/>
            <w:hideMark/>
          </w:tcPr>
          <w:p w:rsidRPr="00C33B46" w:rsidR="00905359" w:rsidP="00677AB0" w:rsidRDefault="00905359">
            <w:pPr>
              <w:jc w:val="center"/>
              <w:rPr>
                <w:color w:val="000000"/>
                <w:sz w:val="20"/>
                <w:szCs w:val="20"/>
              </w:rPr>
            </w:pPr>
            <w:r w:rsidRPr="009A4B52">
              <w:rPr>
                <w:color w:val="000000"/>
                <w:sz w:val="20"/>
                <w:szCs w:val="20"/>
              </w:rPr>
              <w:t>5</w:t>
            </w:r>
          </w:p>
        </w:tc>
        <w:tc>
          <w:tcPr>
            <w:tcW w:w="1132" w:type="dxa"/>
            <w:tcBorders>
              <w:top w:val="single" w:color="CCCCCC" w:sz="6" w:space="0"/>
              <w:left w:val="single" w:color="CCCCCC" w:sz="6" w:space="0"/>
              <w:bottom w:val="single" w:color="000000" w:sz="6" w:space="0"/>
              <w:right w:val="single" w:color="000000" w:sz="6" w:space="0"/>
            </w:tcBorders>
            <w:vAlign w:val="center"/>
            <w:hideMark/>
          </w:tcPr>
          <w:p w:rsidRPr="00C33B46" w:rsidR="00905359" w:rsidP="00677AB0" w:rsidRDefault="00905359">
            <w:pPr>
              <w:jc w:val="center"/>
              <w:rPr>
                <w:sz w:val="20"/>
                <w:szCs w:val="20"/>
              </w:rPr>
            </w:pPr>
            <w:r>
              <w:rPr>
                <w:sz w:val="20"/>
                <w:szCs w:val="20"/>
              </w:rPr>
              <w:t>5</w:t>
            </w:r>
          </w:p>
        </w:tc>
        <w:tc>
          <w:tcPr>
            <w:tcW w:w="877" w:type="dxa"/>
            <w:tcBorders>
              <w:top w:val="single" w:color="CCCCCC" w:sz="6" w:space="0"/>
              <w:left w:val="single" w:color="CCCCCC" w:sz="6" w:space="0"/>
              <w:bottom w:val="single" w:color="000000" w:sz="6" w:space="0"/>
              <w:right w:val="single" w:color="000000" w:sz="6" w:space="0"/>
            </w:tcBorders>
            <w:vAlign w:val="center"/>
            <w:hideMark/>
          </w:tcPr>
          <w:p w:rsidRPr="00C33B46" w:rsidR="00905359" w:rsidP="00677AB0" w:rsidRDefault="00905359">
            <w:pPr>
              <w:jc w:val="center"/>
              <w:rPr>
                <w:sz w:val="20"/>
                <w:szCs w:val="20"/>
              </w:rPr>
            </w:pPr>
            <w:r w:rsidRPr="009A4B52">
              <w:rPr>
                <w:sz w:val="20"/>
                <w:szCs w:val="20"/>
              </w:rPr>
              <w:t>$100</w:t>
            </w:r>
          </w:p>
        </w:tc>
      </w:tr>
      <w:tr w:rsidRPr="00C33B46" w:rsidR="00905359" w:rsidTr="00677AB0">
        <w:trPr>
          <w:trHeight w:val="318"/>
          <w:jc w:val="center"/>
        </w:trPr>
        <w:tc>
          <w:tcPr>
            <w:tcW w:w="2723" w:type="dxa"/>
            <w:tcBorders>
              <w:top w:val="single" w:color="CCCCCC" w:sz="6" w:space="0"/>
              <w:left w:val="single" w:color="000000" w:sz="6" w:space="0"/>
              <w:bottom w:val="single" w:color="000000" w:sz="6" w:space="0"/>
              <w:right w:val="single" w:color="000000" w:sz="6" w:space="0"/>
            </w:tcBorders>
            <w:vAlign w:val="bottom"/>
          </w:tcPr>
          <w:p w:rsidRPr="00C33B46" w:rsidR="00905359" w:rsidP="00677AB0" w:rsidRDefault="00905359">
            <w:pPr>
              <w:rPr>
                <w:bCs/>
                <w:color w:val="000000"/>
                <w:sz w:val="20"/>
                <w:szCs w:val="20"/>
              </w:rPr>
            </w:pPr>
            <w:r w:rsidRPr="009A4B52">
              <w:rPr>
                <w:color w:val="000000"/>
                <w:sz w:val="20"/>
                <w:szCs w:val="20"/>
              </w:rPr>
              <w:t>Catch monitor provider contracts</w:t>
            </w:r>
          </w:p>
        </w:tc>
        <w:tc>
          <w:tcPr>
            <w:tcW w:w="1226" w:type="dxa"/>
            <w:vMerge/>
            <w:tcBorders>
              <w:left w:val="single" w:color="CCCCCC" w:sz="6" w:space="0"/>
              <w:right w:val="single" w:color="000000" w:sz="6" w:space="0"/>
            </w:tcBorders>
            <w:vAlign w:val="center"/>
          </w:tcPr>
          <w:p w:rsidRPr="00C33B46" w:rsidR="00905359" w:rsidP="00677AB0" w:rsidRDefault="00905359">
            <w:pPr>
              <w:jc w:val="center"/>
              <w:rPr>
                <w:bCs/>
                <w:color w:val="000000"/>
                <w:sz w:val="20"/>
                <w:szCs w:val="20"/>
              </w:rPr>
            </w:pPr>
          </w:p>
        </w:tc>
        <w:tc>
          <w:tcPr>
            <w:tcW w:w="1632" w:type="dxa"/>
            <w:tcBorders>
              <w:top w:val="single" w:color="CCCCCC" w:sz="6" w:space="0"/>
              <w:left w:val="single" w:color="CCCCCC" w:sz="6" w:space="0"/>
              <w:bottom w:val="single" w:color="000000" w:sz="6" w:space="0"/>
              <w:right w:val="single" w:color="000000" w:sz="6" w:space="0"/>
            </w:tcBorders>
            <w:vAlign w:val="bottom"/>
          </w:tcPr>
          <w:p w:rsidRPr="00C33B46" w:rsidR="00905359" w:rsidP="00677AB0" w:rsidRDefault="00905359">
            <w:pPr>
              <w:jc w:val="center"/>
              <w:rPr>
                <w:color w:val="000000"/>
                <w:sz w:val="20"/>
                <w:szCs w:val="20"/>
              </w:rPr>
            </w:pPr>
            <w:r w:rsidRPr="009A4B52">
              <w:rPr>
                <w:color w:val="000000"/>
                <w:sz w:val="20"/>
                <w:szCs w:val="20"/>
              </w:rPr>
              <w:t>25</w:t>
            </w:r>
          </w:p>
        </w:tc>
        <w:tc>
          <w:tcPr>
            <w:tcW w:w="1102" w:type="dxa"/>
            <w:tcBorders>
              <w:top w:val="single" w:color="CCCCCC" w:sz="6" w:space="0"/>
              <w:left w:val="single" w:color="CCCCCC" w:sz="6" w:space="0"/>
              <w:bottom w:val="single" w:color="000000" w:sz="6" w:space="0"/>
              <w:right w:val="single" w:color="000000" w:sz="6" w:space="0"/>
            </w:tcBorders>
            <w:vAlign w:val="bottom"/>
          </w:tcPr>
          <w:p w:rsidRPr="00C33B46" w:rsidR="00905359" w:rsidP="00677AB0" w:rsidRDefault="00905359">
            <w:pPr>
              <w:jc w:val="center"/>
              <w:rPr>
                <w:color w:val="000000"/>
                <w:sz w:val="20"/>
                <w:szCs w:val="20"/>
              </w:rPr>
            </w:pPr>
            <w:r w:rsidRPr="009A4B52">
              <w:rPr>
                <w:color w:val="000000"/>
                <w:sz w:val="20"/>
                <w:szCs w:val="20"/>
              </w:rPr>
              <w:t>125</w:t>
            </w:r>
          </w:p>
        </w:tc>
        <w:tc>
          <w:tcPr>
            <w:tcW w:w="1038" w:type="dxa"/>
            <w:tcBorders>
              <w:top w:val="single" w:color="CCCCCC" w:sz="6" w:space="0"/>
              <w:left w:val="single" w:color="CCCCCC" w:sz="6" w:space="0"/>
              <w:bottom w:val="single" w:color="000000" w:sz="6" w:space="0"/>
              <w:right w:val="single" w:color="000000" w:sz="6" w:space="0"/>
            </w:tcBorders>
            <w:vAlign w:val="bottom"/>
          </w:tcPr>
          <w:p w:rsidRPr="00C33B46" w:rsidR="00905359" w:rsidP="00677AB0" w:rsidRDefault="00905359">
            <w:pPr>
              <w:jc w:val="center"/>
              <w:rPr>
                <w:color w:val="000000"/>
                <w:sz w:val="20"/>
                <w:szCs w:val="20"/>
              </w:rPr>
            </w:pPr>
            <w:r w:rsidRPr="009A4B52">
              <w:rPr>
                <w:color w:val="000000"/>
                <w:sz w:val="20"/>
                <w:szCs w:val="20"/>
              </w:rPr>
              <w:t>5</w:t>
            </w:r>
          </w:p>
        </w:tc>
        <w:tc>
          <w:tcPr>
            <w:tcW w:w="1132" w:type="dxa"/>
            <w:tcBorders>
              <w:top w:val="single" w:color="CCCCCC" w:sz="6" w:space="0"/>
              <w:left w:val="single" w:color="CCCCCC" w:sz="6" w:space="0"/>
              <w:bottom w:val="single" w:color="000000" w:sz="6" w:space="0"/>
              <w:right w:val="single" w:color="000000" w:sz="6" w:space="0"/>
            </w:tcBorders>
            <w:vAlign w:val="center"/>
          </w:tcPr>
          <w:p w:rsidRPr="00C33B46" w:rsidR="00905359" w:rsidP="00677AB0" w:rsidRDefault="00905359">
            <w:pPr>
              <w:jc w:val="center"/>
              <w:rPr>
                <w:sz w:val="20"/>
                <w:szCs w:val="20"/>
              </w:rPr>
            </w:pPr>
            <w:r w:rsidRPr="009A4B52">
              <w:rPr>
                <w:sz w:val="20"/>
                <w:szCs w:val="20"/>
              </w:rPr>
              <w:t>10</w:t>
            </w:r>
          </w:p>
        </w:tc>
        <w:tc>
          <w:tcPr>
            <w:tcW w:w="877" w:type="dxa"/>
            <w:tcBorders>
              <w:top w:val="single" w:color="CCCCCC" w:sz="6" w:space="0"/>
              <w:left w:val="single" w:color="CCCCCC" w:sz="6" w:space="0"/>
              <w:bottom w:val="single" w:color="000000" w:sz="6" w:space="0"/>
              <w:right w:val="single" w:color="000000" w:sz="6" w:space="0"/>
            </w:tcBorders>
            <w:vAlign w:val="center"/>
          </w:tcPr>
          <w:p w:rsidRPr="00C33B46" w:rsidR="00905359" w:rsidP="00677AB0" w:rsidRDefault="00905359">
            <w:pPr>
              <w:jc w:val="center"/>
              <w:rPr>
                <w:sz w:val="20"/>
                <w:szCs w:val="20"/>
              </w:rPr>
            </w:pPr>
            <w:r w:rsidRPr="009A4B52">
              <w:rPr>
                <w:sz w:val="20"/>
                <w:szCs w:val="20"/>
              </w:rPr>
              <w:t>$250</w:t>
            </w:r>
          </w:p>
        </w:tc>
      </w:tr>
      <w:tr w:rsidRPr="009A4B52" w:rsidR="00905359" w:rsidTr="00677AB0">
        <w:trPr>
          <w:trHeight w:val="318"/>
          <w:jc w:val="center"/>
        </w:trPr>
        <w:tc>
          <w:tcPr>
            <w:tcW w:w="2723" w:type="dxa"/>
            <w:tcBorders>
              <w:top w:val="single" w:color="CCCCCC" w:sz="6" w:space="0"/>
              <w:left w:val="single" w:color="000000" w:sz="6" w:space="0"/>
              <w:bottom w:val="single" w:color="000000" w:sz="6" w:space="0"/>
              <w:right w:val="single" w:color="000000" w:sz="6" w:space="0"/>
            </w:tcBorders>
            <w:vAlign w:val="bottom"/>
          </w:tcPr>
          <w:p w:rsidRPr="009A4B52" w:rsidR="00905359" w:rsidP="00677AB0" w:rsidRDefault="00905359">
            <w:pPr>
              <w:rPr>
                <w:color w:val="000000"/>
                <w:sz w:val="20"/>
                <w:szCs w:val="20"/>
              </w:rPr>
            </w:pPr>
            <w:r w:rsidRPr="009A4B52">
              <w:rPr>
                <w:color w:val="000000"/>
                <w:sz w:val="20"/>
                <w:szCs w:val="20"/>
              </w:rPr>
              <w:t>Observer training/briefing registration</w:t>
            </w:r>
          </w:p>
        </w:tc>
        <w:tc>
          <w:tcPr>
            <w:tcW w:w="1226" w:type="dxa"/>
            <w:vMerge/>
            <w:tcBorders>
              <w:left w:val="single" w:color="CCCCCC" w:sz="6" w:space="0"/>
              <w:right w:val="single" w:color="000000" w:sz="6" w:space="0"/>
            </w:tcBorders>
            <w:vAlign w:val="center"/>
          </w:tcPr>
          <w:p w:rsidRPr="00C33B46" w:rsidR="00905359" w:rsidP="00677AB0" w:rsidRDefault="00905359">
            <w:pPr>
              <w:jc w:val="center"/>
              <w:rPr>
                <w:bCs/>
                <w:color w:val="000000"/>
                <w:sz w:val="20"/>
                <w:szCs w:val="20"/>
              </w:rPr>
            </w:pPr>
          </w:p>
        </w:tc>
        <w:tc>
          <w:tcPr>
            <w:tcW w:w="1632" w:type="dxa"/>
            <w:tcBorders>
              <w:top w:val="single" w:color="CCCCCC" w:sz="6" w:space="0"/>
              <w:left w:val="single" w:color="CCCCCC"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r w:rsidRPr="009A4B52">
              <w:rPr>
                <w:color w:val="000000"/>
                <w:sz w:val="20"/>
                <w:szCs w:val="20"/>
              </w:rPr>
              <w:t>30</w:t>
            </w:r>
          </w:p>
        </w:tc>
        <w:tc>
          <w:tcPr>
            <w:tcW w:w="1102" w:type="dxa"/>
            <w:tcBorders>
              <w:top w:val="single" w:color="CCCCCC" w:sz="6" w:space="0"/>
              <w:left w:val="single" w:color="CCCCCC"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r w:rsidRPr="009A4B52">
              <w:rPr>
                <w:color w:val="000000"/>
                <w:sz w:val="20"/>
                <w:szCs w:val="20"/>
              </w:rPr>
              <w:t>150</w:t>
            </w:r>
          </w:p>
        </w:tc>
        <w:tc>
          <w:tcPr>
            <w:tcW w:w="1038" w:type="dxa"/>
            <w:tcBorders>
              <w:top w:val="single" w:color="CCCCCC" w:sz="6" w:space="0"/>
              <w:left w:val="single" w:color="CCCCCC"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r w:rsidRPr="009A4B52">
              <w:rPr>
                <w:color w:val="000000"/>
                <w:sz w:val="20"/>
                <w:szCs w:val="20"/>
              </w:rPr>
              <w:t>15</w:t>
            </w:r>
          </w:p>
        </w:tc>
        <w:tc>
          <w:tcPr>
            <w:tcW w:w="1132" w:type="dxa"/>
            <w:tcBorders>
              <w:top w:val="single" w:color="CCCCCC" w:sz="6" w:space="0"/>
              <w:left w:val="single" w:color="CCCCCC" w:sz="6" w:space="0"/>
              <w:bottom w:val="single" w:color="000000" w:sz="6" w:space="0"/>
              <w:right w:val="single" w:color="000000" w:sz="6" w:space="0"/>
            </w:tcBorders>
            <w:vAlign w:val="center"/>
          </w:tcPr>
          <w:p w:rsidRPr="009A4B52" w:rsidR="00905359" w:rsidP="00677AB0" w:rsidRDefault="00905359">
            <w:pPr>
              <w:jc w:val="center"/>
              <w:rPr>
                <w:sz w:val="20"/>
                <w:szCs w:val="20"/>
              </w:rPr>
            </w:pPr>
            <w:r w:rsidRPr="009A4B52">
              <w:rPr>
                <w:color w:val="000000"/>
                <w:sz w:val="20"/>
                <w:szCs w:val="20"/>
              </w:rPr>
              <w:t>38</w:t>
            </w:r>
          </w:p>
        </w:tc>
        <w:tc>
          <w:tcPr>
            <w:tcW w:w="877" w:type="dxa"/>
            <w:tcBorders>
              <w:top w:val="single" w:color="CCCCCC" w:sz="6" w:space="0"/>
              <w:left w:val="single" w:color="CCCCCC" w:sz="6" w:space="0"/>
              <w:bottom w:val="single" w:color="000000" w:sz="6" w:space="0"/>
              <w:right w:val="single" w:color="000000" w:sz="6" w:space="0"/>
            </w:tcBorders>
            <w:vAlign w:val="center"/>
          </w:tcPr>
          <w:p w:rsidRPr="009A4B52" w:rsidR="00905359" w:rsidP="00677AB0" w:rsidRDefault="00905359">
            <w:pPr>
              <w:jc w:val="center"/>
              <w:rPr>
                <w:sz w:val="20"/>
                <w:szCs w:val="20"/>
              </w:rPr>
            </w:pPr>
            <w:r w:rsidRPr="009A4B52">
              <w:rPr>
                <w:sz w:val="20"/>
                <w:szCs w:val="20"/>
              </w:rPr>
              <w:t>$950</w:t>
            </w:r>
          </w:p>
        </w:tc>
      </w:tr>
      <w:tr w:rsidRPr="009A4B52" w:rsidR="00905359" w:rsidTr="00677AB0">
        <w:trPr>
          <w:trHeight w:val="318"/>
          <w:jc w:val="center"/>
        </w:trPr>
        <w:tc>
          <w:tcPr>
            <w:tcW w:w="2723" w:type="dxa"/>
            <w:tcBorders>
              <w:top w:val="single" w:color="CCCCCC" w:sz="6" w:space="0"/>
              <w:left w:val="single" w:color="000000" w:sz="6" w:space="0"/>
              <w:bottom w:val="single" w:color="000000" w:sz="6" w:space="0"/>
              <w:right w:val="single" w:color="000000" w:sz="6" w:space="0"/>
            </w:tcBorders>
            <w:vAlign w:val="bottom"/>
          </w:tcPr>
          <w:p w:rsidRPr="009A4B52" w:rsidR="00905359" w:rsidP="00677AB0" w:rsidRDefault="00905359">
            <w:pPr>
              <w:rPr>
                <w:color w:val="000000"/>
                <w:sz w:val="20"/>
                <w:szCs w:val="20"/>
              </w:rPr>
            </w:pPr>
            <w:r w:rsidRPr="009A4B52">
              <w:rPr>
                <w:color w:val="000000"/>
                <w:sz w:val="20"/>
                <w:szCs w:val="20"/>
              </w:rPr>
              <w:t>Observer debriefing registration</w:t>
            </w:r>
          </w:p>
        </w:tc>
        <w:tc>
          <w:tcPr>
            <w:tcW w:w="1226" w:type="dxa"/>
            <w:vMerge/>
            <w:tcBorders>
              <w:left w:val="single" w:color="CCCCCC" w:sz="6" w:space="0"/>
              <w:right w:val="single" w:color="000000" w:sz="6" w:space="0"/>
            </w:tcBorders>
            <w:vAlign w:val="center"/>
          </w:tcPr>
          <w:p w:rsidRPr="00C33B46" w:rsidR="00905359" w:rsidP="00677AB0" w:rsidRDefault="00905359">
            <w:pPr>
              <w:jc w:val="center"/>
              <w:rPr>
                <w:bCs/>
                <w:color w:val="000000"/>
                <w:sz w:val="20"/>
                <w:szCs w:val="20"/>
              </w:rPr>
            </w:pPr>
          </w:p>
        </w:tc>
        <w:tc>
          <w:tcPr>
            <w:tcW w:w="1632" w:type="dxa"/>
            <w:tcBorders>
              <w:top w:val="single" w:color="CCCCCC" w:sz="6" w:space="0"/>
              <w:left w:val="single" w:color="CCCCCC"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r w:rsidRPr="009A4B52">
              <w:rPr>
                <w:color w:val="000000"/>
                <w:sz w:val="20"/>
                <w:szCs w:val="20"/>
              </w:rPr>
              <w:t>30</w:t>
            </w:r>
          </w:p>
        </w:tc>
        <w:tc>
          <w:tcPr>
            <w:tcW w:w="1102" w:type="dxa"/>
            <w:tcBorders>
              <w:top w:val="single" w:color="CCCCCC" w:sz="6" w:space="0"/>
              <w:left w:val="single" w:color="CCCCCC"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r w:rsidRPr="009A4B52">
              <w:rPr>
                <w:color w:val="000000"/>
                <w:sz w:val="20"/>
                <w:szCs w:val="20"/>
              </w:rPr>
              <w:t>150</w:t>
            </w:r>
          </w:p>
        </w:tc>
        <w:tc>
          <w:tcPr>
            <w:tcW w:w="1038" w:type="dxa"/>
            <w:tcBorders>
              <w:top w:val="single" w:color="CCCCCC" w:sz="6" w:space="0"/>
              <w:left w:val="single" w:color="CCCCCC"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r w:rsidRPr="009A4B52">
              <w:rPr>
                <w:color w:val="000000"/>
                <w:sz w:val="20"/>
                <w:szCs w:val="20"/>
              </w:rPr>
              <w:t>10</w:t>
            </w:r>
          </w:p>
        </w:tc>
        <w:tc>
          <w:tcPr>
            <w:tcW w:w="1132" w:type="dxa"/>
            <w:tcBorders>
              <w:top w:val="single" w:color="CCCCCC" w:sz="6" w:space="0"/>
              <w:left w:val="single" w:color="CCCCCC" w:sz="6" w:space="0"/>
              <w:bottom w:val="single" w:color="000000" w:sz="6" w:space="0"/>
              <w:right w:val="single" w:color="000000" w:sz="6" w:space="0"/>
            </w:tcBorders>
            <w:vAlign w:val="center"/>
          </w:tcPr>
          <w:p w:rsidRPr="009A4B52" w:rsidR="00905359" w:rsidP="00677AB0" w:rsidRDefault="00905359">
            <w:pPr>
              <w:jc w:val="center"/>
              <w:rPr>
                <w:sz w:val="20"/>
                <w:szCs w:val="20"/>
              </w:rPr>
            </w:pPr>
            <w:r w:rsidRPr="009A4B52">
              <w:rPr>
                <w:sz w:val="20"/>
                <w:szCs w:val="20"/>
              </w:rPr>
              <w:t>25</w:t>
            </w:r>
          </w:p>
        </w:tc>
        <w:tc>
          <w:tcPr>
            <w:tcW w:w="877" w:type="dxa"/>
            <w:tcBorders>
              <w:top w:val="single" w:color="CCCCCC" w:sz="6" w:space="0"/>
              <w:left w:val="single" w:color="CCCCCC" w:sz="6" w:space="0"/>
              <w:bottom w:val="single" w:color="000000" w:sz="6" w:space="0"/>
              <w:right w:val="single" w:color="000000" w:sz="6" w:space="0"/>
            </w:tcBorders>
            <w:vAlign w:val="center"/>
          </w:tcPr>
          <w:p w:rsidRPr="009A4B52" w:rsidR="00905359" w:rsidP="00677AB0" w:rsidRDefault="00905359">
            <w:pPr>
              <w:jc w:val="center"/>
              <w:rPr>
                <w:sz w:val="20"/>
                <w:szCs w:val="20"/>
              </w:rPr>
            </w:pPr>
            <w:r w:rsidRPr="009A4B52">
              <w:rPr>
                <w:sz w:val="20"/>
                <w:szCs w:val="20"/>
              </w:rPr>
              <w:t>$625</w:t>
            </w:r>
          </w:p>
        </w:tc>
      </w:tr>
      <w:tr w:rsidRPr="009A4B52" w:rsidR="00905359" w:rsidTr="00677AB0">
        <w:trPr>
          <w:trHeight w:val="318"/>
          <w:jc w:val="center"/>
        </w:trPr>
        <w:tc>
          <w:tcPr>
            <w:tcW w:w="2723" w:type="dxa"/>
            <w:tcBorders>
              <w:top w:val="single" w:color="CCCCCC" w:sz="6" w:space="0"/>
              <w:left w:val="single" w:color="000000" w:sz="6" w:space="0"/>
              <w:bottom w:val="single" w:color="000000" w:sz="6" w:space="0"/>
              <w:right w:val="single" w:color="000000" w:sz="6" w:space="0"/>
            </w:tcBorders>
            <w:vAlign w:val="bottom"/>
          </w:tcPr>
          <w:p w:rsidRPr="009A4B52" w:rsidR="00905359" w:rsidP="00677AB0" w:rsidRDefault="00905359">
            <w:pPr>
              <w:rPr>
                <w:color w:val="000000"/>
                <w:sz w:val="20"/>
                <w:szCs w:val="20"/>
              </w:rPr>
            </w:pPr>
            <w:r w:rsidRPr="009A4B52">
              <w:rPr>
                <w:color w:val="000000"/>
                <w:sz w:val="20"/>
                <w:szCs w:val="20"/>
              </w:rPr>
              <w:t>Catch monitor training/briefing registration</w:t>
            </w:r>
          </w:p>
        </w:tc>
        <w:tc>
          <w:tcPr>
            <w:tcW w:w="1226" w:type="dxa"/>
            <w:vMerge/>
            <w:tcBorders>
              <w:left w:val="single" w:color="CCCCCC" w:sz="6" w:space="0"/>
              <w:right w:val="single" w:color="000000" w:sz="6" w:space="0"/>
            </w:tcBorders>
            <w:vAlign w:val="center"/>
          </w:tcPr>
          <w:p w:rsidRPr="00C33B46" w:rsidR="00905359" w:rsidP="00677AB0" w:rsidRDefault="00905359">
            <w:pPr>
              <w:jc w:val="center"/>
              <w:rPr>
                <w:bCs/>
                <w:color w:val="000000"/>
                <w:sz w:val="20"/>
                <w:szCs w:val="20"/>
              </w:rPr>
            </w:pPr>
          </w:p>
        </w:tc>
        <w:tc>
          <w:tcPr>
            <w:tcW w:w="1632" w:type="dxa"/>
            <w:tcBorders>
              <w:top w:val="single" w:color="CCCCCC" w:sz="6" w:space="0"/>
              <w:left w:val="single" w:color="CCCCCC"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r w:rsidRPr="009A4B52">
              <w:rPr>
                <w:color w:val="000000"/>
                <w:sz w:val="20"/>
                <w:szCs w:val="20"/>
              </w:rPr>
              <w:t>16</w:t>
            </w:r>
          </w:p>
        </w:tc>
        <w:tc>
          <w:tcPr>
            <w:tcW w:w="1102" w:type="dxa"/>
            <w:tcBorders>
              <w:top w:val="single" w:color="CCCCCC" w:sz="6" w:space="0"/>
              <w:left w:val="single" w:color="CCCCCC"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r w:rsidRPr="009A4B52">
              <w:rPr>
                <w:color w:val="000000"/>
                <w:sz w:val="20"/>
                <w:szCs w:val="20"/>
              </w:rPr>
              <w:t>80</w:t>
            </w:r>
          </w:p>
        </w:tc>
        <w:tc>
          <w:tcPr>
            <w:tcW w:w="1038" w:type="dxa"/>
            <w:tcBorders>
              <w:top w:val="single" w:color="CCCCCC" w:sz="6" w:space="0"/>
              <w:left w:val="single" w:color="CCCCCC"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r w:rsidRPr="009A4B52">
              <w:rPr>
                <w:color w:val="000000"/>
                <w:sz w:val="20"/>
                <w:szCs w:val="20"/>
              </w:rPr>
              <w:t>30</w:t>
            </w:r>
          </w:p>
        </w:tc>
        <w:tc>
          <w:tcPr>
            <w:tcW w:w="1132" w:type="dxa"/>
            <w:tcBorders>
              <w:top w:val="single" w:color="CCCCCC" w:sz="6" w:space="0"/>
              <w:left w:val="single" w:color="CCCCCC" w:sz="6" w:space="0"/>
              <w:bottom w:val="single" w:color="000000" w:sz="6" w:space="0"/>
              <w:right w:val="single" w:color="000000" w:sz="6" w:space="0"/>
            </w:tcBorders>
            <w:vAlign w:val="center"/>
          </w:tcPr>
          <w:p w:rsidRPr="009A4B52" w:rsidR="00905359" w:rsidP="00677AB0" w:rsidRDefault="00905359">
            <w:pPr>
              <w:jc w:val="center"/>
              <w:rPr>
                <w:sz w:val="20"/>
                <w:szCs w:val="20"/>
              </w:rPr>
            </w:pPr>
            <w:r w:rsidRPr="009A4B52">
              <w:rPr>
                <w:sz w:val="20"/>
                <w:szCs w:val="20"/>
              </w:rPr>
              <w:t>40</w:t>
            </w:r>
          </w:p>
        </w:tc>
        <w:tc>
          <w:tcPr>
            <w:tcW w:w="877" w:type="dxa"/>
            <w:tcBorders>
              <w:top w:val="single" w:color="CCCCCC" w:sz="6" w:space="0"/>
              <w:left w:val="single" w:color="CCCCCC" w:sz="6" w:space="0"/>
              <w:bottom w:val="single" w:color="000000" w:sz="6" w:space="0"/>
              <w:right w:val="single" w:color="000000" w:sz="6" w:space="0"/>
            </w:tcBorders>
            <w:vAlign w:val="center"/>
          </w:tcPr>
          <w:p w:rsidRPr="009A4B52" w:rsidR="00905359" w:rsidP="00677AB0" w:rsidRDefault="00905359">
            <w:pPr>
              <w:jc w:val="center"/>
              <w:rPr>
                <w:sz w:val="20"/>
                <w:szCs w:val="20"/>
              </w:rPr>
            </w:pPr>
            <w:r w:rsidRPr="009A4B52">
              <w:rPr>
                <w:sz w:val="20"/>
                <w:szCs w:val="20"/>
              </w:rPr>
              <w:t>$1,000</w:t>
            </w:r>
          </w:p>
        </w:tc>
      </w:tr>
      <w:tr w:rsidRPr="009A4B52" w:rsidR="00905359" w:rsidTr="00677AB0">
        <w:trPr>
          <w:trHeight w:val="318"/>
          <w:jc w:val="center"/>
        </w:trPr>
        <w:tc>
          <w:tcPr>
            <w:tcW w:w="2723" w:type="dxa"/>
            <w:tcBorders>
              <w:top w:val="single" w:color="CCCCCC" w:sz="6" w:space="0"/>
              <w:left w:val="single" w:color="000000" w:sz="6" w:space="0"/>
              <w:bottom w:val="single" w:color="000000" w:sz="6" w:space="0"/>
              <w:right w:val="single" w:color="000000" w:sz="6" w:space="0"/>
            </w:tcBorders>
            <w:vAlign w:val="bottom"/>
          </w:tcPr>
          <w:p w:rsidRPr="009A4B52" w:rsidR="00905359" w:rsidP="00677AB0" w:rsidRDefault="00905359">
            <w:pPr>
              <w:rPr>
                <w:color w:val="000000"/>
                <w:sz w:val="20"/>
                <w:szCs w:val="20"/>
              </w:rPr>
            </w:pPr>
            <w:r w:rsidRPr="009A4B52">
              <w:rPr>
                <w:color w:val="000000"/>
                <w:sz w:val="20"/>
                <w:szCs w:val="20"/>
              </w:rPr>
              <w:t>Catch monitor debriefing registration</w:t>
            </w:r>
          </w:p>
        </w:tc>
        <w:tc>
          <w:tcPr>
            <w:tcW w:w="1226" w:type="dxa"/>
            <w:vMerge/>
            <w:tcBorders>
              <w:left w:val="single" w:color="CCCCCC" w:sz="6" w:space="0"/>
              <w:right w:val="single" w:color="000000" w:sz="6" w:space="0"/>
            </w:tcBorders>
            <w:vAlign w:val="center"/>
          </w:tcPr>
          <w:p w:rsidRPr="00C33B46" w:rsidR="00905359" w:rsidP="00677AB0" w:rsidRDefault="00905359">
            <w:pPr>
              <w:jc w:val="center"/>
              <w:rPr>
                <w:bCs/>
                <w:color w:val="000000"/>
                <w:sz w:val="20"/>
                <w:szCs w:val="20"/>
              </w:rPr>
            </w:pPr>
          </w:p>
        </w:tc>
        <w:tc>
          <w:tcPr>
            <w:tcW w:w="1632" w:type="dxa"/>
            <w:tcBorders>
              <w:top w:val="single" w:color="CCCCCC" w:sz="6" w:space="0"/>
              <w:left w:val="single" w:color="CCCCCC"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r w:rsidRPr="009A4B52">
              <w:rPr>
                <w:color w:val="000000"/>
                <w:sz w:val="20"/>
                <w:szCs w:val="20"/>
              </w:rPr>
              <w:t>16</w:t>
            </w:r>
          </w:p>
        </w:tc>
        <w:tc>
          <w:tcPr>
            <w:tcW w:w="1102" w:type="dxa"/>
            <w:tcBorders>
              <w:top w:val="single" w:color="CCCCCC" w:sz="6" w:space="0"/>
              <w:left w:val="single" w:color="CCCCCC"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r w:rsidRPr="009A4B52">
              <w:rPr>
                <w:color w:val="000000"/>
                <w:sz w:val="20"/>
                <w:szCs w:val="20"/>
              </w:rPr>
              <w:t>80</w:t>
            </w:r>
          </w:p>
        </w:tc>
        <w:tc>
          <w:tcPr>
            <w:tcW w:w="1038" w:type="dxa"/>
            <w:tcBorders>
              <w:top w:val="single" w:color="CCCCCC" w:sz="6" w:space="0"/>
              <w:left w:val="single" w:color="CCCCCC"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r w:rsidRPr="009A4B52">
              <w:rPr>
                <w:color w:val="000000"/>
                <w:sz w:val="20"/>
                <w:szCs w:val="20"/>
              </w:rPr>
              <w:t>15</w:t>
            </w:r>
          </w:p>
        </w:tc>
        <w:tc>
          <w:tcPr>
            <w:tcW w:w="1132" w:type="dxa"/>
            <w:tcBorders>
              <w:top w:val="single" w:color="CCCCCC" w:sz="6" w:space="0"/>
              <w:left w:val="single" w:color="CCCCCC" w:sz="6" w:space="0"/>
              <w:bottom w:val="single" w:color="000000" w:sz="6" w:space="0"/>
              <w:right w:val="single" w:color="000000" w:sz="6" w:space="0"/>
            </w:tcBorders>
            <w:vAlign w:val="center"/>
          </w:tcPr>
          <w:p w:rsidRPr="009A4B52" w:rsidR="00905359" w:rsidP="00677AB0" w:rsidRDefault="00905359">
            <w:pPr>
              <w:jc w:val="center"/>
              <w:rPr>
                <w:sz w:val="20"/>
                <w:szCs w:val="20"/>
              </w:rPr>
            </w:pPr>
            <w:r w:rsidRPr="009A4B52">
              <w:rPr>
                <w:sz w:val="20"/>
                <w:szCs w:val="20"/>
              </w:rPr>
              <w:t>20</w:t>
            </w:r>
          </w:p>
        </w:tc>
        <w:tc>
          <w:tcPr>
            <w:tcW w:w="877" w:type="dxa"/>
            <w:tcBorders>
              <w:top w:val="single" w:color="CCCCCC" w:sz="6" w:space="0"/>
              <w:left w:val="single" w:color="CCCCCC" w:sz="6" w:space="0"/>
              <w:bottom w:val="single" w:color="000000" w:sz="6" w:space="0"/>
              <w:right w:val="single" w:color="000000" w:sz="6" w:space="0"/>
            </w:tcBorders>
            <w:vAlign w:val="center"/>
          </w:tcPr>
          <w:p w:rsidRPr="009A4B52" w:rsidR="00905359" w:rsidP="00677AB0" w:rsidRDefault="00905359">
            <w:pPr>
              <w:jc w:val="center"/>
              <w:rPr>
                <w:sz w:val="20"/>
                <w:szCs w:val="20"/>
              </w:rPr>
            </w:pPr>
            <w:r w:rsidRPr="009A4B52">
              <w:rPr>
                <w:sz w:val="20"/>
                <w:szCs w:val="20"/>
              </w:rPr>
              <w:t>$500</w:t>
            </w:r>
          </w:p>
        </w:tc>
      </w:tr>
      <w:tr w:rsidRPr="009A4B52" w:rsidR="00905359" w:rsidTr="00677AB0">
        <w:trPr>
          <w:trHeight w:val="318"/>
          <w:jc w:val="center"/>
        </w:trPr>
        <w:tc>
          <w:tcPr>
            <w:tcW w:w="2723" w:type="dxa"/>
            <w:tcBorders>
              <w:top w:val="single" w:color="CCCCCC" w:sz="6" w:space="0"/>
              <w:left w:val="single" w:color="000000" w:sz="6" w:space="0"/>
              <w:bottom w:val="single" w:color="000000" w:sz="6" w:space="0"/>
              <w:right w:val="single" w:color="000000" w:sz="6" w:space="0"/>
            </w:tcBorders>
            <w:vAlign w:val="bottom"/>
          </w:tcPr>
          <w:p w:rsidRPr="009A4B52" w:rsidR="00905359" w:rsidP="00677AB0" w:rsidRDefault="00905359">
            <w:pPr>
              <w:rPr>
                <w:color w:val="000000"/>
                <w:sz w:val="20"/>
                <w:szCs w:val="20"/>
              </w:rPr>
            </w:pPr>
            <w:r w:rsidRPr="009A4B52">
              <w:rPr>
                <w:color w:val="000000"/>
                <w:sz w:val="20"/>
                <w:szCs w:val="20"/>
              </w:rPr>
              <w:t>Observer status reports</w:t>
            </w:r>
          </w:p>
        </w:tc>
        <w:tc>
          <w:tcPr>
            <w:tcW w:w="1226" w:type="dxa"/>
            <w:vMerge/>
            <w:tcBorders>
              <w:left w:val="single" w:color="CCCCCC" w:sz="6" w:space="0"/>
              <w:right w:val="single" w:color="000000" w:sz="6" w:space="0"/>
            </w:tcBorders>
            <w:vAlign w:val="center"/>
          </w:tcPr>
          <w:p w:rsidRPr="00C33B46" w:rsidR="00905359" w:rsidP="00677AB0" w:rsidRDefault="00905359">
            <w:pPr>
              <w:jc w:val="center"/>
              <w:rPr>
                <w:bCs/>
                <w:color w:val="000000"/>
                <w:sz w:val="20"/>
                <w:szCs w:val="20"/>
              </w:rPr>
            </w:pPr>
          </w:p>
        </w:tc>
        <w:tc>
          <w:tcPr>
            <w:tcW w:w="1632" w:type="dxa"/>
            <w:tcBorders>
              <w:top w:val="single" w:color="CCCCCC" w:sz="6" w:space="0"/>
              <w:left w:val="single" w:color="CCCCCC"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r w:rsidRPr="009A4B52">
              <w:rPr>
                <w:color w:val="000000"/>
                <w:sz w:val="20"/>
                <w:szCs w:val="20"/>
              </w:rPr>
              <w:t>52</w:t>
            </w:r>
          </w:p>
        </w:tc>
        <w:tc>
          <w:tcPr>
            <w:tcW w:w="1102" w:type="dxa"/>
            <w:tcBorders>
              <w:top w:val="single" w:color="CCCCCC" w:sz="6" w:space="0"/>
              <w:left w:val="single" w:color="CCCCCC"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r w:rsidRPr="009A4B52">
              <w:rPr>
                <w:color w:val="000000"/>
                <w:sz w:val="20"/>
                <w:szCs w:val="20"/>
              </w:rPr>
              <w:t>260</w:t>
            </w:r>
          </w:p>
        </w:tc>
        <w:tc>
          <w:tcPr>
            <w:tcW w:w="1038" w:type="dxa"/>
            <w:tcBorders>
              <w:top w:val="single" w:color="CCCCCC" w:sz="6" w:space="0"/>
              <w:left w:val="single" w:color="CCCCCC"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r w:rsidRPr="009A4B52">
              <w:rPr>
                <w:color w:val="000000"/>
                <w:sz w:val="20"/>
                <w:szCs w:val="20"/>
              </w:rPr>
              <w:t>15</w:t>
            </w:r>
          </w:p>
        </w:tc>
        <w:tc>
          <w:tcPr>
            <w:tcW w:w="1132" w:type="dxa"/>
            <w:tcBorders>
              <w:top w:val="single" w:color="CCCCCC" w:sz="6" w:space="0"/>
              <w:left w:val="single" w:color="CCCCCC" w:sz="6" w:space="0"/>
              <w:bottom w:val="single" w:color="000000" w:sz="6" w:space="0"/>
              <w:right w:val="single" w:color="000000" w:sz="6" w:space="0"/>
            </w:tcBorders>
            <w:vAlign w:val="center"/>
          </w:tcPr>
          <w:p w:rsidRPr="009A4B52" w:rsidR="00905359" w:rsidP="00677AB0" w:rsidRDefault="00905359">
            <w:pPr>
              <w:jc w:val="center"/>
              <w:rPr>
                <w:sz w:val="20"/>
                <w:szCs w:val="20"/>
              </w:rPr>
            </w:pPr>
            <w:r w:rsidRPr="009A4B52">
              <w:rPr>
                <w:sz w:val="20"/>
                <w:szCs w:val="20"/>
              </w:rPr>
              <w:t>65</w:t>
            </w:r>
          </w:p>
        </w:tc>
        <w:tc>
          <w:tcPr>
            <w:tcW w:w="877" w:type="dxa"/>
            <w:tcBorders>
              <w:top w:val="single" w:color="CCCCCC" w:sz="6" w:space="0"/>
              <w:left w:val="single" w:color="CCCCCC" w:sz="6" w:space="0"/>
              <w:bottom w:val="single" w:color="000000" w:sz="6" w:space="0"/>
              <w:right w:val="single" w:color="000000" w:sz="6" w:space="0"/>
            </w:tcBorders>
            <w:vAlign w:val="center"/>
          </w:tcPr>
          <w:p w:rsidRPr="009A4B52" w:rsidR="00905359" w:rsidP="00677AB0" w:rsidRDefault="00905359">
            <w:pPr>
              <w:jc w:val="center"/>
              <w:rPr>
                <w:sz w:val="20"/>
                <w:szCs w:val="20"/>
              </w:rPr>
            </w:pPr>
            <w:r w:rsidRPr="009A4B52">
              <w:rPr>
                <w:sz w:val="20"/>
                <w:szCs w:val="20"/>
              </w:rPr>
              <w:t>$1,625</w:t>
            </w:r>
          </w:p>
        </w:tc>
      </w:tr>
      <w:tr w:rsidRPr="00C33B46" w:rsidR="00905359" w:rsidTr="00677AB0">
        <w:trPr>
          <w:trHeight w:val="288"/>
          <w:jc w:val="center"/>
        </w:trPr>
        <w:tc>
          <w:tcPr>
            <w:tcW w:w="2723" w:type="dxa"/>
            <w:tcBorders>
              <w:top w:val="single" w:color="CCCCCC" w:sz="6" w:space="0"/>
              <w:left w:val="single" w:color="000000" w:sz="6" w:space="0"/>
              <w:bottom w:val="single" w:color="000000" w:sz="6" w:space="0"/>
              <w:right w:val="single" w:color="000000" w:sz="6" w:space="0"/>
            </w:tcBorders>
            <w:vAlign w:val="bottom"/>
          </w:tcPr>
          <w:p w:rsidRPr="00C33B46" w:rsidR="00905359" w:rsidP="00677AB0" w:rsidRDefault="00905359">
            <w:pPr>
              <w:rPr>
                <w:bCs/>
                <w:color w:val="000000"/>
                <w:sz w:val="20"/>
                <w:szCs w:val="20"/>
              </w:rPr>
            </w:pPr>
            <w:r w:rsidRPr="009A4B52">
              <w:rPr>
                <w:color w:val="000000"/>
                <w:sz w:val="20"/>
                <w:szCs w:val="20"/>
              </w:rPr>
              <w:t>Catch monitor status reports</w:t>
            </w:r>
          </w:p>
        </w:tc>
        <w:tc>
          <w:tcPr>
            <w:tcW w:w="1226" w:type="dxa"/>
            <w:vMerge/>
            <w:tcBorders>
              <w:left w:val="single" w:color="CCCCCC" w:sz="6" w:space="0"/>
              <w:right w:val="single" w:color="000000" w:sz="6" w:space="0"/>
            </w:tcBorders>
            <w:vAlign w:val="center"/>
          </w:tcPr>
          <w:p w:rsidRPr="00C33B46" w:rsidR="00905359" w:rsidP="00677AB0" w:rsidRDefault="00905359">
            <w:pPr>
              <w:jc w:val="center"/>
              <w:rPr>
                <w:bCs/>
                <w:color w:val="000000"/>
                <w:sz w:val="20"/>
                <w:szCs w:val="20"/>
              </w:rPr>
            </w:pPr>
          </w:p>
        </w:tc>
        <w:tc>
          <w:tcPr>
            <w:tcW w:w="1632" w:type="dxa"/>
            <w:tcBorders>
              <w:top w:val="single" w:color="CCCCCC" w:sz="6" w:space="0"/>
              <w:left w:val="single" w:color="CCCCCC" w:sz="6" w:space="0"/>
              <w:bottom w:val="single" w:color="000000" w:sz="6" w:space="0"/>
              <w:right w:val="single" w:color="000000" w:sz="6" w:space="0"/>
            </w:tcBorders>
            <w:vAlign w:val="bottom"/>
          </w:tcPr>
          <w:p w:rsidRPr="00C33B46" w:rsidR="00905359" w:rsidP="00677AB0" w:rsidRDefault="00905359">
            <w:pPr>
              <w:jc w:val="center"/>
              <w:rPr>
                <w:color w:val="000000"/>
                <w:sz w:val="20"/>
                <w:szCs w:val="20"/>
              </w:rPr>
            </w:pPr>
            <w:r w:rsidRPr="009A4B52">
              <w:rPr>
                <w:color w:val="000000"/>
                <w:sz w:val="20"/>
                <w:szCs w:val="20"/>
              </w:rPr>
              <w:t>52</w:t>
            </w:r>
          </w:p>
        </w:tc>
        <w:tc>
          <w:tcPr>
            <w:tcW w:w="1102" w:type="dxa"/>
            <w:tcBorders>
              <w:top w:val="single" w:color="CCCCCC" w:sz="6" w:space="0"/>
              <w:left w:val="single" w:color="CCCCCC" w:sz="6" w:space="0"/>
              <w:bottom w:val="single" w:color="000000" w:sz="6" w:space="0"/>
              <w:right w:val="single" w:color="000000" w:sz="6" w:space="0"/>
            </w:tcBorders>
            <w:vAlign w:val="bottom"/>
          </w:tcPr>
          <w:p w:rsidRPr="00C33B46" w:rsidR="00905359" w:rsidP="00677AB0" w:rsidRDefault="00905359">
            <w:pPr>
              <w:jc w:val="center"/>
              <w:rPr>
                <w:color w:val="000000"/>
                <w:sz w:val="20"/>
                <w:szCs w:val="20"/>
              </w:rPr>
            </w:pPr>
            <w:r w:rsidRPr="009A4B52">
              <w:rPr>
                <w:color w:val="000000"/>
                <w:sz w:val="20"/>
                <w:szCs w:val="20"/>
              </w:rPr>
              <w:t>260</w:t>
            </w:r>
          </w:p>
        </w:tc>
        <w:tc>
          <w:tcPr>
            <w:tcW w:w="1038" w:type="dxa"/>
            <w:tcBorders>
              <w:top w:val="single" w:color="CCCCCC" w:sz="6" w:space="0"/>
              <w:left w:val="single" w:color="CCCCCC" w:sz="6" w:space="0"/>
              <w:bottom w:val="single" w:color="000000" w:sz="6" w:space="0"/>
              <w:right w:val="single" w:color="000000" w:sz="6" w:space="0"/>
            </w:tcBorders>
            <w:vAlign w:val="bottom"/>
          </w:tcPr>
          <w:p w:rsidRPr="00C33B46" w:rsidR="00905359" w:rsidP="00677AB0" w:rsidRDefault="00905359">
            <w:pPr>
              <w:jc w:val="center"/>
              <w:rPr>
                <w:color w:val="000000"/>
                <w:sz w:val="20"/>
                <w:szCs w:val="20"/>
              </w:rPr>
            </w:pPr>
            <w:r w:rsidRPr="009A4B52">
              <w:rPr>
                <w:color w:val="000000"/>
                <w:sz w:val="20"/>
                <w:szCs w:val="20"/>
              </w:rPr>
              <w:t>15</w:t>
            </w:r>
          </w:p>
        </w:tc>
        <w:tc>
          <w:tcPr>
            <w:tcW w:w="1132" w:type="dxa"/>
            <w:tcBorders>
              <w:top w:val="single" w:color="CCCCCC" w:sz="6" w:space="0"/>
              <w:left w:val="single" w:color="CCCCCC" w:sz="6" w:space="0"/>
              <w:bottom w:val="single" w:color="000000" w:sz="6" w:space="0"/>
              <w:right w:val="single" w:color="000000" w:sz="6" w:space="0"/>
            </w:tcBorders>
            <w:vAlign w:val="center"/>
          </w:tcPr>
          <w:p w:rsidRPr="00C33B46" w:rsidR="00905359" w:rsidP="00677AB0" w:rsidRDefault="00905359">
            <w:pPr>
              <w:jc w:val="center"/>
              <w:rPr>
                <w:sz w:val="20"/>
                <w:szCs w:val="20"/>
              </w:rPr>
            </w:pPr>
            <w:r w:rsidRPr="009A4B52">
              <w:rPr>
                <w:sz w:val="20"/>
                <w:szCs w:val="20"/>
              </w:rPr>
              <w:t>65</w:t>
            </w:r>
          </w:p>
        </w:tc>
        <w:tc>
          <w:tcPr>
            <w:tcW w:w="877" w:type="dxa"/>
            <w:tcBorders>
              <w:top w:val="single" w:color="CCCCCC" w:sz="6" w:space="0"/>
              <w:left w:val="single" w:color="CCCCCC" w:sz="6" w:space="0"/>
              <w:bottom w:val="single" w:color="000000" w:sz="6" w:space="0"/>
              <w:right w:val="single" w:color="000000" w:sz="6" w:space="0"/>
            </w:tcBorders>
            <w:vAlign w:val="center"/>
          </w:tcPr>
          <w:p w:rsidRPr="00C33B46" w:rsidR="00905359" w:rsidP="00677AB0" w:rsidRDefault="00905359">
            <w:pPr>
              <w:jc w:val="center"/>
              <w:rPr>
                <w:sz w:val="20"/>
                <w:szCs w:val="20"/>
              </w:rPr>
            </w:pPr>
            <w:r w:rsidRPr="009A4B52">
              <w:rPr>
                <w:sz w:val="20"/>
                <w:szCs w:val="20"/>
              </w:rPr>
              <w:t>$1,625</w:t>
            </w:r>
          </w:p>
        </w:tc>
      </w:tr>
      <w:tr w:rsidRPr="009A4B52" w:rsidR="00905359" w:rsidTr="00677AB0">
        <w:trPr>
          <w:trHeight w:val="288"/>
          <w:jc w:val="center"/>
        </w:trPr>
        <w:tc>
          <w:tcPr>
            <w:tcW w:w="2723" w:type="dxa"/>
            <w:tcBorders>
              <w:top w:val="single" w:color="CCCCCC" w:sz="6" w:space="0"/>
              <w:left w:val="single" w:color="000000" w:sz="6" w:space="0"/>
              <w:bottom w:val="single" w:color="000000" w:sz="6" w:space="0"/>
              <w:right w:val="single" w:color="000000" w:sz="6" w:space="0"/>
            </w:tcBorders>
            <w:vAlign w:val="bottom"/>
          </w:tcPr>
          <w:p w:rsidRPr="009A4B52" w:rsidR="00905359" w:rsidP="00677AB0" w:rsidRDefault="00905359">
            <w:pPr>
              <w:rPr>
                <w:color w:val="000000"/>
                <w:sz w:val="20"/>
                <w:szCs w:val="20"/>
              </w:rPr>
            </w:pPr>
            <w:r w:rsidRPr="009A4B52">
              <w:rPr>
                <w:color w:val="000000"/>
                <w:sz w:val="20"/>
                <w:szCs w:val="20"/>
              </w:rPr>
              <w:t>Other reports on Observer harassment, safety concerns or performance problems</w:t>
            </w:r>
          </w:p>
        </w:tc>
        <w:tc>
          <w:tcPr>
            <w:tcW w:w="1226" w:type="dxa"/>
            <w:vMerge/>
            <w:tcBorders>
              <w:left w:val="single" w:color="CCCCCC" w:sz="6" w:space="0"/>
              <w:right w:val="single" w:color="000000" w:sz="6" w:space="0"/>
            </w:tcBorders>
            <w:vAlign w:val="center"/>
          </w:tcPr>
          <w:p w:rsidRPr="00C33B46" w:rsidR="00905359" w:rsidP="00677AB0" w:rsidRDefault="00905359">
            <w:pPr>
              <w:jc w:val="center"/>
              <w:rPr>
                <w:bCs/>
                <w:color w:val="000000"/>
                <w:sz w:val="20"/>
                <w:szCs w:val="20"/>
              </w:rPr>
            </w:pPr>
          </w:p>
        </w:tc>
        <w:tc>
          <w:tcPr>
            <w:tcW w:w="1632" w:type="dxa"/>
            <w:tcBorders>
              <w:top w:val="single" w:color="CCCCCC" w:sz="6" w:space="0"/>
              <w:left w:val="single" w:color="CCCCCC"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r w:rsidRPr="009A4B52">
              <w:rPr>
                <w:color w:val="000000"/>
                <w:sz w:val="20"/>
                <w:szCs w:val="20"/>
              </w:rPr>
              <w:t>16</w:t>
            </w:r>
          </w:p>
        </w:tc>
        <w:tc>
          <w:tcPr>
            <w:tcW w:w="1102" w:type="dxa"/>
            <w:tcBorders>
              <w:top w:val="single" w:color="CCCCCC" w:sz="6" w:space="0"/>
              <w:left w:val="single" w:color="CCCCCC"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r w:rsidRPr="009A4B52">
              <w:rPr>
                <w:color w:val="000000"/>
                <w:sz w:val="20"/>
                <w:szCs w:val="20"/>
              </w:rPr>
              <w:t>80</w:t>
            </w:r>
          </w:p>
        </w:tc>
        <w:tc>
          <w:tcPr>
            <w:tcW w:w="1038" w:type="dxa"/>
            <w:tcBorders>
              <w:top w:val="single" w:color="CCCCCC" w:sz="6" w:space="0"/>
              <w:left w:val="single" w:color="CCCCCC"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r w:rsidRPr="009A4B52">
              <w:rPr>
                <w:color w:val="000000"/>
                <w:sz w:val="20"/>
                <w:szCs w:val="20"/>
              </w:rPr>
              <w:t>15</w:t>
            </w:r>
          </w:p>
        </w:tc>
        <w:tc>
          <w:tcPr>
            <w:tcW w:w="1132" w:type="dxa"/>
            <w:tcBorders>
              <w:top w:val="single" w:color="CCCCCC" w:sz="6" w:space="0"/>
              <w:left w:val="single" w:color="CCCCCC" w:sz="6" w:space="0"/>
              <w:bottom w:val="single" w:color="000000" w:sz="6" w:space="0"/>
              <w:right w:val="single" w:color="000000" w:sz="6" w:space="0"/>
            </w:tcBorders>
            <w:vAlign w:val="center"/>
          </w:tcPr>
          <w:p w:rsidRPr="009A4B52" w:rsidR="00905359" w:rsidP="00677AB0" w:rsidRDefault="00905359">
            <w:pPr>
              <w:jc w:val="center"/>
              <w:rPr>
                <w:sz w:val="20"/>
                <w:szCs w:val="20"/>
              </w:rPr>
            </w:pPr>
            <w:r w:rsidRPr="009A4B52">
              <w:rPr>
                <w:sz w:val="20"/>
                <w:szCs w:val="20"/>
              </w:rPr>
              <w:t>20</w:t>
            </w:r>
          </w:p>
        </w:tc>
        <w:tc>
          <w:tcPr>
            <w:tcW w:w="877" w:type="dxa"/>
            <w:tcBorders>
              <w:top w:val="single" w:color="CCCCCC" w:sz="6" w:space="0"/>
              <w:left w:val="single" w:color="CCCCCC" w:sz="6" w:space="0"/>
              <w:bottom w:val="single" w:color="000000" w:sz="6" w:space="0"/>
              <w:right w:val="single" w:color="000000" w:sz="6" w:space="0"/>
            </w:tcBorders>
            <w:vAlign w:val="center"/>
          </w:tcPr>
          <w:p w:rsidRPr="009A4B52" w:rsidR="00905359" w:rsidP="00677AB0" w:rsidRDefault="00905359">
            <w:pPr>
              <w:jc w:val="center"/>
              <w:rPr>
                <w:sz w:val="20"/>
                <w:szCs w:val="20"/>
              </w:rPr>
            </w:pPr>
            <w:r w:rsidRPr="009A4B52">
              <w:rPr>
                <w:sz w:val="20"/>
                <w:szCs w:val="20"/>
              </w:rPr>
              <w:t>$500</w:t>
            </w:r>
          </w:p>
        </w:tc>
      </w:tr>
      <w:tr w:rsidRPr="00C33B46" w:rsidR="00905359" w:rsidTr="00677AB0">
        <w:trPr>
          <w:trHeight w:val="657"/>
          <w:jc w:val="center"/>
        </w:trPr>
        <w:tc>
          <w:tcPr>
            <w:tcW w:w="2723" w:type="dxa"/>
            <w:tcBorders>
              <w:top w:val="single" w:color="CCCCCC" w:sz="6" w:space="0"/>
              <w:left w:val="single" w:color="000000" w:sz="6" w:space="0"/>
              <w:bottom w:val="single" w:color="000000" w:sz="6" w:space="0"/>
              <w:right w:val="single" w:color="000000" w:sz="6" w:space="0"/>
            </w:tcBorders>
            <w:vAlign w:val="bottom"/>
          </w:tcPr>
          <w:p w:rsidRPr="00C33B46" w:rsidR="00905359" w:rsidP="00677AB0" w:rsidRDefault="00905359">
            <w:pPr>
              <w:rPr>
                <w:bCs/>
                <w:color w:val="000000"/>
                <w:sz w:val="20"/>
                <w:szCs w:val="20"/>
              </w:rPr>
            </w:pPr>
            <w:r w:rsidRPr="009A4B52">
              <w:rPr>
                <w:color w:val="000000"/>
                <w:sz w:val="20"/>
                <w:szCs w:val="20"/>
              </w:rPr>
              <w:t>Other catch monitor reports on harassment, prohibited actions, illness or injury, or performance problems.</w:t>
            </w:r>
          </w:p>
        </w:tc>
        <w:tc>
          <w:tcPr>
            <w:tcW w:w="1226" w:type="dxa"/>
            <w:vMerge/>
            <w:tcBorders>
              <w:left w:val="single" w:color="CCCCCC" w:sz="6" w:space="0"/>
              <w:right w:val="single" w:color="000000" w:sz="6" w:space="0"/>
            </w:tcBorders>
            <w:vAlign w:val="center"/>
          </w:tcPr>
          <w:p w:rsidRPr="00C33B46" w:rsidR="00905359" w:rsidP="00677AB0" w:rsidRDefault="00905359">
            <w:pPr>
              <w:jc w:val="center"/>
              <w:rPr>
                <w:bCs/>
                <w:color w:val="000000"/>
                <w:sz w:val="20"/>
                <w:szCs w:val="20"/>
              </w:rPr>
            </w:pPr>
          </w:p>
        </w:tc>
        <w:tc>
          <w:tcPr>
            <w:tcW w:w="1632" w:type="dxa"/>
            <w:tcBorders>
              <w:top w:val="single" w:color="CCCCCC" w:sz="6" w:space="0"/>
              <w:left w:val="single" w:color="CCCCCC" w:sz="6" w:space="0"/>
              <w:bottom w:val="single" w:color="000000" w:sz="6" w:space="0"/>
              <w:right w:val="single" w:color="000000" w:sz="6" w:space="0"/>
            </w:tcBorders>
            <w:vAlign w:val="bottom"/>
          </w:tcPr>
          <w:p w:rsidRPr="00C33B46" w:rsidR="00905359" w:rsidP="00677AB0" w:rsidRDefault="00905359">
            <w:pPr>
              <w:jc w:val="center"/>
              <w:rPr>
                <w:color w:val="000000"/>
                <w:sz w:val="20"/>
                <w:szCs w:val="20"/>
              </w:rPr>
            </w:pPr>
            <w:r w:rsidRPr="009A4B52">
              <w:rPr>
                <w:color w:val="000000"/>
                <w:sz w:val="20"/>
                <w:szCs w:val="20"/>
              </w:rPr>
              <w:t>6</w:t>
            </w:r>
          </w:p>
        </w:tc>
        <w:tc>
          <w:tcPr>
            <w:tcW w:w="1102" w:type="dxa"/>
            <w:tcBorders>
              <w:top w:val="single" w:color="CCCCCC" w:sz="6" w:space="0"/>
              <w:left w:val="single" w:color="CCCCCC" w:sz="6" w:space="0"/>
              <w:bottom w:val="single" w:color="000000" w:sz="6" w:space="0"/>
              <w:right w:val="single" w:color="000000" w:sz="6" w:space="0"/>
            </w:tcBorders>
            <w:vAlign w:val="bottom"/>
          </w:tcPr>
          <w:p w:rsidRPr="00C33B46" w:rsidR="00905359" w:rsidP="00677AB0" w:rsidRDefault="00905359">
            <w:pPr>
              <w:jc w:val="center"/>
              <w:rPr>
                <w:color w:val="000000"/>
                <w:sz w:val="20"/>
                <w:szCs w:val="20"/>
              </w:rPr>
            </w:pPr>
            <w:r w:rsidRPr="009A4B52">
              <w:rPr>
                <w:color w:val="000000"/>
                <w:sz w:val="20"/>
                <w:szCs w:val="20"/>
              </w:rPr>
              <w:t>30</w:t>
            </w:r>
          </w:p>
        </w:tc>
        <w:tc>
          <w:tcPr>
            <w:tcW w:w="1038" w:type="dxa"/>
            <w:tcBorders>
              <w:top w:val="single" w:color="CCCCCC" w:sz="6" w:space="0"/>
              <w:left w:val="single" w:color="CCCCCC" w:sz="6" w:space="0"/>
              <w:bottom w:val="single" w:color="000000" w:sz="6" w:space="0"/>
              <w:right w:val="single" w:color="000000" w:sz="6" w:space="0"/>
            </w:tcBorders>
            <w:vAlign w:val="bottom"/>
          </w:tcPr>
          <w:p w:rsidRPr="00C33B46" w:rsidR="00905359" w:rsidP="00677AB0" w:rsidRDefault="00905359">
            <w:pPr>
              <w:jc w:val="center"/>
              <w:rPr>
                <w:color w:val="000000"/>
                <w:sz w:val="20"/>
                <w:szCs w:val="20"/>
              </w:rPr>
            </w:pPr>
            <w:r w:rsidRPr="009A4B52">
              <w:rPr>
                <w:color w:val="000000"/>
                <w:sz w:val="20"/>
                <w:szCs w:val="20"/>
              </w:rPr>
              <w:t>15</w:t>
            </w:r>
          </w:p>
        </w:tc>
        <w:tc>
          <w:tcPr>
            <w:tcW w:w="1132" w:type="dxa"/>
            <w:tcBorders>
              <w:top w:val="single" w:color="CCCCCC" w:sz="6" w:space="0"/>
              <w:left w:val="single" w:color="CCCCCC" w:sz="6" w:space="0"/>
              <w:bottom w:val="single" w:color="000000" w:sz="6" w:space="0"/>
              <w:right w:val="single" w:color="000000" w:sz="6" w:space="0"/>
            </w:tcBorders>
            <w:vAlign w:val="center"/>
          </w:tcPr>
          <w:p w:rsidRPr="00C33B46" w:rsidR="00905359" w:rsidP="00677AB0" w:rsidRDefault="00905359">
            <w:pPr>
              <w:jc w:val="center"/>
              <w:rPr>
                <w:sz w:val="20"/>
                <w:szCs w:val="20"/>
              </w:rPr>
            </w:pPr>
            <w:r w:rsidRPr="009A4B52">
              <w:rPr>
                <w:sz w:val="20"/>
                <w:szCs w:val="20"/>
              </w:rPr>
              <w:t>8</w:t>
            </w:r>
          </w:p>
        </w:tc>
        <w:tc>
          <w:tcPr>
            <w:tcW w:w="877" w:type="dxa"/>
            <w:tcBorders>
              <w:top w:val="single" w:color="CCCCCC" w:sz="6" w:space="0"/>
              <w:left w:val="single" w:color="CCCCCC" w:sz="6" w:space="0"/>
              <w:bottom w:val="single" w:color="000000" w:sz="6" w:space="0"/>
              <w:right w:val="single" w:color="000000" w:sz="6" w:space="0"/>
            </w:tcBorders>
            <w:vAlign w:val="center"/>
          </w:tcPr>
          <w:p w:rsidRPr="00C33B46" w:rsidR="00905359" w:rsidP="00677AB0" w:rsidRDefault="00905359">
            <w:pPr>
              <w:jc w:val="center"/>
              <w:rPr>
                <w:sz w:val="20"/>
                <w:szCs w:val="20"/>
              </w:rPr>
            </w:pPr>
            <w:r w:rsidRPr="009A4B52">
              <w:rPr>
                <w:sz w:val="20"/>
                <w:szCs w:val="20"/>
              </w:rPr>
              <w:t>$200</w:t>
            </w:r>
          </w:p>
        </w:tc>
      </w:tr>
      <w:tr w:rsidRPr="009A4B52" w:rsidR="00905359" w:rsidTr="00677AB0">
        <w:trPr>
          <w:trHeight w:val="657"/>
          <w:jc w:val="center"/>
        </w:trPr>
        <w:tc>
          <w:tcPr>
            <w:tcW w:w="2723" w:type="dxa"/>
            <w:tcBorders>
              <w:top w:val="single" w:color="CCCCCC" w:sz="6" w:space="0"/>
              <w:left w:val="single" w:color="000000" w:sz="6" w:space="0"/>
              <w:bottom w:val="single" w:color="000000" w:sz="6" w:space="0"/>
              <w:right w:val="single" w:color="000000" w:sz="6" w:space="0"/>
            </w:tcBorders>
            <w:vAlign w:val="bottom"/>
          </w:tcPr>
          <w:p w:rsidRPr="009A4B52" w:rsidR="00905359" w:rsidP="00677AB0" w:rsidRDefault="00905359">
            <w:pPr>
              <w:rPr>
                <w:color w:val="000000"/>
                <w:sz w:val="20"/>
                <w:szCs w:val="20"/>
              </w:rPr>
            </w:pPr>
            <w:r w:rsidRPr="009A4B52">
              <w:rPr>
                <w:color w:val="000000"/>
                <w:sz w:val="20"/>
                <w:szCs w:val="20"/>
              </w:rPr>
              <w:t>Observer safety checklist submission to NMFS</w:t>
            </w:r>
          </w:p>
        </w:tc>
        <w:tc>
          <w:tcPr>
            <w:tcW w:w="1226" w:type="dxa"/>
            <w:vMerge/>
            <w:tcBorders>
              <w:left w:val="single" w:color="CCCCCC" w:sz="6" w:space="0"/>
              <w:right w:val="single" w:color="000000" w:sz="6" w:space="0"/>
            </w:tcBorders>
            <w:vAlign w:val="center"/>
          </w:tcPr>
          <w:p w:rsidRPr="00C33B46" w:rsidR="00905359" w:rsidP="00677AB0" w:rsidRDefault="00905359">
            <w:pPr>
              <w:jc w:val="center"/>
              <w:rPr>
                <w:bCs/>
                <w:color w:val="000000"/>
                <w:sz w:val="20"/>
                <w:szCs w:val="20"/>
              </w:rPr>
            </w:pPr>
          </w:p>
        </w:tc>
        <w:tc>
          <w:tcPr>
            <w:tcW w:w="1632" w:type="dxa"/>
            <w:tcBorders>
              <w:top w:val="single" w:color="CCCCCC" w:sz="6" w:space="0"/>
              <w:left w:val="single" w:color="CCCCCC" w:sz="6" w:space="0"/>
              <w:bottom w:val="single" w:color="000000" w:sz="6" w:space="0"/>
              <w:right w:val="single" w:color="000000" w:sz="6" w:space="0"/>
            </w:tcBorders>
            <w:vAlign w:val="bottom"/>
          </w:tcPr>
          <w:p w:rsidR="00905359" w:rsidP="00677AB0" w:rsidRDefault="00905359">
            <w:pPr>
              <w:jc w:val="center"/>
              <w:rPr>
                <w:color w:val="000000"/>
                <w:sz w:val="20"/>
                <w:szCs w:val="20"/>
              </w:rPr>
            </w:pPr>
            <w:r w:rsidRPr="009A4B52">
              <w:rPr>
                <w:color w:val="000000"/>
                <w:sz w:val="20"/>
                <w:szCs w:val="20"/>
              </w:rPr>
              <w:t>180</w:t>
            </w:r>
          </w:p>
        </w:tc>
        <w:tc>
          <w:tcPr>
            <w:tcW w:w="1102" w:type="dxa"/>
            <w:tcBorders>
              <w:top w:val="single" w:color="CCCCCC" w:sz="6" w:space="0"/>
              <w:left w:val="single" w:color="CCCCCC" w:sz="6" w:space="0"/>
              <w:bottom w:val="single" w:color="000000" w:sz="6" w:space="0"/>
              <w:right w:val="single" w:color="000000" w:sz="6" w:space="0"/>
            </w:tcBorders>
            <w:vAlign w:val="bottom"/>
          </w:tcPr>
          <w:p w:rsidR="00905359" w:rsidP="00677AB0" w:rsidRDefault="00905359">
            <w:pPr>
              <w:jc w:val="center"/>
              <w:rPr>
                <w:color w:val="000000"/>
                <w:sz w:val="20"/>
                <w:szCs w:val="20"/>
              </w:rPr>
            </w:pPr>
            <w:r w:rsidRPr="009A4B52">
              <w:rPr>
                <w:color w:val="000000"/>
                <w:sz w:val="20"/>
                <w:szCs w:val="20"/>
              </w:rPr>
              <w:t>900</w:t>
            </w:r>
          </w:p>
        </w:tc>
        <w:tc>
          <w:tcPr>
            <w:tcW w:w="1038" w:type="dxa"/>
            <w:tcBorders>
              <w:top w:val="single" w:color="CCCCCC" w:sz="6" w:space="0"/>
              <w:left w:val="single" w:color="CCCCCC"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r w:rsidRPr="009A4B52">
              <w:rPr>
                <w:color w:val="000000"/>
                <w:sz w:val="20"/>
                <w:szCs w:val="20"/>
              </w:rPr>
              <w:t>5</w:t>
            </w:r>
          </w:p>
        </w:tc>
        <w:tc>
          <w:tcPr>
            <w:tcW w:w="1132" w:type="dxa"/>
            <w:tcBorders>
              <w:top w:val="single" w:color="CCCCCC" w:sz="6" w:space="0"/>
              <w:left w:val="single" w:color="CCCCCC" w:sz="6" w:space="0"/>
              <w:bottom w:val="single" w:color="000000" w:sz="6" w:space="0"/>
              <w:right w:val="single" w:color="000000" w:sz="6" w:space="0"/>
            </w:tcBorders>
            <w:vAlign w:val="center"/>
          </w:tcPr>
          <w:p w:rsidR="00905359" w:rsidP="00677AB0" w:rsidRDefault="00905359">
            <w:pPr>
              <w:jc w:val="center"/>
              <w:rPr>
                <w:sz w:val="20"/>
                <w:szCs w:val="20"/>
              </w:rPr>
            </w:pPr>
            <w:r w:rsidRPr="009A4B52">
              <w:rPr>
                <w:sz w:val="20"/>
                <w:szCs w:val="20"/>
              </w:rPr>
              <w:t>75</w:t>
            </w:r>
          </w:p>
        </w:tc>
        <w:tc>
          <w:tcPr>
            <w:tcW w:w="877" w:type="dxa"/>
            <w:tcBorders>
              <w:top w:val="single" w:color="CCCCCC" w:sz="6" w:space="0"/>
              <w:left w:val="single" w:color="CCCCCC" w:sz="6" w:space="0"/>
              <w:bottom w:val="single" w:color="000000" w:sz="6" w:space="0"/>
              <w:right w:val="single" w:color="000000" w:sz="6" w:space="0"/>
            </w:tcBorders>
            <w:vAlign w:val="center"/>
          </w:tcPr>
          <w:p w:rsidRPr="009A4B52" w:rsidR="00905359" w:rsidP="00677AB0" w:rsidRDefault="00905359">
            <w:pPr>
              <w:jc w:val="center"/>
              <w:rPr>
                <w:sz w:val="20"/>
                <w:szCs w:val="20"/>
              </w:rPr>
            </w:pPr>
            <w:r w:rsidRPr="009A4B52">
              <w:rPr>
                <w:sz w:val="20"/>
                <w:szCs w:val="20"/>
              </w:rPr>
              <w:t>$1,875</w:t>
            </w:r>
          </w:p>
        </w:tc>
      </w:tr>
      <w:tr w:rsidRPr="009A4B52" w:rsidR="00905359" w:rsidTr="00677AB0">
        <w:trPr>
          <w:trHeight w:val="657"/>
          <w:jc w:val="center"/>
        </w:trPr>
        <w:tc>
          <w:tcPr>
            <w:tcW w:w="2723" w:type="dxa"/>
            <w:tcBorders>
              <w:top w:val="single" w:color="CCCCCC" w:sz="6" w:space="0"/>
              <w:left w:val="single" w:color="000000" w:sz="6" w:space="0"/>
              <w:bottom w:val="single" w:color="000000" w:sz="6" w:space="0"/>
              <w:right w:val="single" w:color="000000" w:sz="6" w:space="0"/>
            </w:tcBorders>
            <w:vAlign w:val="bottom"/>
          </w:tcPr>
          <w:p w:rsidRPr="009A4B52" w:rsidR="00905359" w:rsidP="00677AB0" w:rsidRDefault="00905359">
            <w:pPr>
              <w:rPr>
                <w:color w:val="000000"/>
                <w:sz w:val="20"/>
                <w:szCs w:val="20"/>
              </w:rPr>
            </w:pPr>
            <w:r w:rsidRPr="009A4B52">
              <w:rPr>
                <w:color w:val="000000"/>
                <w:sz w:val="20"/>
                <w:szCs w:val="20"/>
              </w:rPr>
              <w:t>Certificate of insurance</w:t>
            </w:r>
          </w:p>
        </w:tc>
        <w:tc>
          <w:tcPr>
            <w:tcW w:w="1226" w:type="dxa"/>
            <w:vMerge/>
            <w:tcBorders>
              <w:left w:val="single" w:color="CCCCCC" w:sz="6" w:space="0"/>
              <w:right w:val="single" w:color="000000" w:sz="6" w:space="0"/>
            </w:tcBorders>
            <w:vAlign w:val="center"/>
          </w:tcPr>
          <w:p w:rsidRPr="00C33B46" w:rsidR="00905359" w:rsidP="00677AB0" w:rsidRDefault="00905359">
            <w:pPr>
              <w:jc w:val="center"/>
              <w:rPr>
                <w:bCs/>
                <w:color w:val="000000"/>
                <w:sz w:val="20"/>
                <w:szCs w:val="20"/>
              </w:rPr>
            </w:pPr>
          </w:p>
        </w:tc>
        <w:tc>
          <w:tcPr>
            <w:tcW w:w="1632" w:type="dxa"/>
            <w:tcBorders>
              <w:top w:val="single" w:color="CCCCCC" w:sz="6" w:space="0"/>
              <w:left w:val="single" w:color="CCCCCC"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r>
              <w:rPr>
                <w:color w:val="000000"/>
                <w:sz w:val="20"/>
                <w:szCs w:val="20"/>
              </w:rPr>
              <w:t>2</w:t>
            </w:r>
          </w:p>
        </w:tc>
        <w:tc>
          <w:tcPr>
            <w:tcW w:w="1102" w:type="dxa"/>
            <w:tcBorders>
              <w:top w:val="single" w:color="CCCCCC" w:sz="6" w:space="0"/>
              <w:left w:val="single" w:color="CCCCCC"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r>
              <w:rPr>
                <w:color w:val="000000"/>
                <w:sz w:val="20"/>
                <w:szCs w:val="20"/>
              </w:rPr>
              <w:t>10</w:t>
            </w:r>
          </w:p>
        </w:tc>
        <w:tc>
          <w:tcPr>
            <w:tcW w:w="1038" w:type="dxa"/>
            <w:tcBorders>
              <w:top w:val="single" w:color="CCCCCC" w:sz="6" w:space="0"/>
              <w:left w:val="single" w:color="CCCCCC"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r w:rsidRPr="009A4B52">
              <w:rPr>
                <w:color w:val="000000"/>
                <w:sz w:val="20"/>
                <w:szCs w:val="20"/>
              </w:rPr>
              <w:t>10</w:t>
            </w:r>
          </w:p>
        </w:tc>
        <w:tc>
          <w:tcPr>
            <w:tcW w:w="1132" w:type="dxa"/>
            <w:tcBorders>
              <w:top w:val="single" w:color="CCCCCC" w:sz="6" w:space="0"/>
              <w:left w:val="single" w:color="CCCCCC" w:sz="6" w:space="0"/>
              <w:bottom w:val="single" w:color="000000" w:sz="6" w:space="0"/>
              <w:right w:val="single" w:color="000000" w:sz="6" w:space="0"/>
            </w:tcBorders>
            <w:vAlign w:val="center"/>
          </w:tcPr>
          <w:p w:rsidRPr="009A4B52" w:rsidR="00905359" w:rsidP="00677AB0" w:rsidRDefault="00905359">
            <w:pPr>
              <w:jc w:val="center"/>
              <w:rPr>
                <w:sz w:val="20"/>
                <w:szCs w:val="20"/>
              </w:rPr>
            </w:pPr>
            <w:r>
              <w:rPr>
                <w:sz w:val="20"/>
                <w:szCs w:val="20"/>
              </w:rPr>
              <w:t>2</w:t>
            </w:r>
          </w:p>
        </w:tc>
        <w:tc>
          <w:tcPr>
            <w:tcW w:w="877" w:type="dxa"/>
            <w:tcBorders>
              <w:top w:val="single" w:color="CCCCCC" w:sz="6" w:space="0"/>
              <w:left w:val="single" w:color="CCCCCC" w:sz="6" w:space="0"/>
              <w:bottom w:val="single" w:color="000000" w:sz="6" w:space="0"/>
              <w:right w:val="single" w:color="000000" w:sz="6" w:space="0"/>
            </w:tcBorders>
            <w:vAlign w:val="center"/>
          </w:tcPr>
          <w:p w:rsidRPr="009A4B52" w:rsidR="00905359" w:rsidP="00677AB0" w:rsidRDefault="00905359">
            <w:pPr>
              <w:jc w:val="center"/>
              <w:rPr>
                <w:sz w:val="20"/>
                <w:szCs w:val="20"/>
              </w:rPr>
            </w:pPr>
            <w:r w:rsidRPr="009A4B52">
              <w:rPr>
                <w:sz w:val="20"/>
                <w:szCs w:val="20"/>
              </w:rPr>
              <w:t>$</w:t>
            </w:r>
            <w:r>
              <w:rPr>
                <w:sz w:val="20"/>
                <w:szCs w:val="20"/>
              </w:rPr>
              <w:t>50</w:t>
            </w:r>
          </w:p>
        </w:tc>
      </w:tr>
      <w:tr w:rsidRPr="009A4B52" w:rsidR="00905359" w:rsidTr="00677AB0">
        <w:trPr>
          <w:trHeight w:val="657"/>
          <w:jc w:val="center"/>
        </w:trPr>
        <w:tc>
          <w:tcPr>
            <w:tcW w:w="2723" w:type="dxa"/>
            <w:tcBorders>
              <w:top w:val="single" w:color="CCCCCC" w:sz="6" w:space="0"/>
              <w:left w:val="single" w:color="000000" w:sz="6" w:space="0"/>
              <w:bottom w:val="single" w:color="000000" w:sz="6" w:space="0"/>
              <w:right w:val="single" w:color="000000" w:sz="6" w:space="0"/>
            </w:tcBorders>
            <w:vAlign w:val="bottom"/>
          </w:tcPr>
          <w:p w:rsidRPr="009A4B52" w:rsidR="00905359" w:rsidP="00677AB0" w:rsidRDefault="00905359">
            <w:pPr>
              <w:rPr>
                <w:color w:val="000000"/>
                <w:sz w:val="20"/>
                <w:szCs w:val="20"/>
              </w:rPr>
            </w:pPr>
            <w:r w:rsidRPr="009A4B52">
              <w:rPr>
                <w:color w:val="000000"/>
                <w:sz w:val="20"/>
                <w:szCs w:val="20"/>
              </w:rPr>
              <w:t>Observer Informational materials</w:t>
            </w:r>
          </w:p>
        </w:tc>
        <w:tc>
          <w:tcPr>
            <w:tcW w:w="1226" w:type="dxa"/>
            <w:vMerge/>
            <w:tcBorders>
              <w:left w:val="single" w:color="CCCCCC" w:sz="6" w:space="0"/>
              <w:right w:val="single" w:color="000000" w:sz="6" w:space="0"/>
            </w:tcBorders>
            <w:vAlign w:val="center"/>
          </w:tcPr>
          <w:p w:rsidRPr="00C33B46" w:rsidR="00905359" w:rsidP="00677AB0" w:rsidRDefault="00905359">
            <w:pPr>
              <w:jc w:val="center"/>
              <w:rPr>
                <w:bCs/>
                <w:color w:val="000000"/>
                <w:sz w:val="20"/>
                <w:szCs w:val="20"/>
              </w:rPr>
            </w:pPr>
          </w:p>
        </w:tc>
        <w:tc>
          <w:tcPr>
            <w:tcW w:w="1632" w:type="dxa"/>
            <w:tcBorders>
              <w:top w:val="single" w:color="CCCCCC" w:sz="6" w:space="0"/>
              <w:left w:val="single" w:color="CCCCCC"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r w:rsidRPr="009A4B52">
              <w:rPr>
                <w:color w:val="000000"/>
                <w:sz w:val="20"/>
                <w:szCs w:val="20"/>
              </w:rPr>
              <w:t>2</w:t>
            </w:r>
          </w:p>
        </w:tc>
        <w:tc>
          <w:tcPr>
            <w:tcW w:w="1102" w:type="dxa"/>
            <w:tcBorders>
              <w:top w:val="single" w:color="CCCCCC" w:sz="6" w:space="0"/>
              <w:left w:val="single" w:color="CCCCCC"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r w:rsidRPr="009A4B52">
              <w:rPr>
                <w:color w:val="000000"/>
                <w:sz w:val="20"/>
                <w:szCs w:val="20"/>
              </w:rPr>
              <w:t>10</w:t>
            </w:r>
          </w:p>
        </w:tc>
        <w:tc>
          <w:tcPr>
            <w:tcW w:w="1038" w:type="dxa"/>
            <w:tcBorders>
              <w:top w:val="single" w:color="CCCCCC" w:sz="6" w:space="0"/>
              <w:left w:val="single" w:color="CCCCCC"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r w:rsidRPr="009A4B52">
              <w:rPr>
                <w:color w:val="000000"/>
                <w:sz w:val="20"/>
                <w:szCs w:val="20"/>
              </w:rPr>
              <w:t>5</w:t>
            </w:r>
          </w:p>
        </w:tc>
        <w:tc>
          <w:tcPr>
            <w:tcW w:w="1132" w:type="dxa"/>
            <w:tcBorders>
              <w:top w:val="single" w:color="CCCCCC" w:sz="6" w:space="0"/>
              <w:left w:val="single" w:color="CCCCCC" w:sz="6" w:space="0"/>
              <w:bottom w:val="single" w:color="000000" w:sz="6" w:space="0"/>
              <w:right w:val="single" w:color="000000" w:sz="6" w:space="0"/>
            </w:tcBorders>
            <w:vAlign w:val="center"/>
          </w:tcPr>
          <w:p w:rsidRPr="009A4B52" w:rsidR="00905359" w:rsidP="00677AB0" w:rsidRDefault="00905359">
            <w:pPr>
              <w:jc w:val="center"/>
              <w:rPr>
                <w:sz w:val="20"/>
                <w:szCs w:val="20"/>
              </w:rPr>
            </w:pPr>
            <w:r w:rsidRPr="009A4B52">
              <w:rPr>
                <w:sz w:val="20"/>
                <w:szCs w:val="20"/>
              </w:rPr>
              <w:t>1</w:t>
            </w:r>
          </w:p>
        </w:tc>
        <w:tc>
          <w:tcPr>
            <w:tcW w:w="877" w:type="dxa"/>
            <w:tcBorders>
              <w:top w:val="single" w:color="CCCCCC" w:sz="6" w:space="0"/>
              <w:left w:val="single" w:color="CCCCCC" w:sz="6" w:space="0"/>
              <w:bottom w:val="single" w:color="000000" w:sz="6" w:space="0"/>
              <w:right w:val="single" w:color="000000" w:sz="6" w:space="0"/>
            </w:tcBorders>
            <w:vAlign w:val="center"/>
          </w:tcPr>
          <w:p w:rsidRPr="009A4B52" w:rsidR="00905359" w:rsidP="00677AB0" w:rsidRDefault="00905359">
            <w:pPr>
              <w:jc w:val="center"/>
              <w:rPr>
                <w:sz w:val="20"/>
                <w:szCs w:val="20"/>
              </w:rPr>
            </w:pPr>
            <w:r w:rsidRPr="009A4B52">
              <w:rPr>
                <w:sz w:val="20"/>
                <w:szCs w:val="20"/>
              </w:rPr>
              <w:t>$25</w:t>
            </w:r>
          </w:p>
        </w:tc>
      </w:tr>
      <w:tr w:rsidRPr="009A4B52" w:rsidR="00905359" w:rsidTr="00677AB0">
        <w:trPr>
          <w:trHeight w:val="657"/>
          <w:jc w:val="center"/>
        </w:trPr>
        <w:tc>
          <w:tcPr>
            <w:tcW w:w="2723" w:type="dxa"/>
            <w:tcBorders>
              <w:top w:val="single" w:color="CCCCCC" w:sz="6" w:space="0"/>
              <w:left w:val="single" w:color="000000" w:sz="6" w:space="0"/>
              <w:bottom w:val="single" w:color="000000" w:sz="6" w:space="0"/>
              <w:right w:val="single" w:color="000000" w:sz="6" w:space="0"/>
            </w:tcBorders>
            <w:vAlign w:val="bottom"/>
          </w:tcPr>
          <w:p w:rsidRPr="009A4B52" w:rsidR="00905359" w:rsidP="00677AB0" w:rsidRDefault="00905359">
            <w:pPr>
              <w:rPr>
                <w:color w:val="000000"/>
                <w:sz w:val="20"/>
                <w:szCs w:val="20"/>
              </w:rPr>
            </w:pPr>
            <w:r w:rsidRPr="009A4B52">
              <w:rPr>
                <w:color w:val="000000"/>
                <w:sz w:val="20"/>
                <w:szCs w:val="20"/>
              </w:rPr>
              <w:t>Catch monitor Informational materials</w:t>
            </w:r>
          </w:p>
        </w:tc>
        <w:tc>
          <w:tcPr>
            <w:tcW w:w="1226" w:type="dxa"/>
            <w:vMerge/>
            <w:tcBorders>
              <w:left w:val="single" w:color="CCCCCC" w:sz="6" w:space="0"/>
              <w:right w:val="single" w:color="000000" w:sz="6" w:space="0"/>
            </w:tcBorders>
            <w:vAlign w:val="center"/>
          </w:tcPr>
          <w:p w:rsidRPr="00C33B46" w:rsidR="00905359" w:rsidP="00677AB0" w:rsidRDefault="00905359">
            <w:pPr>
              <w:jc w:val="center"/>
              <w:rPr>
                <w:bCs/>
                <w:color w:val="000000"/>
                <w:sz w:val="20"/>
                <w:szCs w:val="20"/>
              </w:rPr>
            </w:pPr>
          </w:p>
        </w:tc>
        <w:tc>
          <w:tcPr>
            <w:tcW w:w="1632" w:type="dxa"/>
            <w:tcBorders>
              <w:top w:val="single" w:color="CCCCCC" w:sz="6" w:space="0"/>
              <w:left w:val="single" w:color="CCCCCC"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r w:rsidRPr="009A4B52">
              <w:rPr>
                <w:color w:val="000000"/>
                <w:sz w:val="20"/>
                <w:szCs w:val="20"/>
              </w:rPr>
              <w:t>2</w:t>
            </w:r>
          </w:p>
        </w:tc>
        <w:tc>
          <w:tcPr>
            <w:tcW w:w="1102" w:type="dxa"/>
            <w:tcBorders>
              <w:top w:val="single" w:color="CCCCCC" w:sz="6" w:space="0"/>
              <w:left w:val="single" w:color="CCCCCC"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r w:rsidRPr="009A4B52">
              <w:rPr>
                <w:color w:val="000000"/>
                <w:sz w:val="20"/>
                <w:szCs w:val="20"/>
              </w:rPr>
              <w:t>10</w:t>
            </w:r>
          </w:p>
        </w:tc>
        <w:tc>
          <w:tcPr>
            <w:tcW w:w="1038" w:type="dxa"/>
            <w:tcBorders>
              <w:top w:val="single" w:color="CCCCCC" w:sz="6" w:space="0"/>
              <w:left w:val="single" w:color="CCCCCC"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r w:rsidRPr="009A4B52">
              <w:rPr>
                <w:color w:val="000000"/>
                <w:sz w:val="20"/>
                <w:szCs w:val="20"/>
              </w:rPr>
              <w:t>5</w:t>
            </w:r>
          </w:p>
        </w:tc>
        <w:tc>
          <w:tcPr>
            <w:tcW w:w="1132" w:type="dxa"/>
            <w:tcBorders>
              <w:top w:val="single" w:color="CCCCCC" w:sz="6" w:space="0"/>
              <w:left w:val="single" w:color="CCCCCC" w:sz="6" w:space="0"/>
              <w:bottom w:val="single" w:color="000000" w:sz="6" w:space="0"/>
              <w:right w:val="single" w:color="000000" w:sz="6" w:space="0"/>
            </w:tcBorders>
            <w:vAlign w:val="center"/>
          </w:tcPr>
          <w:p w:rsidRPr="009A4B52" w:rsidR="00905359" w:rsidP="00677AB0" w:rsidRDefault="00905359">
            <w:pPr>
              <w:jc w:val="center"/>
              <w:rPr>
                <w:sz w:val="20"/>
                <w:szCs w:val="20"/>
              </w:rPr>
            </w:pPr>
            <w:r w:rsidRPr="009A4B52">
              <w:rPr>
                <w:sz w:val="20"/>
                <w:szCs w:val="20"/>
              </w:rPr>
              <w:t>1</w:t>
            </w:r>
          </w:p>
        </w:tc>
        <w:tc>
          <w:tcPr>
            <w:tcW w:w="877" w:type="dxa"/>
            <w:tcBorders>
              <w:top w:val="single" w:color="CCCCCC" w:sz="6" w:space="0"/>
              <w:left w:val="single" w:color="CCCCCC" w:sz="6" w:space="0"/>
              <w:bottom w:val="single" w:color="000000" w:sz="6" w:space="0"/>
              <w:right w:val="single" w:color="000000" w:sz="6" w:space="0"/>
            </w:tcBorders>
            <w:vAlign w:val="center"/>
          </w:tcPr>
          <w:p w:rsidRPr="009A4B52" w:rsidR="00905359" w:rsidP="00677AB0" w:rsidRDefault="00905359">
            <w:pPr>
              <w:jc w:val="center"/>
              <w:rPr>
                <w:sz w:val="20"/>
                <w:szCs w:val="20"/>
              </w:rPr>
            </w:pPr>
            <w:r w:rsidRPr="009A4B52">
              <w:rPr>
                <w:sz w:val="20"/>
                <w:szCs w:val="20"/>
              </w:rPr>
              <w:t>$25</w:t>
            </w:r>
          </w:p>
        </w:tc>
      </w:tr>
      <w:tr w:rsidRPr="00C33B46" w:rsidR="00905359" w:rsidTr="00677AB0">
        <w:trPr>
          <w:trHeight w:val="657"/>
          <w:jc w:val="center"/>
        </w:trPr>
        <w:tc>
          <w:tcPr>
            <w:tcW w:w="2723" w:type="dxa"/>
            <w:tcBorders>
              <w:top w:val="single" w:color="CCCCCC" w:sz="6" w:space="0"/>
              <w:left w:val="single" w:color="000000" w:sz="6" w:space="0"/>
              <w:bottom w:val="single" w:color="000000" w:sz="6" w:space="0"/>
              <w:right w:val="single" w:color="000000" w:sz="6" w:space="0"/>
            </w:tcBorders>
            <w:vAlign w:val="bottom"/>
          </w:tcPr>
          <w:p w:rsidRPr="009A4B52" w:rsidR="00905359" w:rsidP="00677AB0" w:rsidRDefault="00905359">
            <w:pPr>
              <w:rPr>
                <w:color w:val="000000"/>
                <w:sz w:val="20"/>
                <w:szCs w:val="20"/>
              </w:rPr>
            </w:pPr>
            <w:r w:rsidRPr="009A4B52">
              <w:rPr>
                <w:color w:val="000000"/>
                <w:sz w:val="20"/>
                <w:szCs w:val="20"/>
              </w:rPr>
              <w:t>Notification of catch monitor physical examination</w:t>
            </w:r>
          </w:p>
        </w:tc>
        <w:tc>
          <w:tcPr>
            <w:tcW w:w="1226" w:type="dxa"/>
            <w:vMerge/>
            <w:tcBorders>
              <w:left w:val="single" w:color="CCCCCC" w:sz="6" w:space="0"/>
              <w:right w:val="single" w:color="000000" w:sz="6" w:space="0"/>
            </w:tcBorders>
            <w:vAlign w:val="center"/>
          </w:tcPr>
          <w:p w:rsidRPr="00C33B46" w:rsidR="00905359" w:rsidP="00677AB0" w:rsidRDefault="00905359">
            <w:pPr>
              <w:jc w:val="center"/>
              <w:rPr>
                <w:bCs/>
                <w:color w:val="000000"/>
                <w:sz w:val="20"/>
                <w:szCs w:val="20"/>
              </w:rPr>
            </w:pPr>
          </w:p>
        </w:tc>
        <w:tc>
          <w:tcPr>
            <w:tcW w:w="1632" w:type="dxa"/>
            <w:tcBorders>
              <w:top w:val="single" w:color="CCCCCC" w:sz="6" w:space="0"/>
              <w:left w:val="single" w:color="CCCCCC" w:sz="6" w:space="0"/>
              <w:bottom w:val="single" w:color="000000" w:sz="6" w:space="0"/>
              <w:right w:val="single" w:color="000000" w:sz="6" w:space="0"/>
            </w:tcBorders>
            <w:vAlign w:val="bottom"/>
          </w:tcPr>
          <w:p w:rsidRPr="00C33B46" w:rsidR="00905359" w:rsidP="00677AB0" w:rsidRDefault="00905359">
            <w:pPr>
              <w:jc w:val="center"/>
              <w:rPr>
                <w:bCs/>
                <w:color w:val="000000"/>
                <w:sz w:val="20"/>
                <w:szCs w:val="20"/>
              </w:rPr>
            </w:pPr>
            <w:r w:rsidRPr="009A4B52">
              <w:rPr>
                <w:color w:val="000000"/>
                <w:sz w:val="20"/>
                <w:szCs w:val="20"/>
              </w:rPr>
              <w:t>10</w:t>
            </w:r>
          </w:p>
        </w:tc>
        <w:tc>
          <w:tcPr>
            <w:tcW w:w="1102" w:type="dxa"/>
            <w:tcBorders>
              <w:top w:val="single" w:color="CCCCCC" w:sz="6" w:space="0"/>
              <w:left w:val="single" w:color="CCCCCC" w:sz="6" w:space="0"/>
              <w:bottom w:val="single" w:color="000000" w:sz="6" w:space="0"/>
              <w:right w:val="single" w:color="000000" w:sz="6" w:space="0"/>
            </w:tcBorders>
            <w:vAlign w:val="bottom"/>
          </w:tcPr>
          <w:p w:rsidRPr="00C33B46" w:rsidR="00905359" w:rsidP="00677AB0" w:rsidRDefault="00905359">
            <w:pPr>
              <w:jc w:val="center"/>
              <w:rPr>
                <w:bCs/>
                <w:color w:val="000000"/>
                <w:sz w:val="20"/>
                <w:szCs w:val="20"/>
              </w:rPr>
            </w:pPr>
            <w:r w:rsidRPr="009A4B52">
              <w:rPr>
                <w:color w:val="000000"/>
                <w:sz w:val="20"/>
                <w:szCs w:val="20"/>
              </w:rPr>
              <w:t>50</w:t>
            </w:r>
          </w:p>
        </w:tc>
        <w:tc>
          <w:tcPr>
            <w:tcW w:w="1038" w:type="dxa"/>
            <w:tcBorders>
              <w:top w:val="single" w:color="CCCCCC" w:sz="6" w:space="0"/>
              <w:left w:val="single" w:color="CCCCCC" w:sz="6" w:space="0"/>
              <w:bottom w:val="single" w:color="000000" w:sz="6" w:space="0"/>
              <w:right w:val="single" w:color="000000" w:sz="6" w:space="0"/>
            </w:tcBorders>
            <w:vAlign w:val="bottom"/>
          </w:tcPr>
          <w:p w:rsidRPr="00C33B46" w:rsidR="00905359" w:rsidP="00677AB0" w:rsidRDefault="00905359">
            <w:pPr>
              <w:jc w:val="center"/>
              <w:rPr>
                <w:bCs/>
                <w:color w:val="000000"/>
                <w:sz w:val="20"/>
                <w:szCs w:val="20"/>
              </w:rPr>
            </w:pPr>
            <w:r w:rsidRPr="009A4B52">
              <w:rPr>
                <w:color w:val="000000"/>
                <w:sz w:val="20"/>
                <w:szCs w:val="20"/>
              </w:rPr>
              <w:t>15</w:t>
            </w:r>
          </w:p>
        </w:tc>
        <w:tc>
          <w:tcPr>
            <w:tcW w:w="1132" w:type="dxa"/>
            <w:tcBorders>
              <w:top w:val="single" w:color="CCCCCC" w:sz="6" w:space="0"/>
              <w:left w:val="single" w:color="CCCCCC" w:sz="6" w:space="0"/>
              <w:bottom w:val="single" w:color="000000" w:sz="6" w:space="0"/>
              <w:right w:val="single" w:color="000000" w:sz="6" w:space="0"/>
            </w:tcBorders>
            <w:vAlign w:val="center"/>
          </w:tcPr>
          <w:p w:rsidRPr="00C33B46" w:rsidR="00905359" w:rsidP="00677AB0" w:rsidRDefault="00905359">
            <w:pPr>
              <w:jc w:val="center"/>
              <w:rPr>
                <w:sz w:val="20"/>
                <w:szCs w:val="20"/>
              </w:rPr>
            </w:pPr>
            <w:r w:rsidRPr="009A4B52">
              <w:rPr>
                <w:sz w:val="20"/>
                <w:szCs w:val="20"/>
              </w:rPr>
              <w:t>13</w:t>
            </w:r>
          </w:p>
        </w:tc>
        <w:tc>
          <w:tcPr>
            <w:tcW w:w="877" w:type="dxa"/>
            <w:tcBorders>
              <w:top w:val="single" w:color="CCCCCC" w:sz="6" w:space="0"/>
              <w:left w:val="single" w:color="CCCCCC" w:sz="6" w:space="0"/>
              <w:bottom w:val="single" w:color="000000" w:sz="6" w:space="0"/>
              <w:right w:val="single" w:color="000000" w:sz="6" w:space="0"/>
            </w:tcBorders>
            <w:vAlign w:val="center"/>
          </w:tcPr>
          <w:p w:rsidRPr="00C33B46" w:rsidR="00905359" w:rsidP="00677AB0" w:rsidRDefault="00905359">
            <w:pPr>
              <w:jc w:val="center"/>
              <w:rPr>
                <w:sz w:val="20"/>
                <w:szCs w:val="20"/>
              </w:rPr>
            </w:pPr>
            <w:r w:rsidRPr="009A4B52">
              <w:rPr>
                <w:sz w:val="20"/>
                <w:szCs w:val="20"/>
              </w:rPr>
              <w:t>$325</w:t>
            </w:r>
          </w:p>
        </w:tc>
      </w:tr>
      <w:tr w:rsidRPr="009A4B52" w:rsidR="00905359" w:rsidTr="00677AB0">
        <w:trPr>
          <w:trHeight w:val="657"/>
          <w:jc w:val="center"/>
        </w:trPr>
        <w:tc>
          <w:tcPr>
            <w:tcW w:w="2723" w:type="dxa"/>
            <w:tcBorders>
              <w:top w:val="single" w:color="CCCCCC" w:sz="6" w:space="0"/>
              <w:left w:val="single" w:color="000000" w:sz="6" w:space="0"/>
              <w:bottom w:val="single" w:color="000000" w:sz="6" w:space="0"/>
              <w:right w:val="single" w:color="000000" w:sz="6" w:space="0"/>
            </w:tcBorders>
            <w:vAlign w:val="bottom"/>
          </w:tcPr>
          <w:p w:rsidRPr="009A4B52" w:rsidR="00905359" w:rsidP="00677AB0" w:rsidRDefault="00905359">
            <w:pPr>
              <w:rPr>
                <w:color w:val="000000"/>
                <w:sz w:val="20"/>
                <w:szCs w:val="20"/>
              </w:rPr>
            </w:pPr>
            <w:r w:rsidRPr="009A4B52">
              <w:rPr>
                <w:color w:val="000000"/>
                <w:sz w:val="20"/>
                <w:szCs w:val="20"/>
              </w:rPr>
              <w:t>Notification of observer physical examination</w:t>
            </w:r>
          </w:p>
        </w:tc>
        <w:tc>
          <w:tcPr>
            <w:tcW w:w="1226" w:type="dxa"/>
            <w:vMerge/>
            <w:tcBorders>
              <w:left w:val="single" w:color="CCCCCC" w:sz="6" w:space="0"/>
              <w:bottom w:val="single" w:color="000000" w:sz="6" w:space="0"/>
              <w:right w:val="single" w:color="000000" w:sz="6" w:space="0"/>
            </w:tcBorders>
            <w:vAlign w:val="center"/>
          </w:tcPr>
          <w:p w:rsidRPr="00C33B46" w:rsidR="00905359" w:rsidP="00677AB0" w:rsidRDefault="00905359">
            <w:pPr>
              <w:jc w:val="center"/>
              <w:rPr>
                <w:bCs/>
                <w:color w:val="000000"/>
                <w:sz w:val="20"/>
                <w:szCs w:val="20"/>
              </w:rPr>
            </w:pPr>
          </w:p>
        </w:tc>
        <w:tc>
          <w:tcPr>
            <w:tcW w:w="1632" w:type="dxa"/>
            <w:tcBorders>
              <w:top w:val="single" w:color="CCCCCC" w:sz="6" w:space="0"/>
              <w:left w:val="single" w:color="CCCCCC"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r w:rsidRPr="009A4B52">
              <w:rPr>
                <w:color w:val="000000"/>
                <w:sz w:val="20"/>
                <w:szCs w:val="20"/>
              </w:rPr>
              <w:t>30</w:t>
            </w:r>
          </w:p>
        </w:tc>
        <w:tc>
          <w:tcPr>
            <w:tcW w:w="1102" w:type="dxa"/>
            <w:tcBorders>
              <w:top w:val="single" w:color="CCCCCC" w:sz="6" w:space="0"/>
              <w:left w:val="single" w:color="CCCCCC"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r w:rsidRPr="009A4B52">
              <w:rPr>
                <w:color w:val="000000"/>
                <w:sz w:val="20"/>
                <w:szCs w:val="20"/>
              </w:rPr>
              <w:t>150</w:t>
            </w:r>
          </w:p>
        </w:tc>
        <w:tc>
          <w:tcPr>
            <w:tcW w:w="1038" w:type="dxa"/>
            <w:tcBorders>
              <w:top w:val="single" w:color="CCCCCC" w:sz="6" w:space="0"/>
              <w:left w:val="single" w:color="CCCCCC"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r w:rsidRPr="009A4B52">
              <w:rPr>
                <w:color w:val="000000"/>
                <w:sz w:val="20"/>
                <w:szCs w:val="20"/>
              </w:rPr>
              <w:t>5</w:t>
            </w:r>
          </w:p>
        </w:tc>
        <w:tc>
          <w:tcPr>
            <w:tcW w:w="1132" w:type="dxa"/>
            <w:tcBorders>
              <w:top w:val="single" w:color="CCCCCC" w:sz="6" w:space="0"/>
              <w:left w:val="single" w:color="CCCCCC" w:sz="6" w:space="0"/>
              <w:bottom w:val="single" w:color="000000" w:sz="6" w:space="0"/>
              <w:right w:val="single" w:color="000000" w:sz="6" w:space="0"/>
            </w:tcBorders>
            <w:vAlign w:val="center"/>
          </w:tcPr>
          <w:p w:rsidRPr="009A4B52" w:rsidR="00905359" w:rsidP="00677AB0" w:rsidRDefault="00905359">
            <w:pPr>
              <w:jc w:val="center"/>
              <w:rPr>
                <w:sz w:val="20"/>
                <w:szCs w:val="20"/>
              </w:rPr>
            </w:pPr>
            <w:r w:rsidRPr="009A4B52">
              <w:rPr>
                <w:color w:val="000000"/>
                <w:sz w:val="20"/>
                <w:szCs w:val="20"/>
              </w:rPr>
              <w:t>13</w:t>
            </w:r>
          </w:p>
        </w:tc>
        <w:tc>
          <w:tcPr>
            <w:tcW w:w="877" w:type="dxa"/>
            <w:tcBorders>
              <w:top w:val="single" w:color="CCCCCC" w:sz="6" w:space="0"/>
              <w:left w:val="single" w:color="CCCCCC" w:sz="6" w:space="0"/>
              <w:bottom w:val="single" w:color="000000" w:sz="6" w:space="0"/>
              <w:right w:val="single" w:color="000000" w:sz="6" w:space="0"/>
            </w:tcBorders>
            <w:vAlign w:val="center"/>
          </w:tcPr>
          <w:p w:rsidRPr="009A4B52" w:rsidR="00905359" w:rsidP="00677AB0" w:rsidRDefault="00905359">
            <w:pPr>
              <w:jc w:val="center"/>
              <w:rPr>
                <w:sz w:val="20"/>
                <w:szCs w:val="20"/>
              </w:rPr>
            </w:pPr>
            <w:r w:rsidRPr="009A4B52">
              <w:rPr>
                <w:sz w:val="20"/>
                <w:szCs w:val="20"/>
              </w:rPr>
              <w:t>$325</w:t>
            </w:r>
          </w:p>
        </w:tc>
      </w:tr>
      <w:tr w:rsidRPr="009A4B52" w:rsidR="00905359" w:rsidTr="00677AB0">
        <w:trPr>
          <w:trHeight w:val="349"/>
          <w:jc w:val="center"/>
        </w:trPr>
        <w:tc>
          <w:tcPr>
            <w:tcW w:w="2723" w:type="dxa"/>
            <w:tcBorders>
              <w:top w:val="single" w:color="CCCCCC" w:sz="6" w:space="0"/>
              <w:left w:val="single" w:color="000000" w:sz="6" w:space="0"/>
              <w:bottom w:val="single" w:color="000000" w:sz="6" w:space="0"/>
              <w:right w:val="single" w:color="000000" w:sz="6" w:space="0"/>
            </w:tcBorders>
            <w:vAlign w:val="bottom"/>
          </w:tcPr>
          <w:p w:rsidRPr="009A4B52" w:rsidR="00905359" w:rsidP="00677AB0" w:rsidRDefault="00905359">
            <w:pPr>
              <w:rPr>
                <w:color w:val="000000"/>
                <w:sz w:val="20"/>
                <w:szCs w:val="20"/>
              </w:rPr>
            </w:pPr>
            <w:r w:rsidRPr="009A4B52">
              <w:rPr>
                <w:color w:val="000000"/>
                <w:sz w:val="20"/>
                <w:szCs w:val="20"/>
              </w:rPr>
              <w:t>Fishing departure reports</w:t>
            </w:r>
          </w:p>
        </w:tc>
        <w:tc>
          <w:tcPr>
            <w:tcW w:w="1226" w:type="dxa"/>
            <w:vMerge w:val="restart"/>
            <w:tcBorders>
              <w:top w:val="single" w:color="CCCCCC" w:sz="6" w:space="0"/>
              <w:left w:val="single" w:color="CCCCCC" w:sz="6" w:space="0"/>
              <w:right w:val="single" w:color="000000" w:sz="6" w:space="0"/>
            </w:tcBorders>
            <w:vAlign w:val="center"/>
          </w:tcPr>
          <w:p w:rsidRPr="009A4B52" w:rsidR="00905359" w:rsidP="00677AB0" w:rsidRDefault="00905359">
            <w:pPr>
              <w:rPr>
                <w:color w:val="000000"/>
                <w:sz w:val="20"/>
                <w:szCs w:val="20"/>
              </w:rPr>
            </w:pPr>
            <w:r w:rsidRPr="009A4B52">
              <w:rPr>
                <w:color w:val="000000"/>
                <w:sz w:val="20"/>
                <w:szCs w:val="20"/>
              </w:rPr>
              <w:t>In any one year, 225 LEFG and 650 OA vessels</w:t>
            </w:r>
          </w:p>
        </w:tc>
        <w:tc>
          <w:tcPr>
            <w:tcW w:w="1632" w:type="dxa"/>
            <w:tcBorders>
              <w:top w:val="single" w:color="CCCCCC" w:sz="6" w:space="0"/>
              <w:left w:val="single" w:color="CCCCCC"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r w:rsidRPr="009A4B52">
              <w:rPr>
                <w:color w:val="000000"/>
                <w:sz w:val="20"/>
                <w:szCs w:val="20"/>
              </w:rPr>
              <w:t>3</w:t>
            </w:r>
          </w:p>
        </w:tc>
        <w:tc>
          <w:tcPr>
            <w:tcW w:w="1102" w:type="dxa"/>
            <w:tcBorders>
              <w:top w:val="single" w:color="CCCCCC" w:sz="6" w:space="0"/>
              <w:left w:val="single" w:color="CCCCCC"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r w:rsidRPr="009A4B52">
              <w:rPr>
                <w:color w:val="000000"/>
                <w:sz w:val="20"/>
                <w:szCs w:val="20"/>
              </w:rPr>
              <w:t>789</w:t>
            </w:r>
          </w:p>
        </w:tc>
        <w:tc>
          <w:tcPr>
            <w:tcW w:w="1038" w:type="dxa"/>
            <w:tcBorders>
              <w:top w:val="single" w:color="CCCCCC" w:sz="6" w:space="0"/>
              <w:left w:val="single" w:color="CCCCCC"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r w:rsidRPr="009A4B52">
              <w:rPr>
                <w:color w:val="000000"/>
                <w:sz w:val="20"/>
                <w:szCs w:val="20"/>
              </w:rPr>
              <w:t>10</w:t>
            </w:r>
          </w:p>
        </w:tc>
        <w:tc>
          <w:tcPr>
            <w:tcW w:w="1132" w:type="dxa"/>
            <w:tcBorders>
              <w:top w:val="single" w:color="CCCCCC" w:sz="6" w:space="0"/>
              <w:left w:val="single" w:color="CCCCCC" w:sz="6" w:space="0"/>
              <w:bottom w:val="single" w:color="000000" w:sz="6" w:space="0"/>
              <w:right w:val="single" w:color="000000" w:sz="6" w:space="0"/>
            </w:tcBorders>
            <w:vAlign w:val="center"/>
          </w:tcPr>
          <w:p w:rsidRPr="009A4B52" w:rsidR="00905359" w:rsidP="00677AB0" w:rsidRDefault="00905359">
            <w:pPr>
              <w:jc w:val="center"/>
              <w:rPr>
                <w:color w:val="000000"/>
                <w:sz w:val="20"/>
                <w:szCs w:val="20"/>
              </w:rPr>
            </w:pPr>
            <w:r w:rsidRPr="009A4B52">
              <w:rPr>
                <w:color w:val="000000"/>
                <w:sz w:val="20"/>
                <w:szCs w:val="20"/>
              </w:rPr>
              <w:t>132</w:t>
            </w:r>
          </w:p>
        </w:tc>
        <w:tc>
          <w:tcPr>
            <w:tcW w:w="877" w:type="dxa"/>
            <w:tcBorders>
              <w:top w:val="single" w:color="CCCCCC" w:sz="6" w:space="0"/>
              <w:left w:val="single" w:color="CCCCCC" w:sz="6" w:space="0"/>
              <w:bottom w:val="single" w:color="000000" w:sz="6" w:space="0"/>
              <w:right w:val="single" w:color="000000" w:sz="6" w:space="0"/>
            </w:tcBorders>
            <w:vAlign w:val="center"/>
          </w:tcPr>
          <w:p w:rsidRPr="009A4B52" w:rsidR="00905359" w:rsidP="00677AB0" w:rsidRDefault="00905359">
            <w:pPr>
              <w:jc w:val="center"/>
              <w:rPr>
                <w:color w:val="000000"/>
                <w:sz w:val="20"/>
                <w:szCs w:val="20"/>
              </w:rPr>
            </w:pPr>
            <w:r w:rsidRPr="009A4B52">
              <w:rPr>
                <w:color w:val="000000"/>
                <w:sz w:val="20"/>
                <w:szCs w:val="20"/>
              </w:rPr>
              <w:t>$3300</w:t>
            </w:r>
          </w:p>
        </w:tc>
      </w:tr>
      <w:tr w:rsidRPr="009A4B52" w:rsidR="00905359" w:rsidTr="00677AB0">
        <w:trPr>
          <w:trHeight w:val="349"/>
          <w:jc w:val="center"/>
        </w:trPr>
        <w:tc>
          <w:tcPr>
            <w:tcW w:w="2723" w:type="dxa"/>
            <w:tcBorders>
              <w:top w:val="single" w:color="CCCCCC" w:sz="6" w:space="0"/>
              <w:left w:val="single" w:color="000000" w:sz="6" w:space="0"/>
              <w:bottom w:val="single" w:color="000000" w:sz="6" w:space="0"/>
              <w:right w:val="single" w:color="000000" w:sz="6" w:space="0"/>
            </w:tcBorders>
            <w:vAlign w:val="bottom"/>
          </w:tcPr>
          <w:p w:rsidRPr="009A4B52" w:rsidR="00905359" w:rsidP="00677AB0" w:rsidRDefault="00905359">
            <w:pPr>
              <w:rPr>
                <w:color w:val="000000"/>
                <w:sz w:val="20"/>
                <w:szCs w:val="20"/>
              </w:rPr>
            </w:pPr>
            <w:r w:rsidRPr="009A4B52">
              <w:rPr>
                <w:color w:val="000000"/>
                <w:sz w:val="20"/>
                <w:szCs w:val="20"/>
              </w:rPr>
              <w:t>Cease-fishing reports</w:t>
            </w:r>
          </w:p>
        </w:tc>
        <w:tc>
          <w:tcPr>
            <w:tcW w:w="1226" w:type="dxa"/>
            <w:vMerge/>
            <w:tcBorders>
              <w:left w:val="single" w:color="CCCCCC" w:sz="6" w:space="0"/>
              <w:bottom w:val="single" w:color="000000" w:sz="6" w:space="0"/>
              <w:right w:val="single" w:color="000000" w:sz="6" w:space="0"/>
            </w:tcBorders>
            <w:vAlign w:val="center"/>
          </w:tcPr>
          <w:p w:rsidRPr="009A4B52" w:rsidR="00905359" w:rsidP="00677AB0" w:rsidRDefault="00905359">
            <w:pPr>
              <w:rPr>
                <w:color w:val="000000"/>
                <w:sz w:val="20"/>
                <w:szCs w:val="20"/>
              </w:rPr>
            </w:pPr>
          </w:p>
        </w:tc>
        <w:tc>
          <w:tcPr>
            <w:tcW w:w="1632" w:type="dxa"/>
            <w:tcBorders>
              <w:top w:val="single" w:color="CCCCCC" w:sz="6" w:space="0"/>
              <w:left w:val="single" w:color="CCCCCC"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r w:rsidRPr="009A4B52">
              <w:rPr>
                <w:color w:val="000000"/>
                <w:sz w:val="20"/>
                <w:szCs w:val="20"/>
              </w:rPr>
              <w:t>2</w:t>
            </w:r>
          </w:p>
        </w:tc>
        <w:tc>
          <w:tcPr>
            <w:tcW w:w="1102" w:type="dxa"/>
            <w:tcBorders>
              <w:top w:val="single" w:color="CCCCCC" w:sz="6" w:space="0"/>
              <w:left w:val="single" w:color="CCCCCC"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r w:rsidRPr="009A4B52">
              <w:rPr>
                <w:color w:val="000000"/>
                <w:sz w:val="20"/>
                <w:szCs w:val="20"/>
              </w:rPr>
              <w:t>526</w:t>
            </w:r>
          </w:p>
        </w:tc>
        <w:tc>
          <w:tcPr>
            <w:tcW w:w="1038" w:type="dxa"/>
            <w:tcBorders>
              <w:top w:val="single" w:color="CCCCCC" w:sz="6" w:space="0"/>
              <w:left w:val="single" w:color="CCCCCC"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r w:rsidRPr="009A4B52">
              <w:rPr>
                <w:color w:val="000000"/>
                <w:sz w:val="20"/>
                <w:szCs w:val="20"/>
              </w:rPr>
              <w:t>10</w:t>
            </w:r>
          </w:p>
        </w:tc>
        <w:tc>
          <w:tcPr>
            <w:tcW w:w="1132" w:type="dxa"/>
            <w:tcBorders>
              <w:top w:val="single" w:color="CCCCCC" w:sz="6" w:space="0"/>
              <w:left w:val="single" w:color="CCCCCC" w:sz="6" w:space="0"/>
              <w:bottom w:val="single" w:color="000000" w:sz="6" w:space="0"/>
              <w:right w:val="single" w:color="000000" w:sz="6" w:space="0"/>
            </w:tcBorders>
            <w:vAlign w:val="center"/>
          </w:tcPr>
          <w:p w:rsidRPr="009A4B52" w:rsidR="00905359" w:rsidP="00677AB0" w:rsidRDefault="00905359">
            <w:pPr>
              <w:jc w:val="center"/>
              <w:rPr>
                <w:color w:val="000000"/>
                <w:sz w:val="20"/>
                <w:szCs w:val="20"/>
              </w:rPr>
            </w:pPr>
            <w:r w:rsidRPr="009A4B52">
              <w:rPr>
                <w:color w:val="000000"/>
                <w:sz w:val="20"/>
                <w:szCs w:val="20"/>
              </w:rPr>
              <w:t>88</w:t>
            </w:r>
          </w:p>
        </w:tc>
        <w:tc>
          <w:tcPr>
            <w:tcW w:w="877" w:type="dxa"/>
            <w:tcBorders>
              <w:top w:val="single" w:color="CCCCCC" w:sz="6" w:space="0"/>
              <w:left w:val="single" w:color="CCCCCC" w:sz="6" w:space="0"/>
              <w:bottom w:val="single" w:color="000000" w:sz="6" w:space="0"/>
              <w:right w:val="single" w:color="000000" w:sz="6" w:space="0"/>
            </w:tcBorders>
            <w:vAlign w:val="center"/>
          </w:tcPr>
          <w:p w:rsidRPr="009A4B52" w:rsidR="00905359" w:rsidP="00677AB0" w:rsidRDefault="00905359">
            <w:pPr>
              <w:jc w:val="center"/>
              <w:rPr>
                <w:color w:val="000000"/>
                <w:sz w:val="20"/>
                <w:szCs w:val="20"/>
              </w:rPr>
            </w:pPr>
            <w:r w:rsidRPr="009A4B52">
              <w:rPr>
                <w:color w:val="000000"/>
                <w:sz w:val="20"/>
                <w:szCs w:val="20"/>
              </w:rPr>
              <w:t>$2,200</w:t>
            </w:r>
          </w:p>
        </w:tc>
      </w:tr>
      <w:tr w:rsidRPr="009A4B52" w:rsidR="00905359" w:rsidTr="00677AB0">
        <w:trPr>
          <w:trHeight w:val="449"/>
          <w:jc w:val="center"/>
        </w:trPr>
        <w:tc>
          <w:tcPr>
            <w:tcW w:w="2723" w:type="dxa"/>
            <w:tcBorders>
              <w:top w:val="single" w:color="CCCCCC" w:sz="6" w:space="0"/>
              <w:left w:val="single" w:color="000000"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r w:rsidRPr="009A4B52">
              <w:rPr>
                <w:b/>
                <w:bCs/>
                <w:color w:val="000000"/>
                <w:sz w:val="20"/>
                <w:szCs w:val="20"/>
              </w:rPr>
              <w:t>TOTALS</w:t>
            </w:r>
          </w:p>
        </w:tc>
        <w:tc>
          <w:tcPr>
            <w:tcW w:w="1226" w:type="dxa"/>
            <w:tcBorders>
              <w:top w:val="single" w:color="CCCCCC" w:sz="6" w:space="0"/>
              <w:left w:val="single" w:color="CCCCCC" w:sz="6" w:space="0"/>
              <w:bottom w:val="single" w:color="000000" w:sz="6" w:space="0"/>
              <w:right w:val="single" w:color="000000" w:sz="6" w:space="0"/>
            </w:tcBorders>
            <w:vAlign w:val="center"/>
          </w:tcPr>
          <w:p w:rsidRPr="009A4B52" w:rsidR="00905359" w:rsidP="00677AB0" w:rsidRDefault="00905359">
            <w:pPr>
              <w:jc w:val="center"/>
              <w:rPr>
                <w:color w:val="000000"/>
                <w:sz w:val="20"/>
                <w:szCs w:val="20"/>
              </w:rPr>
            </w:pPr>
            <w:r w:rsidRPr="009A4B52">
              <w:rPr>
                <w:b/>
                <w:bCs/>
                <w:color w:val="000000"/>
                <w:sz w:val="20"/>
                <w:szCs w:val="20"/>
              </w:rPr>
              <w:t>268</w:t>
            </w:r>
          </w:p>
        </w:tc>
        <w:tc>
          <w:tcPr>
            <w:tcW w:w="1632" w:type="dxa"/>
            <w:tcBorders>
              <w:top w:val="single" w:color="CCCCCC" w:sz="6" w:space="0"/>
              <w:left w:val="single" w:color="CCCCCC"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p>
        </w:tc>
        <w:tc>
          <w:tcPr>
            <w:tcW w:w="1102" w:type="dxa"/>
            <w:tcBorders>
              <w:top w:val="single" w:color="CCCCCC" w:sz="6" w:space="0"/>
              <w:left w:val="single" w:color="CCCCCC" w:sz="6" w:space="0"/>
              <w:bottom w:val="single" w:color="000000" w:sz="6" w:space="0"/>
              <w:right w:val="single" w:color="000000" w:sz="6" w:space="0"/>
            </w:tcBorders>
            <w:vAlign w:val="center"/>
          </w:tcPr>
          <w:p w:rsidRPr="009A4B52" w:rsidR="00905359" w:rsidP="00677AB0" w:rsidRDefault="00905359">
            <w:pPr>
              <w:jc w:val="center"/>
              <w:rPr>
                <w:color w:val="000000"/>
                <w:sz w:val="20"/>
                <w:szCs w:val="20"/>
              </w:rPr>
            </w:pPr>
            <w:r w:rsidRPr="009A4B52">
              <w:rPr>
                <w:b/>
                <w:bCs/>
                <w:color w:val="000000"/>
                <w:sz w:val="20"/>
                <w:szCs w:val="20"/>
              </w:rPr>
              <w:t>3,710</w:t>
            </w:r>
          </w:p>
        </w:tc>
        <w:tc>
          <w:tcPr>
            <w:tcW w:w="1038" w:type="dxa"/>
            <w:tcBorders>
              <w:top w:val="single" w:color="CCCCCC" w:sz="6" w:space="0"/>
              <w:left w:val="single" w:color="CCCCCC" w:sz="6" w:space="0"/>
              <w:bottom w:val="single" w:color="000000" w:sz="6" w:space="0"/>
              <w:right w:val="single" w:color="000000" w:sz="6" w:space="0"/>
            </w:tcBorders>
            <w:vAlign w:val="bottom"/>
          </w:tcPr>
          <w:p w:rsidRPr="009A4B52" w:rsidR="00905359" w:rsidP="00677AB0" w:rsidRDefault="00905359">
            <w:pPr>
              <w:jc w:val="center"/>
              <w:rPr>
                <w:color w:val="000000"/>
                <w:sz w:val="20"/>
                <w:szCs w:val="20"/>
              </w:rPr>
            </w:pPr>
          </w:p>
        </w:tc>
        <w:tc>
          <w:tcPr>
            <w:tcW w:w="1132" w:type="dxa"/>
            <w:tcBorders>
              <w:top w:val="single" w:color="CCCCCC" w:sz="6" w:space="0"/>
              <w:left w:val="single" w:color="CCCCCC" w:sz="6" w:space="0"/>
              <w:bottom w:val="single" w:color="000000" w:sz="6" w:space="0"/>
              <w:right w:val="single" w:color="000000" w:sz="6" w:space="0"/>
            </w:tcBorders>
            <w:vAlign w:val="center"/>
          </w:tcPr>
          <w:p w:rsidRPr="009A4B52" w:rsidR="00905359" w:rsidP="00677AB0" w:rsidRDefault="00905359">
            <w:pPr>
              <w:jc w:val="center"/>
              <w:rPr>
                <w:color w:val="000000"/>
                <w:sz w:val="20"/>
                <w:szCs w:val="20"/>
              </w:rPr>
            </w:pPr>
            <w:r w:rsidRPr="009A4B52">
              <w:rPr>
                <w:b/>
                <w:bCs/>
                <w:sz w:val="20"/>
                <w:szCs w:val="20"/>
              </w:rPr>
              <w:t>62</w:t>
            </w:r>
            <w:r>
              <w:rPr>
                <w:b/>
                <w:bCs/>
                <w:sz w:val="20"/>
                <w:szCs w:val="20"/>
              </w:rPr>
              <w:t>1</w:t>
            </w:r>
          </w:p>
        </w:tc>
        <w:tc>
          <w:tcPr>
            <w:tcW w:w="877" w:type="dxa"/>
            <w:tcBorders>
              <w:top w:val="single" w:color="CCCCCC" w:sz="6" w:space="0"/>
              <w:left w:val="single" w:color="CCCCCC" w:sz="6" w:space="0"/>
              <w:bottom w:val="single" w:color="000000" w:sz="6" w:space="0"/>
              <w:right w:val="single" w:color="000000" w:sz="6" w:space="0"/>
            </w:tcBorders>
            <w:vAlign w:val="center"/>
          </w:tcPr>
          <w:p w:rsidRPr="009A4B52" w:rsidR="00905359" w:rsidP="00677AB0" w:rsidRDefault="00905359">
            <w:pPr>
              <w:jc w:val="center"/>
              <w:rPr>
                <w:color w:val="000000"/>
                <w:sz w:val="20"/>
                <w:szCs w:val="20"/>
              </w:rPr>
            </w:pPr>
            <w:r w:rsidRPr="009A4B52">
              <w:rPr>
                <w:b/>
                <w:color w:val="000000"/>
                <w:sz w:val="20"/>
                <w:szCs w:val="20"/>
              </w:rPr>
              <w:t>$15,500</w:t>
            </w:r>
          </w:p>
        </w:tc>
      </w:tr>
    </w:tbl>
    <w:p w:rsidRPr="00C33B46" w:rsidR="00C33B46" w:rsidP="00C33B46" w:rsidRDefault="00C33B46">
      <w:pPr>
        <w:widowControl w:val="0"/>
        <w:autoSpaceDE w:val="0"/>
        <w:autoSpaceDN w:val="0"/>
        <w:adjustRightInd w:val="0"/>
        <w:rPr>
          <w:rFonts w:ascii="TimesNewRoman,BoldItalic" w:hAnsi="TimesNewRoman,BoldItalic" w:cs="TimesNewRoman,BoldItalic"/>
          <w:b/>
          <w:bCs/>
          <w:iCs/>
          <w:sz w:val="20"/>
          <w:szCs w:val="20"/>
        </w:rPr>
      </w:pPr>
    </w:p>
    <w:p w:rsidRPr="000E402C" w:rsidR="00C33B46" w:rsidP="00393A81" w:rsidRDefault="00C33B46">
      <w:pPr>
        <w:autoSpaceDE w:val="0"/>
        <w:autoSpaceDN w:val="0"/>
        <w:adjustRightInd w:val="0"/>
        <w:rPr>
          <w:rFonts w:eastAsia="Calibri"/>
          <w:bCs/>
        </w:rPr>
      </w:pPr>
    </w:p>
    <w:p w:rsidR="003D39B2" w:rsidRDefault="003D39B2">
      <w:pPr>
        <w:rPr>
          <w:rFonts w:eastAsia="Calibri"/>
          <w:b/>
          <w:bCs/>
          <w:highlight w:val="yellow"/>
        </w:rPr>
      </w:pPr>
      <w:r>
        <w:rPr>
          <w:rFonts w:eastAsia="Calibri"/>
          <w:b/>
          <w:bCs/>
          <w:highlight w:val="yellow"/>
        </w:rPr>
        <w:br w:type="page"/>
      </w:r>
    </w:p>
    <w:p w:rsidRPr="000E402C" w:rsidR="005F0090" w:rsidP="005F0090" w:rsidRDefault="005F0090">
      <w:pPr>
        <w:autoSpaceDE w:val="0"/>
        <w:autoSpaceDN w:val="0"/>
        <w:adjustRightInd w:val="0"/>
        <w:rPr>
          <w:b/>
          <w:bCs/>
          <w:color w:val="000000"/>
        </w:rPr>
      </w:pPr>
      <w:r w:rsidRPr="000E402C">
        <w:rPr>
          <w:b/>
          <w:bCs/>
          <w:color w:val="000000"/>
        </w:rPr>
        <w:t xml:space="preserve">13. </w:t>
      </w:r>
      <w:r w:rsidRPr="000E402C" w:rsidR="00893DD7">
        <w:rPr>
          <w:b/>
          <w:bCs/>
          <w:color w:val="000000"/>
        </w:rPr>
        <w:t xml:space="preserve"> </w:t>
      </w:r>
      <w:r w:rsidRPr="000E402C">
        <w:rPr>
          <w:b/>
          <w:bCs/>
          <w:color w:val="000000"/>
        </w:rPr>
        <w:t xml:space="preserve">Provide an estimate of the total annual cost burden to the respondents or </w:t>
      </w:r>
      <w:proofErr w:type="spellStart"/>
      <w:r w:rsidRPr="000E402C">
        <w:rPr>
          <w:b/>
          <w:bCs/>
          <w:color w:val="000000"/>
        </w:rPr>
        <w:t>recordkeepers</w:t>
      </w:r>
      <w:proofErr w:type="spellEnd"/>
      <w:r w:rsidRPr="000E402C">
        <w:rPr>
          <w:b/>
          <w:bCs/>
          <w:color w:val="000000"/>
        </w:rPr>
        <w:t xml:space="preserve"> resulting from the collection (excluding the value of the burden hours in</w:t>
      </w:r>
      <w:r w:rsidRPr="000E402C" w:rsidR="00F15D25">
        <w:rPr>
          <w:b/>
          <w:bCs/>
          <w:color w:val="000000"/>
        </w:rPr>
        <w:t xml:space="preserve"> Question</w:t>
      </w:r>
      <w:r w:rsidRPr="000E402C" w:rsidR="00C2620A">
        <w:rPr>
          <w:b/>
          <w:bCs/>
          <w:color w:val="000000"/>
        </w:rPr>
        <w:t xml:space="preserve"> </w:t>
      </w:r>
      <w:r w:rsidRPr="000E402C">
        <w:rPr>
          <w:b/>
          <w:bCs/>
          <w:color w:val="000000"/>
        </w:rPr>
        <w:t>12 above).</w:t>
      </w:r>
    </w:p>
    <w:p w:rsidRPr="000E402C" w:rsidR="005F0090" w:rsidP="005F0090" w:rsidRDefault="005F0090">
      <w:pPr>
        <w:autoSpaceDE w:val="0"/>
        <w:autoSpaceDN w:val="0"/>
        <w:adjustRightInd w:val="0"/>
        <w:rPr>
          <w:color w:val="000000"/>
          <w:highlight w:val="yellow"/>
        </w:rPr>
      </w:pPr>
    </w:p>
    <w:p w:rsidRPr="008319F1" w:rsidR="008319F1" w:rsidP="008319F1" w:rsidRDefault="008319F1">
      <w:pPr>
        <w:autoSpaceDE w:val="0"/>
        <w:autoSpaceDN w:val="0"/>
        <w:adjustRightInd w:val="0"/>
        <w:rPr>
          <w:rFonts w:eastAsia="Calibri"/>
          <w:bCs/>
          <w:iCs/>
        </w:rPr>
      </w:pPr>
      <w:r w:rsidRPr="008319F1">
        <w:rPr>
          <w:rFonts w:eastAsia="Calibri"/>
          <w:bCs/>
          <w:iCs/>
        </w:rPr>
        <w:t xml:space="preserve">There are no additional capital costs beyond the burden hours in Table 1 because we assume that each of the 5 observer/catch monitor providers will maintain a computer system with email capacity for general business purposes and that each vessel owner/operator has access to a telephone for toll-free calls. Computer costs </w:t>
      </w:r>
      <w:proofErr w:type="gramStart"/>
      <w:r w:rsidRPr="008319F1">
        <w:rPr>
          <w:rFonts w:eastAsia="Calibri"/>
          <w:bCs/>
          <w:iCs/>
        </w:rPr>
        <w:t>are accounted for</w:t>
      </w:r>
      <w:proofErr w:type="gramEnd"/>
      <w:r w:rsidRPr="008319F1">
        <w:rPr>
          <w:rFonts w:eastAsia="Calibri"/>
          <w:bCs/>
          <w:iCs/>
        </w:rPr>
        <w:t xml:space="preserve"> in other information collection packages for this fishery (OMB Control Number 0648-0619).</w:t>
      </w:r>
    </w:p>
    <w:p w:rsidRPr="000E402C" w:rsidR="00376F43" w:rsidP="005F0090" w:rsidRDefault="00376F43">
      <w:pPr>
        <w:autoSpaceDE w:val="0"/>
        <w:autoSpaceDN w:val="0"/>
        <w:adjustRightInd w:val="0"/>
        <w:rPr>
          <w:color w:val="1F497D"/>
          <w:highlight w:val="yellow"/>
        </w:rPr>
      </w:pPr>
    </w:p>
    <w:p w:rsidRPr="000E402C" w:rsidR="005F0090" w:rsidP="005F0090" w:rsidRDefault="005F0090">
      <w:pPr>
        <w:autoSpaceDE w:val="0"/>
        <w:autoSpaceDN w:val="0"/>
        <w:adjustRightInd w:val="0"/>
        <w:rPr>
          <w:b/>
          <w:bCs/>
          <w:color w:val="000000"/>
        </w:rPr>
      </w:pPr>
      <w:r w:rsidRPr="000E402C">
        <w:rPr>
          <w:b/>
          <w:bCs/>
          <w:color w:val="000000"/>
        </w:rPr>
        <w:t>14.</w:t>
      </w:r>
      <w:r w:rsidRPr="000E402C" w:rsidR="00893DD7">
        <w:rPr>
          <w:b/>
          <w:bCs/>
          <w:color w:val="000000"/>
        </w:rPr>
        <w:t xml:space="preserve"> </w:t>
      </w:r>
      <w:r w:rsidRPr="000E402C">
        <w:rPr>
          <w:b/>
          <w:bCs/>
          <w:color w:val="000000"/>
        </w:rPr>
        <w:t xml:space="preserve"> Provide estimates of annualized cost to the Federal government.</w:t>
      </w:r>
    </w:p>
    <w:p w:rsidRPr="000E402C" w:rsidR="00254B5B" w:rsidP="005F0090" w:rsidRDefault="00254B5B">
      <w:pPr>
        <w:autoSpaceDE w:val="0"/>
        <w:autoSpaceDN w:val="0"/>
        <w:adjustRightInd w:val="0"/>
        <w:rPr>
          <w:b/>
          <w:bCs/>
          <w:color w:val="000000"/>
          <w:highlight w:val="yellow"/>
        </w:rPr>
      </w:pPr>
    </w:p>
    <w:p w:rsidR="009A4B52" w:rsidP="009A4B52" w:rsidRDefault="009A4B52">
      <w:pPr>
        <w:autoSpaceDE w:val="0"/>
        <w:autoSpaceDN w:val="0"/>
        <w:adjustRightInd w:val="0"/>
      </w:pPr>
      <w:r w:rsidRPr="009A4B52">
        <w:rPr>
          <w:rFonts w:ascii="TimesNewRoman" w:hAnsi="TimesNewRoman" w:cs="TimesNewRoman"/>
        </w:rPr>
        <w:t xml:space="preserve">The total annual burden on the government for review and processing information from observer and catch monitor providers </w:t>
      </w:r>
      <w:proofErr w:type="gramStart"/>
      <w:r w:rsidRPr="009A4B52">
        <w:rPr>
          <w:rFonts w:ascii="TimesNewRoman" w:hAnsi="TimesNewRoman" w:cs="TimesNewRoman"/>
        </w:rPr>
        <w:t>is estimated</w:t>
      </w:r>
      <w:proofErr w:type="gramEnd"/>
      <w:r w:rsidRPr="009A4B52">
        <w:rPr>
          <w:rFonts w:ascii="TimesNewRoman" w:hAnsi="TimesNewRoman" w:cs="TimesNewRoman"/>
        </w:rPr>
        <w:t xml:space="preserve"> to be approximat</w:t>
      </w:r>
      <w:r w:rsidR="005719FE">
        <w:rPr>
          <w:rFonts w:ascii="TimesNewRoman" w:hAnsi="TimesNewRoman" w:cs="TimesNewRoman"/>
        </w:rPr>
        <w:t>ely 500 hours.  At $28 per hour,</w:t>
      </w:r>
      <w:r w:rsidRPr="009A4B52">
        <w:rPr>
          <w:rFonts w:ascii="TimesNewRoman" w:hAnsi="TimesNewRoman" w:cs="TimesNewRoman"/>
        </w:rPr>
        <w:t xml:space="preserve"> this would be an annual cost of $14,000.  </w:t>
      </w:r>
      <w:r w:rsidRPr="009A4B52">
        <w:t>The cost to support a toll free phone line is approximately $3,600 annually.  The sum of the approximate annual costs to NMFS is $17,600.</w:t>
      </w:r>
    </w:p>
    <w:p w:rsidR="009A4B52" w:rsidP="009A4B52" w:rsidRDefault="009A4B52">
      <w:pPr>
        <w:autoSpaceDE w:val="0"/>
        <w:autoSpaceDN w:val="0"/>
        <w:adjustRightInd w:val="0"/>
      </w:pPr>
    </w:p>
    <w:tbl>
      <w:tblPr>
        <w:tblW w:w="8240" w:type="dxa"/>
        <w:tblInd w:w="-25" w:type="dxa"/>
        <w:tblLook w:val="04A0" w:firstRow="1" w:lastRow="0" w:firstColumn="1" w:lastColumn="0" w:noHBand="0" w:noVBand="1"/>
      </w:tblPr>
      <w:tblGrid>
        <w:gridCol w:w="2280"/>
        <w:gridCol w:w="1120"/>
        <w:gridCol w:w="1140"/>
        <w:gridCol w:w="1120"/>
        <w:gridCol w:w="1280"/>
        <w:gridCol w:w="1300"/>
      </w:tblGrid>
      <w:tr w:rsidRPr="009A4B52" w:rsidR="009A4B52" w:rsidTr="00E0395C">
        <w:trPr>
          <w:trHeight w:val="450"/>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9A4B52" w:rsidR="009A4B52" w:rsidP="009A4B52" w:rsidRDefault="009A4B52">
            <w:pPr>
              <w:jc w:val="center"/>
              <w:rPr>
                <w:rFonts w:ascii="Calibri" w:hAnsi="Calibri" w:cs="Calibri"/>
                <w:b/>
                <w:bCs/>
                <w:color w:val="000000"/>
                <w:sz w:val="16"/>
                <w:szCs w:val="16"/>
              </w:rPr>
            </w:pPr>
            <w:r w:rsidRPr="009A4B52">
              <w:rPr>
                <w:rFonts w:ascii="Calibri" w:hAnsi="Calibri" w:cs="Calibri"/>
                <w:b/>
                <w:bCs/>
                <w:color w:val="000000"/>
                <w:sz w:val="16"/>
                <w:szCs w:val="16"/>
              </w:rPr>
              <w:t>Cost Descriptions</w:t>
            </w:r>
          </w:p>
        </w:tc>
        <w:tc>
          <w:tcPr>
            <w:tcW w:w="1120" w:type="dxa"/>
            <w:tcBorders>
              <w:top w:val="single" w:color="auto" w:sz="8" w:space="0"/>
              <w:left w:val="nil"/>
              <w:bottom w:val="nil"/>
              <w:right w:val="single" w:color="auto" w:sz="8" w:space="0"/>
            </w:tcBorders>
            <w:shd w:val="clear" w:color="000000" w:fill="BDD7EE"/>
            <w:vAlign w:val="center"/>
            <w:hideMark/>
          </w:tcPr>
          <w:p w:rsidRPr="009A4B52" w:rsidR="009A4B52" w:rsidP="009A4B52" w:rsidRDefault="009A4B52">
            <w:pPr>
              <w:jc w:val="center"/>
              <w:rPr>
                <w:rFonts w:ascii="Calibri" w:hAnsi="Calibri" w:cs="Calibri"/>
                <w:b/>
                <w:bCs/>
                <w:color w:val="000000"/>
                <w:sz w:val="16"/>
                <w:szCs w:val="16"/>
              </w:rPr>
            </w:pPr>
            <w:r w:rsidRPr="009A4B52">
              <w:rPr>
                <w:rFonts w:ascii="Calibri" w:hAnsi="Calibri" w:cs="Calibri"/>
                <w:b/>
                <w:bCs/>
                <w:color w:val="000000"/>
                <w:sz w:val="16"/>
                <w:szCs w:val="16"/>
              </w:rPr>
              <w:t>Grade/Step</w:t>
            </w:r>
          </w:p>
        </w:tc>
        <w:tc>
          <w:tcPr>
            <w:tcW w:w="1140" w:type="dxa"/>
            <w:tcBorders>
              <w:top w:val="single" w:color="auto" w:sz="8" w:space="0"/>
              <w:left w:val="nil"/>
              <w:bottom w:val="nil"/>
              <w:right w:val="single" w:color="auto" w:sz="8" w:space="0"/>
            </w:tcBorders>
            <w:shd w:val="clear" w:color="000000" w:fill="BDD7EE"/>
            <w:vAlign w:val="center"/>
            <w:hideMark/>
          </w:tcPr>
          <w:p w:rsidRPr="009A4B52" w:rsidR="009A4B52" w:rsidP="009A4B52" w:rsidRDefault="009A4B52">
            <w:pPr>
              <w:jc w:val="center"/>
              <w:rPr>
                <w:rFonts w:ascii="Calibri" w:hAnsi="Calibri" w:cs="Calibri"/>
                <w:b/>
                <w:bCs/>
                <w:color w:val="000000"/>
                <w:sz w:val="16"/>
                <w:szCs w:val="16"/>
              </w:rPr>
            </w:pPr>
            <w:r w:rsidRPr="009A4B52">
              <w:rPr>
                <w:rFonts w:ascii="Calibri" w:hAnsi="Calibri" w:cs="Calibri"/>
                <w:b/>
                <w:bCs/>
                <w:color w:val="000000"/>
                <w:sz w:val="16"/>
                <w:szCs w:val="16"/>
              </w:rPr>
              <w:t>Loaded Salary /Cost</w:t>
            </w:r>
          </w:p>
        </w:tc>
        <w:tc>
          <w:tcPr>
            <w:tcW w:w="1120" w:type="dxa"/>
            <w:tcBorders>
              <w:top w:val="single" w:color="auto" w:sz="8" w:space="0"/>
              <w:left w:val="nil"/>
              <w:bottom w:val="nil"/>
              <w:right w:val="single" w:color="auto" w:sz="8" w:space="0"/>
            </w:tcBorders>
            <w:shd w:val="clear" w:color="000000" w:fill="BDD7EE"/>
            <w:vAlign w:val="center"/>
            <w:hideMark/>
          </w:tcPr>
          <w:p w:rsidRPr="009A4B52" w:rsidR="009A4B52" w:rsidP="009A4B52" w:rsidRDefault="009A4B52">
            <w:pPr>
              <w:jc w:val="center"/>
              <w:rPr>
                <w:rFonts w:ascii="Calibri" w:hAnsi="Calibri" w:cs="Calibri"/>
                <w:b/>
                <w:bCs/>
                <w:color w:val="000000"/>
                <w:sz w:val="16"/>
                <w:szCs w:val="16"/>
              </w:rPr>
            </w:pPr>
            <w:r w:rsidRPr="009A4B52">
              <w:rPr>
                <w:rFonts w:ascii="Calibri" w:hAnsi="Calibri" w:cs="Calibri"/>
                <w:b/>
                <w:bCs/>
                <w:color w:val="000000"/>
                <w:sz w:val="16"/>
                <w:szCs w:val="16"/>
              </w:rPr>
              <w:t>% of Effort</w:t>
            </w:r>
          </w:p>
        </w:tc>
        <w:tc>
          <w:tcPr>
            <w:tcW w:w="1280" w:type="dxa"/>
            <w:tcBorders>
              <w:top w:val="single" w:color="auto" w:sz="8" w:space="0"/>
              <w:left w:val="nil"/>
              <w:bottom w:val="nil"/>
              <w:right w:val="single" w:color="auto" w:sz="8" w:space="0"/>
            </w:tcBorders>
            <w:shd w:val="clear" w:color="000000" w:fill="BDD7EE"/>
            <w:vAlign w:val="center"/>
            <w:hideMark/>
          </w:tcPr>
          <w:p w:rsidRPr="009A4B52" w:rsidR="009A4B52" w:rsidP="009A4B52" w:rsidRDefault="009A4B52">
            <w:pPr>
              <w:jc w:val="center"/>
              <w:rPr>
                <w:rFonts w:ascii="Calibri" w:hAnsi="Calibri" w:cs="Calibri"/>
                <w:b/>
                <w:bCs/>
                <w:color w:val="000000"/>
                <w:sz w:val="16"/>
                <w:szCs w:val="16"/>
              </w:rPr>
            </w:pPr>
            <w:r w:rsidRPr="009A4B52">
              <w:rPr>
                <w:rFonts w:ascii="Calibri" w:hAnsi="Calibri" w:cs="Calibri"/>
                <w:b/>
                <w:bCs/>
                <w:color w:val="000000"/>
                <w:sz w:val="16"/>
                <w:szCs w:val="16"/>
              </w:rPr>
              <w:t>Fringe (if Applicable)</w:t>
            </w:r>
          </w:p>
        </w:tc>
        <w:tc>
          <w:tcPr>
            <w:tcW w:w="1300" w:type="dxa"/>
            <w:tcBorders>
              <w:top w:val="single" w:color="auto" w:sz="8" w:space="0"/>
              <w:left w:val="nil"/>
              <w:bottom w:val="nil"/>
              <w:right w:val="single" w:color="auto" w:sz="8" w:space="0"/>
            </w:tcBorders>
            <w:shd w:val="clear" w:color="000000" w:fill="BDD7EE"/>
            <w:vAlign w:val="center"/>
            <w:hideMark/>
          </w:tcPr>
          <w:p w:rsidRPr="009A4B52" w:rsidR="009A4B52" w:rsidP="009A4B52" w:rsidRDefault="009A4B52">
            <w:pPr>
              <w:jc w:val="center"/>
              <w:rPr>
                <w:rFonts w:ascii="Calibri" w:hAnsi="Calibri" w:cs="Calibri"/>
                <w:b/>
                <w:bCs/>
                <w:color w:val="000000"/>
                <w:sz w:val="16"/>
                <w:szCs w:val="16"/>
              </w:rPr>
            </w:pPr>
            <w:r w:rsidRPr="009A4B52">
              <w:rPr>
                <w:rFonts w:ascii="Calibri" w:hAnsi="Calibri" w:cs="Calibri"/>
                <w:b/>
                <w:bCs/>
                <w:color w:val="000000"/>
                <w:sz w:val="16"/>
                <w:szCs w:val="16"/>
              </w:rPr>
              <w:t>Total Cost to Government</w:t>
            </w:r>
          </w:p>
        </w:tc>
      </w:tr>
      <w:tr w:rsidRPr="009A4B52" w:rsidR="009A4B52" w:rsidTr="00E0395C">
        <w:trPr>
          <w:trHeight w:val="465"/>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9A4B52" w:rsidR="009A4B52" w:rsidP="009A4B52" w:rsidRDefault="009A4B52">
            <w:pPr>
              <w:rPr>
                <w:rFonts w:ascii="Calibri" w:hAnsi="Calibri" w:cs="Calibri"/>
                <w:b/>
                <w:bCs/>
                <w:color w:val="000000"/>
                <w:sz w:val="16"/>
                <w:szCs w:val="16"/>
              </w:rPr>
            </w:pPr>
            <w:r w:rsidRPr="009A4B52">
              <w:rPr>
                <w:rFonts w:ascii="Calibri" w:hAnsi="Calibri" w:cs="Calibri"/>
                <w:b/>
                <w:bCs/>
                <w:color w:val="000000"/>
                <w:sz w:val="16"/>
                <w:szCs w:val="16"/>
              </w:rPr>
              <w:t>Federal Oversight</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c>
          <w:tcPr>
            <w:tcW w:w="1140" w:type="dxa"/>
            <w:tcBorders>
              <w:top w:val="single" w:color="auto" w:sz="4" w:space="0"/>
              <w:left w:val="nil"/>
              <w:bottom w:val="single" w:color="auto" w:sz="4" w:space="0"/>
              <w:right w:val="single" w:color="auto" w:sz="4" w:space="0"/>
            </w:tcBorders>
            <w:shd w:val="clear" w:color="auto" w:fill="auto"/>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c>
          <w:tcPr>
            <w:tcW w:w="1280" w:type="dxa"/>
            <w:tcBorders>
              <w:top w:val="single" w:color="auto" w:sz="4" w:space="0"/>
              <w:left w:val="nil"/>
              <w:bottom w:val="single" w:color="auto" w:sz="4" w:space="0"/>
              <w:right w:val="single" w:color="auto" w:sz="4" w:space="0"/>
            </w:tcBorders>
            <w:shd w:val="clear" w:color="000000" w:fill="808080"/>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c>
          <w:tcPr>
            <w:tcW w:w="1300" w:type="dxa"/>
            <w:tcBorders>
              <w:top w:val="single" w:color="auto" w:sz="4" w:space="0"/>
              <w:left w:val="nil"/>
              <w:bottom w:val="single" w:color="auto" w:sz="4" w:space="0"/>
              <w:right w:val="single" w:color="auto" w:sz="8" w:space="0"/>
            </w:tcBorders>
            <w:shd w:val="clear" w:color="auto" w:fill="auto"/>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r>
      <w:tr w:rsidRPr="009A4B52" w:rsidR="009A4B52" w:rsidTr="00E0395C">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Other Federal Positions</w:t>
            </w:r>
          </w:p>
        </w:tc>
        <w:tc>
          <w:tcPr>
            <w:tcW w:w="1120" w:type="dxa"/>
            <w:tcBorders>
              <w:top w:val="nil"/>
              <w:left w:val="nil"/>
              <w:bottom w:val="single" w:color="auto" w:sz="4" w:space="0"/>
              <w:right w:val="single" w:color="auto" w:sz="4" w:space="0"/>
            </w:tcBorders>
            <w:shd w:val="clear" w:color="auto" w:fill="auto"/>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r w:rsidR="00E0395C">
              <w:rPr>
                <w:rFonts w:ascii="Calibri" w:hAnsi="Calibri" w:cs="Calibri"/>
                <w:color w:val="000000"/>
                <w:sz w:val="16"/>
                <w:szCs w:val="16"/>
              </w:rPr>
              <w:t>ZP-2</w:t>
            </w:r>
          </w:p>
        </w:tc>
        <w:tc>
          <w:tcPr>
            <w:tcW w:w="1140" w:type="dxa"/>
            <w:tcBorders>
              <w:top w:val="nil"/>
              <w:left w:val="nil"/>
              <w:bottom w:val="single" w:color="auto" w:sz="4" w:space="0"/>
              <w:right w:val="single" w:color="auto" w:sz="4" w:space="0"/>
            </w:tcBorders>
            <w:shd w:val="clear" w:color="auto" w:fill="auto"/>
            <w:noWrap/>
            <w:vAlign w:val="bottom"/>
            <w:hideMark/>
          </w:tcPr>
          <w:p w:rsidRPr="009A4B52" w:rsidR="009A4B52" w:rsidP="00FC7740" w:rsidRDefault="009A4B52">
            <w:pPr>
              <w:rPr>
                <w:rFonts w:ascii="Calibri" w:hAnsi="Calibri" w:cs="Calibri"/>
                <w:color w:val="000000"/>
                <w:sz w:val="16"/>
                <w:szCs w:val="16"/>
              </w:rPr>
            </w:pPr>
            <w:r w:rsidRPr="009A4B52">
              <w:rPr>
                <w:rFonts w:ascii="Calibri" w:hAnsi="Calibri" w:cs="Calibri"/>
                <w:color w:val="000000"/>
                <w:sz w:val="16"/>
                <w:szCs w:val="16"/>
              </w:rPr>
              <w:t> </w:t>
            </w:r>
            <w:r w:rsidR="00E0395C">
              <w:rPr>
                <w:rFonts w:ascii="Calibri" w:hAnsi="Calibri" w:cs="Calibri"/>
                <w:color w:val="000000"/>
                <w:sz w:val="16"/>
                <w:szCs w:val="16"/>
              </w:rPr>
              <w:t>$</w:t>
            </w:r>
            <w:r w:rsidR="00FC7740">
              <w:rPr>
                <w:rFonts w:ascii="Calibri" w:hAnsi="Calibri" w:cs="Calibri"/>
                <w:color w:val="000000"/>
                <w:sz w:val="16"/>
                <w:szCs w:val="16"/>
              </w:rPr>
              <w:t>87,404</w:t>
            </w:r>
          </w:p>
        </w:tc>
        <w:tc>
          <w:tcPr>
            <w:tcW w:w="1120" w:type="dxa"/>
            <w:tcBorders>
              <w:top w:val="nil"/>
              <w:left w:val="nil"/>
              <w:bottom w:val="single" w:color="auto" w:sz="4" w:space="0"/>
              <w:right w:val="single" w:color="auto" w:sz="4" w:space="0"/>
            </w:tcBorders>
            <w:shd w:val="clear" w:color="auto" w:fill="auto"/>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r w:rsidR="00E0395C">
              <w:rPr>
                <w:rFonts w:ascii="Calibri" w:hAnsi="Calibri" w:cs="Calibri"/>
                <w:color w:val="000000"/>
                <w:sz w:val="16"/>
                <w:szCs w:val="16"/>
              </w:rPr>
              <w:t>12</w:t>
            </w:r>
          </w:p>
        </w:tc>
        <w:tc>
          <w:tcPr>
            <w:tcW w:w="1280" w:type="dxa"/>
            <w:tcBorders>
              <w:top w:val="nil"/>
              <w:left w:val="nil"/>
              <w:bottom w:val="single" w:color="auto" w:sz="4" w:space="0"/>
              <w:right w:val="single" w:color="auto" w:sz="4" w:space="0"/>
            </w:tcBorders>
            <w:shd w:val="clear" w:color="000000" w:fill="808080"/>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9A4B52" w:rsidR="009A4B52" w:rsidP="00FC7740" w:rsidRDefault="009A4B52">
            <w:pPr>
              <w:rPr>
                <w:rFonts w:ascii="Calibri" w:hAnsi="Calibri" w:cs="Calibri"/>
                <w:color w:val="000000"/>
                <w:sz w:val="16"/>
                <w:szCs w:val="16"/>
              </w:rPr>
            </w:pPr>
            <w:r w:rsidRPr="009A4B52">
              <w:rPr>
                <w:rFonts w:ascii="Calibri" w:hAnsi="Calibri" w:cs="Calibri"/>
                <w:color w:val="000000"/>
                <w:sz w:val="16"/>
                <w:szCs w:val="16"/>
              </w:rPr>
              <w:t> </w:t>
            </w:r>
            <w:r w:rsidR="00E0395C">
              <w:rPr>
                <w:rFonts w:ascii="Calibri" w:hAnsi="Calibri" w:cs="Calibri"/>
                <w:color w:val="000000"/>
                <w:sz w:val="16"/>
                <w:szCs w:val="16"/>
              </w:rPr>
              <w:t>$</w:t>
            </w:r>
            <w:r w:rsidR="00FC7740">
              <w:rPr>
                <w:rFonts w:ascii="Calibri" w:hAnsi="Calibri" w:cs="Calibri"/>
                <w:color w:val="000000"/>
                <w:sz w:val="16"/>
                <w:szCs w:val="16"/>
              </w:rPr>
              <w:t>10,488</w:t>
            </w:r>
          </w:p>
        </w:tc>
      </w:tr>
      <w:tr w:rsidRPr="009A4B52" w:rsidR="009A4B52" w:rsidTr="00E0395C">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r>
      <w:tr w:rsidRPr="009A4B52" w:rsidR="009A4B52" w:rsidTr="00E0395C">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r>
      <w:tr w:rsidRPr="009A4B52" w:rsidR="009A4B52" w:rsidTr="00E0395C">
        <w:trPr>
          <w:trHeight w:val="465"/>
        </w:trPr>
        <w:tc>
          <w:tcPr>
            <w:tcW w:w="2280" w:type="dxa"/>
            <w:tcBorders>
              <w:top w:val="nil"/>
              <w:left w:val="single" w:color="auto" w:sz="8" w:space="0"/>
              <w:bottom w:val="single" w:color="auto" w:sz="4" w:space="0"/>
              <w:right w:val="single" w:color="auto" w:sz="8" w:space="0"/>
            </w:tcBorders>
            <w:shd w:val="clear" w:color="auto" w:fill="auto"/>
            <w:vAlign w:val="bottom"/>
            <w:hideMark/>
          </w:tcPr>
          <w:p w:rsidRPr="009A4B52" w:rsidR="009A4B52" w:rsidP="009A4B52" w:rsidRDefault="009A4B52">
            <w:pPr>
              <w:rPr>
                <w:rFonts w:ascii="Calibri" w:hAnsi="Calibri" w:cs="Calibri"/>
                <w:b/>
                <w:bCs/>
                <w:color w:val="000000"/>
                <w:sz w:val="16"/>
                <w:szCs w:val="16"/>
              </w:rPr>
            </w:pPr>
            <w:r w:rsidRPr="009A4B52">
              <w:rPr>
                <w:rFonts w:ascii="Calibri" w:hAnsi="Calibri" w:cs="Calibri"/>
                <w:b/>
                <w:bCs/>
                <w:color w:val="000000"/>
                <w:sz w:val="16"/>
                <w:szCs w:val="16"/>
              </w:rPr>
              <w:t>Contractor Cost</w:t>
            </w:r>
          </w:p>
        </w:tc>
        <w:tc>
          <w:tcPr>
            <w:tcW w:w="1120" w:type="dxa"/>
            <w:tcBorders>
              <w:top w:val="nil"/>
              <w:left w:val="nil"/>
              <w:bottom w:val="single" w:color="auto" w:sz="4" w:space="0"/>
              <w:right w:val="single" w:color="auto" w:sz="4" w:space="0"/>
            </w:tcBorders>
            <w:shd w:val="clear" w:color="000000" w:fill="808080"/>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r w:rsidR="00E0395C">
              <w:rPr>
                <w:rFonts w:ascii="Calibri" w:hAnsi="Calibri" w:cs="Calibri"/>
                <w:color w:val="000000"/>
                <w:sz w:val="16"/>
                <w:szCs w:val="16"/>
              </w:rPr>
              <w:t>$</w:t>
            </w:r>
            <w:r w:rsidRPr="00E0395C" w:rsidR="00E0395C">
              <w:rPr>
                <w:rFonts w:ascii="Calibri" w:hAnsi="Calibri" w:cs="Calibri"/>
                <w:color w:val="000000"/>
                <w:sz w:val="16"/>
                <w:szCs w:val="16"/>
              </w:rPr>
              <w:t>58000</w:t>
            </w:r>
          </w:p>
        </w:tc>
        <w:tc>
          <w:tcPr>
            <w:tcW w:w="1120" w:type="dxa"/>
            <w:tcBorders>
              <w:top w:val="nil"/>
              <w:left w:val="nil"/>
              <w:bottom w:val="single" w:color="auto" w:sz="4" w:space="0"/>
              <w:right w:val="single" w:color="auto" w:sz="4" w:space="0"/>
            </w:tcBorders>
            <w:shd w:val="clear" w:color="auto" w:fill="auto"/>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r w:rsidR="00E0395C">
              <w:rPr>
                <w:rFonts w:ascii="Calibri" w:hAnsi="Calibri" w:cs="Calibri"/>
                <w:color w:val="000000"/>
                <w:sz w:val="16"/>
                <w:szCs w:val="16"/>
              </w:rPr>
              <w:t>12</w:t>
            </w:r>
          </w:p>
        </w:tc>
        <w:tc>
          <w:tcPr>
            <w:tcW w:w="1280" w:type="dxa"/>
            <w:tcBorders>
              <w:top w:val="nil"/>
              <w:left w:val="nil"/>
              <w:bottom w:val="single" w:color="auto" w:sz="4" w:space="0"/>
              <w:right w:val="single" w:color="auto" w:sz="4" w:space="0"/>
            </w:tcBorders>
            <w:shd w:val="clear" w:color="auto" w:fill="auto"/>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9A4B52" w:rsidR="009A4B52" w:rsidP="00FC7740" w:rsidRDefault="009A4B52">
            <w:pPr>
              <w:rPr>
                <w:rFonts w:ascii="Calibri" w:hAnsi="Calibri" w:cs="Calibri"/>
                <w:color w:val="000000"/>
                <w:sz w:val="16"/>
                <w:szCs w:val="16"/>
              </w:rPr>
            </w:pPr>
            <w:r w:rsidRPr="009A4B52">
              <w:rPr>
                <w:rFonts w:ascii="Calibri" w:hAnsi="Calibri" w:cs="Calibri"/>
                <w:color w:val="000000"/>
                <w:sz w:val="16"/>
                <w:szCs w:val="16"/>
              </w:rPr>
              <w:t> </w:t>
            </w:r>
            <w:r w:rsidR="00E0395C">
              <w:rPr>
                <w:rFonts w:ascii="Calibri" w:hAnsi="Calibri" w:cs="Calibri"/>
                <w:color w:val="000000"/>
                <w:sz w:val="16"/>
                <w:szCs w:val="16"/>
              </w:rPr>
              <w:t>$</w:t>
            </w:r>
            <w:r w:rsidR="00FC7740">
              <w:rPr>
                <w:rFonts w:ascii="Calibri" w:hAnsi="Calibri" w:cs="Calibri"/>
                <w:color w:val="000000"/>
                <w:sz w:val="16"/>
                <w:szCs w:val="16"/>
              </w:rPr>
              <w:t>6,696</w:t>
            </w:r>
          </w:p>
        </w:tc>
      </w:tr>
      <w:tr w:rsidRPr="009A4B52" w:rsidR="009A4B52" w:rsidTr="00E0395C">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9A4B52" w:rsidR="009A4B52" w:rsidP="00E0395C" w:rsidRDefault="009A4B52">
            <w:pPr>
              <w:rPr>
                <w:rFonts w:ascii="Calibri" w:hAnsi="Calibri" w:cs="Calibri"/>
                <w:color w:val="000000"/>
                <w:sz w:val="16"/>
                <w:szCs w:val="16"/>
              </w:rPr>
            </w:pPr>
            <w:r w:rsidRPr="009A4B52">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auto" w:fill="auto"/>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r>
      <w:tr w:rsidRPr="009A4B52" w:rsidR="009A4B52" w:rsidTr="00E0395C">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auto" w:fill="auto"/>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r>
      <w:tr w:rsidRPr="009A4B52" w:rsidR="009A4B52" w:rsidTr="00E0395C">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9A4B52" w:rsidR="009A4B52" w:rsidP="009A4B52" w:rsidRDefault="009A4B52">
            <w:pPr>
              <w:rPr>
                <w:rFonts w:ascii="Calibri" w:hAnsi="Calibri" w:cs="Calibri"/>
                <w:b/>
                <w:bCs/>
                <w:color w:val="000000"/>
                <w:sz w:val="16"/>
                <w:szCs w:val="16"/>
              </w:rPr>
            </w:pPr>
            <w:r w:rsidRPr="009A4B52">
              <w:rPr>
                <w:rFonts w:ascii="Calibri" w:hAnsi="Calibri" w:cs="Calibri"/>
                <w:b/>
                <w:bCs/>
                <w:color w:val="000000"/>
                <w:sz w:val="16"/>
                <w:szCs w:val="16"/>
              </w:rPr>
              <w:t>Travel</w:t>
            </w:r>
          </w:p>
        </w:tc>
        <w:tc>
          <w:tcPr>
            <w:tcW w:w="1120" w:type="dxa"/>
            <w:tcBorders>
              <w:top w:val="nil"/>
              <w:left w:val="nil"/>
              <w:bottom w:val="single" w:color="auto" w:sz="4" w:space="0"/>
              <w:right w:val="single" w:color="auto" w:sz="4" w:space="0"/>
            </w:tcBorders>
            <w:shd w:val="clear" w:color="000000" w:fill="808080"/>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r>
      <w:tr w:rsidRPr="009A4B52" w:rsidR="009A4B52" w:rsidTr="00E0395C">
        <w:trPr>
          <w:trHeight w:val="525"/>
        </w:trPr>
        <w:tc>
          <w:tcPr>
            <w:tcW w:w="2280" w:type="dxa"/>
            <w:tcBorders>
              <w:top w:val="nil"/>
              <w:left w:val="single" w:color="auto" w:sz="8" w:space="0"/>
              <w:bottom w:val="nil"/>
              <w:right w:val="single" w:color="auto" w:sz="8" w:space="0"/>
            </w:tcBorders>
            <w:shd w:val="clear" w:color="auto" w:fill="auto"/>
            <w:vAlign w:val="center"/>
            <w:hideMark/>
          </w:tcPr>
          <w:p w:rsidRPr="009A4B52" w:rsidR="009A4B52" w:rsidP="009A4B52" w:rsidRDefault="009A4B52">
            <w:pPr>
              <w:rPr>
                <w:rFonts w:ascii="Calibri" w:hAnsi="Calibri" w:cs="Calibri"/>
                <w:b/>
                <w:bCs/>
                <w:color w:val="000000"/>
                <w:sz w:val="16"/>
                <w:szCs w:val="16"/>
              </w:rPr>
            </w:pPr>
            <w:r w:rsidRPr="009A4B52">
              <w:rPr>
                <w:rFonts w:ascii="Calibri" w:hAnsi="Calibri" w:cs="Calibri"/>
                <w:b/>
                <w:bCs/>
                <w:color w:val="000000"/>
                <w:sz w:val="16"/>
                <w:szCs w:val="16"/>
              </w:rPr>
              <w:t xml:space="preserve">Other Costs: </w:t>
            </w:r>
          </w:p>
        </w:tc>
        <w:tc>
          <w:tcPr>
            <w:tcW w:w="1120" w:type="dxa"/>
            <w:tcBorders>
              <w:top w:val="nil"/>
              <w:left w:val="nil"/>
              <w:bottom w:val="single" w:color="auto" w:sz="4" w:space="0"/>
              <w:right w:val="single" w:color="auto" w:sz="4" w:space="0"/>
            </w:tcBorders>
            <w:shd w:val="clear" w:color="000000" w:fill="808080"/>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r w:rsidR="00E0395C">
              <w:rPr>
                <w:rFonts w:ascii="Calibri" w:hAnsi="Calibri" w:cs="Calibri"/>
                <w:color w:val="000000"/>
                <w:sz w:val="16"/>
                <w:szCs w:val="16"/>
              </w:rPr>
              <w:t>$3,600</w:t>
            </w:r>
          </w:p>
        </w:tc>
      </w:tr>
      <w:tr w:rsidRPr="009A4B52" w:rsidR="009A4B52" w:rsidTr="009A4B52">
        <w:trPr>
          <w:trHeight w:val="315"/>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9A4B52" w:rsidR="009A4B52" w:rsidP="009A4B52" w:rsidRDefault="009A4B52">
            <w:pPr>
              <w:rPr>
                <w:rFonts w:ascii="Calibri" w:hAnsi="Calibri" w:cs="Calibri"/>
                <w:b/>
                <w:bCs/>
                <w:color w:val="000000"/>
                <w:sz w:val="16"/>
                <w:szCs w:val="16"/>
              </w:rPr>
            </w:pPr>
            <w:r w:rsidRPr="009A4B52">
              <w:rPr>
                <w:rFonts w:ascii="Calibri" w:hAnsi="Calibri" w:cs="Calibri"/>
                <w:b/>
                <w:bCs/>
                <w:color w:val="000000"/>
                <w:sz w:val="16"/>
                <w:szCs w:val="16"/>
              </w:rPr>
              <w:t>TOTAL</w:t>
            </w:r>
          </w:p>
        </w:tc>
        <w:tc>
          <w:tcPr>
            <w:tcW w:w="1120" w:type="dxa"/>
            <w:tcBorders>
              <w:top w:val="single" w:color="auto" w:sz="8" w:space="0"/>
              <w:left w:val="nil"/>
              <w:bottom w:val="single" w:color="auto" w:sz="8" w:space="0"/>
              <w:right w:val="single" w:color="auto" w:sz="8" w:space="0"/>
            </w:tcBorders>
            <w:shd w:val="clear" w:color="000000" w:fill="808080"/>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c>
          <w:tcPr>
            <w:tcW w:w="1140" w:type="dxa"/>
            <w:tcBorders>
              <w:top w:val="single" w:color="auto" w:sz="8" w:space="0"/>
              <w:left w:val="nil"/>
              <w:bottom w:val="single" w:color="auto" w:sz="8" w:space="0"/>
              <w:right w:val="single" w:color="auto" w:sz="8" w:space="0"/>
            </w:tcBorders>
            <w:shd w:val="clear" w:color="auto" w:fill="808080"/>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c>
          <w:tcPr>
            <w:tcW w:w="1120" w:type="dxa"/>
            <w:tcBorders>
              <w:top w:val="single" w:color="auto" w:sz="8" w:space="0"/>
              <w:left w:val="nil"/>
              <w:bottom w:val="single" w:color="auto" w:sz="8" w:space="0"/>
              <w:right w:val="single" w:color="auto" w:sz="8" w:space="0"/>
            </w:tcBorders>
            <w:shd w:val="clear" w:color="000000" w:fill="757171"/>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c>
          <w:tcPr>
            <w:tcW w:w="1280" w:type="dxa"/>
            <w:tcBorders>
              <w:top w:val="single" w:color="auto" w:sz="8" w:space="0"/>
              <w:left w:val="nil"/>
              <w:bottom w:val="single" w:color="auto" w:sz="8" w:space="0"/>
              <w:right w:val="single" w:color="auto" w:sz="8" w:space="0"/>
            </w:tcBorders>
            <w:shd w:val="clear" w:color="000000" w:fill="DDEBF7"/>
            <w:noWrap/>
            <w:vAlign w:val="bottom"/>
            <w:hideMark/>
          </w:tcPr>
          <w:p w:rsidRPr="009A4B52" w:rsidR="009A4B52" w:rsidP="009A4B52" w:rsidRDefault="009A4B52">
            <w:pPr>
              <w:rPr>
                <w:rFonts w:ascii="Calibri" w:hAnsi="Calibri" w:cs="Calibri"/>
                <w:color w:val="000000"/>
                <w:sz w:val="16"/>
                <w:szCs w:val="16"/>
              </w:rPr>
            </w:pPr>
            <w:r w:rsidRPr="009A4B52">
              <w:rPr>
                <w:rFonts w:ascii="Calibri" w:hAnsi="Calibri" w:cs="Calibri"/>
                <w:color w:val="000000"/>
                <w:sz w:val="16"/>
                <w:szCs w:val="16"/>
              </w:rPr>
              <w:t> </w:t>
            </w:r>
          </w:p>
        </w:tc>
        <w:tc>
          <w:tcPr>
            <w:tcW w:w="1300" w:type="dxa"/>
            <w:tcBorders>
              <w:top w:val="single" w:color="auto" w:sz="8" w:space="0"/>
              <w:left w:val="nil"/>
              <w:bottom w:val="single" w:color="auto" w:sz="8" w:space="0"/>
              <w:right w:val="single" w:color="auto" w:sz="8" w:space="0"/>
            </w:tcBorders>
            <w:shd w:val="clear" w:color="000000" w:fill="DDEBF7"/>
            <w:noWrap/>
            <w:vAlign w:val="bottom"/>
            <w:hideMark/>
          </w:tcPr>
          <w:p w:rsidRPr="009A4B52" w:rsidR="009A4B52" w:rsidP="00FC7740" w:rsidRDefault="009A4B52">
            <w:pPr>
              <w:rPr>
                <w:rFonts w:ascii="Calibri" w:hAnsi="Calibri" w:cs="Calibri"/>
                <w:color w:val="000000"/>
                <w:sz w:val="16"/>
                <w:szCs w:val="16"/>
              </w:rPr>
            </w:pPr>
            <w:r w:rsidRPr="009A4B52">
              <w:rPr>
                <w:rFonts w:ascii="Calibri" w:hAnsi="Calibri" w:cs="Calibri"/>
                <w:color w:val="000000"/>
                <w:sz w:val="16"/>
                <w:szCs w:val="16"/>
              </w:rPr>
              <w:t> </w:t>
            </w:r>
            <w:r w:rsidR="00E0395C">
              <w:rPr>
                <w:rFonts w:ascii="Calibri" w:hAnsi="Calibri" w:cs="Calibri"/>
                <w:color w:val="000000"/>
                <w:sz w:val="16"/>
                <w:szCs w:val="16"/>
              </w:rPr>
              <w:t>$</w:t>
            </w:r>
            <w:r w:rsidR="00FC7740">
              <w:rPr>
                <w:rFonts w:ascii="Calibri" w:hAnsi="Calibri" w:cs="Calibri"/>
                <w:color w:val="000000"/>
                <w:sz w:val="16"/>
                <w:szCs w:val="16"/>
              </w:rPr>
              <w:t>20,784</w:t>
            </w:r>
          </w:p>
        </w:tc>
      </w:tr>
    </w:tbl>
    <w:p w:rsidRPr="009A4B52" w:rsidR="009A4B52" w:rsidP="009A4B52" w:rsidRDefault="009A4B52">
      <w:pPr>
        <w:autoSpaceDE w:val="0"/>
        <w:autoSpaceDN w:val="0"/>
        <w:adjustRightInd w:val="0"/>
      </w:pPr>
    </w:p>
    <w:p w:rsidRPr="000E402C" w:rsidR="006C33F7" w:rsidP="006C33F7" w:rsidRDefault="006C33F7">
      <w:pPr>
        <w:autoSpaceDE w:val="0"/>
        <w:autoSpaceDN w:val="0"/>
        <w:adjustRightInd w:val="0"/>
        <w:rPr>
          <w:color w:val="1F497D"/>
          <w:highlight w:val="yellow"/>
        </w:rPr>
      </w:pPr>
    </w:p>
    <w:p w:rsidRPr="000E402C" w:rsidR="00756075" w:rsidP="00756075" w:rsidRDefault="00756075">
      <w:pPr>
        <w:autoSpaceDE w:val="0"/>
        <w:autoSpaceDN w:val="0"/>
        <w:adjustRightInd w:val="0"/>
        <w:rPr>
          <w:b/>
          <w:bCs/>
          <w:color w:val="000000"/>
        </w:rPr>
      </w:pPr>
      <w:r w:rsidRPr="000E402C">
        <w:rPr>
          <w:b/>
          <w:bCs/>
          <w:color w:val="000000"/>
        </w:rPr>
        <w:t>15.</w:t>
      </w:r>
      <w:r w:rsidRPr="000E402C" w:rsidR="00893DD7">
        <w:rPr>
          <w:b/>
          <w:bCs/>
          <w:color w:val="000000"/>
        </w:rPr>
        <w:t xml:space="preserve"> </w:t>
      </w:r>
      <w:r w:rsidRPr="000E402C">
        <w:rPr>
          <w:b/>
          <w:bCs/>
          <w:color w:val="000000"/>
        </w:rPr>
        <w:t xml:space="preserve"> Explain the reasons for any program changes or adjustments reported.</w:t>
      </w:r>
    </w:p>
    <w:p w:rsidRPr="000E402C" w:rsidR="00756075" w:rsidP="00756075" w:rsidRDefault="00756075">
      <w:pPr>
        <w:autoSpaceDE w:val="0"/>
        <w:autoSpaceDN w:val="0"/>
        <w:adjustRightInd w:val="0"/>
        <w:rPr>
          <w:b/>
          <w:bCs/>
          <w:highlight w:val="yellow"/>
        </w:rPr>
      </w:pPr>
    </w:p>
    <w:p w:rsidRPr="002A0D3B" w:rsidR="007F72FF" w:rsidP="00393A81" w:rsidRDefault="002A0D3B">
      <w:pPr>
        <w:tabs>
          <w:tab w:val="left" w:pos="0"/>
        </w:tabs>
        <w:rPr>
          <w:rFonts w:eastAsia="Calibri"/>
        </w:rPr>
      </w:pPr>
      <w:r w:rsidRPr="002A0D3B">
        <w:rPr>
          <w:rFonts w:eastAsia="Calibri"/>
        </w:rPr>
        <w:t xml:space="preserve">There </w:t>
      </w:r>
      <w:r w:rsidR="00226DB1">
        <w:rPr>
          <w:rFonts w:eastAsia="Calibri"/>
        </w:rPr>
        <w:t>are no changes to the information collection since the last OMB approval.</w:t>
      </w:r>
    </w:p>
    <w:p w:rsidRPr="000E402C" w:rsidR="002A0D3B" w:rsidP="00393A81" w:rsidRDefault="002A0D3B">
      <w:pPr>
        <w:tabs>
          <w:tab w:val="left" w:pos="0"/>
        </w:tabs>
        <w:rPr>
          <w:rFonts w:eastAsia="Calibri"/>
          <w:highlight w:val="yellow"/>
        </w:rPr>
      </w:pPr>
    </w:p>
    <w:p w:rsidRPr="000E402C" w:rsidR="00756075" w:rsidP="00756075" w:rsidRDefault="00756075">
      <w:pPr>
        <w:autoSpaceDE w:val="0"/>
        <w:autoSpaceDN w:val="0"/>
        <w:adjustRightInd w:val="0"/>
        <w:rPr>
          <w:b/>
          <w:bCs/>
          <w:color w:val="000000"/>
        </w:rPr>
      </w:pPr>
      <w:r w:rsidRPr="000E402C">
        <w:rPr>
          <w:b/>
          <w:bCs/>
          <w:color w:val="000000"/>
        </w:rPr>
        <w:t>16.</w:t>
      </w:r>
      <w:r w:rsidRPr="000E402C" w:rsidR="00893DD7">
        <w:rPr>
          <w:b/>
          <w:bCs/>
          <w:color w:val="000000"/>
        </w:rPr>
        <w:t xml:space="preserve"> </w:t>
      </w:r>
      <w:r w:rsidRPr="000E402C">
        <w:rPr>
          <w:b/>
          <w:bCs/>
          <w:color w:val="000000"/>
        </w:rPr>
        <w:t xml:space="preserve"> For collections whose results </w:t>
      </w:r>
      <w:proofErr w:type="gramStart"/>
      <w:r w:rsidRPr="000E402C">
        <w:rPr>
          <w:b/>
          <w:bCs/>
          <w:color w:val="000000"/>
        </w:rPr>
        <w:t>will be published</w:t>
      </w:r>
      <w:proofErr w:type="gramEnd"/>
      <w:r w:rsidRPr="000E402C">
        <w:rPr>
          <w:b/>
          <w:bCs/>
          <w:color w:val="000000"/>
        </w:rPr>
        <w:t>, outline the plans for tabulation and publication.</w:t>
      </w:r>
    </w:p>
    <w:p w:rsidRPr="000E402C" w:rsidR="00756075" w:rsidP="00756075" w:rsidRDefault="00756075">
      <w:pPr>
        <w:autoSpaceDE w:val="0"/>
        <w:autoSpaceDN w:val="0"/>
        <w:adjustRightInd w:val="0"/>
        <w:rPr>
          <w:b/>
          <w:bCs/>
          <w:color w:val="000000"/>
          <w:highlight w:val="yellow"/>
        </w:rPr>
      </w:pPr>
    </w:p>
    <w:p w:rsidRPr="000E402C" w:rsidR="00756075" w:rsidP="00756075" w:rsidRDefault="00756075">
      <w:pPr>
        <w:autoSpaceDE w:val="0"/>
        <w:autoSpaceDN w:val="0"/>
        <w:adjustRightInd w:val="0"/>
        <w:rPr>
          <w:color w:val="000000"/>
        </w:rPr>
      </w:pPr>
      <w:r w:rsidRPr="000E402C">
        <w:rPr>
          <w:color w:val="000000"/>
        </w:rPr>
        <w:t xml:space="preserve">No formal scientific publications based on these collections </w:t>
      </w:r>
      <w:proofErr w:type="gramStart"/>
      <w:r w:rsidRPr="000E402C">
        <w:rPr>
          <w:color w:val="000000"/>
        </w:rPr>
        <w:t>are planned</w:t>
      </w:r>
      <w:proofErr w:type="gramEnd"/>
      <w:r w:rsidRPr="000E402C">
        <w:rPr>
          <w:color w:val="000000"/>
        </w:rPr>
        <w:t xml:space="preserve"> at this time. The </w:t>
      </w:r>
      <w:proofErr w:type="gramStart"/>
      <w:r w:rsidRPr="000E402C">
        <w:rPr>
          <w:color w:val="000000"/>
        </w:rPr>
        <w:t>data will be used for management reports and fishery management plan amendments and evaluations by the NMFS and the Council</w:t>
      </w:r>
      <w:proofErr w:type="gramEnd"/>
      <w:r w:rsidRPr="000E402C">
        <w:rPr>
          <w:color w:val="000000"/>
        </w:rPr>
        <w:t xml:space="preserve">. </w:t>
      </w:r>
    </w:p>
    <w:p w:rsidRPr="000E402C" w:rsidR="00C00DD0" w:rsidP="00756075" w:rsidRDefault="00C00DD0">
      <w:pPr>
        <w:autoSpaceDE w:val="0"/>
        <w:autoSpaceDN w:val="0"/>
        <w:adjustRightInd w:val="0"/>
        <w:rPr>
          <w:color w:val="1F497D"/>
          <w:highlight w:val="yellow"/>
        </w:rPr>
      </w:pPr>
    </w:p>
    <w:p w:rsidRPr="000E402C" w:rsidR="00756075" w:rsidP="00991E0A" w:rsidRDefault="00756075">
      <w:pPr>
        <w:keepNext/>
        <w:autoSpaceDE w:val="0"/>
        <w:autoSpaceDN w:val="0"/>
        <w:adjustRightInd w:val="0"/>
        <w:rPr>
          <w:b/>
          <w:bCs/>
          <w:color w:val="000000"/>
        </w:rPr>
      </w:pPr>
      <w:r w:rsidRPr="000E402C">
        <w:rPr>
          <w:b/>
          <w:bCs/>
          <w:color w:val="000000"/>
        </w:rPr>
        <w:t xml:space="preserve">17. </w:t>
      </w:r>
      <w:r w:rsidRPr="000E402C" w:rsidR="00893DD7">
        <w:rPr>
          <w:b/>
          <w:bCs/>
          <w:color w:val="000000"/>
        </w:rPr>
        <w:t xml:space="preserve"> </w:t>
      </w:r>
      <w:r w:rsidRPr="000E402C">
        <w:rPr>
          <w:b/>
          <w:bCs/>
          <w:color w:val="000000"/>
        </w:rPr>
        <w:t xml:space="preserve">If seeking approval </w:t>
      </w:r>
      <w:proofErr w:type="gramStart"/>
      <w:r w:rsidRPr="000E402C">
        <w:rPr>
          <w:b/>
          <w:bCs/>
          <w:color w:val="000000"/>
        </w:rPr>
        <w:t>to not display</w:t>
      </w:r>
      <w:proofErr w:type="gramEnd"/>
      <w:r w:rsidRPr="000E402C">
        <w:rPr>
          <w:b/>
          <w:bCs/>
          <w:color w:val="000000"/>
        </w:rPr>
        <w:t xml:space="preserve"> the expiration date for OMB approval of the</w:t>
      </w:r>
      <w:r w:rsidRPr="000E402C" w:rsidR="00893DD7">
        <w:rPr>
          <w:b/>
          <w:bCs/>
          <w:color w:val="000000"/>
        </w:rPr>
        <w:t xml:space="preserve"> </w:t>
      </w:r>
      <w:r w:rsidRPr="000E402C">
        <w:rPr>
          <w:b/>
          <w:bCs/>
          <w:color w:val="000000"/>
        </w:rPr>
        <w:t>information collection, explain the reasons why display would be inappropriate.</w:t>
      </w:r>
    </w:p>
    <w:p w:rsidRPr="000E402C" w:rsidR="00991E0A" w:rsidP="00991E0A" w:rsidRDefault="00991E0A">
      <w:pPr>
        <w:keepNext/>
        <w:autoSpaceDE w:val="0"/>
        <w:autoSpaceDN w:val="0"/>
        <w:adjustRightInd w:val="0"/>
        <w:rPr>
          <w:color w:val="000000"/>
        </w:rPr>
      </w:pPr>
    </w:p>
    <w:p w:rsidRPr="000E402C" w:rsidR="00756075" w:rsidP="00991E0A" w:rsidRDefault="005719FE">
      <w:pPr>
        <w:keepNext/>
        <w:autoSpaceDE w:val="0"/>
        <w:autoSpaceDN w:val="0"/>
        <w:adjustRightInd w:val="0"/>
        <w:rPr>
          <w:color w:val="000000"/>
        </w:rPr>
      </w:pPr>
      <w:r>
        <w:rPr>
          <w:color w:val="000000"/>
        </w:rPr>
        <w:t xml:space="preserve">The </w:t>
      </w:r>
      <w:r w:rsidR="00325CEB">
        <w:rPr>
          <w:color w:val="000000"/>
        </w:rPr>
        <w:t>agency plans to display the expiration date for OMB approval of the information collection on all instruments.</w:t>
      </w:r>
    </w:p>
    <w:p w:rsidRPr="000E402C" w:rsidR="00756075" w:rsidP="00991E0A" w:rsidRDefault="00756075">
      <w:pPr>
        <w:keepNext/>
        <w:autoSpaceDE w:val="0"/>
        <w:autoSpaceDN w:val="0"/>
        <w:adjustRightInd w:val="0"/>
        <w:rPr>
          <w:color w:val="000000"/>
        </w:rPr>
      </w:pPr>
    </w:p>
    <w:p w:rsidRPr="000E402C" w:rsidR="00756075" w:rsidP="00756075" w:rsidRDefault="00756075">
      <w:pPr>
        <w:autoSpaceDE w:val="0"/>
        <w:autoSpaceDN w:val="0"/>
        <w:adjustRightInd w:val="0"/>
        <w:rPr>
          <w:b/>
          <w:bCs/>
          <w:color w:val="000000"/>
        </w:rPr>
      </w:pPr>
      <w:r w:rsidRPr="000E402C">
        <w:rPr>
          <w:b/>
          <w:bCs/>
          <w:color w:val="000000"/>
        </w:rPr>
        <w:t>18. Explain each exception to the certification</w:t>
      </w:r>
      <w:r w:rsidRPr="000E402C" w:rsidR="00C2620A">
        <w:rPr>
          <w:b/>
          <w:bCs/>
          <w:color w:val="000000"/>
        </w:rPr>
        <w:t xml:space="preserve"> </w:t>
      </w:r>
      <w:r w:rsidRPr="000E402C">
        <w:rPr>
          <w:b/>
          <w:bCs/>
          <w:color w:val="000000"/>
        </w:rPr>
        <w:t>statement.</w:t>
      </w:r>
    </w:p>
    <w:p w:rsidRPr="000E402C" w:rsidR="00756075" w:rsidP="00756075" w:rsidRDefault="00756075">
      <w:pPr>
        <w:autoSpaceDE w:val="0"/>
        <w:autoSpaceDN w:val="0"/>
        <w:adjustRightInd w:val="0"/>
        <w:rPr>
          <w:b/>
          <w:bCs/>
          <w:color w:val="000000"/>
        </w:rPr>
      </w:pPr>
    </w:p>
    <w:p w:rsidR="00CA6561" w:rsidP="003C487E" w:rsidRDefault="00325CEB">
      <w:pPr>
        <w:autoSpaceDE w:val="0"/>
        <w:autoSpaceDN w:val="0"/>
        <w:adjustRightInd w:val="0"/>
        <w:rPr>
          <w:color w:val="000000"/>
        </w:rPr>
      </w:pPr>
      <w:r w:rsidRPr="00325CEB">
        <w:rPr>
          <w:rFonts w:eastAsia="Arial"/>
          <w:lang w:bidi="en-US"/>
        </w:rPr>
        <w:t>The agency certifies compliance with</w:t>
      </w:r>
      <w:r w:rsidRPr="00325CEB">
        <w:rPr>
          <w:rFonts w:eastAsia="Arial"/>
          <w:b/>
          <w:i/>
          <w:lang w:bidi="en-US"/>
        </w:rPr>
        <w:t xml:space="preserve"> </w:t>
      </w:r>
      <w:hyperlink r:id="rId16">
        <w:r w:rsidRPr="00325CEB">
          <w:rPr>
            <w:rFonts w:eastAsia="Arial"/>
            <w:b/>
            <w:i/>
            <w:color w:val="0563C1"/>
            <w:u w:val="thick" w:color="0563C1"/>
            <w:lang w:bidi="en-US"/>
          </w:rPr>
          <w:t>5 CFR 1320.9</w:t>
        </w:r>
        <w:r w:rsidRPr="00325CEB">
          <w:rPr>
            <w:rFonts w:eastAsia="Arial"/>
            <w:b/>
            <w:i/>
            <w:color w:val="0563C1"/>
            <w:lang w:bidi="en-US"/>
          </w:rPr>
          <w:t xml:space="preserve"> </w:t>
        </w:r>
      </w:hyperlink>
      <w:r w:rsidRPr="00325CEB">
        <w:rPr>
          <w:rFonts w:eastAsia="Arial"/>
          <w:lang w:bidi="en-US"/>
        </w:rPr>
        <w:t xml:space="preserve">and the related provisions of </w:t>
      </w:r>
      <w:hyperlink r:id="rId17">
        <w:r w:rsidRPr="00325CEB">
          <w:rPr>
            <w:rFonts w:eastAsia="Arial"/>
            <w:b/>
            <w:i/>
            <w:color w:val="0563C1"/>
            <w:u w:val="thick" w:color="0563C1"/>
            <w:lang w:bidi="en-US"/>
          </w:rPr>
          <w:t>5</w:t>
        </w:r>
        <w:r w:rsidRPr="00325CEB">
          <w:rPr>
            <w:rFonts w:eastAsia="Arial"/>
            <w:b/>
            <w:i/>
            <w:color w:val="0563C1"/>
            <w:spacing w:val="-42"/>
            <w:u w:val="thick" w:color="0563C1"/>
            <w:lang w:bidi="en-US"/>
          </w:rPr>
          <w:t xml:space="preserve"> </w:t>
        </w:r>
        <w:r w:rsidRPr="00325CEB">
          <w:rPr>
            <w:rFonts w:eastAsia="Arial"/>
            <w:b/>
            <w:i/>
            <w:color w:val="0563C1"/>
            <w:u w:val="thick" w:color="0563C1"/>
            <w:lang w:bidi="en-US"/>
          </w:rPr>
          <w:t>CFR</w:t>
        </w:r>
      </w:hyperlink>
      <w:r w:rsidRPr="00325CEB">
        <w:rPr>
          <w:rFonts w:eastAsia="Arial"/>
          <w:b/>
          <w:i/>
          <w:color w:val="0563C1"/>
          <w:lang w:bidi="en-US"/>
        </w:rPr>
        <w:t xml:space="preserve"> </w:t>
      </w:r>
      <w:hyperlink r:id="rId18">
        <w:r w:rsidRPr="00325CEB">
          <w:rPr>
            <w:rFonts w:eastAsia="Arial"/>
            <w:b/>
            <w:i/>
            <w:color w:val="0563C1"/>
            <w:u w:val="thick" w:color="0563C1"/>
            <w:lang w:bidi="en-US"/>
          </w:rPr>
          <w:t>1320.8(b</w:t>
        </w:r>
        <w:proofErr w:type="gramStart"/>
        <w:r w:rsidRPr="00325CEB">
          <w:rPr>
            <w:rFonts w:eastAsia="Arial"/>
            <w:b/>
            <w:i/>
            <w:color w:val="0563C1"/>
            <w:u w:val="thick" w:color="0563C1"/>
            <w:lang w:bidi="en-US"/>
          </w:rPr>
          <w:t>)(</w:t>
        </w:r>
        <w:proofErr w:type="gramEnd"/>
        <w:r w:rsidRPr="00325CEB">
          <w:rPr>
            <w:rFonts w:eastAsia="Arial"/>
            <w:b/>
            <w:i/>
            <w:color w:val="0563C1"/>
            <w:u w:val="thick" w:color="0563C1"/>
            <w:lang w:bidi="en-US"/>
          </w:rPr>
          <w:t>3)</w:t>
        </w:r>
      </w:hyperlink>
      <w:r w:rsidRPr="00325CEB">
        <w:rPr>
          <w:rFonts w:eastAsia="Arial"/>
          <w:b/>
          <w:i/>
          <w:lang w:bidi="en-US"/>
        </w:rPr>
        <w:t>.</w:t>
      </w:r>
    </w:p>
    <w:sectPr w:rsidR="00CA6561" w:rsidSect="001010EB">
      <w:footerReference w:type="even" r:id="rId19"/>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AC7" w:rsidRDefault="00F75AC7">
      <w:r>
        <w:separator/>
      </w:r>
    </w:p>
  </w:endnote>
  <w:endnote w:type="continuationSeparator" w:id="0">
    <w:p w:rsidR="00F75AC7" w:rsidRDefault="00F75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Bold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0C7" w:rsidRDefault="002130C7" w:rsidP="00454C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30C7" w:rsidRDefault="00213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0C7" w:rsidRDefault="002130C7" w:rsidP="00454C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76E6">
      <w:rPr>
        <w:rStyle w:val="PageNumber"/>
        <w:noProof/>
      </w:rPr>
      <w:t>5</w:t>
    </w:r>
    <w:r>
      <w:rPr>
        <w:rStyle w:val="PageNumber"/>
      </w:rPr>
      <w:fldChar w:fldCharType="end"/>
    </w:r>
  </w:p>
  <w:p w:rsidR="002130C7" w:rsidRDefault="00213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AC7" w:rsidRDefault="00F75AC7">
      <w:r>
        <w:separator/>
      </w:r>
    </w:p>
  </w:footnote>
  <w:footnote w:type="continuationSeparator" w:id="0">
    <w:p w:rsidR="00F75AC7" w:rsidRDefault="00F75A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70628"/>
    <w:multiLevelType w:val="hybridMultilevel"/>
    <w:tmpl w:val="AE626A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55399"/>
    <w:multiLevelType w:val="hybridMultilevel"/>
    <w:tmpl w:val="31A2597A"/>
    <w:lvl w:ilvl="0" w:tplc="04090001">
      <w:start w:val="1"/>
      <w:numFmt w:val="bullet"/>
      <w:lvlText w:val=""/>
      <w:lvlJc w:val="left"/>
      <w:pPr>
        <w:tabs>
          <w:tab w:val="num" w:pos="720"/>
        </w:tabs>
        <w:ind w:left="720" w:hanging="360"/>
      </w:pPr>
      <w:rPr>
        <w:rFonts w:ascii="Symbol" w:hAnsi="Symbol" w:hint="default"/>
      </w:rPr>
    </w:lvl>
    <w:lvl w:ilvl="1" w:tplc="E43214CE">
      <w:start w:val="1"/>
      <w:numFmt w:val="bullet"/>
      <w:lvlText w:val=""/>
      <w:lvlJc w:val="left"/>
      <w:pPr>
        <w:tabs>
          <w:tab w:val="num" w:pos="1440"/>
        </w:tabs>
        <w:ind w:left="1440" w:hanging="360"/>
      </w:pPr>
      <w:rPr>
        <w:rFonts w:ascii="Symbol" w:hAnsi="Symbol" w:hint="default"/>
        <w:u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3F4AC3"/>
    <w:multiLevelType w:val="hybridMultilevel"/>
    <w:tmpl w:val="BBCC089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9149D"/>
    <w:multiLevelType w:val="hybridMultilevel"/>
    <w:tmpl w:val="CC90675C"/>
    <w:lvl w:ilvl="0" w:tplc="E43214CE">
      <w:start w:val="1"/>
      <w:numFmt w:val="bullet"/>
      <w:lvlText w:val=""/>
      <w:lvlJc w:val="left"/>
      <w:pPr>
        <w:tabs>
          <w:tab w:val="num" w:pos="1440"/>
        </w:tabs>
        <w:ind w:left="1440" w:hanging="360"/>
      </w:pPr>
      <w:rPr>
        <w:rFonts w:ascii="Symbol" w:hAnsi="Symbol" w:hint="default"/>
        <w:u w:val="none"/>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1CD24BC"/>
    <w:multiLevelType w:val="hybridMultilevel"/>
    <w:tmpl w:val="14D0AC08"/>
    <w:lvl w:ilvl="0" w:tplc="8318943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6" w15:restartNumberingAfterBreak="0">
    <w:nsid w:val="18B17DB9"/>
    <w:multiLevelType w:val="hybridMultilevel"/>
    <w:tmpl w:val="0D16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C5008"/>
    <w:multiLevelType w:val="hybridMultilevel"/>
    <w:tmpl w:val="0F7EA5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B1882"/>
    <w:multiLevelType w:val="hybridMultilevel"/>
    <w:tmpl w:val="A76C5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617C87"/>
    <w:multiLevelType w:val="hybridMultilevel"/>
    <w:tmpl w:val="3BDA856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1" w15:restartNumberingAfterBreak="0">
    <w:nsid w:val="20C55D9E"/>
    <w:multiLevelType w:val="hybridMultilevel"/>
    <w:tmpl w:val="473C3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C5A26"/>
    <w:multiLevelType w:val="hybridMultilevel"/>
    <w:tmpl w:val="6B9CA10E"/>
    <w:lvl w:ilvl="0" w:tplc="0A909830">
      <w:start w:val="1"/>
      <w:numFmt w:val="decimal"/>
      <w:lvlText w:val="(%1)"/>
      <w:lvlJc w:val="left"/>
      <w:pPr>
        <w:ind w:left="1520" w:hanging="339"/>
      </w:pPr>
      <w:rPr>
        <w:rFonts w:ascii="Times New Roman" w:eastAsia="Times New Roman" w:hAnsi="Times New Roman" w:hint="default"/>
        <w:spacing w:val="-1"/>
        <w:sz w:val="24"/>
        <w:szCs w:val="24"/>
      </w:rPr>
    </w:lvl>
    <w:lvl w:ilvl="1" w:tplc="DB7CD7C4">
      <w:start w:val="1"/>
      <w:numFmt w:val="lowerRoman"/>
      <w:lvlText w:val="(%2)"/>
      <w:lvlJc w:val="left"/>
      <w:pPr>
        <w:ind w:left="3245" w:hanging="286"/>
      </w:pPr>
      <w:rPr>
        <w:rFonts w:ascii="Times New Roman" w:eastAsia="Times New Roman" w:hAnsi="Times New Roman" w:hint="default"/>
        <w:spacing w:val="-1"/>
        <w:sz w:val="24"/>
        <w:szCs w:val="24"/>
      </w:rPr>
    </w:lvl>
    <w:lvl w:ilvl="2" w:tplc="2174C82A">
      <w:start w:val="1"/>
      <w:numFmt w:val="bullet"/>
      <w:lvlText w:val="•"/>
      <w:lvlJc w:val="left"/>
      <w:pPr>
        <w:ind w:left="3862" w:hanging="286"/>
      </w:pPr>
      <w:rPr>
        <w:rFonts w:hint="default"/>
      </w:rPr>
    </w:lvl>
    <w:lvl w:ilvl="3" w:tplc="6CAC63A2">
      <w:start w:val="1"/>
      <w:numFmt w:val="bullet"/>
      <w:lvlText w:val="•"/>
      <w:lvlJc w:val="left"/>
      <w:pPr>
        <w:ind w:left="4479" w:hanging="286"/>
      </w:pPr>
      <w:rPr>
        <w:rFonts w:hint="default"/>
      </w:rPr>
    </w:lvl>
    <w:lvl w:ilvl="4" w:tplc="A1805CA6">
      <w:start w:val="1"/>
      <w:numFmt w:val="bullet"/>
      <w:lvlText w:val="•"/>
      <w:lvlJc w:val="left"/>
      <w:pPr>
        <w:ind w:left="5097" w:hanging="286"/>
      </w:pPr>
      <w:rPr>
        <w:rFonts w:hint="default"/>
      </w:rPr>
    </w:lvl>
    <w:lvl w:ilvl="5" w:tplc="DBF0163E">
      <w:start w:val="1"/>
      <w:numFmt w:val="bullet"/>
      <w:lvlText w:val="•"/>
      <w:lvlJc w:val="left"/>
      <w:pPr>
        <w:ind w:left="5714" w:hanging="286"/>
      </w:pPr>
      <w:rPr>
        <w:rFonts w:hint="default"/>
      </w:rPr>
    </w:lvl>
    <w:lvl w:ilvl="6" w:tplc="964082B4">
      <w:start w:val="1"/>
      <w:numFmt w:val="bullet"/>
      <w:lvlText w:val="•"/>
      <w:lvlJc w:val="left"/>
      <w:pPr>
        <w:ind w:left="6331" w:hanging="286"/>
      </w:pPr>
      <w:rPr>
        <w:rFonts w:hint="default"/>
      </w:rPr>
    </w:lvl>
    <w:lvl w:ilvl="7" w:tplc="C6240DA8">
      <w:start w:val="1"/>
      <w:numFmt w:val="bullet"/>
      <w:lvlText w:val="•"/>
      <w:lvlJc w:val="left"/>
      <w:pPr>
        <w:ind w:left="6948" w:hanging="286"/>
      </w:pPr>
      <w:rPr>
        <w:rFonts w:hint="default"/>
      </w:rPr>
    </w:lvl>
    <w:lvl w:ilvl="8" w:tplc="204C5B96">
      <w:start w:val="1"/>
      <w:numFmt w:val="bullet"/>
      <w:lvlText w:val="•"/>
      <w:lvlJc w:val="left"/>
      <w:pPr>
        <w:ind w:left="7565" w:hanging="286"/>
      </w:pPr>
      <w:rPr>
        <w:rFonts w:hint="default"/>
      </w:rPr>
    </w:lvl>
  </w:abstractNum>
  <w:abstractNum w:abstractNumId="13" w15:restartNumberingAfterBreak="0">
    <w:nsid w:val="2F895309"/>
    <w:multiLevelType w:val="hybridMultilevel"/>
    <w:tmpl w:val="E42E7A9A"/>
    <w:lvl w:ilvl="0" w:tplc="04090011">
      <w:start w:val="1"/>
      <w:numFmt w:val="decimal"/>
      <w:lvlText w:val="%1)"/>
      <w:lvlJc w:val="left"/>
      <w:pPr>
        <w:tabs>
          <w:tab w:val="num" w:pos="360"/>
        </w:tabs>
        <w:ind w:left="360" w:hanging="360"/>
      </w:pPr>
      <w:rPr>
        <w:rFonts w:hint="default"/>
      </w:rPr>
    </w:lvl>
    <w:lvl w:ilvl="1" w:tplc="E43214CE">
      <w:start w:val="1"/>
      <w:numFmt w:val="bullet"/>
      <w:lvlText w:val=""/>
      <w:lvlJc w:val="left"/>
      <w:pPr>
        <w:tabs>
          <w:tab w:val="num" w:pos="1080"/>
        </w:tabs>
        <w:ind w:left="1080" w:hanging="360"/>
      </w:pPr>
      <w:rPr>
        <w:rFonts w:ascii="Symbol" w:hAnsi="Symbol" w:hint="default"/>
        <w:u w:val="none"/>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71970FD"/>
    <w:multiLevelType w:val="hybridMultilevel"/>
    <w:tmpl w:val="72083F3A"/>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9205193"/>
    <w:multiLevelType w:val="hybridMultilevel"/>
    <w:tmpl w:val="6D3035BC"/>
    <w:lvl w:ilvl="0" w:tplc="FEEC3048">
      <w:start w:val="1"/>
      <w:numFmt w:val="upperLetter"/>
      <w:lvlText w:val="(%1)"/>
      <w:lvlJc w:val="left"/>
      <w:pPr>
        <w:ind w:left="1520" w:hanging="392"/>
      </w:pPr>
      <w:rPr>
        <w:rFonts w:ascii="Times New Roman" w:eastAsia="Times New Roman" w:hAnsi="Times New Roman" w:hint="default"/>
        <w:spacing w:val="-1"/>
        <w:sz w:val="24"/>
        <w:szCs w:val="24"/>
      </w:rPr>
    </w:lvl>
    <w:lvl w:ilvl="1" w:tplc="A0D21BA8">
      <w:start w:val="1"/>
      <w:numFmt w:val="bullet"/>
      <w:lvlText w:val="•"/>
      <w:lvlJc w:val="left"/>
      <w:pPr>
        <w:ind w:left="2250" w:hanging="392"/>
      </w:pPr>
      <w:rPr>
        <w:rFonts w:hint="default"/>
      </w:rPr>
    </w:lvl>
    <w:lvl w:ilvl="2" w:tplc="72685846">
      <w:start w:val="1"/>
      <w:numFmt w:val="bullet"/>
      <w:lvlText w:val="•"/>
      <w:lvlJc w:val="left"/>
      <w:pPr>
        <w:ind w:left="2980" w:hanging="392"/>
      </w:pPr>
      <w:rPr>
        <w:rFonts w:hint="default"/>
      </w:rPr>
    </w:lvl>
    <w:lvl w:ilvl="3" w:tplc="D7B243CC">
      <w:start w:val="1"/>
      <w:numFmt w:val="bullet"/>
      <w:lvlText w:val="•"/>
      <w:lvlJc w:val="left"/>
      <w:pPr>
        <w:ind w:left="3710" w:hanging="392"/>
      </w:pPr>
      <w:rPr>
        <w:rFonts w:hint="default"/>
      </w:rPr>
    </w:lvl>
    <w:lvl w:ilvl="4" w:tplc="7E060B2A">
      <w:start w:val="1"/>
      <w:numFmt w:val="bullet"/>
      <w:lvlText w:val="•"/>
      <w:lvlJc w:val="left"/>
      <w:pPr>
        <w:ind w:left="4440" w:hanging="392"/>
      </w:pPr>
      <w:rPr>
        <w:rFonts w:hint="default"/>
      </w:rPr>
    </w:lvl>
    <w:lvl w:ilvl="5" w:tplc="CE24D918">
      <w:start w:val="1"/>
      <w:numFmt w:val="bullet"/>
      <w:lvlText w:val="•"/>
      <w:lvlJc w:val="left"/>
      <w:pPr>
        <w:ind w:left="5170" w:hanging="392"/>
      </w:pPr>
      <w:rPr>
        <w:rFonts w:hint="default"/>
      </w:rPr>
    </w:lvl>
    <w:lvl w:ilvl="6" w:tplc="F1BEC400">
      <w:start w:val="1"/>
      <w:numFmt w:val="bullet"/>
      <w:lvlText w:val="•"/>
      <w:lvlJc w:val="left"/>
      <w:pPr>
        <w:ind w:left="5900" w:hanging="392"/>
      </w:pPr>
      <w:rPr>
        <w:rFonts w:hint="default"/>
      </w:rPr>
    </w:lvl>
    <w:lvl w:ilvl="7" w:tplc="B538C7D2">
      <w:start w:val="1"/>
      <w:numFmt w:val="bullet"/>
      <w:lvlText w:val="•"/>
      <w:lvlJc w:val="left"/>
      <w:pPr>
        <w:ind w:left="6630" w:hanging="392"/>
      </w:pPr>
      <w:rPr>
        <w:rFonts w:hint="default"/>
      </w:rPr>
    </w:lvl>
    <w:lvl w:ilvl="8" w:tplc="57BE78CA">
      <w:start w:val="1"/>
      <w:numFmt w:val="bullet"/>
      <w:lvlText w:val="•"/>
      <w:lvlJc w:val="left"/>
      <w:pPr>
        <w:ind w:left="7360" w:hanging="392"/>
      </w:pPr>
      <w:rPr>
        <w:rFonts w:hint="default"/>
      </w:rPr>
    </w:lvl>
  </w:abstractNum>
  <w:abstractNum w:abstractNumId="16" w15:restartNumberingAfterBreak="0">
    <w:nsid w:val="413A1D68"/>
    <w:multiLevelType w:val="hybridMultilevel"/>
    <w:tmpl w:val="CE9A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C288B"/>
    <w:multiLevelType w:val="hybridMultilevel"/>
    <w:tmpl w:val="321CDF1C"/>
    <w:lvl w:ilvl="0" w:tplc="C52499AC">
      <w:start w:val="1"/>
      <w:numFmt w:val="decimal"/>
      <w:lvlText w:val="(%1)"/>
      <w:lvlJc w:val="left"/>
      <w:pPr>
        <w:ind w:left="1540" w:hanging="339"/>
      </w:pPr>
      <w:rPr>
        <w:rFonts w:ascii="Times New Roman" w:eastAsia="Times New Roman" w:hAnsi="Times New Roman" w:hint="default"/>
        <w:spacing w:val="-1"/>
        <w:sz w:val="24"/>
        <w:szCs w:val="24"/>
      </w:rPr>
    </w:lvl>
    <w:lvl w:ilvl="1" w:tplc="C37E5B7C">
      <w:start w:val="1"/>
      <w:numFmt w:val="lowerRoman"/>
      <w:lvlText w:val="(%2)"/>
      <w:lvlJc w:val="left"/>
      <w:pPr>
        <w:ind w:left="1540" w:hanging="286"/>
      </w:pPr>
      <w:rPr>
        <w:rFonts w:ascii="Times New Roman" w:eastAsia="Times New Roman" w:hAnsi="Times New Roman" w:hint="default"/>
        <w:spacing w:val="-1"/>
        <w:sz w:val="24"/>
        <w:szCs w:val="24"/>
      </w:rPr>
    </w:lvl>
    <w:lvl w:ilvl="2" w:tplc="1E2857B4">
      <w:start w:val="1"/>
      <w:numFmt w:val="bullet"/>
      <w:lvlText w:val="•"/>
      <w:lvlJc w:val="left"/>
      <w:pPr>
        <w:ind w:left="2351" w:hanging="286"/>
      </w:pPr>
      <w:rPr>
        <w:rFonts w:hint="default"/>
      </w:rPr>
    </w:lvl>
    <w:lvl w:ilvl="3" w:tplc="F6944952">
      <w:start w:val="1"/>
      <w:numFmt w:val="bullet"/>
      <w:lvlText w:val="•"/>
      <w:lvlJc w:val="left"/>
      <w:pPr>
        <w:ind w:left="3162" w:hanging="286"/>
      </w:pPr>
      <w:rPr>
        <w:rFonts w:hint="default"/>
      </w:rPr>
    </w:lvl>
    <w:lvl w:ilvl="4" w:tplc="36B08F08">
      <w:start w:val="1"/>
      <w:numFmt w:val="bullet"/>
      <w:lvlText w:val="•"/>
      <w:lvlJc w:val="left"/>
      <w:pPr>
        <w:ind w:left="3973" w:hanging="286"/>
      </w:pPr>
      <w:rPr>
        <w:rFonts w:hint="default"/>
      </w:rPr>
    </w:lvl>
    <w:lvl w:ilvl="5" w:tplc="87DED8E2">
      <w:start w:val="1"/>
      <w:numFmt w:val="bullet"/>
      <w:lvlText w:val="•"/>
      <w:lvlJc w:val="left"/>
      <w:pPr>
        <w:ind w:left="4784" w:hanging="286"/>
      </w:pPr>
      <w:rPr>
        <w:rFonts w:hint="default"/>
      </w:rPr>
    </w:lvl>
    <w:lvl w:ilvl="6" w:tplc="EC7A8796">
      <w:start w:val="1"/>
      <w:numFmt w:val="bullet"/>
      <w:lvlText w:val="•"/>
      <w:lvlJc w:val="left"/>
      <w:pPr>
        <w:ind w:left="5595" w:hanging="286"/>
      </w:pPr>
      <w:rPr>
        <w:rFonts w:hint="default"/>
      </w:rPr>
    </w:lvl>
    <w:lvl w:ilvl="7" w:tplc="29D42B1C">
      <w:start w:val="1"/>
      <w:numFmt w:val="bullet"/>
      <w:lvlText w:val="•"/>
      <w:lvlJc w:val="left"/>
      <w:pPr>
        <w:ind w:left="6406" w:hanging="286"/>
      </w:pPr>
      <w:rPr>
        <w:rFonts w:hint="default"/>
      </w:rPr>
    </w:lvl>
    <w:lvl w:ilvl="8" w:tplc="5E1CB134">
      <w:start w:val="1"/>
      <w:numFmt w:val="bullet"/>
      <w:lvlText w:val="•"/>
      <w:lvlJc w:val="left"/>
      <w:pPr>
        <w:ind w:left="7217" w:hanging="286"/>
      </w:pPr>
      <w:rPr>
        <w:rFonts w:hint="default"/>
      </w:rPr>
    </w:lvl>
  </w:abstractNum>
  <w:abstractNum w:abstractNumId="18" w15:restartNumberingAfterBreak="0">
    <w:nsid w:val="42A4423E"/>
    <w:multiLevelType w:val="hybridMultilevel"/>
    <w:tmpl w:val="F2A666A6"/>
    <w:lvl w:ilvl="0" w:tplc="04090001">
      <w:start w:val="1"/>
      <w:numFmt w:val="bullet"/>
      <w:lvlText w:val=""/>
      <w:lvlJc w:val="left"/>
      <w:pPr>
        <w:tabs>
          <w:tab w:val="num" w:pos="360"/>
        </w:tabs>
        <w:ind w:left="360" w:hanging="360"/>
      </w:pPr>
      <w:rPr>
        <w:rFonts w:ascii="Symbol" w:hAnsi="Symbol" w:hint="default"/>
      </w:rPr>
    </w:lvl>
    <w:lvl w:ilvl="1" w:tplc="E43214CE">
      <w:start w:val="1"/>
      <w:numFmt w:val="bullet"/>
      <w:lvlText w:val=""/>
      <w:lvlJc w:val="left"/>
      <w:pPr>
        <w:tabs>
          <w:tab w:val="num" w:pos="1080"/>
        </w:tabs>
        <w:ind w:left="1080" w:hanging="360"/>
      </w:pPr>
      <w:rPr>
        <w:rFonts w:ascii="Symbol" w:hAnsi="Symbol" w:hint="default"/>
        <w:u w:val="none"/>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4845038"/>
    <w:multiLevelType w:val="hybridMultilevel"/>
    <w:tmpl w:val="D73CA32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4A811BB"/>
    <w:multiLevelType w:val="hybridMultilevel"/>
    <w:tmpl w:val="C414D2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2" w15:restartNumberingAfterBreak="0">
    <w:nsid w:val="4A87587C"/>
    <w:multiLevelType w:val="hybridMultilevel"/>
    <w:tmpl w:val="9126CA7C"/>
    <w:lvl w:ilvl="0" w:tplc="A8764A04">
      <w:start w:val="1"/>
      <w:numFmt w:val="upperLetter"/>
      <w:lvlText w:val="%1."/>
      <w:lvlJc w:val="left"/>
      <w:pPr>
        <w:ind w:left="412" w:hanging="293"/>
      </w:pPr>
      <w:rPr>
        <w:rFonts w:ascii="Times New Roman" w:eastAsia="Times New Roman" w:hAnsi="Times New Roman" w:hint="default"/>
        <w:b/>
        <w:bCs/>
        <w:spacing w:val="-1"/>
        <w:sz w:val="24"/>
        <w:szCs w:val="24"/>
      </w:rPr>
    </w:lvl>
    <w:lvl w:ilvl="1" w:tplc="141A9C48">
      <w:start w:val="1"/>
      <w:numFmt w:val="decimal"/>
      <w:lvlText w:val="%2."/>
      <w:lvlJc w:val="left"/>
      <w:pPr>
        <w:ind w:left="100" w:hanging="240"/>
      </w:pPr>
      <w:rPr>
        <w:rFonts w:ascii="Times New Roman" w:eastAsia="Times New Roman" w:hAnsi="Times New Roman" w:hint="default"/>
        <w:b/>
        <w:bCs/>
        <w:sz w:val="24"/>
        <w:szCs w:val="24"/>
      </w:rPr>
    </w:lvl>
    <w:lvl w:ilvl="2" w:tplc="05C23D02">
      <w:start w:val="1"/>
      <w:numFmt w:val="decimal"/>
      <w:lvlText w:val="%3)"/>
      <w:lvlJc w:val="left"/>
      <w:pPr>
        <w:ind w:left="840" w:hanging="360"/>
      </w:pPr>
      <w:rPr>
        <w:rFonts w:ascii="Times New Roman" w:eastAsia="Times New Roman" w:hAnsi="Times New Roman" w:hint="default"/>
        <w:sz w:val="24"/>
        <w:szCs w:val="24"/>
      </w:rPr>
    </w:lvl>
    <w:lvl w:ilvl="3" w:tplc="0700F4BC">
      <w:start w:val="1"/>
      <w:numFmt w:val="bullet"/>
      <w:lvlText w:val=""/>
      <w:lvlJc w:val="left"/>
      <w:pPr>
        <w:ind w:left="1200" w:hanging="360"/>
      </w:pPr>
      <w:rPr>
        <w:rFonts w:ascii="Symbol" w:eastAsia="Symbol" w:hAnsi="Symbol" w:hint="default"/>
        <w:sz w:val="24"/>
        <w:szCs w:val="24"/>
      </w:rPr>
    </w:lvl>
    <w:lvl w:ilvl="4" w:tplc="6A3040FE">
      <w:start w:val="1"/>
      <w:numFmt w:val="bullet"/>
      <w:lvlText w:val="•"/>
      <w:lvlJc w:val="left"/>
      <w:pPr>
        <w:ind w:left="1200" w:hanging="360"/>
      </w:pPr>
      <w:rPr>
        <w:rFonts w:hint="default"/>
      </w:rPr>
    </w:lvl>
    <w:lvl w:ilvl="5" w:tplc="AD507B0A">
      <w:start w:val="1"/>
      <w:numFmt w:val="bullet"/>
      <w:lvlText w:val="•"/>
      <w:lvlJc w:val="left"/>
      <w:pPr>
        <w:ind w:left="2466" w:hanging="360"/>
      </w:pPr>
      <w:rPr>
        <w:rFonts w:hint="default"/>
      </w:rPr>
    </w:lvl>
    <w:lvl w:ilvl="6" w:tplc="A8788772">
      <w:start w:val="1"/>
      <w:numFmt w:val="bullet"/>
      <w:lvlText w:val="•"/>
      <w:lvlJc w:val="left"/>
      <w:pPr>
        <w:ind w:left="3733" w:hanging="360"/>
      </w:pPr>
      <w:rPr>
        <w:rFonts w:hint="default"/>
      </w:rPr>
    </w:lvl>
    <w:lvl w:ilvl="7" w:tplc="BECC2752">
      <w:start w:val="1"/>
      <w:numFmt w:val="bullet"/>
      <w:lvlText w:val="•"/>
      <w:lvlJc w:val="left"/>
      <w:pPr>
        <w:ind w:left="5000" w:hanging="360"/>
      </w:pPr>
      <w:rPr>
        <w:rFonts w:hint="default"/>
      </w:rPr>
    </w:lvl>
    <w:lvl w:ilvl="8" w:tplc="DC94C632">
      <w:start w:val="1"/>
      <w:numFmt w:val="bullet"/>
      <w:lvlText w:val="•"/>
      <w:lvlJc w:val="left"/>
      <w:pPr>
        <w:ind w:left="6266" w:hanging="360"/>
      </w:pPr>
      <w:rPr>
        <w:rFonts w:hint="default"/>
      </w:rPr>
    </w:lvl>
  </w:abstractNum>
  <w:abstractNum w:abstractNumId="23" w15:restartNumberingAfterBreak="0">
    <w:nsid w:val="502674E5"/>
    <w:multiLevelType w:val="hybridMultilevel"/>
    <w:tmpl w:val="F8DC9CF4"/>
    <w:lvl w:ilvl="0" w:tplc="EDA80778">
      <w:start w:val="1"/>
      <w:numFmt w:val="decimal"/>
      <w:lvlText w:val="%1."/>
      <w:lvlJc w:val="left"/>
      <w:pPr>
        <w:ind w:left="720" w:hanging="360"/>
      </w:pPr>
      <w:rPr>
        <w:rFonts w:ascii="TimesNewRoman,Bold" w:hAnsi="TimesNewRoman,Bold" w:cs="TimesNewRoman,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B06F11"/>
    <w:multiLevelType w:val="hybridMultilevel"/>
    <w:tmpl w:val="3E42D266"/>
    <w:lvl w:ilvl="0" w:tplc="294E1D12">
      <w:start w:val="1"/>
      <w:numFmt w:val="decimal"/>
      <w:lvlText w:val="(%1)"/>
      <w:lvlJc w:val="left"/>
      <w:pPr>
        <w:ind w:left="820" w:hanging="339"/>
      </w:pPr>
      <w:rPr>
        <w:rFonts w:ascii="Times New Roman" w:eastAsia="Times New Roman" w:hAnsi="Times New Roman" w:hint="default"/>
        <w:spacing w:val="-1"/>
        <w:sz w:val="24"/>
        <w:szCs w:val="24"/>
      </w:rPr>
    </w:lvl>
    <w:lvl w:ilvl="1" w:tplc="8ABCB436">
      <w:start w:val="1"/>
      <w:numFmt w:val="bullet"/>
      <w:lvlText w:val="•"/>
      <w:lvlJc w:val="left"/>
      <w:pPr>
        <w:ind w:left="1622" w:hanging="339"/>
      </w:pPr>
      <w:rPr>
        <w:rFonts w:hint="default"/>
      </w:rPr>
    </w:lvl>
    <w:lvl w:ilvl="2" w:tplc="EC6C90A4">
      <w:start w:val="1"/>
      <w:numFmt w:val="bullet"/>
      <w:lvlText w:val="•"/>
      <w:lvlJc w:val="left"/>
      <w:pPr>
        <w:ind w:left="2424" w:hanging="339"/>
      </w:pPr>
      <w:rPr>
        <w:rFonts w:hint="default"/>
      </w:rPr>
    </w:lvl>
    <w:lvl w:ilvl="3" w:tplc="5B4852EE">
      <w:start w:val="1"/>
      <w:numFmt w:val="bullet"/>
      <w:lvlText w:val="•"/>
      <w:lvlJc w:val="left"/>
      <w:pPr>
        <w:ind w:left="3226" w:hanging="339"/>
      </w:pPr>
      <w:rPr>
        <w:rFonts w:hint="default"/>
      </w:rPr>
    </w:lvl>
    <w:lvl w:ilvl="4" w:tplc="C9D809C8">
      <w:start w:val="1"/>
      <w:numFmt w:val="bullet"/>
      <w:lvlText w:val="•"/>
      <w:lvlJc w:val="left"/>
      <w:pPr>
        <w:ind w:left="4028" w:hanging="339"/>
      </w:pPr>
      <w:rPr>
        <w:rFonts w:hint="default"/>
      </w:rPr>
    </w:lvl>
    <w:lvl w:ilvl="5" w:tplc="9688743C">
      <w:start w:val="1"/>
      <w:numFmt w:val="bullet"/>
      <w:lvlText w:val="•"/>
      <w:lvlJc w:val="left"/>
      <w:pPr>
        <w:ind w:left="4830" w:hanging="339"/>
      </w:pPr>
      <w:rPr>
        <w:rFonts w:hint="default"/>
      </w:rPr>
    </w:lvl>
    <w:lvl w:ilvl="6" w:tplc="AA805B42">
      <w:start w:val="1"/>
      <w:numFmt w:val="bullet"/>
      <w:lvlText w:val="•"/>
      <w:lvlJc w:val="left"/>
      <w:pPr>
        <w:ind w:left="5632" w:hanging="339"/>
      </w:pPr>
      <w:rPr>
        <w:rFonts w:hint="default"/>
      </w:rPr>
    </w:lvl>
    <w:lvl w:ilvl="7" w:tplc="876CA2BE">
      <w:start w:val="1"/>
      <w:numFmt w:val="bullet"/>
      <w:lvlText w:val="•"/>
      <w:lvlJc w:val="left"/>
      <w:pPr>
        <w:ind w:left="6434" w:hanging="339"/>
      </w:pPr>
      <w:rPr>
        <w:rFonts w:hint="default"/>
      </w:rPr>
    </w:lvl>
    <w:lvl w:ilvl="8" w:tplc="CB0E6518">
      <w:start w:val="1"/>
      <w:numFmt w:val="bullet"/>
      <w:lvlText w:val="•"/>
      <w:lvlJc w:val="left"/>
      <w:pPr>
        <w:ind w:left="7236" w:hanging="339"/>
      </w:pPr>
      <w:rPr>
        <w:rFonts w:hint="default"/>
      </w:rPr>
    </w:lvl>
  </w:abstractNum>
  <w:abstractNum w:abstractNumId="25" w15:restartNumberingAfterBreak="0">
    <w:nsid w:val="53AC2516"/>
    <w:multiLevelType w:val="hybridMultilevel"/>
    <w:tmpl w:val="9A649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A91BA1"/>
    <w:multiLevelType w:val="hybridMultilevel"/>
    <w:tmpl w:val="0F9C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360622"/>
    <w:multiLevelType w:val="hybridMultilevel"/>
    <w:tmpl w:val="697EA2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8B75C9"/>
    <w:multiLevelType w:val="hybridMultilevel"/>
    <w:tmpl w:val="D144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376141"/>
    <w:multiLevelType w:val="hybridMultilevel"/>
    <w:tmpl w:val="97E0F79C"/>
    <w:lvl w:ilvl="0" w:tplc="C27227E2">
      <w:start w:val="1"/>
      <w:numFmt w:val="upperLetter"/>
      <w:lvlText w:val="(%1)"/>
      <w:lvlJc w:val="left"/>
      <w:pPr>
        <w:ind w:left="1520" w:hanging="392"/>
      </w:pPr>
      <w:rPr>
        <w:rFonts w:ascii="Times New Roman" w:eastAsia="Times New Roman" w:hAnsi="Times New Roman" w:hint="default"/>
        <w:spacing w:val="-1"/>
        <w:sz w:val="24"/>
        <w:szCs w:val="24"/>
      </w:rPr>
    </w:lvl>
    <w:lvl w:ilvl="1" w:tplc="6CEAAF68">
      <w:start w:val="1"/>
      <w:numFmt w:val="bullet"/>
      <w:lvlText w:val="•"/>
      <w:lvlJc w:val="left"/>
      <w:pPr>
        <w:ind w:left="2250" w:hanging="392"/>
      </w:pPr>
      <w:rPr>
        <w:rFonts w:hint="default"/>
      </w:rPr>
    </w:lvl>
    <w:lvl w:ilvl="2" w:tplc="CD8E6834">
      <w:start w:val="1"/>
      <w:numFmt w:val="bullet"/>
      <w:lvlText w:val="•"/>
      <w:lvlJc w:val="left"/>
      <w:pPr>
        <w:ind w:left="2980" w:hanging="392"/>
      </w:pPr>
      <w:rPr>
        <w:rFonts w:hint="default"/>
      </w:rPr>
    </w:lvl>
    <w:lvl w:ilvl="3" w:tplc="1486C49C">
      <w:start w:val="1"/>
      <w:numFmt w:val="bullet"/>
      <w:lvlText w:val="•"/>
      <w:lvlJc w:val="left"/>
      <w:pPr>
        <w:ind w:left="3710" w:hanging="392"/>
      </w:pPr>
      <w:rPr>
        <w:rFonts w:hint="default"/>
      </w:rPr>
    </w:lvl>
    <w:lvl w:ilvl="4" w:tplc="45D6A48A">
      <w:start w:val="1"/>
      <w:numFmt w:val="bullet"/>
      <w:lvlText w:val="•"/>
      <w:lvlJc w:val="left"/>
      <w:pPr>
        <w:ind w:left="4440" w:hanging="392"/>
      </w:pPr>
      <w:rPr>
        <w:rFonts w:hint="default"/>
      </w:rPr>
    </w:lvl>
    <w:lvl w:ilvl="5" w:tplc="BDCCB4AA">
      <w:start w:val="1"/>
      <w:numFmt w:val="bullet"/>
      <w:lvlText w:val="•"/>
      <w:lvlJc w:val="left"/>
      <w:pPr>
        <w:ind w:left="5170" w:hanging="392"/>
      </w:pPr>
      <w:rPr>
        <w:rFonts w:hint="default"/>
      </w:rPr>
    </w:lvl>
    <w:lvl w:ilvl="6" w:tplc="83B88E32">
      <w:start w:val="1"/>
      <w:numFmt w:val="bullet"/>
      <w:lvlText w:val="•"/>
      <w:lvlJc w:val="left"/>
      <w:pPr>
        <w:ind w:left="5900" w:hanging="392"/>
      </w:pPr>
      <w:rPr>
        <w:rFonts w:hint="default"/>
      </w:rPr>
    </w:lvl>
    <w:lvl w:ilvl="7" w:tplc="A2368702">
      <w:start w:val="1"/>
      <w:numFmt w:val="bullet"/>
      <w:lvlText w:val="•"/>
      <w:lvlJc w:val="left"/>
      <w:pPr>
        <w:ind w:left="6630" w:hanging="392"/>
      </w:pPr>
      <w:rPr>
        <w:rFonts w:hint="default"/>
      </w:rPr>
    </w:lvl>
    <w:lvl w:ilvl="8" w:tplc="DF869F1C">
      <w:start w:val="1"/>
      <w:numFmt w:val="bullet"/>
      <w:lvlText w:val="•"/>
      <w:lvlJc w:val="left"/>
      <w:pPr>
        <w:ind w:left="7360" w:hanging="392"/>
      </w:pPr>
      <w:rPr>
        <w:rFonts w:hint="default"/>
      </w:rPr>
    </w:lvl>
  </w:abstractNum>
  <w:abstractNum w:abstractNumId="30" w15:restartNumberingAfterBreak="0">
    <w:nsid w:val="6F4A29B0"/>
    <w:multiLevelType w:val="hybridMultilevel"/>
    <w:tmpl w:val="1D303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473305"/>
    <w:multiLevelType w:val="hybridMultilevel"/>
    <w:tmpl w:val="CFD810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8C52AD"/>
    <w:multiLevelType w:val="hybridMultilevel"/>
    <w:tmpl w:val="1AE2D238"/>
    <w:lvl w:ilvl="0" w:tplc="6F02F74C">
      <w:start w:val="1"/>
      <w:numFmt w:val="bullet"/>
      <w:lvlText w:val=""/>
      <w:lvlJc w:val="left"/>
      <w:pPr>
        <w:ind w:left="820" w:hanging="360"/>
      </w:pPr>
      <w:rPr>
        <w:rFonts w:ascii="Symbol" w:eastAsia="Symbol" w:hAnsi="Symbol" w:hint="default"/>
        <w:sz w:val="24"/>
        <w:szCs w:val="24"/>
      </w:rPr>
    </w:lvl>
    <w:lvl w:ilvl="1" w:tplc="CFFC9070">
      <w:start w:val="1"/>
      <w:numFmt w:val="bullet"/>
      <w:lvlText w:val="•"/>
      <w:lvlJc w:val="left"/>
      <w:pPr>
        <w:ind w:left="1622" w:hanging="360"/>
      </w:pPr>
      <w:rPr>
        <w:rFonts w:hint="default"/>
      </w:rPr>
    </w:lvl>
    <w:lvl w:ilvl="2" w:tplc="7FC04EAA">
      <w:start w:val="1"/>
      <w:numFmt w:val="bullet"/>
      <w:lvlText w:val="•"/>
      <w:lvlJc w:val="left"/>
      <w:pPr>
        <w:ind w:left="2424" w:hanging="360"/>
      </w:pPr>
      <w:rPr>
        <w:rFonts w:hint="default"/>
      </w:rPr>
    </w:lvl>
    <w:lvl w:ilvl="3" w:tplc="33DCDA5A">
      <w:start w:val="1"/>
      <w:numFmt w:val="bullet"/>
      <w:lvlText w:val="•"/>
      <w:lvlJc w:val="left"/>
      <w:pPr>
        <w:ind w:left="3226" w:hanging="360"/>
      </w:pPr>
      <w:rPr>
        <w:rFonts w:hint="default"/>
      </w:rPr>
    </w:lvl>
    <w:lvl w:ilvl="4" w:tplc="6A1AC862">
      <w:start w:val="1"/>
      <w:numFmt w:val="bullet"/>
      <w:lvlText w:val="•"/>
      <w:lvlJc w:val="left"/>
      <w:pPr>
        <w:ind w:left="4028" w:hanging="360"/>
      </w:pPr>
      <w:rPr>
        <w:rFonts w:hint="default"/>
      </w:rPr>
    </w:lvl>
    <w:lvl w:ilvl="5" w:tplc="F68018C2">
      <w:start w:val="1"/>
      <w:numFmt w:val="bullet"/>
      <w:lvlText w:val="•"/>
      <w:lvlJc w:val="left"/>
      <w:pPr>
        <w:ind w:left="4830" w:hanging="360"/>
      </w:pPr>
      <w:rPr>
        <w:rFonts w:hint="default"/>
      </w:rPr>
    </w:lvl>
    <w:lvl w:ilvl="6" w:tplc="177A2BA2">
      <w:start w:val="1"/>
      <w:numFmt w:val="bullet"/>
      <w:lvlText w:val="•"/>
      <w:lvlJc w:val="left"/>
      <w:pPr>
        <w:ind w:left="5632" w:hanging="360"/>
      </w:pPr>
      <w:rPr>
        <w:rFonts w:hint="default"/>
      </w:rPr>
    </w:lvl>
    <w:lvl w:ilvl="7" w:tplc="4B9AEA42">
      <w:start w:val="1"/>
      <w:numFmt w:val="bullet"/>
      <w:lvlText w:val="•"/>
      <w:lvlJc w:val="left"/>
      <w:pPr>
        <w:ind w:left="6434" w:hanging="360"/>
      </w:pPr>
      <w:rPr>
        <w:rFonts w:hint="default"/>
      </w:rPr>
    </w:lvl>
    <w:lvl w:ilvl="8" w:tplc="6EF8BAF4">
      <w:start w:val="1"/>
      <w:numFmt w:val="bullet"/>
      <w:lvlText w:val="•"/>
      <w:lvlJc w:val="left"/>
      <w:pPr>
        <w:ind w:left="7236" w:hanging="360"/>
      </w:pPr>
      <w:rPr>
        <w:rFonts w:hint="default"/>
      </w:rPr>
    </w:lvl>
  </w:abstractNum>
  <w:abstractNum w:abstractNumId="33" w15:restartNumberingAfterBreak="0">
    <w:nsid w:val="79143F11"/>
    <w:multiLevelType w:val="hybridMultilevel"/>
    <w:tmpl w:val="DF22B336"/>
    <w:lvl w:ilvl="0" w:tplc="E43214CE">
      <w:start w:val="1"/>
      <w:numFmt w:val="bullet"/>
      <w:lvlText w:val=""/>
      <w:lvlJc w:val="left"/>
      <w:pPr>
        <w:tabs>
          <w:tab w:val="num" w:pos="1440"/>
        </w:tabs>
        <w:ind w:left="1440" w:hanging="360"/>
      </w:pPr>
      <w:rPr>
        <w:rFonts w:ascii="Symbol" w:hAnsi="Symbol" w:hint="default"/>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600DDA"/>
    <w:multiLevelType w:val="hybridMultilevel"/>
    <w:tmpl w:val="EA7C4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4"/>
  </w:num>
  <w:num w:numId="3">
    <w:abstractNumId w:val="27"/>
  </w:num>
  <w:num w:numId="4">
    <w:abstractNumId w:val="20"/>
  </w:num>
  <w:num w:numId="5">
    <w:abstractNumId w:val="0"/>
  </w:num>
  <w:num w:numId="6">
    <w:abstractNumId w:val="9"/>
  </w:num>
  <w:num w:numId="7">
    <w:abstractNumId w:val="14"/>
  </w:num>
  <w:num w:numId="8">
    <w:abstractNumId w:val="2"/>
  </w:num>
  <w:num w:numId="9">
    <w:abstractNumId w:val="18"/>
  </w:num>
  <w:num w:numId="10">
    <w:abstractNumId w:val="1"/>
  </w:num>
  <w:num w:numId="11">
    <w:abstractNumId w:val="3"/>
  </w:num>
  <w:num w:numId="12">
    <w:abstractNumId w:val="33"/>
  </w:num>
  <w:num w:numId="13">
    <w:abstractNumId w:val="11"/>
  </w:num>
  <w:num w:numId="14">
    <w:abstractNumId w:val="34"/>
  </w:num>
  <w:num w:numId="15">
    <w:abstractNumId w:val="31"/>
  </w:num>
  <w:num w:numId="16">
    <w:abstractNumId w:val="23"/>
  </w:num>
  <w:num w:numId="17">
    <w:abstractNumId w:val="13"/>
  </w:num>
  <w:num w:numId="18">
    <w:abstractNumId w:val="17"/>
  </w:num>
  <w:num w:numId="19">
    <w:abstractNumId w:val="24"/>
  </w:num>
  <w:num w:numId="20">
    <w:abstractNumId w:val="29"/>
  </w:num>
  <w:num w:numId="21">
    <w:abstractNumId w:val="15"/>
  </w:num>
  <w:num w:numId="22">
    <w:abstractNumId w:val="12"/>
  </w:num>
  <w:num w:numId="23">
    <w:abstractNumId w:val="32"/>
  </w:num>
  <w:num w:numId="24">
    <w:abstractNumId w:val="22"/>
  </w:num>
  <w:num w:numId="25">
    <w:abstractNumId w:val="25"/>
  </w:num>
  <w:num w:numId="26">
    <w:abstractNumId w:val="26"/>
  </w:num>
  <w:num w:numId="27">
    <w:abstractNumId w:val="6"/>
  </w:num>
  <w:num w:numId="28">
    <w:abstractNumId w:val="28"/>
  </w:num>
  <w:num w:numId="29">
    <w:abstractNumId w:val="8"/>
  </w:num>
  <w:num w:numId="30">
    <w:abstractNumId w:val="21"/>
  </w:num>
  <w:num w:numId="31">
    <w:abstractNumId w:val="10"/>
  </w:num>
  <w:num w:numId="32">
    <w:abstractNumId w:val="5"/>
  </w:num>
  <w:num w:numId="33">
    <w:abstractNumId w:val="7"/>
  </w:num>
  <w:num w:numId="34">
    <w:abstractNumId w:val="30"/>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49C"/>
    <w:rsid w:val="0000044B"/>
    <w:rsid w:val="00007F7C"/>
    <w:rsid w:val="000124F6"/>
    <w:rsid w:val="000153A4"/>
    <w:rsid w:val="000162E0"/>
    <w:rsid w:val="00017223"/>
    <w:rsid w:val="00023538"/>
    <w:rsid w:val="00026D8C"/>
    <w:rsid w:val="00031AC0"/>
    <w:rsid w:val="000330D6"/>
    <w:rsid w:val="00033E6F"/>
    <w:rsid w:val="000409DA"/>
    <w:rsid w:val="000447CF"/>
    <w:rsid w:val="0004505F"/>
    <w:rsid w:val="000479F9"/>
    <w:rsid w:val="0005194F"/>
    <w:rsid w:val="000544C0"/>
    <w:rsid w:val="00055985"/>
    <w:rsid w:val="00065D20"/>
    <w:rsid w:val="0006725C"/>
    <w:rsid w:val="000677DE"/>
    <w:rsid w:val="000679BC"/>
    <w:rsid w:val="000716D7"/>
    <w:rsid w:val="00071F39"/>
    <w:rsid w:val="00077979"/>
    <w:rsid w:val="00080714"/>
    <w:rsid w:val="00080B9A"/>
    <w:rsid w:val="00086D3D"/>
    <w:rsid w:val="0009011A"/>
    <w:rsid w:val="00094EB8"/>
    <w:rsid w:val="000A2259"/>
    <w:rsid w:val="000A3205"/>
    <w:rsid w:val="000A37C9"/>
    <w:rsid w:val="000A7620"/>
    <w:rsid w:val="000A7B6A"/>
    <w:rsid w:val="000B03F9"/>
    <w:rsid w:val="000B154F"/>
    <w:rsid w:val="000B1D68"/>
    <w:rsid w:val="000B30DE"/>
    <w:rsid w:val="000B75F0"/>
    <w:rsid w:val="000C0326"/>
    <w:rsid w:val="000C262F"/>
    <w:rsid w:val="000C2F09"/>
    <w:rsid w:val="000C36C4"/>
    <w:rsid w:val="000C3C69"/>
    <w:rsid w:val="000C6A1A"/>
    <w:rsid w:val="000C763E"/>
    <w:rsid w:val="000D1244"/>
    <w:rsid w:val="000D6B21"/>
    <w:rsid w:val="000D780C"/>
    <w:rsid w:val="000D7842"/>
    <w:rsid w:val="000D7A76"/>
    <w:rsid w:val="000D7CB4"/>
    <w:rsid w:val="000E083B"/>
    <w:rsid w:val="000E099D"/>
    <w:rsid w:val="000E2931"/>
    <w:rsid w:val="000E402C"/>
    <w:rsid w:val="000E4332"/>
    <w:rsid w:val="000E4D18"/>
    <w:rsid w:val="000E5A19"/>
    <w:rsid w:val="000E5EC7"/>
    <w:rsid w:val="000E76DA"/>
    <w:rsid w:val="000F063C"/>
    <w:rsid w:val="000F0BCD"/>
    <w:rsid w:val="000F260D"/>
    <w:rsid w:val="000F2CC1"/>
    <w:rsid w:val="000F416F"/>
    <w:rsid w:val="000F4D0C"/>
    <w:rsid w:val="00100AC8"/>
    <w:rsid w:val="001010EB"/>
    <w:rsid w:val="0010141B"/>
    <w:rsid w:val="00102B9E"/>
    <w:rsid w:val="001068AB"/>
    <w:rsid w:val="00107A72"/>
    <w:rsid w:val="00112898"/>
    <w:rsid w:val="0011300D"/>
    <w:rsid w:val="0011423A"/>
    <w:rsid w:val="00114D84"/>
    <w:rsid w:val="001176BA"/>
    <w:rsid w:val="0012084C"/>
    <w:rsid w:val="00121B7A"/>
    <w:rsid w:val="0012524B"/>
    <w:rsid w:val="001269FF"/>
    <w:rsid w:val="0013363B"/>
    <w:rsid w:val="001336DB"/>
    <w:rsid w:val="00135D24"/>
    <w:rsid w:val="00145512"/>
    <w:rsid w:val="001455F6"/>
    <w:rsid w:val="00152128"/>
    <w:rsid w:val="00152176"/>
    <w:rsid w:val="00154143"/>
    <w:rsid w:val="00157D98"/>
    <w:rsid w:val="00163BA3"/>
    <w:rsid w:val="0016468B"/>
    <w:rsid w:val="00164906"/>
    <w:rsid w:val="001736B4"/>
    <w:rsid w:val="00173E9E"/>
    <w:rsid w:val="00176FE8"/>
    <w:rsid w:val="0018153F"/>
    <w:rsid w:val="00183327"/>
    <w:rsid w:val="00183A0F"/>
    <w:rsid w:val="00185521"/>
    <w:rsid w:val="00186183"/>
    <w:rsid w:val="001905BD"/>
    <w:rsid w:val="00190B2A"/>
    <w:rsid w:val="001912DA"/>
    <w:rsid w:val="00191331"/>
    <w:rsid w:val="0019165A"/>
    <w:rsid w:val="00191851"/>
    <w:rsid w:val="00193928"/>
    <w:rsid w:val="001A00E9"/>
    <w:rsid w:val="001A40F0"/>
    <w:rsid w:val="001A4A8C"/>
    <w:rsid w:val="001A54E7"/>
    <w:rsid w:val="001A5EA3"/>
    <w:rsid w:val="001A6B6A"/>
    <w:rsid w:val="001B0D3E"/>
    <w:rsid w:val="001B0FA9"/>
    <w:rsid w:val="001B264E"/>
    <w:rsid w:val="001B2F7E"/>
    <w:rsid w:val="001C10F9"/>
    <w:rsid w:val="001C1B12"/>
    <w:rsid w:val="001C464A"/>
    <w:rsid w:val="001C5250"/>
    <w:rsid w:val="001C6388"/>
    <w:rsid w:val="001C6D21"/>
    <w:rsid w:val="001D0148"/>
    <w:rsid w:val="001D128B"/>
    <w:rsid w:val="001D3A01"/>
    <w:rsid w:val="001D5CAF"/>
    <w:rsid w:val="001E0F83"/>
    <w:rsid w:val="001E1BC2"/>
    <w:rsid w:val="001E5338"/>
    <w:rsid w:val="001E774B"/>
    <w:rsid w:val="001E7C4C"/>
    <w:rsid w:val="001F0616"/>
    <w:rsid w:val="001F31CF"/>
    <w:rsid w:val="001F3919"/>
    <w:rsid w:val="00210F2B"/>
    <w:rsid w:val="00211B67"/>
    <w:rsid w:val="00211F0E"/>
    <w:rsid w:val="002130C7"/>
    <w:rsid w:val="00213801"/>
    <w:rsid w:val="00215440"/>
    <w:rsid w:val="00215BD1"/>
    <w:rsid w:val="0021652C"/>
    <w:rsid w:val="00225751"/>
    <w:rsid w:val="00226DB1"/>
    <w:rsid w:val="00230C97"/>
    <w:rsid w:val="002321C0"/>
    <w:rsid w:val="00233D6B"/>
    <w:rsid w:val="002350A2"/>
    <w:rsid w:val="00241C37"/>
    <w:rsid w:val="00243AF7"/>
    <w:rsid w:val="002476D6"/>
    <w:rsid w:val="00247F0F"/>
    <w:rsid w:val="002529E9"/>
    <w:rsid w:val="00253A8A"/>
    <w:rsid w:val="00254B5B"/>
    <w:rsid w:val="002645DF"/>
    <w:rsid w:val="00265060"/>
    <w:rsid w:val="002662F1"/>
    <w:rsid w:val="00266D7C"/>
    <w:rsid w:val="00273918"/>
    <w:rsid w:val="00281168"/>
    <w:rsid w:val="00282BD7"/>
    <w:rsid w:val="002902E1"/>
    <w:rsid w:val="00293DA2"/>
    <w:rsid w:val="0029623A"/>
    <w:rsid w:val="002973D0"/>
    <w:rsid w:val="002A0C38"/>
    <w:rsid w:val="002A0D3B"/>
    <w:rsid w:val="002A173C"/>
    <w:rsid w:val="002A29AC"/>
    <w:rsid w:val="002A3FFC"/>
    <w:rsid w:val="002A4F4D"/>
    <w:rsid w:val="002A5E0B"/>
    <w:rsid w:val="002B1A66"/>
    <w:rsid w:val="002B3448"/>
    <w:rsid w:val="002B39F6"/>
    <w:rsid w:val="002B3B59"/>
    <w:rsid w:val="002B4832"/>
    <w:rsid w:val="002B6955"/>
    <w:rsid w:val="002B6F4D"/>
    <w:rsid w:val="002C0CA7"/>
    <w:rsid w:val="002C1458"/>
    <w:rsid w:val="002C1728"/>
    <w:rsid w:val="002C21E6"/>
    <w:rsid w:val="002C4273"/>
    <w:rsid w:val="002C50EF"/>
    <w:rsid w:val="002C640D"/>
    <w:rsid w:val="002C6772"/>
    <w:rsid w:val="002C704F"/>
    <w:rsid w:val="002C7447"/>
    <w:rsid w:val="002C74B8"/>
    <w:rsid w:val="002D0D63"/>
    <w:rsid w:val="002D2DF2"/>
    <w:rsid w:val="002D75AC"/>
    <w:rsid w:val="002D75D6"/>
    <w:rsid w:val="002E03D5"/>
    <w:rsid w:val="002E22A9"/>
    <w:rsid w:val="002E244B"/>
    <w:rsid w:val="002E5F7D"/>
    <w:rsid w:val="002F1572"/>
    <w:rsid w:val="002F18F0"/>
    <w:rsid w:val="002F2B0F"/>
    <w:rsid w:val="002F58B0"/>
    <w:rsid w:val="00301961"/>
    <w:rsid w:val="003023EB"/>
    <w:rsid w:val="00302F90"/>
    <w:rsid w:val="00306082"/>
    <w:rsid w:val="00306C22"/>
    <w:rsid w:val="003111B3"/>
    <w:rsid w:val="00311FA3"/>
    <w:rsid w:val="003149A9"/>
    <w:rsid w:val="0032168C"/>
    <w:rsid w:val="00322A3A"/>
    <w:rsid w:val="003259D6"/>
    <w:rsid w:val="00325CEB"/>
    <w:rsid w:val="003276A1"/>
    <w:rsid w:val="00331BC1"/>
    <w:rsid w:val="00335C6C"/>
    <w:rsid w:val="00337B6B"/>
    <w:rsid w:val="00340841"/>
    <w:rsid w:val="0034138C"/>
    <w:rsid w:val="00343E6E"/>
    <w:rsid w:val="003450CA"/>
    <w:rsid w:val="00346145"/>
    <w:rsid w:val="00346516"/>
    <w:rsid w:val="00346EDA"/>
    <w:rsid w:val="00350572"/>
    <w:rsid w:val="003550EB"/>
    <w:rsid w:val="00360152"/>
    <w:rsid w:val="0036353E"/>
    <w:rsid w:val="00374B14"/>
    <w:rsid w:val="00376F43"/>
    <w:rsid w:val="003777E2"/>
    <w:rsid w:val="00381F74"/>
    <w:rsid w:val="0038401D"/>
    <w:rsid w:val="00385D27"/>
    <w:rsid w:val="00392ED9"/>
    <w:rsid w:val="003933C1"/>
    <w:rsid w:val="00393A81"/>
    <w:rsid w:val="00396280"/>
    <w:rsid w:val="0039756B"/>
    <w:rsid w:val="00397F1D"/>
    <w:rsid w:val="003A0143"/>
    <w:rsid w:val="003A23ED"/>
    <w:rsid w:val="003A2ECE"/>
    <w:rsid w:val="003A5BA2"/>
    <w:rsid w:val="003A7E89"/>
    <w:rsid w:val="003B1187"/>
    <w:rsid w:val="003B126F"/>
    <w:rsid w:val="003B2C6C"/>
    <w:rsid w:val="003B4241"/>
    <w:rsid w:val="003B5AFE"/>
    <w:rsid w:val="003B6571"/>
    <w:rsid w:val="003C0D9E"/>
    <w:rsid w:val="003C272F"/>
    <w:rsid w:val="003C286C"/>
    <w:rsid w:val="003C4199"/>
    <w:rsid w:val="003C487E"/>
    <w:rsid w:val="003D01DE"/>
    <w:rsid w:val="003D0426"/>
    <w:rsid w:val="003D08E0"/>
    <w:rsid w:val="003D39B2"/>
    <w:rsid w:val="003D57D0"/>
    <w:rsid w:val="003E0E21"/>
    <w:rsid w:val="003E246B"/>
    <w:rsid w:val="003E3AA5"/>
    <w:rsid w:val="003E41CA"/>
    <w:rsid w:val="003E5A39"/>
    <w:rsid w:val="003E7E67"/>
    <w:rsid w:val="003F21E6"/>
    <w:rsid w:val="003F3D4B"/>
    <w:rsid w:val="003F41E1"/>
    <w:rsid w:val="003F4CAC"/>
    <w:rsid w:val="003F4D39"/>
    <w:rsid w:val="003F577A"/>
    <w:rsid w:val="003F6501"/>
    <w:rsid w:val="003F7B75"/>
    <w:rsid w:val="00400AB6"/>
    <w:rsid w:val="00403202"/>
    <w:rsid w:val="00407018"/>
    <w:rsid w:val="0041307C"/>
    <w:rsid w:val="004130B2"/>
    <w:rsid w:val="004131C2"/>
    <w:rsid w:val="00414F83"/>
    <w:rsid w:val="00417670"/>
    <w:rsid w:val="0041782F"/>
    <w:rsid w:val="004203DF"/>
    <w:rsid w:val="00420D70"/>
    <w:rsid w:val="00421236"/>
    <w:rsid w:val="00421BE9"/>
    <w:rsid w:val="00422965"/>
    <w:rsid w:val="0042433D"/>
    <w:rsid w:val="00425706"/>
    <w:rsid w:val="00430192"/>
    <w:rsid w:val="00430EF5"/>
    <w:rsid w:val="00441392"/>
    <w:rsid w:val="00443966"/>
    <w:rsid w:val="004534AF"/>
    <w:rsid w:val="00454565"/>
    <w:rsid w:val="00454CC3"/>
    <w:rsid w:val="00457B1C"/>
    <w:rsid w:val="00457DD1"/>
    <w:rsid w:val="00460B12"/>
    <w:rsid w:val="00461C57"/>
    <w:rsid w:val="0046335F"/>
    <w:rsid w:val="00463D6E"/>
    <w:rsid w:val="0046605E"/>
    <w:rsid w:val="004671AA"/>
    <w:rsid w:val="00470180"/>
    <w:rsid w:val="00471B3D"/>
    <w:rsid w:val="00471F87"/>
    <w:rsid w:val="00473217"/>
    <w:rsid w:val="00473DC3"/>
    <w:rsid w:val="00474CC4"/>
    <w:rsid w:val="0047726A"/>
    <w:rsid w:val="00477460"/>
    <w:rsid w:val="00477BEE"/>
    <w:rsid w:val="00481B90"/>
    <w:rsid w:val="00483000"/>
    <w:rsid w:val="00483116"/>
    <w:rsid w:val="0048682D"/>
    <w:rsid w:val="00486FC2"/>
    <w:rsid w:val="00486FF8"/>
    <w:rsid w:val="004879AF"/>
    <w:rsid w:val="004904C6"/>
    <w:rsid w:val="00490D9A"/>
    <w:rsid w:val="004954DF"/>
    <w:rsid w:val="004A29EB"/>
    <w:rsid w:val="004A45AC"/>
    <w:rsid w:val="004A5DC8"/>
    <w:rsid w:val="004B4A6A"/>
    <w:rsid w:val="004B5444"/>
    <w:rsid w:val="004B6752"/>
    <w:rsid w:val="004B6DDD"/>
    <w:rsid w:val="004B7316"/>
    <w:rsid w:val="004B740B"/>
    <w:rsid w:val="004B7BC2"/>
    <w:rsid w:val="004C2958"/>
    <w:rsid w:val="004C312A"/>
    <w:rsid w:val="004C4359"/>
    <w:rsid w:val="004D2DDB"/>
    <w:rsid w:val="004D2E1D"/>
    <w:rsid w:val="004D3F7D"/>
    <w:rsid w:val="004D51F4"/>
    <w:rsid w:val="004D6CDE"/>
    <w:rsid w:val="004D6E1E"/>
    <w:rsid w:val="004E2079"/>
    <w:rsid w:val="004E29CF"/>
    <w:rsid w:val="004E5E92"/>
    <w:rsid w:val="004E5EB1"/>
    <w:rsid w:val="004E6884"/>
    <w:rsid w:val="004E70E4"/>
    <w:rsid w:val="004F25E4"/>
    <w:rsid w:val="004F3513"/>
    <w:rsid w:val="004F38C4"/>
    <w:rsid w:val="004F3CFA"/>
    <w:rsid w:val="004F5192"/>
    <w:rsid w:val="004F5CCE"/>
    <w:rsid w:val="00500936"/>
    <w:rsid w:val="00502EB8"/>
    <w:rsid w:val="005040C7"/>
    <w:rsid w:val="00504388"/>
    <w:rsid w:val="00504E6F"/>
    <w:rsid w:val="00511772"/>
    <w:rsid w:val="005121D7"/>
    <w:rsid w:val="00512AF2"/>
    <w:rsid w:val="0051423B"/>
    <w:rsid w:val="0051444E"/>
    <w:rsid w:val="0051751F"/>
    <w:rsid w:val="00520721"/>
    <w:rsid w:val="00521E1F"/>
    <w:rsid w:val="00526828"/>
    <w:rsid w:val="00526ED1"/>
    <w:rsid w:val="00527206"/>
    <w:rsid w:val="00531E04"/>
    <w:rsid w:val="00531EF0"/>
    <w:rsid w:val="00532ADF"/>
    <w:rsid w:val="0053380B"/>
    <w:rsid w:val="0053428F"/>
    <w:rsid w:val="005355D1"/>
    <w:rsid w:val="00536345"/>
    <w:rsid w:val="00536EE2"/>
    <w:rsid w:val="00537CF1"/>
    <w:rsid w:val="00541FBC"/>
    <w:rsid w:val="005438BD"/>
    <w:rsid w:val="00545E61"/>
    <w:rsid w:val="00546F7F"/>
    <w:rsid w:val="0055223A"/>
    <w:rsid w:val="00553E74"/>
    <w:rsid w:val="00554448"/>
    <w:rsid w:val="00554EEA"/>
    <w:rsid w:val="00556F23"/>
    <w:rsid w:val="00560207"/>
    <w:rsid w:val="005602DC"/>
    <w:rsid w:val="00560B35"/>
    <w:rsid w:val="005618EC"/>
    <w:rsid w:val="00570225"/>
    <w:rsid w:val="00570F39"/>
    <w:rsid w:val="005719FE"/>
    <w:rsid w:val="005759F2"/>
    <w:rsid w:val="005810A0"/>
    <w:rsid w:val="005829F7"/>
    <w:rsid w:val="005839C7"/>
    <w:rsid w:val="0058429C"/>
    <w:rsid w:val="00590F49"/>
    <w:rsid w:val="00594D2C"/>
    <w:rsid w:val="00595561"/>
    <w:rsid w:val="00595D5F"/>
    <w:rsid w:val="005969C2"/>
    <w:rsid w:val="00596E83"/>
    <w:rsid w:val="00596F23"/>
    <w:rsid w:val="0059705A"/>
    <w:rsid w:val="005974C2"/>
    <w:rsid w:val="005A4E3A"/>
    <w:rsid w:val="005A5AC1"/>
    <w:rsid w:val="005B21B6"/>
    <w:rsid w:val="005B3148"/>
    <w:rsid w:val="005B44D0"/>
    <w:rsid w:val="005B4879"/>
    <w:rsid w:val="005C02B5"/>
    <w:rsid w:val="005C58C3"/>
    <w:rsid w:val="005C5DB1"/>
    <w:rsid w:val="005C785A"/>
    <w:rsid w:val="005D0A99"/>
    <w:rsid w:val="005D223B"/>
    <w:rsid w:val="005D2AE9"/>
    <w:rsid w:val="005D39E8"/>
    <w:rsid w:val="005D4E60"/>
    <w:rsid w:val="005D7BCB"/>
    <w:rsid w:val="005E189A"/>
    <w:rsid w:val="005E1B2B"/>
    <w:rsid w:val="005E333E"/>
    <w:rsid w:val="005E642D"/>
    <w:rsid w:val="005F0090"/>
    <w:rsid w:val="005F2188"/>
    <w:rsid w:val="005F53F6"/>
    <w:rsid w:val="006012C7"/>
    <w:rsid w:val="00602543"/>
    <w:rsid w:val="006036B9"/>
    <w:rsid w:val="00603A4B"/>
    <w:rsid w:val="00605691"/>
    <w:rsid w:val="00610CBB"/>
    <w:rsid w:val="00611BC5"/>
    <w:rsid w:val="0061414B"/>
    <w:rsid w:val="00616F71"/>
    <w:rsid w:val="00620B7C"/>
    <w:rsid w:val="006268B8"/>
    <w:rsid w:val="00633720"/>
    <w:rsid w:val="00634289"/>
    <w:rsid w:val="006355C3"/>
    <w:rsid w:val="00637A44"/>
    <w:rsid w:val="00637C7E"/>
    <w:rsid w:val="006418B5"/>
    <w:rsid w:val="00643D62"/>
    <w:rsid w:val="00643F48"/>
    <w:rsid w:val="00645948"/>
    <w:rsid w:val="00650D79"/>
    <w:rsid w:val="006556C0"/>
    <w:rsid w:val="006575E1"/>
    <w:rsid w:val="00657EF8"/>
    <w:rsid w:val="00660CC2"/>
    <w:rsid w:val="006620D9"/>
    <w:rsid w:val="00663BC1"/>
    <w:rsid w:val="006661F5"/>
    <w:rsid w:val="0067112E"/>
    <w:rsid w:val="006725DE"/>
    <w:rsid w:val="00673E58"/>
    <w:rsid w:val="00676446"/>
    <w:rsid w:val="00676EE4"/>
    <w:rsid w:val="00677546"/>
    <w:rsid w:val="00682693"/>
    <w:rsid w:val="00682F68"/>
    <w:rsid w:val="0068363A"/>
    <w:rsid w:val="00683B66"/>
    <w:rsid w:val="00685443"/>
    <w:rsid w:val="00695149"/>
    <w:rsid w:val="0069534D"/>
    <w:rsid w:val="00696621"/>
    <w:rsid w:val="006A54A4"/>
    <w:rsid w:val="006A5C2B"/>
    <w:rsid w:val="006A6340"/>
    <w:rsid w:val="006B2560"/>
    <w:rsid w:val="006B495E"/>
    <w:rsid w:val="006C0F48"/>
    <w:rsid w:val="006C33F7"/>
    <w:rsid w:val="006C517A"/>
    <w:rsid w:val="006C5510"/>
    <w:rsid w:val="006C5F1E"/>
    <w:rsid w:val="006C7F4C"/>
    <w:rsid w:val="006D1747"/>
    <w:rsid w:val="006D4D48"/>
    <w:rsid w:val="006D4D56"/>
    <w:rsid w:val="006D61BC"/>
    <w:rsid w:val="006D72A2"/>
    <w:rsid w:val="006E1A5A"/>
    <w:rsid w:val="006E5A38"/>
    <w:rsid w:val="006E7D33"/>
    <w:rsid w:val="006E7EE3"/>
    <w:rsid w:val="006F7E45"/>
    <w:rsid w:val="00701A72"/>
    <w:rsid w:val="007042D6"/>
    <w:rsid w:val="007045EE"/>
    <w:rsid w:val="00705247"/>
    <w:rsid w:val="007072B0"/>
    <w:rsid w:val="00707FAA"/>
    <w:rsid w:val="0071076F"/>
    <w:rsid w:val="00712007"/>
    <w:rsid w:val="00716BB2"/>
    <w:rsid w:val="00722A5E"/>
    <w:rsid w:val="00722B61"/>
    <w:rsid w:val="007233B8"/>
    <w:rsid w:val="0072703E"/>
    <w:rsid w:val="00730050"/>
    <w:rsid w:val="0073135B"/>
    <w:rsid w:val="00731688"/>
    <w:rsid w:val="007323E8"/>
    <w:rsid w:val="0073241F"/>
    <w:rsid w:val="00734B84"/>
    <w:rsid w:val="007354BF"/>
    <w:rsid w:val="00736CAC"/>
    <w:rsid w:val="007375E4"/>
    <w:rsid w:val="00741224"/>
    <w:rsid w:val="00742371"/>
    <w:rsid w:val="00743FC4"/>
    <w:rsid w:val="0074485A"/>
    <w:rsid w:val="00747947"/>
    <w:rsid w:val="00751C7E"/>
    <w:rsid w:val="0075230E"/>
    <w:rsid w:val="007524E2"/>
    <w:rsid w:val="00752CF9"/>
    <w:rsid w:val="00756075"/>
    <w:rsid w:val="00762CAF"/>
    <w:rsid w:val="007639F2"/>
    <w:rsid w:val="00763EA4"/>
    <w:rsid w:val="007719AB"/>
    <w:rsid w:val="007734CC"/>
    <w:rsid w:val="00775969"/>
    <w:rsid w:val="007767D9"/>
    <w:rsid w:val="00781026"/>
    <w:rsid w:val="007845D8"/>
    <w:rsid w:val="00786948"/>
    <w:rsid w:val="00786EA8"/>
    <w:rsid w:val="00786F88"/>
    <w:rsid w:val="00794220"/>
    <w:rsid w:val="00794F6C"/>
    <w:rsid w:val="007951CC"/>
    <w:rsid w:val="00795FB2"/>
    <w:rsid w:val="007A122A"/>
    <w:rsid w:val="007A13B5"/>
    <w:rsid w:val="007A1A4E"/>
    <w:rsid w:val="007A529D"/>
    <w:rsid w:val="007A71D9"/>
    <w:rsid w:val="007A71EF"/>
    <w:rsid w:val="007B2A7B"/>
    <w:rsid w:val="007C0393"/>
    <w:rsid w:val="007C6B58"/>
    <w:rsid w:val="007D5EFF"/>
    <w:rsid w:val="007D5F25"/>
    <w:rsid w:val="007E006D"/>
    <w:rsid w:val="007E1E99"/>
    <w:rsid w:val="007E2644"/>
    <w:rsid w:val="007E2736"/>
    <w:rsid w:val="007E7769"/>
    <w:rsid w:val="007E79AB"/>
    <w:rsid w:val="007F0779"/>
    <w:rsid w:val="007F08C4"/>
    <w:rsid w:val="007F0D89"/>
    <w:rsid w:val="007F1070"/>
    <w:rsid w:val="007F6C4A"/>
    <w:rsid w:val="007F72FF"/>
    <w:rsid w:val="008013EE"/>
    <w:rsid w:val="00801E1B"/>
    <w:rsid w:val="008027E7"/>
    <w:rsid w:val="00803D43"/>
    <w:rsid w:val="00811194"/>
    <w:rsid w:val="00814ABD"/>
    <w:rsid w:val="00814BE7"/>
    <w:rsid w:val="00815E8E"/>
    <w:rsid w:val="00816B76"/>
    <w:rsid w:val="00817AD0"/>
    <w:rsid w:val="00820751"/>
    <w:rsid w:val="00821356"/>
    <w:rsid w:val="00827181"/>
    <w:rsid w:val="00827426"/>
    <w:rsid w:val="008319F1"/>
    <w:rsid w:val="00831EB2"/>
    <w:rsid w:val="00832C21"/>
    <w:rsid w:val="00833025"/>
    <w:rsid w:val="00835BA8"/>
    <w:rsid w:val="00841EB2"/>
    <w:rsid w:val="00842669"/>
    <w:rsid w:val="00843D60"/>
    <w:rsid w:val="008464FB"/>
    <w:rsid w:val="008527FF"/>
    <w:rsid w:val="00852BBD"/>
    <w:rsid w:val="00853A04"/>
    <w:rsid w:val="00853E9B"/>
    <w:rsid w:val="00856336"/>
    <w:rsid w:val="008622DF"/>
    <w:rsid w:val="0086781C"/>
    <w:rsid w:val="0087010E"/>
    <w:rsid w:val="00872FDC"/>
    <w:rsid w:val="00880A9D"/>
    <w:rsid w:val="00887B22"/>
    <w:rsid w:val="00893DD7"/>
    <w:rsid w:val="00897168"/>
    <w:rsid w:val="008A0E6C"/>
    <w:rsid w:val="008A1BCE"/>
    <w:rsid w:val="008A4834"/>
    <w:rsid w:val="008A4D8A"/>
    <w:rsid w:val="008A6106"/>
    <w:rsid w:val="008A749F"/>
    <w:rsid w:val="008B0023"/>
    <w:rsid w:val="008B02DA"/>
    <w:rsid w:val="008B0A17"/>
    <w:rsid w:val="008B145F"/>
    <w:rsid w:val="008B1536"/>
    <w:rsid w:val="008B2523"/>
    <w:rsid w:val="008B6CFB"/>
    <w:rsid w:val="008B73F5"/>
    <w:rsid w:val="008B77C2"/>
    <w:rsid w:val="008C12C8"/>
    <w:rsid w:val="008C3D4E"/>
    <w:rsid w:val="008C561F"/>
    <w:rsid w:val="008C6132"/>
    <w:rsid w:val="008C6AE0"/>
    <w:rsid w:val="008C754A"/>
    <w:rsid w:val="008C7AC4"/>
    <w:rsid w:val="008D1C9E"/>
    <w:rsid w:val="008D200A"/>
    <w:rsid w:val="008D26C7"/>
    <w:rsid w:val="008D67A8"/>
    <w:rsid w:val="008E041F"/>
    <w:rsid w:val="008E2AAD"/>
    <w:rsid w:val="008E4548"/>
    <w:rsid w:val="008E66DD"/>
    <w:rsid w:val="008E744B"/>
    <w:rsid w:val="008F160A"/>
    <w:rsid w:val="008F1D3D"/>
    <w:rsid w:val="008F2B96"/>
    <w:rsid w:val="008F54D2"/>
    <w:rsid w:val="008F78B9"/>
    <w:rsid w:val="009006B8"/>
    <w:rsid w:val="00900F5C"/>
    <w:rsid w:val="00901F86"/>
    <w:rsid w:val="00903694"/>
    <w:rsid w:val="00903BFB"/>
    <w:rsid w:val="00905359"/>
    <w:rsid w:val="0090546E"/>
    <w:rsid w:val="0090553C"/>
    <w:rsid w:val="0090592A"/>
    <w:rsid w:val="00910B63"/>
    <w:rsid w:val="00910CF5"/>
    <w:rsid w:val="00911C3D"/>
    <w:rsid w:val="009122BE"/>
    <w:rsid w:val="00912586"/>
    <w:rsid w:val="00912914"/>
    <w:rsid w:val="0092205F"/>
    <w:rsid w:val="00922246"/>
    <w:rsid w:val="009222C9"/>
    <w:rsid w:val="00922973"/>
    <w:rsid w:val="009244C8"/>
    <w:rsid w:val="009272F2"/>
    <w:rsid w:val="00930239"/>
    <w:rsid w:val="00937578"/>
    <w:rsid w:val="009424B2"/>
    <w:rsid w:val="009459BF"/>
    <w:rsid w:val="009550F4"/>
    <w:rsid w:val="0095752B"/>
    <w:rsid w:val="00957A4F"/>
    <w:rsid w:val="00963C14"/>
    <w:rsid w:val="00965078"/>
    <w:rsid w:val="009655E4"/>
    <w:rsid w:val="009660A3"/>
    <w:rsid w:val="009662C4"/>
    <w:rsid w:val="0096725C"/>
    <w:rsid w:val="00971FE0"/>
    <w:rsid w:val="0097213F"/>
    <w:rsid w:val="00972BCE"/>
    <w:rsid w:val="009731EC"/>
    <w:rsid w:val="00973BB9"/>
    <w:rsid w:val="00973C0B"/>
    <w:rsid w:val="00973ED9"/>
    <w:rsid w:val="00976F51"/>
    <w:rsid w:val="009802CB"/>
    <w:rsid w:val="00984051"/>
    <w:rsid w:val="00984404"/>
    <w:rsid w:val="0098703C"/>
    <w:rsid w:val="00987550"/>
    <w:rsid w:val="00987AAC"/>
    <w:rsid w:val="00990BB3"/>
    <w:rsid w:val="009911A1"/>
    <w:rsid w:val="00991E0A"/>
    <w:rsid w:val="0099218F"/>
    <w:rsid w:val="00992FBC"/>
    <w:rsid w:val="00993E2B"/>
    <w:rsid w:val="00996E17"/>
    <w:rsid w:val="009A040A"/>
    <w:rsid w:val="009A0D6B"/>
    <w:rsid w:val="009A16D8"/>
    <w:rsid w:val="009A26B0"/>
    <w:rsid w:val="009A33CC"/>
    <w:rsid w:val="009A45EE"/>
    <w:rsid w:val="009A4B52"/>
    <w:rsid w:val="009A5073"/>
    <w:rsid w:val="009A651C"/>
    <w:rsid w:val="009B042C"/>
    <w:rsid w:val="009B0B5C"/>
    <w:rsid w:val="009B1946"/>
    <w:rsid w:val="009B3C66"/>
    <w:rsid w:val="009B44EC"/>
    <w:rsid w:val="009B5B96"/>
    <w:rsid w:val="009B6A9A"/>
    <w:rsid w:val="009C0606"/>
    <w:rsid w:val="009C0C7B"/>
    <w:rsid w:val="009C0DC4"/>
    <w:rsid w:val="009C1A15"/>
    <w:rsid w:val="009C1FC9"/>
    <w:rsid w:val="009C2F59"/>
    <w:rsid w:val="009C77DA"/>
    <w:rsid w:val="009C7B23"/>
    <w:rsid w:val="009D0E43"/>
    <w:rsid w:val="009D511F"/>
    <w:rsid w:val="009D6370"/>
    <w:rsid w:val="009D7B25"/>
    <w:rsid w:val="009E09BD"/>
    <w:rsid w:val="009E1B79"/>
    <w:rsid w:val="009E3456"/>
    <w:rsid w:val="009E4819"/>
    <w:rsid w:val="009E772F"/>
    <w:rsid w:val="009F14FC"/>
    <w:rsid w:val="009F5548"/>
    <w:rsid w:val="009F697D"/>
    <w:rsid w:val="009F6DC6"/>
    <w:rsid w:val="00A01D54"/>
    <w:rsid w:val="00A038C5"/>
    <w:rsid w:val="00A0453B"/>
    <w:rsid w:val="00A054BB"/>
    <w:rsid w:val="00A05F5A"/>
    <w:rsid w:val="00A06CC3"/>
    <w:rsid w:val="00A076B8"/>
    <w:rsid w:val="00A114CC"/>
    <w:rsid w:val="00A1366C"/>
    <w:rsid w:val="00A14FDC"/>
    <w:rsid w:val="00A15936"/>
    <w:rsid w:val="00A2266D"/>
    <w:rsid w:val="00A24D07"/>
    <w:rsid w:val="00A260FE"/>
    <w:rsid w:val="00A330D5"/>
    <w:rsid w:val="00A33BCA"/>
    <w:rsid w:val="00A33BF5"/>
    <w:rsid w:val="00A358AE"/>
    <w:rsid w:val="00A35CC4"/>
    <w:rsid w:val="00A40799"/>
    <w:rsid w:val="00A43C8E"/>
    <w:rsid w:val="00A45013"/>
    <w:rsid w:val="00A45393"/>
    <w:rsid w:val="00A4661D"/>
    <w:rsid w:val="00A510A0"/>
    <w:rsid w:val="00A511D9"/>
    <w:rsid w:val="00A5141B"/>
    <w:rsid w:val="00A524F3"/>
    <w:rsid w:val="00A5532D"/>
    <w:rsid w:val="00A55D8D"/>
    <w:rsid w:val="00A56718"/>
    <w:rsid w:val="00A600A3"/>
    <w:rsid w:val="00A622D9"/>
    <w:rsid w:val="00A6325B"/>
    <w:rsid w:val="00A64D00"/>
    <w:rsid w:val="00A65CB6"/>
    <w:rsid w:val="00A67BD7"/>
    <w:rsid w:val="00A73FA5"/>
    <w:rsid w:val="00A7658C"/>
    <w:rsid w:val="00A76D6A"/>
    <w:rsid w:val="00A80C51"/>
    <w:rsid w:val="00A824FD"/>
    <w:rsid w:val="00A852CE"/>
    <w:rsid w:val="00A87540"/>
    <w:rsid w:val="00A90E9A"/>
    <w:rsid w:val="00A91A5E"/>
    <w:rsid w:val="00A93204"/>
    <w:rsid w:val="00A96C5A"/>
    <w:rsid w:val="00A96DA7"/>
    <w:rsid w:val="00A9713A"/>
    <w:rsid w:val="00AA250B"/>
    <w:rsid w:val="00AA26E0"/>
    <w:rsid w:val="00AA412B"/>
    <w:rsid w:val="00AB04BB"/>
    <w:rsid w:val="00AC174B"/>
    <w:rsid w:val="00AC4C56"/>
    <w:rsid w:val="00AD025F"/>
    <w:rsid w:val="00AD04C8"/>
    <w:rsid w:val="00AD1223"/>
    <w:rsid w:val="00AD42FA"/>
    <w:rsid w:val="00AE0188"/>
    <w:rsid w:val="00AE0AA9"/>
    <w:rsid w:val="00AE11B4"/>
    <w:rsid w:val="00AE59FB"/>
    <w:rsid w:val="00AE5A03"/>
    <w:rsid w:val="00AE7159"/>
    <w:rsid w:val="00AE75A8"/>
    <w:rsid w:val="00AE77B2"/>
    <w:rsid w:val="00AF1AD2"/>
    <w:rsid w:val="00AF5F2E"/>
    <w:rsid w:val="00AF7AFB"/>
    <w:rsid w:val="00B029E9"/>
    <w:rsid w:val="00B02DDA"/>
    <w:rsid w:val="00B07C03"/>
    <w:rsid w:val="00B12ACF"/>
    <w:rsid w:val="00B13BDB"/>
    <w:rsid w:val="00B141AE"/>
    <w:rsid w:val="00B1746E"/>
    <w:rsid w:val="00B17533"/>
    <w:rsid w:val="00B17738"/>
    <w:rsid w:val="00B2174F"/>
    <w:rsid w:val="00B22405"/>
    <w:rsid w:val="00B24873"/>
    <w:rsid w:val="00B2536F"/>
    <w:rsid w:val="00B31850"/>
    <w:rsid w:val="00B331D6"/>
    <w:rsid w:val="00B36391"/>
    <w:rsid w:val="00B368AB"/>
    <w:rsid w:val="00B37047"/>
    <w:rsid w:val="00B377F5"/>
    <w:rsid w:val="00B405CE"/>
    <w:rsid w:val="00B42372"/>
    <w:rsid w:val="00B46064"/>
    <w:rsid w:val="00B46859"/>
    <w:rsid w:val="00B47EA0"/>
    <w:rsid w:val="00B51CEA"/>
    <w:rsid w:val="00B525A4"/>
    <w:rsid w:val="00B528CC"/>
    <w:rsid w:val="00B565C4"/>
    <w:rsid w:val="00B57B9A"/>
    <w:rsid w:val="00B631A5"/>
    <w:rsid w:val="00B63A76"/>
    <w:rsid w:val="00B63FF8"/>
    <w:rsid w:val="00B67942"/>
    <w:rsid w:val="00B7081F"/>
    <w:rsid w:val="00B70BC3"/>
    <w:rsid w:val="00B72273"/>
    <w:rsid w:val="00B7761C"/>
    <w:rsid w:val="00B835E5"/>
    <w:rsid w:val="00B83E8A"/>
    <w:rsid w:val="00B8465F"/>
    <w:rsid w:val="00B84A11"/>
    <w:rsid w:val="00B85A71"/>
    <w:rsid w:val="00B86D5B"/>
    <w:rsid w:val="00B9077D"/>
    <w:rsid w:val="00B924D7"/>
    <w:rsid w:val="00B93813"/>
    <w:rsid w:val="00B951ED"/>
    <w:rsid w:val="00B958C2"/>
    <w:rsid w:val="00B96A13"/>
    <w:rsid w:val="00B97557"/>
    <w:rsid w:val="00BA68D5"/>
    <w:rsid w:val="00BB0B50"/>
    <w:rsid w:val="00BB7DA3"/>
    <w:rsid w:val="00BC0741"/>
    <w:rsid w:val="00BC32EF"/>
    <w:rsid w:val="00BC3715"/>
    <w:rsid w:val="00BC55B7"/>
    <w:rsid w:val="00BC70FC"/>
    <w:rsid w:val="00BD28C4"/>
    <w:rsid w:val="00BD3AF6"/>
    <w:rsid w:val="00BD4007"/>
    <w:rsid w:val="00BD5710"/>
    <w:rsid w:val="00BD60CA"/>
    <w:rsid w:val="00BD7689"/>
    <w:rsid w:val="00BE75EF"/>
    <w:rsid w:val="00BF1BB3"/>
    <w:rsid w:val="00BF6CF9"/>
    <w:rsid w:val="00BF6D18"/>
    <w:rsid w:val="00BF6FCF"/>
    <w:rsid w:val="00C00248"/>
    <w:rsid w:val="00C00B7B"/>
    <w:rsid w:val="00C00DD0"/>
    <w:rsid w:val="00C01266"/>
    <w:rsid w:val="00C014C1"/>
    <w:rsid w:val="00C058E3"/>
    <w:rsid w:val="00C061A1"/>
    <w:rsid w:val="00C11057"/>
    <w:rsid w:val="00C11795"/>
    <w:rsid w:val="00C11A77"/>
    <w:rsid w:val="00C16444"/>
    <w:rsid w:val="00C17FD9"/>
    <w:rsid w:val="00C22371"/>
    <w:rsid w:val="00C223E5"/>
    <w:rsid w:val="00C236D7"/>
    <w:rsid w:val="00C2620A"/>
    <w:rsid w:val="00C30E71"/>
    <w:rsid w:val="00C33B46"/>
    <w:rsid w:val="00C342E7"/>
    <w:rsid w:val="00C37387"/>
    <w:rsid w:val="00C406D2"/>
    <w:rsid w:val="00C4097A"/>
    <w:rsid w:val="00C463D1"/>
    <w:rsid w:val="00C5416F"/>
    <w:rsid w:val="00C54BD4"/>
    <w:rsid w:val="00C55369"/>
    <w:rsid w:val="00C6162E"/>
    <w:rsid w:val="00C62DFB"/>
    <w:rsid w:val="00C6318B"/>
    <w:rsid w:val="00C6319F"/>
    <w:rsid w:val="00C6402D"/>
    <w:rsid w:val="00C64C7F"/>
    <w:rsid w:val="00C64E56"/>
    <w:rsid w:val="00C652B1"/>
    <w:rsid w:val="00C65B7E"/>
    <w:rsid w:val="00C702CF"/>
    <w:rsid w:val="00C72000"/>
    <w:rsid w:val="00C72E02"/>
    <w:rsid w:val="00C7469F"/>
    <w:rsid w:val="00C8005F"/>
    <w:rsid w:val="00C82D1B"/>
    <w:rsid w:val="00C83C4B"/>
    <w:rsid w:val="00C86355"/>
    <w:rsid w:val="00C8657D"/>
    <w:rsid w:val="00C91550"/>
    <w:rsid w:val="00C91724"/>
    <w:rsid w:val="00C92180"/>
    <w:rsid w:val="00C92BB6"/>
    <w:rsid w:val="00C95542"/>
    <w:rsid w:val="00C95C0F"/>
    <w:rsid w:val="00C95C63"/>
    <w:rsid w:val="00C97FAC"/>
    <w:rsid w:val="00CA4263"/>
    <w:rsid w:val="00CA6561"/>
    <w:rsid w:val="00CA729A"/>
    <w:rsid w:val="00CA7558"/>
    <w:rsid w:val="00CB0406"/>
    <w:rsid w:val="00CB48E7"/>
    <w:rsid w:val="00CB497D"/>
    <w:rsid w:val="00CC1B4E"/>
    <w:rsid w:val="00CC302D"/>
    <w:rsid w:val="00CC5A15"/>
    <w:rsid w:val="00CD13C0"/>
    <w:rsid w:val="00CD2BFB"/>
    <w:rsid w:val="00CD3801"/>
    <w:rsid w:val="00CD3C45"/>
    <w:rsid w:val="00CD6803"/>
    <w:rsid w:val="00CE1EFD"/>
    <w:rsid w:val="00CE3075"/>
    <w:rsid w:val="00CE587F"/>
    <w:rsid w:val="00CE5B83"/>
    <w:rsid w:val="00CE6151"/>
    <w:rsid w:val="00CF2F4A"/>
    <w:rsid w:val="00CF32EE"/>
    <w:rsid w:val="00CF370D"/>
    <w:rsid w:val="00CF582D"/>
    <w:rsid w:val="00D030D4"/>
    <w:rsid w:val="00D052C6"/>
    <w:rsid w:val="00D0539C"/>
    <w:rsid w:val="00D05CB5"/>
    <w:rsid w:val="00D06071"/>
    <w:rsid w:val="00D06B01"/>
    <w:rsid w:val="00D07B43"/>
    <w:rsid w:val="00D17215"/>
    <w:rsid w:val="00D217C0"/>
    <w:rsid w:val="00D23048"/>
    <w:rsid w:val="00D24062"/>
    <w:rsid w:val="00D26D0F"/>
    <w:rsid w:val="00D31776"/>
    <w:rsid w:val="00D32D38"/>
    <w:rsid w:val="00D4120E"/>
    <w:rsid w:val="00D41ECF"/>
    <w:rsid w:val="00D42873"/>
    <w:rsid w:val="00D42C8A"/>
    <w:rsid w:val="00D43FDB"/>
    <w:rsid w:val="00D45ABF"/>
    <w:rsid w:val="00D46E1E"/>
    <w:rsid w:val="00D51C40"/>
    <w:rsid w:val="00D54B7D"/>
    <w:rsid w:val="00D615F0"/>
    <w:rsid w:val="00D622C7"/>
    <w:rsid w:val="00D632F2"/>
    <w:rsid w:val="00D645EB"/>
    <w:rsid w:val="00D64D74"/>
    <w:rsid w:val="00D70229"/>
    <w:rsid w:val="00D72002"/>
    <w:rsid w:val="00D73505"/>
    <w:rsid w:val="00D73816"/>
    <w:rsid w:val="00D7412A"/>
    <w:rsid w:val="00D74B77"/>
    <w:rsid w:val="00D762C1"/>
    <w:rsid w:val="00D762E8"/>
    <w:rsid w:val="00D775D1"/>
    <w:rsid w:val="00D775F2"/>
    <w:rsid w:val="00D82580"/>
    <w:rsid w:val="00D83CE6"/>
    <w:rsid w:val="00D85B2F"/>
    <w:rsid w:val="00D873D1"/>
    <w:rsid w:val="00D90469"/>
    <w:rsid w:val="00D926DB"/>
    <w:rsid w:val="00D92AAD"/>
    <w:rsid w:val="00D93DB7"/>
    <w:rsid w:val="00D94073"/>
    <w:rsid w:val="00D951A0"/>
    <w:rsid w:val="00DA507E"/>
    <w:rsid w:val="00DB169F"/>
    <w:rsid w:val="00DB2914"/>
    <w:rsid w:val="00DB56F3"/>
    <w:rsid w:val="00DB704B"/>
    <w:rsid w:val="00DC06F9"/>
    <w:rsid w:val="00DC568F"/>
    <w:rsid w:val="00DC64E7"/>
    <w:rsid w:val="00DC76C7"/>
    <w:rsid w:val="00DC7C34"/>
    <w:rsid w:val="00DD08AF"/>
    <w:rsid w:val="00DD1AC0"/>
    <w:rsid w:val="00DD2E50"/>
    <w:rsid w:val="00DD4A45"/>
    <w:rsid w:val="00DD548E"/>
    <w:rsid w:val="00DD6023"/>
    <w:rsid w:val="00DE0449"/>
    <w:rsid w:val="00DE1232"/>
    <w:rsid w:val="00DE19BA"/>
    <w:rsid w:val="00DE3D61"/>
    <w:rsid w:val="00DE50AB"/>
    <w:rsid w:val="00DE5466"/>
    <w:rsid w:val="00DE5DC6"/>
    <w:rsid w:val="00DE60CB"/>
    <w:rsid w:val="00DF1297"/>
    <w:rsid w:val="00DF1DED"/>
    <w:rsid w:val="00DF670D"/>
    <w:rsid w:val="00DF7559"/>
    <w:rsid w:val="00E037C3"/>
    <w:rsid w:val="00E0395C"/>
    <w:rsid w:val="00E03CD5"/>
    <w:rsid w:val="00E0649C"/>
    <w:rsid w:val="00E06CE2"/>
    <w:rsid w:val="00E11614"/>
    <w:rsid w:val="00E1287C"/>
    <w:rsid w:val="00E14D12"/>
    <w:rsid w:val="00E15113"/>
    <w:rsid w:val="00E170BE"/>
    <w:rsid w:val="00E205CD"/>
    <w:rsid w:val="00E228A2"/>
    <w:rsid w:val="00E236FE"/>
    <w:rsid w:val="00E25157"/>
    <w:rsid w:val="00E36D92"/>
    <w:rsid w:val="00E376E6"/>
    <w:rsid w:val="00E4037B"/>
    <w:rsid w:val="00E41EA4"/>
    <w:rsid w:val="00E42A0D"/>
    <w:rsid w:val="00E457DA"/>
    <w:rsid w:val="00E47499"/>
    <w:rsid w:val="00E515D8"/>
    <w:rsid w:val="00E60750"/>
    <w:rsid w:val="00E62BBD"/>
    <w:rsid w:val="00E63C8A"/>
    <w:rsid w:val="00E63CF2"/>
    <w:rsid w:val="00E66B2E"/>
    <w:rsid w:val="00E67F2D"/>
    <w:rsid w:val="00E750AB"/>
    <w:rsid w:val="00E77BCE"/>
    <w:rsid w:val="00E842D5"/>
    <w:rsid w:val="00E85943"/>
    <w:rsid w:val="00E900F6"/>
    <w:rsid w:val="00E94609"/>
    <w:rsid w:val="00E95C1D"/>
    <w:rsid w:val="00E97F1D"/>
    <w:rsid w:val="00EA0F2D"/>
    <w:rsid w:val="00EA29FC"/>
    <w:rsid w:val="00EA322C"/>
    <w:rsid w:val="00EA55F0"/>
    <w:rsid w:val="00EB0CBB"/>
    <w:rsid w:val="00EB282A"/>
    <w:rsid w:val="00EB37CE"/>
    <w:rsid w:val="00EB4AD2"/>
    <w:rsid w:val="00EB5423"/>
    <w:rsid w:val="00EB5B86"/>
    <w:rsid w:val="00EB5E5D"/>
    <w:rsid w:val="00EB643C"/>
    <w:rsid w:val="00EB6469"/>
    <w:rsid w:val="00EB6573"/>
    <w:rsid w:val="00EB6F8F"/>
    <w:rsid w:val="00EB7DAA"/>
    <w:rsid w:val="00EC0198"/>
    <w:rsid w:val="00EC1DA7"/>
    <w:rsid w:val="00EC5395"/>
    <w:rsid w:val="00EC73BA"/>
    <w:rsid w:val="00ED1A2A"/>
    <w:rsid w:val="00ED28BF"/>
    <w:rsid w:val="00ED369E"/>
    <w:rsid w:val="00ED613F"/>
    <w:rsid w:val="00ED649C"/>
    <w:rsid w:val="00EE2FE4"/>
    <w:rsid w:val="00EE33DC"/>
    <w:rsid w:val="00EE7843"/>
    <w:rsid w:val="00EF12EA"/>
    <w:rsid w:val="00EF487F"/>
    <w:rsid w:val="00EF4F72"/>
    <w:rsid w:val="00F037FB"/>
    <w:rsid w:val="00F04A6E"/>
    <w:rsid w:val="00F06E79"/>
    <w:rsid w:val="00F1179D"/>
    <w:rsid w:val="00F14B6C"/>
    <w:rsid w:val="00F158F7"/>
    <w:rsid w:val="00F15D25"/>
    <w:rsid w:val="00F21983"/>
    <w:rsid w:val="00F2367C"/>
    <w:rsid w:val="00F24061"/>
    <w:rsid w:val="00F24663"/>
    <w:rsid w:val="00F322C7"/>
    <w:rsid w:val="00F3396E"/>
    <w:rsid w:val="00F3418A"/>
    <w:rsid w:val="00F34B9A"/>
    <w:rsid w:val="00F377BF"/>
    <w:rsid w:val="00F42C31"/>
    <w:rsid w:val="00F455BF"/>
    <w:rsid w:val="00F4649C"/>
    <w:rsid w:val="00F526B4"/>
    <w:rsid w:val="00F53BE9"/>
    <w:rsid w:val="00F55467"/>
    <w:rsid w:val="00F56EB9"/>
    <w:rsid w:val="00F607AF"/>
    <w:rsid w:val="00F64F0B"/>
    <w:rsid w:val="00F6525C"/>
    <w:rsid w:val="00F66AA6"/>
    <w:rsid w:val="00F70197"/>
    <w:rsid w:val="00F71B54"/>
    <w:rsid w:val="00F71CA8"/>
    <w:rsid w:val="00F7544A"/>
    <w:rsid w:val="00F75AC7"/>
    <w:rsid w:val="00F823E0"/>
    <w:rsid w:val="00F8363F"/>
    <w:rsid w:val="00F8443F"/>
    <w:rsid w:val="00F87799"/>
    <w:rsid w:val="00F90198"/>
    <w:rsid w:val="00F920FD"/>
    <w:rsid w:val="00F92DBD"/>
    <w:rsid w:val="00F950B8"/>
    <w:rsid w:val="00FA0C5F"/>
    <w:rsid w:val="00FA2D13"/>
    <w:rsid w:val="00FA3B8D"/>
    <w:rsid w:val="00FA4F65"/>
    <w:rsid w:val="00FA563F"/>
    <w:rsid w:val="00FA6AB0"/>
    <w:rsid w:val="00FB33AA"/>
    <w:rsid w:val="00FB384E"/>
    <w:rsid w:val="00FB586F"/>
    <w:rsid w:val="00FB77E6"/>
    <w:rsid w:val="00FB7AA1"/>
    <w:rsid w:val="00FC7740"/>
    <w:rsid w:val="00FD2CE7"/>
    <w:rsid w:val="00FD3861"/>
    <w:rsid w:val="00FD6B73"/>
    <w:rsid w:val="00FD6E8F"/>
    <w:rsid w:val="00FE04F9"/>
    <w:rsid w:val="00FE32D5"/>
    <w:rsid w:val="00FE3604"/>
    <w:rsid w:val="00FF1BF9"/>
    <w:rsid w:val="00FF274D"/>
    <w:rsid w:val="00FF3D27"/>
    <w:rsid w:val="00FF52C2"/>
    <w:rsid w:val="00FF5A24"/>
    <w:rsid w:val="00FF6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C6168"/>
  <w15:chartTrackingRefBased/>
  <w15:docId w15:val="{41F81AE8-7198-4CE2-BAC6-94767FC5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86F"/>
    <w:rPr>
      <w:sz w:val="24"/>
      <w:szCs w:val="24"/>
    </w:rPr>
  </w:style>
  <w:style w:type="paragraph" w:styleId="Heading1">
    <w:name w:val="heading 1"/>
    <w:basedOn w:val="Normal"/>
    <w:link w:val="Heading1Char"/>
    <w:uiPriority w:val="1"/>
    <w:qFormat/>
    <w:rsid w:val="00FD6E8F"/>
    <w:pPr>
      <w:widowControl w:val="0"/>
      <w:ind w:left="100"/>
      <w:outlineLvl w:val="0"/>
    </w:pPr>
    <w:rPr>
      <w:b/>
      <w:bCs/>
      <w:u w:val="single"/>
    </w:rPr>
  </w:style>
  <w:style w:type="paragraph" w:styleId="Heading2">
    <w:name w:val="heading 2"/>
    <w:basedOn w:val="Normal"/>
    <w:next w:val="Normal"/>
    <w:link w:val="Heading2Char"/>
    <w:semiHidden/>
    <w:unhideWhenUsed/>
    <w:qFormat/>
    <w:rsid w:val="0092224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03D43"/>
    <w:pPr>
      <w:spacing w:before="100" w:beforeAutospacing="1" w:after="100" w:afterAutospacing="1"/>
    </w:pPr>
  </w:style>
  <w:style w:type="paragraph" w:styleId="Footer">
    <w:name w:val="footer"/>
    <w:basedOn w:val="Normal"/>
    <w:rsid w:val="00454CC3"/>
    <w:pPr>
      <w:tabs>
        <w:tab w:val="center" w:pos="4320"/>
        <w:tab w:val="right" w:pos="8640"/>
      </w:tabs>
    </w:pPr>
  </w:style>
  <w:style w:type="character" w:styleId="PageNumber">
    <w:name w:val="page number"/>
    <w:basedOn w:val="DefaultParagraphFont"/>
    <w:rsid w:val="00454CC3"/>
  </w:style>
  <w:style w:type="paragraph" w:styleId="FootnoteText">
    <w:name w:val="footnote text"/>
    <w:basedOn w:val="Normal"/>
    <w:link w:val="FootnoteTextChar"/>
    <w:uiPriority w:val="99"/>
    <w:semiHidden/>
    <w:rsid w:val="001C6D21"/>
    <w:rPr>
      <w:sz w:val="20"/>
      <w:szCs w:val="20"/>
    </w:rPr>
  </w:style>
  <w:style w:type="character" w:styleId="FootnoteReference">
    <w:name w:val="footnote reference"/>
    <w:uiPriority w:val="99"/>
    <w:semiHidden/>
    <w:rsid w:val="001C6D21"/>
    <w:rPr>
      <w:vertAlign w:val="superscript"/>
    </w:rPr>
  </w:style>
  <w:style w:type="table" w:styleId="TableGrid">
    <w:name w:val="Table Grid"/>
    <w:basedOn w:val="TableNormal"/>
    <w:rsid w:val="0042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5">
    <w:name w:val="_level5"/>
    <w:basedOn w:val="Normal"/>
    <w:rsid w:val="003F65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rPr>
      <w:szCs w:val="20"/>
    </w:rPr>
  </w:style>
  <w:style w:type="paragraph" w:styleId="BalloonText">
    <w:name w:val="Balloon Text"/>
    <w:basedOn w:val="Normal"/>
    <w:link w:val="BalloonTextChar"/>
    <w:rsid w:val="008C6AE0"/>
    <w:rPr>
      <w:rFonts w:ascii="Tahoma" w:hAnsi="Tahoma"/>
      <w:sz w:val="16"/>
      <w:szCs w:val="16"/>
      <w:lang w:val="x-none" w:eastAsia="x-none"/>
    </w:rPr>
  </w:style>
  <w:style w:type="character" w:customStyle="1" w:styleId="BalloonTextChar">
    <w:name w:val="Balloon Text Char"/>
    <w:link w:val="BalloonText"/>
    <w:rsid w:val="008C6AE0"/>
    <w:rPr>
      <w:rFonts w:ascii="Tahoma" w:hAnsi="Tahoma" w:cs="Tahoma"/>
      <w:sz w:val="16"/>
      <w:szCs w:val="16"/>
    </w:rPr>
  </w:style>
  <w:style w:type="character" w:styleId="CommentReference">
    <w:name w:val="annotation reference"/>
    <w:rsid w:val="008C6AE0"/>
    <w:rPr>
      <w:sz w:val="16"/>
      <w:szCs w:val="16"/>
    </w:rPr>
  </w:style>
  <w:style w:type="paragraph" w:styleId="CommentText">
    <w:name w:val="annotation text"/>
    <w:basedOn w:val="Normal"/>
    <w:link w:val="CommentTextChar"/>
    <w:rsid w:val="008C6AE0"/>
    <w:rPr>
      <w:sz w:val="20"/>
      <w:szCs w:val="20"/>
    </w:rPr>
  </w:style>
  <w:style w:type="character" w:customStyle="1" w:styleId="CommentTextChar">
    <w:name w:val="Comment Text Char"/>
    <w:basedOn w:val="DefaultParagraphFont"/>
    <w:link w:val="CommentText"/>
    <w:rsid w:val="008C6AE0"/>
  </w:style>
  <w:style w:type="paragraph" w:styleId="CommentSubject">
    <w:name w:val="annotation subject"/>
    <w:basedOn w:val="CommentText"/>
    <w:next w:val="CommentText"/>
    <w:link w:val="CommentSubjectChar"/>
    <w:rsid w:val="008C6AE0"/>
    <w:rPr>
      <w:b/>
      <w:bCs/>
      <w:lang w:val="x-none" w:eastAsia="x-none"/>
    </w:rPr>
  </w:style>
  <w:style w:type="character" w:customStyle="1" w:styleId="CommentSubjectChar">
    <w:name w:val="Comment Subject Char"/>
    <w:link w:val="CommentSubject"/>
    <w:rsid w:val="008C6AE0"/>
    <w:rPr>
      <w:b/>
      <w:bCs/>
    </w:rPr>
  </w:style>
  <w:style w:type="paragraph" w:styleId="ListParagraph">
    <w:name w:val="List Paragraph"/>
    <w:basedOn w:val="Normal"/>
    <w:uiPriority w:val="1"/>
    <w:qFormat/>
    <w:rsid w:val="00C91724"/>
    <w:pPr>
      <w:ind w:left="720"/>
    </w:pPr>
  </w:style>
  <w:style w:type="paragraph" w:styleId="Revision">
    <w:name w:val="Revision"/>
    <w:hidden/>
    <w:uiPriority w:val="99"/>
    <w:semiHidden/>
    <w:rsid w:val="001905BD"/>
    <w:rPr>
      <w:sz w:val="24"/>
      <w:szCs w:val="24"/>
    </w:rPr>
  </w:style>
  <w:style w:type="character" w:styleId="Hyperlink">
    <w:name w:val="Hyperlink"/>
    <w:rsid w:val="0055223A"/>
    <w:rPr>
      <w:color w:val="0000FF"/>
      <w:u w:val="single"/>
    </w:rPr>
  </w:style>
  <w:style w:type="paragraph" w:styleId="EndnoteText">
    <w:name w:val="endnote text"/>
    <w:basedOn w:val="Normal"/>
    <w:link w:val="EndnoteTextChar"/>
    <w:rsid w:val="006C7F4C"/>
    <w:rPr>
      <w:sz w:val="20"/>
      <w:szCs w:val="20"/>
    </w:rPr>
  </w:style>
  <w:style w:type="character" w:customStyle="1" w:styleId="EndnoteTextChar">
    <w:name w:val="Endnote Text Char"/>
    <w:basedOn w:val="DefaultParagraphFont"/>
    <w:link w:val="EndnoteText"/>
    <w:rsid w:val="006C7F4C"/>
  </w:style>
  <w:style w:type="character" w:styleId="EndnoteReference">
    <w:name w:val="endnote reference"/>
    <w:rsid w:val="006C7F4C"/>
    <w:rPr>
      <w:vertAlign w:val="superscript"/>
    </w:rPr>
  </w:style>
  <w:style w:type="character" w:customStyle="1" w:styleId="FootnoteTextChar">
    <w:name w:val="Footnote Text Char"/>
    <w:link w:val="FootnoteText"/>
    <w:uiPriority w:val="99"/>
    <w:semiHidden/>
    <w:rsid w:val="00973ED9"/>
  </w:style>
  <w:style w:type="character" w:customStyle="1" w:styleId="Heading1Char">
    <w:name w:val="Heading 1 Char"/>
    <w:link w:val="Heading1"/>
    <w:uiPriority w:val="1"/>
    <w:rsid w:val="00FD6E8F"/>
    <w:rPr>
      <w:b/>
      <w:bCs/>
      <w:sz w:val="24"/>
      <w:szCs w:val="24"/>
      <w:u w:val="single"/>
    </w:rPr>
  </w:style>
  <w:style w:type="paragraph" w:styleId="BodyText">
    <w:name w:val="Body Text"/>
    <w:basedOn w:val="Normal"/>
    <w:link w:val="BodyTextChar"/>
    <w:uiPriority w:val="1"/>
    <w:qFormat/>
    <w:rsid w:val="00FD6E8F"/>
    <w:pPr>
      <w:widowControl w:val="0"/>
      <w:ind w:left="1520"/>
    </w:pPr>
  </w:style>
  <w:style w:type="character" w:customStyle="1" w:styleId="BodyTextChar">
    <w:name w:val="Body Text Char"/>
    <w:link w:val="BodyText"/>
    <w:uiPriority w:val="1"/>
    <w:rsid w:val="00FD6E8F"/>
    <w:rPr>
      <w:sz w:val="24"/>
      <w:szCs w:val="24"/>
    </w:rPr>
  </w:style>
  <w:style w:type="paragraph" w:customStyle="1" w:styleId="TableParagraph">
    <w:name w:val="Table Paragraph"/>
    <w:basedOn w:val="Normal"/>
    <w:uiPriority w:val="1"/>
    <w:qFormat/>
    <w:rsid w:val="00FD6E8F"/>
    <w:pPr>
      <w:widowControl w:val="0"/>
    </w:pPr>
    <w:rPr>
      <w:rFonts w:ascii="Calibri" w:eastAsia="Calibri" w:hAnsi="Calibri"/>
      <w:sz w:val="22"/>
      <w:szCs w:val="22"/>
    </w:rPr>
  </w:style>
  <w:style w:type="paragraph" w:styleId="Header">
    <w:name w:val="header"/>
    <w:basedOn w:val="Normal"/>
    <w:link w:val="HeaderChar"/>
    <w:rsid w:val="00DF1DED"/>
    <w:pPr>
      <w:tabs>
        <w:tab w:val="center" w:pos="4680"/>
        <w:tab w:val="right" w:pos="9360"/>
      </w:tabs>
    </w:pPr>
  </w:style>
  <w:style w:type="character" w:customStyle="1" w:styleId="HeaderChar">
    <w:name w:val="Header Char"/>
    <w:link w:val="Header"/>
    <w:rsid w:val="00DF1DED"/>
    <w:rPr>
      <w:sz w:val="24"/>
      <w:szCs w:val="24"/>
    </w:rPr>
  </w:style>
  <w:style w:type="character" w:customStyle="1" w:styleId="Heading2Char">
    <w:name w:val="Heading 2 Char"/>
    <w:basedOn w:val="DefaultParagraphFont"/>
    <w:link w:val="Heading2"/>
    <w:semiHidden/>
    <w:rsid w:val="00922246"/>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rsid w:val="008319F1"/>
    <w:rPr>
      <w:color w:val="954F72" w:themeColor="followedHyperlink"/>
      <w:u w:val="single"/>
    </w:rPr>
  </w:style>
  <w:style w:type="paragraph" w:customStyle="1" w:styleId="cita">
    <w:name w:val="cita"/>
    <w:basedOn w:val="Normal"/>
    <w:rsid w:val="00A1366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2661">
      <w:bodyDiv w:val="1"/>
      <w:marLeft w:val="0"/>
      <w:marRight w:val="0"/>
      <w:marTop w:val="0"/>
      <w:marBottom w:val="0"/>
      <w:divBdr>
        <w:top w:val="none" w:sz="0" w:space="0" w:color="auto"/>
        <w:left w:val="none" w:sz="0" w:space="0" w:color="auto"/>
        <w:bottom w:val="none" w:sz="0" w:space="0" w:color="auto"/>
        <w:right w:val="none" w:sz="0" w:space="0" w:color="auto"/>
      </w:divBdr>
      <w:divsChild>
        <w:div w:id="161237528">
          <w:marLeft w:val="0"/>
          <w:marRight w:val="0"/>
          <w:marTop w:val="0"/>
          <w:marBottom w:val="0"/>
          <w:divBdr>
            <w:top w:val="none" w:sz="0" w:space="0" w:color="auto"/>
            <w:left w:val="none" w:sz="0" w:space="0" w:color="auto"/>
            <w:bottom w:val="none" w:sz="0" w:space="0" w:color="auto"/>
            <w:right w:val="none" w:sz="0" w:space="0" w:color="auto"/>
          </w:divBdr>
        </w:div>
      </w:divsChild>
    </w:div>
    <w:div w:id="201023437">
      <w:bodyDiv w:val="1"/>
      <w:marLeft w:val="0"/>
      <w:marRight w:val="0"/>
      <w:marTop w:val="0"/>
      <w:marBottom w:val="0"/>
      <w:divBdr>
        <w:top w:val="none" w:sz="0" w:space="0" w:color="auto"/>
        <w:left w:val="none" w:sz="0" w:space="0" w:color="auto"/>
        <w:bottom w:val="none" w:sz="0" w:space="0" w:color="auto"/>
        <w:right w:val="none" w:sz="0" w:space="0" w:color="auto"/>
      </w:divBdr>
    </w:div>
    <w:div w:id="274606715">
      <w:bodyDiv w:val="1"/>
      <w:marLeft w:val="0"/>
      <w:marRight w:val="0"/>
      <w:marTop w:val="0"/>
      <w:marBottom w:val="0"/>
      <w:divBdr>
        <w:top w:val="none" w:sz="0" w:space="0" w:color="auto"/>
        <w:left w:val="none" w:sz="0" w:space="0" w:color="auto"/>
        <w:bottom w:val="none" w:sz="0" w:space="0" w:color="auto"/>
        <w:right w:val="none" w:sz="0" w:space="0" w:color="auto"/>
      </w:divBdr>
    </w:div>
    <w:div w:id="665783391">
      <w:bodyDiv w:val="1"/>
      <w:marLeft w:val="0"/>
      <w:marRight w:val="0"/>
      <w:marTop w:val="0"/>
      <w:marBottom w:val="0"/>
      <w:divBdr>
        <w:top w:val="none" w:sz="0" w:space="0" w:color="auto"/>
        <w:left w:val="none" w:sz="0" w:space="0" w:color="auto"/>
        <w:bottom w:val="none" w:sz="0" w:space="0" w:color="auto"/>
        <w:right w:val="none" w:sz="0" w:space="0" w:color="auto"/>
      </w:divBdr>
    </w:div>
    <w:div w:id="849639832">
      <w:bodyDiv w:val="1"/>
      <w:marLeft w:val="0"/>
      <w:marRight w:val="0"/>
      <w:marTop w:val="0"/>
      <w:marBottom w:val="0"/>
      <w:divBdr>
        <w:top w:val="none" w:sz="0" w:space="0" w:color="auto"/>
        <w:left w:val="none" w:sz="0" w:space="0" w:color="auto"/>
        <w:bottom w:val="none" w:sz="0" w:space="0" w:color="auto"/>
        <w:right w:val="none" w:sz="0" w:space="0" w:color="auto"/>
      </w:divBdr>
    </w:div>
    <w:div w:id="903880534">
      <w:bodyDiv w:val="1"/>
      <w:marLeft w:val="0"/>
      <w:marRight w:val="0"/>
      <w:marTop w:val="0"/>
      <w:marBottom w:val="0"/>
      <w:divBdr>
        <w:top w:val="none" w:sz="0" w:space="0" w:color="auto"/>
        <w:left w:val="none" w:sz="0" w:space="0" w:color="auto"/>
        <w:bottom w:val="none" w:sz="0" w:space="0" w:color="auto"/>
        <w:right w:val="none" w:sz="0" w:space="0" w:color="auto"/>
      </w:divBdr>
    </w:div>
    <w:div w:id="1018657540">
      <w:bodyDiv w:val="1"/>
      <w:marLeft w:val="0"/>
      <w:marRight w:val="0"/>
      <w:marTop w:val="0"/>
      <w:marBottom w:val="0"/>
      <w:divBdr>
        <w:top w:val="none" w:sz="0" w:space="0" w:color="auto"/>
        <w:left w:val="none" w:sz="0" w:space="0" w:color="auto"/>
        <w:bottom w:val="none" w:sz="0" w:space="0" w:color="auto"/>
        <w:right w:val="none" w:sz="0" w:space="0" w:color="auto"/>
      </w:divBdr>
    </w:div>
    <w:div w:id="1219825879">
      <w:bodyDiv w:val="1"/>
      <w:marLeft w:val="0"/>
      <w:marRight w:val="0"/>
      <w:marTop w:val="0"/>
      <w:marBottom w:val="0"/>
      <w:divBdr>
        <w:top w:val="none" w:sz="0" w:space="0" w:color="auto"/>
        <w:left w:val="none" w:sz="0" w:space="0" w:color="auto"/>
        <w:bottom w:val="none" w:sz="0" w:space="0" w:color="auto"/>
        <w:right w:val="none" w:sz="0" w:space="0" w:color="auto"/>
      </w:divBdr>
    </w:div>
    <w:div w:id="1309167274">
      <w:bodyDiv w:val="1"/>
      <w:marLeft w:val="0"/>
      <w:marRight w:val="0"/>
      <w:marTop w:val="0"/>
      <w:marBottom w:val="0"/>
      <w:divBdr>
        <w:top w:val="none" w:sz="0" w:space="0" w:color="auto"/>
        <w:left w:val="none" w:sz="0" w:space="0" w:color="auto"/>
        <w:bottom w:val="none" w:sz="0" w:space="0" w:color="auto"/>
        <w:right w:val="none" w:sz="0" w:space="0" w:color="auto"/>
      </w:divBdr>
    </w:div>
    <w:div w:id="1503617944">
      <w:bodyDiv w:val="1"/>
      <w:marLeft w:val="0"/>
      <w:marRight w:val="0"/>
      <w:marTop w:val="0"/>
      <w:marBottom w:val="0"/>
      <w:divBdr>
        <w:top w:val="none" w:sz="0" w:space="0" w:color="auto"/>
        <w:left w:val="none" w:sz="0" w:space="0" w:color="auto"/>
        <w:bottom w:val="none" w:sz="0" w:space="0" w:color="auto"/>
        <w:right w:val="none" w:sz="0" w:space="0" w:color="auto"/>
      </w:divBdr>
    </w:div>
    <w:div w:id="1573467158">
      <w:bodyDiv w:val="1"/>
      <w:marLeft w:val="0"/>
      <w:marRight w:val="0"/>
      <w:marTop w:val="0"/>
      <w:marBottom w:val="0"/>
      <w:divBdr>
        <w:top w:val="none" w:sz="0" w:space="0" w:color="auto"/>
        <w:left w:val="none" w:sz="0" w:space="0" w:color="auto"/>
        <w:bottom w:val="none" w:sz="0" w:space="0" w:color="auto"/>
        <w:right w:val="none" w:sz="0" w:space="0" w:color="auto"/>
      </w:divBdr>
    </w:div>
    <w:div w:id="1811552295">
      <w:bodyDiv w:val="1"/>
      <w:marLeft w:val="0"/>
      <w:marRight w:val="0"/>
      <w:marTop w:val="0"/>
      <w:marBottom w:val="0"/>
      <w:divBdr>
        <w:top w:val="none" w:sz="0" w:space="0" w:color="auto"/>
        <w:left w:val="none" w:sz="0" w:space="0" w:color="auto"/>
        <w:bottom w:val="none" w:sz="0" w:space="0" w:color="auto"/>
        <w:right w:val="none" w:sz="0" w:space="0" w:color="auto"/>
      </w:divBdr>
    </w:div>
    <w:div w:id="1818643368">
      <w:bodyDiv w:val="1"/>
      <w:marLeft w:val="0"/>
      <w:marRight w:val="0"/>
      <w:marTop w:val="0"/>
      <w:marBottom w:val="0"/>
      <w:divBdr>
        <w:top w:val="none" w:sz="0" w:space="0" w:color="auto"/>
        <w:left w:val="none" w:sz="0" w:space="0" w:color="auto"/>
        <w:bottom w:val="none" w:sz="0" w:space="0" w:color="auto"/>
        <w:right w:val="none" w:sz="0" w:space="0" w:color="auto"/>
      </w:divBdr>
    </w:div>
    <w:div w:id="1888642751">
      <w:bodyDiv w:val="1"/>
      <w:marLeft w:val="0"/>
      <w:marRight w:val="0"/>
      <w:marTop w:val="0"/>
      <w:marBottom w:val="0"/>
      <w:divBdr>
        <w:top w:val="none" w:sz="0" w:space="0" w:color="auto"/>
        <w:left w:val="none" w:sz="0" w:space="0" w:color="auto"/>
        <w:bottom w:val="none" w:sz="0" w:space="0" w:color="auto"/>
        <w:right w:val="none" w:sz="0" w:space="0" w:color="auto"/>
      </w:divBdr>
      <w:divsChild>
        <w:div w:id="31615308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995327822">
      <w:bodyDiv w:val="1"/>
      <w:marLeft w:val="0"/>
      <w:marRight w:val="0"/>
      <w:marTop w:val="0"/>
      <w:marBottom w:val="0"/>
      <w:divBdr>
        <w:top w:val="none" w:sz="0" w:space="0" w:color="auto"/>
        <w:left w:val="none" w:sz="0" w:space="0" w:color="auto"/>
        <w:bottom w:val="none" w:sz="0" w:space="0" w:color="auto"/>
        <w:right w:val="none" w:sz="0" w:space="0" w:color="auto"/>
      </w:divBdr>
    </w:div>
    <w:div w:id="2085377506">
      <w:bodyDiv w:val="1"/>
      <w:marLeft w:val="0"/>
      <w:marRight w:val="0"/>
      <w:marTop w:val="0"/>
      <w:marBottom w:val="0"/>
      <w:divBdr>
        <w:top w:val="none" w:sz="0" w:space="0" w:color="auto"/>
        <w:left w:val="none" w:sz="0" w:space="0" w:color="auto"/>
        <w:bottom w:val="none" w:sz="0" w:space="0" w:color="auto"/>
        <w:right w:val="none" w:sz="0" w:space="0" w:color="auto"/>
      </w:divBdr>
    </w:div>
    <w:div w:id="213648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http://csrc.nist.gov/groups/SMA/ispab/documents/csa_87.txt" TargetMode="External"/><Relationship Id="rId18" Type="http://schemas.openxmlformats.org/officeDocument/2006/relationships/hyperlink" Target="http://www.gpo.gov/fdsys/pkg/CFR-2014-title5-vol3/pdf/CFR-2014-title5-vol3-sec1320-8.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whitehouse.gov/omb/circulars_a130_a130trans4" TargetMode="External"/><Relationship Id="rId17" Type="http://schemas.openxmlformats.org/officeDocument/2006/relationships/hyperlink" Target="http://www.gpo.gov/fdsys/pkg/CFR-2014-title5-vol3/pdf/CFR-2014-title5-vol3-sec1320-8.pdf" TargetMode="External"/><Relationship Id="rId2" Type="http://schemas.openxmlformats.org/officeDocument/2006/relationships/numbering" Target="numbering.xml"/><Relationship Id="rId16" Type="http://schemas.openxmlformats.org/officeDocument/2006/relationships/hyperlink" Target="http://www.gpo.gov/fdsys/pkg/CFR-2014-title5-vol3/pdf/CFR-2014-title5-vol3-sec1320-9.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porateservices.noaa.gov/ames/administrative_orders/chapter_216/216-100.html" TargetMode="External"/><Relationship Id="rId5" Type="http://schemas.openxmlformats.org/officeDocument/2006/relationships/webSettings" Target="webSettings.xml"/><Relationship Id="rId15" Type="http://schemas.openxmlformats.org/officeDocument/2006/relationships/hyperlink" Target="https://www.bls.gov/oes/current/oes_wa.htm" TargetMode="External"/><Relationship Id="rId10" Type="http://schemas.openxmlformats.org/officeDocument/2006/relationships/hyperlink" Target="http://www.fws.gov/informationquality/section515.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cfr.gov/cgi-bin/text-idx?c=ecfr&amp;SID=8494e7d4cbea9564b1a17f5eae1846d7&amp;tpl=/ecfrbrowse/Title50/50cfr660_main_02.tpl" TargetMode="External"/><Relationship Id="rId14" Type="http://schemas.openxmlformats.org/officeDocument/2006/relationships/hyperlink" Target="http://www.mhimss.org/sites/default/files/resource-media/pdf/GISRA.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9921A-9A3B-44D6-AE7E-C8A4AA43A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Pages>
  <Words>5100</Words>
  <Characters>30635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Authority:   16 U</vt:lpstr>
    </vt:vector>
  </TitlesOfParts>
  <Company>NMFS</Company>
  <LinksUpToDate>false</LinksUpToDate>
  <CharactersWithSpaces>35664</CharactersWithSpaces>
  <SharedDoc>false</SharedDoc>
  <HLinks>
    <vt:vector size="6" baseType="variant">
      <vt:variant>
        <vt:i4>5963901</vt:i4>
      </vt:variant>
      <vt:variant>
        <vt:i4>0</vt:i4>
      </vt:variant>
      <vt:variant>
        <vt:i4>0</vt:i4>
      </vt:variant>
      <vt:variant>
        <vt:i4>5</vt:i4>
      </vt:variant>
      <vt:variant>
        <vt:lpwstr>http://www.corporateservices.noaa.gov/~ames/NAOs/Chap_216/naos_216_100.html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16 U</dc:title>
  <dc:subject/>
  <dc:creator>beckyr</dc:creator>
  <cp:keywords/>
  <cp:lastModifiedBy>Adrienne.Thomas</cp:lastModifiedBy>
  <cp:revision>5</cp:revision>
  <cp:lastPrinted>2015-11-19T22:54:00Z</cp:lastPrinted>
  <dcterms:created xsi:type="dcterms:W3CDTF">2021-03-29T21:22:00Z</dcterms:created>
  <dcterms:modified xsi:type="dcterms:W3CDTF">2021-03-29T21:47:00Z</dcterms:modified>
</cp:coreProperties>
</file>