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A38" w:rsidRDefault="00447A38">
      <w:pPr>
        <w:pStyle w:val="Title"/>
      </w:pPr>
      <w:bookmarkStart w:name="_GoBack" w:id="0"/>
      <w:bookmarkEnd w:id="0"/>
      <w:r>
        <w:t>SUPPORTING STATEMENT</w:t>
      </w:r>
    </w:p>
    <w:p w:rsidR="0072684C" w:rsidRDefault="0072684C">
      <w:pPr>
        <w:pStyle w:val="Title"/>
      </w:pPr>
      <w:smartTag w:uri="urn:schemas-microsoft-com:office:smarttags" w:element="country-region">
        <w:smartTag w:uri="urn:schemas-microsoft-com:office:smarttags" w:element="place">
          <w:r>
            <w:t>United States</w:t>
          </w:r>
        </w:smartTag>
      </w:smartTag>
      <w:r>
        <w:t xml:space="preserve"> Patent and Trademark Office</w:t>
      </w:r>
    </w:p>
    <w:p w:rsidR="00447A38" w:rsidRDefault="00BC2590">
      <w:pPr>
        <w:jc w:val="center"/>
        <w:rPr>
          <w:rFonts w:ascii="Arial" w:hAnsi="Arial"/>
          <w:b/>
          <w:sz w:val="24"/>
        </w:rPr>
      </w:pPr>
      <w:r>
        <w:rPr>
          <w:rFonts w:ascii="Arial" w:hAnsi="Arial"/>
          <w:b/>
          <w:sz w:val="24"/>
        </w:rPr>
        <w:t>F</w:t>
      </w:r>
      <w:r w:rsidR="0072684C">
        <w:rPr>
          <w:rFonts w:ascii="Arial" w:hAnsi="Arial"/>
          <w:b/>
          <w:sz w:val="24"/>
        </w:rPr>
        <w:t>astener</w:t>
      </w:r>
      <w:r>
        <w:rPr>
          <w:rFonts w:ascii="Arial" w:hAnsi="Arial"/>
          <w:b/>
          <w:sz w:val="24"/>
        </w:rPr>
        <w:t xml:space="preserve"> Q</w:t>
      </w:r>
      <w:r w:rsidR="0072684C">
        <w:rPr>
          <w:rFonts w:ascii="Arial" w:hAnsi="Arial"/>
          <w:b/>
          <w:sz w:val="24"/>
        </w:rPr>
        <w:t>uality</w:t>
      </w:r>
      <w:r>
        <w:rPr>
          <w:rFonts w:ascii="Arial" w:hAnsi="Arial"/>
          <w:b/>
          <w:sz w:val="24"/>
        </w:rPr>
        <w:t xml:space="preserve"> A</w:t>
      </w:r>
      <w:r w:rsidR="0072684C">
        <w:rPr>
          <w:rFonts w:ascii="Arial" w:hAnsi="Arial"/>
          <w:b/>
          <w:sz w:val="24"/>
        </w:rPr>
        <w:t>ct</w:t>
      </w:r>
      <w:r>
        <w:rPr>
          <w:rFonts w:ascii="Arial" w:hAnsi="Arial"/>
          <w:b/>
          <w:sz w:val="24"/>
        </w:rPr>
        <w:t xml:space="preserve"> I</w:t>
      </w:r>
      <w:r w:rsidR="0072684C">
        <w:rPr>
          <w:rFonts w:ascii="Arial" w:hAnsi="Arial"/>
          <w:b/>
          <w:sz w:val="24"/>
        </w:rPr>
        <w:t>nsignia</w:t>
      </w:r>
      <w:r>
        <w:rPr>
          <w:rFonts w:ascii="Arial" w:hAnsi="Arial"/>
          <w:b/>
          <w:sz w:val="24"/>
        </w:rPr>
        <w:t xml:space="preserve"> R</w:t>
      </w:r>
      <w:r w:rsidR="0072684C">
        <w:rPr>
          <w:rFonts w:ascii="Arial" w:hAnsi="Arial"/>
          <w:b/>
          <w:sz w:val="24"/>
        </w:rPr>
        <w:t>ecordal</w:t>
      </w:r>
      <w:r>
        <w:rPr>
          <w:rFonts w:ascii="Arial" w:hAnsi="Arial"/>
          <w:b/>
          <w:sz w:val="24"/>
        </w:rPr>
        <w:t xml:space="preserve"> P</w:t>
      </w:r>
      <w:r w:rsidR="0072684C">
        <w:rPr>
          <w:rFonts w:ascii="Arial" w:hAnsi="Arial"/>
          <w:b/>
          <w:sz w:val="24"/>
        </w:rPr>
        <w:t>rocess</w:t>
      </w:r>
    </w:p>
    <w:p w:rsidR="0072684C" w:rsidRDefault="0072684C">
      <w:pPr>
        <w:jc w:val="center"/>
        <w:rPr>
          <w:rFonts w:ascii="Arial" w:hAnsi="Arial"/>
          <w:b/>
          <w:sz w:val="24"/>
        </w:rPr>
      </w:pPr>
      <w:r>
        <w:rPr>
          <w:rFonts w:ascii="Arial" w:hAnsi="Arial"/>
          <w:b/>
          <w:sz w:val="24"/>
        </w:rPr>
        <w:t>OMB CONTROL NUMBER 0651-0028</w:t>
      </w:r>
    </w:p>
    <w:p w:rsidR="001266B0" w:rsidRDefault="001266B0">
      <w:pPr>
        <w:jc w:val="center"/>
        <w:rPr>
          <w:rFonts w:ascii="Arial" w:hAnsi="Arial"/>
          <w:b/>
          <w:sz w:val="24"/>
        </w:rPr>
      </w:pPr>
      <w:r>
        <w:rPr>
          <w:rFonts w:ascii="Arial" w:hAnsi="Arial"/>
          <w:b/>
          <w:sz w:val="24"/>
        </w:rPr>
        <w:t>(</w:t>
      </w:r>
      <w:r w:rsidR="00C55D64">
        <w:rPr>
          <w:rFonts w:ascii="Arial" w:hAnsi="Arial"/>
          <w:b/>
          <w:sz w:val="24"/>
        </w:rPr>
        <w:t>2021)</w:t>
      </w:r>
    </w:p>
    <w:p w:rsidR="00447A38" w:rsidRDefault="00447A38">
      <w:pPr>
        <w:jc w:val="center"/>
        <w:rPr>
          <w:rFonts w:ascii="Arial" w:hAnsi="Arial"/>
          <w:b/>
          <w:sz w:val="24"/>
        </w:rPr>
      </w:pPr>
    </w:p>
    <w:p w:rsidR="00447A38" w:rsidRDefault="00447A38">
      <w:pPr>
        <w:pStyle w:val="Heading1"/>
      </w:pPr>
    </w:p>
    <w:p w:rsidR="00447A38" w:rsidRDefault="00447A38">
      <w:pPr>
        <w:pStyle w:val="Heading1"/>
      </w:pPr>
      <w:r>
        <w:t>A.</w:t>
      </w:r>
      <w:r>
        <w:tab/>
        <w:t>JUSTIFICATION</w:t>
      </w:r>
    </w:p>
    <w:p w:rsidR="00447A38" w:rsidRDefault="00447A38">
      <w:pPr>
        <w:rPr>
          <w:rFonts w:ascii="Arial" w:hAnsi="Arial"/>
          <w:b/>
          <w:sz w:val="24"/>
        </w:rPr>
      </w:pPr>
    </w:p>
    <w:p w:rsidR="00093D91" w:rsidP="00093D91" w:rsidRDefault="00093D91">
      <w:pPr>
        <w:pStyle w:val="NoSpacing"/>
        <w:numPr>
          <w:ilvl w:val="0"/>
          <w:numId w:val="23"/>
        </w:numPr>
        <w:jc w:val="both"/>
        <w:rPr>
          <w:rFonts w:ascii="Arial" w:hAnsi="Arial" w:cs="Arial"/>
          <w:sz w:val="24"/>
        </w:rPr>
      </w:pPr>
      <w:r w:rsidRPr="006F5583">
        <w:rPr>
          <w:rFonts w:ascii="Arial" w:hAnsi="Arial" w:cs="Arial"/>
          <w:b/>
          <w:sz w:val="24"/>
        </w:rPr>
        <w:t xml:space="preserve">Explain the circumstances that make the collection of information necessary. Identify any legal or administrative requirements that necessitate the </w:t>
      </w:r>
      <w:r>
        <w:rPr>
          <w:rFonts w:ascii="Arial" w:hAnsi="Arial" w:cs="Arial"/>
          <w:b/>
          <w:sz w:val="24"/>
        </w:rPr>
        <w:t xml:space="preserve">information </w:t>
      </w:r>
      <w:r w:rsidRPr="006F5583">
        <w:rPr>
          <w:rFonts w:ascii="Arial" w:hAnsi="Arial" w:cs="Arial"/>
          <w:b/>
          <w:sz w:val="24"/>
        </w:rPr>
        <w:t>collection. Attach a copy of the appropriate section of each statute and regulation mandating or authorizing the collection of information.</w:t>
      </w:r>
    </w:p>
    <w:p w:rsidR="00447A38" w:rsidRDefault="00447A38">
      <w:pPr>
        <w:jc w:val="both"/>
        <w:rPr>
          <w:rFonts w:ascii="Arial" w:hAnsi="Arial"/>
          <w:sz w:val="24"/>
        </w:rPr>
      </w:pPr>
    </w:p>
    <w:p w:rsidR="006B577F" w:rsidRDefault="00B0419A">
      <w:pPr>
        <w:jc w:val="both"/>
        <w:rPr>
          <w:rFonts w:ascii="Arial" w:hAnsi="Arial"/>
          <w:sz w:val="24"/>
        </w:rPr>
      </w:pPr>
      <w:r>
        <w:rPr>
          <w:rFonts w:ascii="Arial" w:hAnsi="Arial"/>
          <w:sz w:val="24"/>
        </w:rPr>
        <w:t xml:space="preserve">Under Section 5 of the Fastener Quality Act of 1999 (FQA), 15 </w:t>
      </w:r>
      <w:r w:rsidR="00447A38">
        <w:rPr>
          <w:rFonts w:ascii="Arial" w:hAnsi="Arial"/>
          <w:sz w:val="24"/>
        </w:rPr>
        <w:t xml:space="preserve">U.S.C. </w:t>
      </w:r>
      <w:r w:rsidR="00447A38">
        <w:rPr>
          <w:rFonts w:ascii="Arial" w:hAnsi="Arial" w:cs="Arial"/>
          <w:sz w:val="24"/>
        </w:rPr>
        <w:t>§</w:t>
      </w:r>
      <w:r w:rsidR="00447A38">
        <w:rPr>
          <w:rFonts w:ascii="Arial" w:hAnsi="Arial"/>
          <w:sz w:val="24"/>
        </w:rPr>
        <w:t xml:space="preserve"> </w:t>
      </w:r>
      <w:r>
        <w:rPr>
          <w:rFonts w:ascii="Arial" w:hAnsi="Arial"/>
          <w:sz w:val="24"/>
        </w:rPr>
        <w:t>5401</w:t>
      </w:r>
      <w:r w:rsidR="00447A38">
        <w:rPr>
          <w:rFonts w:ascii="Arial" w:hAnsi="Arial"/>
          <w:sz w:val="24"/>
        </w:rPr>
        <w:t xml:space="preserve"> </w:t>
      </w:r>
      <w:r w:rsidR="00095574">
        <w:rPr>
          <w:rFonts w:ascii="Arial" w:hAnsi="Arial"/>
          <w:i/>
          <w:sz w:val="24"/>
        </w:rPr>
        <w:t>et</w:t>
      </w:r>
      <w:r w:rsidRPr="00B0419A" w:rsidR="00447A38">
        <w:rPr>
          <w:rFonts w:ascii="Arial" w:hAnsi="Arial"/>
          <w:i/>
          <w:sz w:val="24"/>
        </w:rPr>
        <w:t xml:space="preserve"> seq</w:t>
      </w:r>
      <w:r>
        <w:rPr>
          <w:rFonts w:ascii="Arial" w:hAnsi="Arial"/>
          <w:sz w:val="24"/>
        </w:rPr>
        <w:t>.</w:t>
      </w:r>
      <w:r w:rsidR="00447A38">
        <w:rPr>
          <w:rFonts w:ascii="Arial" w:hAnsi="Arial"/>
          <w:sz w:val="24"/>
        </w:rPr>
        <w:t>,</w:t>
      </w:r>
      <w:r>
        <w:rPr>
          <w:rFonts w:ascii="Arial" w:hAnsi="Arial"/>
          <w:sz w:val="24"/>
        </w:rPr>
        <w:t xml:space="preserve"> certain industrial fasteners must bear an insignia</w:t>
      </w:r>
      <w:r w:rsidR="001266B0">
        <w:rPr>
          <w:rFonts w:ascii="Arial" w:hAnsi="Arial"/>
          <w:sz w:val="24"/>
        </w:rPr>
        <w:t xml:space="preserve"> identifying the manufacturer. It is also mandatory for manufacturers of fasteners covered by the FQA to submit an application to the </w:t>
      </w:r>
      <w:r>
        <w:rPr>
          <w:rFonts w:ascii="Arial" w:hAnsi="Arial"/>
          <w:sz w:val="24"/>
        </w:rPr>
        <w:t xml:space="preserve">United States Patent and Trademark Office (USPTO) for recordal of </w:t>
      </w:r>
      <w:r w:rsidR="001266B0">
        <w:rPr>
          <w:rFonts w:ascii="Arial" w:hAnsi="Arial"/>
          <w:sz w:val="24"/>
        </w:rPr>
        <w:t>the</w:t>
      </w:r>
      <w:r>
        <w:rPr>
          <w:rFonts w:ascii="Arial" w:hAnsi="Arial"/>
          <w:sz w:val="24"/>
        </w:rPr>
        <w:t xml:space="preserve"> insignia </w:t>
      </w:r>
      <w:r w:rsidR="001266B0">
        <w:rPr>
          <w:rFonts w:ascii="Arial" w:hAnsi="Arial"/>
          <w:sz w:val="24"/>
        </w:rPr>
        <w:t>on</w:t>
      </w:r>
      <w:r>
        <w:rPr>
          <w:rFonts w:ascii="Arial" w:hAnsi="Arial"/>
          <w:sz w:val="24"/>
        </w:rPr>
        <w:t xml:space="preserve"> the F</w:t>
      </w:r>
      <w:r w:rsidR="001266B0">
        <w:rPr>
          <w:rFonts w:ascii="Arial" w:hAnsi="Arial"/>
          <w:sz w:val="24"/>
        </w:rPr>
        <w:t xml:space="preserve">astener Insignia Register.  </w:t>
      </w:r>
    </w:p>
    <w:p w:rsidR="006B577F" w:rsidRDefault="006B577F">
      <w:pPr>
        <w:jc w:val="both"/>
        <w:rPr>
          <w:rFonts w:ascii="Arial" w:hAnsi="Arial"/>
          <w:sz w:val="24"/>
        </w:rPr>
      </w:pPr>
    </w:p>
    <w:p w:rsidR="00D837EA" w:rsidRDefault="00D837EA">
      <w:pPr>
        <w:jc w:val="both"/>
        <w:rPr>
          <w:rFonts w:ascii="Arial" w:hAnsi="Arial"/>
          <w:sz w:val="24"/>
        </w:rPr>
      </w:pPr>
      <w:r>
        <w:rPr>
          <w:rFonts w:ascii="Arial" w:hAnsi="Arial"/>
          <w:sz w:val="24"/>
        </w:rPr>
        <w:t xml:space="preserve">The procedures for the recordal of fastener insignia under the FQA are set forth in 15 CFR 280.300 </w:t>
      </w:r>
      <w:r w:rsidRPr="00D837EA">
        <w:rPr>
          <w:rFonts w:ascii="Arial" w:hAnsi="Arial"/>
          <w:i/>
          <w:sz w:val="24"/>
        </w:rPr>
        <w:t>et seq.</w:t>
      </w:r>
      <w:r>
        <w:rPr>
          <w:rFonts w:ascii="Arial" w:hAnsi="Arial"/>
          <w:sz w:val="24"/>
        </w:rPr>
        <w:t xml:space="preserve"> The purpose of requiring both the insignia and the recordation is to ensure that certain fasteners can be traced to their manufacturers and to protect against the sale of mismarked, misrepresented, or counterfeit fasteners.</w:t>
      </w:r>
    </w:p>
    <w:p w:rsidR="006B577F" w:rsidRDefault="006B577F">
      <w:pPr>
        <w:jc w:val="both"/>
        <w:rPr>
          <w:rFonts w:ascii="Arial" w:hAnsi="Arial"/>
          <w:sz w:val="24"/>
        </w:rPr>
      </w:pPr>
    </w:p>
    <w:p w:rsidR="00EE2030" w:rsidRDefault="006B577F">
      <w:pPr>
        <w:jc w:val="both"/>
        <w:rPr>
          <w:rFonts w:ascii="Arial" w:hAnsi="Arial"/>
          <w:sz w:val="24"/>
        </w:rPr>
      </w:pPr>
      <w:r>
        <w:rPr>
          <w:rFonts w:ascii="Arial" w:hAnsi="Arial"/>
          <w:sz w:val="24"/>
        </w:rPr>
        <w:t xml:space="preserve">The insignia may </w:t>
      </w:r>
      <w:r w:rsidR="00D21935">
        <w:rPr>
          <w:rFonts w:ascii="Arial" w:hAnsi="Arial"/>
          <w:sz w:val="24"/>
        </w:rPr>
        <w:t>be</w:t>
      </w:r>
      <w:r>
        <w:rPr>
          <w:rFonts w:ascii="Arial" w:hAnsi="Arial"/>
          <w:sz w:val="24"/>
        </w:rPr>
        <w:t xml:space="preserve"> </w:t>
      </w:r>
      <w:r w:rsidR="007E0AE3">
        <w:rPr>
          <w:rFonts w:ascii="Arial" w:hAnsi="Arial"/>
          <w:sz w:val="24"/>
        </w:rPr>
        <w:t xml:space="preserve">either </w:t>
      </w:r>
      <w:r>
        <w:rPr>
          <w:rFonts w:ascii="Arial" w:hAnsi="Arial"/>
          <w:sz w:val="24"/>
        </w:rPr>
        <w:t xml:space="preserve">a unique alphanumeric designation that the USPTO will </w:t>
      </w:r>
      <w:r w:rsidR="00351DD4">
        <w:rPr>
          <w:rFonts w:ascii="Arial" w:hAnsi="Arial"/>
          <w:sz w:val="24"/>
        </w:rPr>
        <w:t>issue upon request</w:t>
      </w:r>
      <w:r>
        <w:rPr>
          <w:rFonts w:ascii="Arial" w:hAnsi="Arial"/>
          <w:sz w:val="24"/>
        </w:rPr>
        <w:t xml:space="preserve"> or a trademark that is registered at the USPTO or </w:t>
      </w:r>
      <w:r w:rsidR="00E87106">
        <w:rPr>
          <w:rFonts w:ascii="Arial" w:hAnsi="Arial"/>
          <w:sz w:val="24"/>
        </w:rPr>
        <w:t xml:space="preserve">is </w:t>
      </w:r>
      <w:r>
        <w:rPr>
          <w:rFonts w:ascii="Arial" w:hAnsi="Arial"/>
          <w:sz w:val="24"/>
        </w:rPr>
        <w:t>the subject of an applic</w:t>
      </w:r>
      <w:r w:rsidR="0058771A">
        <w:rPr>
          <w:rFonts w:ascii="Arial" w:hAnsi="Arial"/>
          <w:sz w:val="24"/>
        </w:rPr>
        <w:t>ation to obtain a registration.</w:t>
      </w:r>
      <w:r>
        <w:rPr>
          <w:rFonts w:ascii="Arial" w:hAnsi="Arial"/>
          <w:sz w:val="24"/>
        </w:rPr>
        <w:t xml:space="preserve"> After a manufacturer submits a complete application for recordal, the USPTO issues a Certificate of Recordal.  These certificates remain a</w:t>
      </w:r>
      <w:r w:rsidR="0058771A">
        <w:rPr>
          <w:rFonts w:ascii="Arial" w:hAnsi="Arial"/>
          <w:sz w:val="24"/>
        </w:rPr>
        <w:t>ctive for five years.</w:t>
      </w:r>
      <w:r>
        <w:rPr>
          <w:rFonts w:ascii="Arial" w:hAnsi="Arial"/>
          <w:sz w:val="24"/>
        </w:rPr>
        <w:t xml:space="preserve"> Applications to </w:t>
      </w:r>
      <w:r w:rsidR="00EE2030">
        <w:rPr>
          <w:rFonts w:ascii="Arial" w:hAnsi="Arial"/>
          <w:sz w:val="24"/>
        </w:rPr>
        <w:t>renew</w:t>
      </w:r>
      <w:r>
        <w:rPr>
          <w:rFonts w:ascii="Arial" w:hAnsi="Arial"/>
          <w:sz w:val="24"/>
        </w:rPr>
        <w:t xml:space="preserve"> the certificates must be filed within si</w:t>
      </w:r>
      <w:r w:rsidR="00EE2030">
        <w:rPr>
          <w:rFonts w:ascii="Arial" w:hAnsi="Arial"/>
          <w:sz w:val="24"/>
        </w:rPr>
        <w:t>x months of the expiration date</w:t>
      </w:r>
      <w:r>
        <w:rPr>
          <w:rFonts w:ascii="Arial" w:hAnsi="Arial"/>
          <w:sz w:val="24"/>
        </w:rPr>
        <w:t xml:space="preserve"> or, upon payment of an additional surcharge, within six months following the expiration date.  </w:t>
      </w:r>
    </w:p>
    <w:p w:rsidR="00EE2030" w:rsidRDefault="00EE2030">
      <w:pPr>
        <w:jc w:val="both"/>
        <w:rPr>
          <w:rFonts w:ascii="Arial" w:hAnsi="Arial"/>
          <w:sz w:val="24"/>
        </w:rPr>
      </w:pPr>
    </w:p>
    <w:p w:rsidR="006B577F" w:rsidRDefault="006B577F">
      <w:pPr>
        <w:jc w:val="both"/>
        <w:rPr>
          <w:rFonts w:ascii="Arial" w:hAnsi="Arial"/>
          <w:sz w:val="24"/>
        </w:rPr>
      </w:pPr>
      <w:r>
        <w:rPr>
          <w:rFonts w:ascii="Arial" w:hAnsi="Arial"/>
          <w:sz w:val="24"/>
        </w:rPr>
        <w:t>If a recorded alphanumeric designation is assigned by the manufacturer, the designation becomes “inactive” and the new owner must submit an application to reactivate the designation within six mo</w:t>
      </w:r>
      <w:r w:rsidR="0058771A">
        <w:rPr>
          <w:rFonts w:ascii="Arial" w:hAnsi="Arial"/>
          <w:sz w:val="24"/>
        </w:rPr>
        <w:t>nths of the date of assignment.</w:t>
      </w:r>
      <w:r>
        <w:rPr>
          <w:rFonts w:ascii="Arial" w:hAnsi="Arial"/>
          <w:sz w:val="24"/>
        </w:rPr>
        <w:t xml:space="preserve"> If the recordal is based on a trademark application or registration, and that </w:t>
      </w:r>
      <w:r w:rsidR="007E0AE3">
        <w:rPr>
          <w:rFonts w:ascii="Arial" w:hAnsi="Arial"/>
          <w:sz w:val="24"/>
        </w:rPr>
        <w:t xml:space="preserve">application or </w:t>
      </w:r>
      <w:r>
        <w:rPr>
          <w:rFonts w:ascii="Arial" w:hAnsi="Arial"/>
          <w:sz w:val="24"/>
        </w:rPr>
        <w:t xml:space="preserve">registration is assigned, the recordal becomes “inactive” and cannot be reactivated.  Instead, the new owner of the trademark application or registration must apply for a new recordal.  Manufacturers who record </w:t>
      </w:r>
      <w:r w:rsidR="00DD766A">
        <w:rPr>
          <w:rFonts w:ascii="Arial" w:hAnsi="Arial"/>
          <w:sz w:val="24"/>
        </w:rPr>
        <w:t xml:space="preserve">the </w:t>
      </w:r>
      <w:r>
        <w:rPr>
          <w:rFonts w:ascii="Arial" w:hAnsi="Arial"/>
          <w:sz w:val="24"/>
        </w:rPr>
        <w:t>insignia must notify the USPTO of any changes of address.</w:t>
      </w:r>
    </w:p>
    <w:p w:rsidR="008B67F5" w:rsidRDefault="008B67F5">
      <w:pPr>
        <w:jc w:val="both"/>
        <w:rPr>
          <w:rFonts w:ascii="Arial" w:hAnsi="Arial"/>
          <w:sz w:val="24"/>
        </w:rPr>
      </w:pPr>
    </w:p>
    <w:p w:rsidR="008B67F5" w:rsidRDefault="008B67F5">
      <w:pPr>
        <w:jc w:val="both"/>
        <w:rPr>
          <w:rFonts w:ascii="Arial" w:hAnsi="Arial"/>
          <w:sz w:val="24"/>
        </w:rPr>
      </w:pPr>
      <w:r>
        <w:rPr>
          <w:rFonts w:ascii="Arial" w:hAnsi="Arial"/>
          <w:sz w:val="24"/>
        </w:rPr>
        <w:t xml:space="preserve">This information collection includes one form, the Application for Recordal of Insignia or Renewal/Reactivation of Recordal Under the Fastener Quality Act (Form PTO-1611), which provides manufacturers with a convenient way to submit a request for the recordal of a fastener insignia or to renew or reactivate an existing Certificate of Recordal. Use of Form PTO-1611 is not mandatory, and applicants may instead prepare requests for </w:t>
      </w:r>
      <w:r>
        <w:rPr>
          <w:rFonts w:ascii="Arial" w:hAnsi="Arial"/>
          <w:sz w:val="24"/>
        </w:rPr>
        <w:lastRenderedPageBreak/>
        <w:t>r</w:t>
      </w:r>
      <w:r w:rsidR="00F32411">
        <w:rPr>
          <w:rFonts w:ascii="Arial" w:hAnsi="Arial"/>
          <w:sz w:val="24"/>
        </w:rPr>
        <w:t>ecordal using their own format; using a document that includes the information required by 15 CFR 280.310(b)(1)-(8).</w:t>
      </w:r>
      <w:r>
        <w:rPr>
          <w:rFonts w:ascii="Arial" w:hAnsi="Arial"/>
          <w:sz w:val="24"/>
        </w:rPr>
        <w:t xml:space="preserve"> </w:t>
      </w:r>
    </w:p>
    <w:p w:rsidR="004D0811" w:rsidRDefault="004D0811">
      <w:pPr>
        <w:jc w:val="both"/>
        <w:rPr>
          <w:rFonts w:ascii="Arial" w:hAnsi="Arial"/>
          <w:sz w:val="24"/>
        </w:rPr>
      </w:pPr>
    </w:p>
    <w:p w:rsidR="00447A38" w:rsidRDefault="00924EEE">
      <w:pPr>
        <w:jc w:val="both"/>
        <w:rPr>
          <w:rFonts w:ascii="Arial" w:hAnsi="Arial"/>
          <w:sz w:val="24"/>
        </w:rPr>
      </w:pPr>
      <w:r>
        <w:rPr>
          <w:rFonts w:ascii="Arial" w:hAnsi="Arial"/>
          <w:sz w:val="24"/>
        </w:rPr>
        <w:t>T</w:t>
      </w:r>
      <w:r w:rsidR="00447A38">
        <w:rPr>
          <w:rFonts w:ascii="Arial" w:hAnsi="Arial"/>
          <w:sz w:val="24"/>
        </w:rPr>
        <w:t xml:space="preserve">able 1 identifies the statutory and regulatory provisions </w:t>
      </w:r>
      <w:r w:rsidR="00EA3A3F">
        <w:rPr>
          <w:rFonts w:ascii="Arial" w:hAnsi="Arial"/>
          <w:sz w:val="24"/>
        </w:rPr>
        <w:t xml:space="preserve">that require the USPTO to collect the information discussed above:  </w:t>
      </w:r>
      <w:r w:rsidR="00447A38">
        <w:rPr>
          <w:rFonts w:ascii="Arial" w:hAnsi="Arial"/>
          <w:sz w:val="24"/>
        </w:rPr>
        <w:t xml:space="preserve"> </w:t>
      </w:r>
    </w:p>
    <w:p w:rsidR="00447A38" w:rsidRDefault="00447A38">
      <w:pPr>
        <w:jc w:val="both"/>
        <w:rPr>
          <w:rFonts w:ascii="Arial" w:hAnsi="Arial"/>
          <w:sz w:val="24"/>
        </w:rPr>
      </w:pPr>
    </w:p>
    <w:p w:rsidR="00447A38" w:rsidRDefault="00447A38">
      <w:pPr>
        <w:pStyle w:val="BodyText"/>
      </w:pPr>
      <w:r>
        <w:t>Table 1:  Information Requirements</w:t>
      </w:r>
      <w:r w:rsidR="004C60F4">
        <w:t xml:space="preserve"> </w:t>
      </w:r>
      <w:r w:rsidR="00380D49">
        <w:t>for</w:t>
      </w:r>
      <w:r w:rsidR="004C60F4">
        <w:t xml:space="preserve"> </w:t>
      </w:r>
      <w:r w:rsidRPr="00380D49" w:rsidR="00380D49">
        <w:t>Fastener Quality Act Insignia Recordal Process</w:t>
      </w: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90"/>
        <w:gridCol w:w="2070"/>
        <w:gridCol w:w="2790"/>
      </w:tblGrid>
      <w:tr w:rsidR="00447A38">
        <w:tblPrEx>
          <w:tblCellMar>
            <w:top w:w="0" w:type="dxa"/>
            <w:bottom w:w="0" w:type="dxa"/>
          </w:tblCellMar>
        </w:tblPrEx>
        <w:trPr>
          <w:cantSplit/>
          <w:trHeight w:val="287"/>
        </w:trPr>
        <w:tc>
          <w:tcPr>
            <w:tcW w:w="4590" w:type="dxa"/>
          </w:tcPr>
          <w:p w:rsidR="00447A38" w:rsidRDefault="00447A38">
            <w:pPr>
              <w:tabs>
                <w:tab w:val="left" w:pos="720"/>
              </w:tabs>
              <w:jc w:val="center"/>
              <w:rPr>
                <w:rFonts w:ascii="Arial" w:hAnsi="Arial"/>
                <w:b/>
                <w:sz w:val="16"/>
              </w:rPr>
            </w:pPr>
          </w:p>
          <w:p w:rsidR="00447A38" w:rsidRDefault="00447A38">
            <w:pPr>
              <w:pStyle w:val="Heading9"/>
              <w:rPr>
                <w:sz w:val="16"/>
              </w:rPr>
            </w:pPr>
            <w:r>
              <w:rPr>
                <w:sz w:val="16"/>
              </w:rPr>
              <w:t>Requirement</w:t>
            </w:r>
          </w:p>
        </w:tc>
        <w:tc>
          <w:tcPr>
            <w:tcW w:w="2070" w:type="dxa"/>
          </w:tcPr>
          <w:p w:rsidR="00447A38" w:rsidRDefault="00447A38">
            <w:pPr>
              <w:tabs>
                <w:tab w:val="left" w:pos="720"/>
              </w:tabs>
              <w:jc w:val="center"/>
              <w:rPr>
                <w:rFonts w:ascii="Arial" w:hAnsi="Arial"/>
                <w:b/>
                <w:sz w:val="16"/>
              </w:rPr>
            </w:pPr>
          </w:p>
          <w:p w:rsidR="00447A38" w:rsidRDefault="00447A38">
            <w:pPr>
              <w:jc w:val="center"/>
              <w:rPr>
                <w:rFonts w:ascii="Arial" w:hAnsi="Arial"/>
                <w:b/>
                <w:sz w:val="16"/>
              </w:rPr>
            </w:pPr>
            <w:r>
              <w:rPr>
                <w:rFonts w:ascii="Arial" w:hAnsi="Arial"/>
                <w:b/>
                <w:sz w:val="16"/>
              </w:rPr>
              <w:t>Statute</w:t>
            </w:r>
          </w:p>
        </w:tc>
        <w:tc>
          <w:tcPr>
            <w:tcW w:w="2790" w:type="dxa"/>
          </w:tcPr>
          <w:p w:rsidR="00447A38" w:rsidRDefault="00447A38">
            <w:pPr>
              <w:tabs>
                <w:tab w:val="left" w:pos="720"/>
              </w:tabs>
              <w:jc w:val="center"/>
              <w:rPr>
                <w:rFonts w:ascii="Arial" w:hAnsi="Arial"/>
                <w:b/>
                <w:sz w:val="16"/>
              </w:rPr>
            </w:pPr>
          </w:p>
          <w:p w:rsidR="00447A38" w:rsidRDefault="00B7195E">
            <w:pPr>
              <w:jc w:val="center"/>
              <w:rPr>
                <w:rFonts w:ascii="Arial" w:hAnsi="Arial"/>
                <w:b/>
                <w:sz w:val="16"/>
              </w:rPr>
            </w:pPr>
            <w:r>
              <w:rPr>
                <w:rFonts w:ascii="Arial" w:hAnsi="Arial"/>
                <w:b/>
                <w:sz w:val="16"/>
              </w:rPr>
              <w:t>Regulations</w:t>
            </w:r>
          </w:p>
        </w:tc>
      </w:tr>
      <w:tr w:rsidR="00447A38">
        <w:tblPrEx>
          <w:tblCellMar>
            <w:top w:w="0" w:type="dxa"/>
            <w:bottom w:w="0" w:type="dxa"/>
          </w:tblCellMar>
        </w:tblPrEx>
        <w:trPr>
          <w:cantSplit/>
        </w:trPr>
        <w:tc>
          <w:tcPr>
            <w:tcW w:w="4590" w:type="dxa"/>
          </w:tcPr>
          <w:p w:rsidR="00447A38" w:rsidRDefault="00447A38">
            <w:pPr>
              <w:rPr>
                <w:rFonts w:ascii="Arial" w:hAnsi="Arial"/>
                <w:sz w:val="16"/>
              </w:rPr>
            </w:pPr>
          </w:p>
          <w:p w:rsidR="00447A38" w:rsidRDefault="00E87106">
            <w:pPr>
              <w:rPr>
                <w:rFonts w:ascii="Arial" w:hAnsi="Arial"/>
                <w:sz w:val="16"/>
              </w:rPr>
            </w:pPr>
            <w:r>
              <w:rPr>
                <w:rFonts w:ascii="Arial" w:hAnsi="Arial"/>
                <w:sz w:val="16"/>
              </w:rPr>
              <w:t>Recordal of Insignia</w:t>
            </w:r>
            <w:r w:rsidR="00C630AE">
              <w:rPr>
                <w:rFonts w:ascii="Arial" w:hAnsi="Arial"/>
                <w:sz w:val="16"/>
              </w:rPr>
              <w:t xml:space="preserve"> or Renewal</w:t>
            </w:r>
            <w:r w:rsidR="007E0AE3">
              <w:rPr>
                <w:rFonts w:ascii="Arial" w:hAnsi="Arial"/>
                <w:sz w:val="16"/>
              </w:rPr>
              <w:t>/Reactivation</w:t>
            </w:r>
            <w:r w:rsidR="00C630AE">
              <w:rPr>
                <w:rFonts w:ascii="Arial" w:hAnsi="Arial"/>
                <w:sz w:val="16"/>
              </w:rPr>
              <w:t xml:space="preserve"> of </w:t>
            </w:r>
            <w:r>
              <w:rPr>
                <w:rFonts w:ascii="Arial" w:hAnsi="Arial"/>
                <w:sz w:val="16"/>
              </w:rPr>
              <w:t xml:space="preserve">Recordal </w:t>
            </w:r>
            <w:r w:rsidR="00C630AE">
              <w:rPr>
                <w:rFonts w:ascii="Arial" w:hAnsi="Arial"/>
                <w:sz w:val="16"/>
              </w:rPr>
              <w:t>Under the Fastener Quality Act</w:t>
            </w:r>
          </w:p>
        </w:tc>
        <w:tc>
          <w:tcPr>
            <w:tcW w:w="2070" w:type="dxa"/>
          </w:tcPr>
          <w:p w:rsidR="00447A38" w:rsidRDefault="00447A38">
            <w:pPr>
              <w:jc w:val="center"/>
              <w:rPr>
                <w:rFonts w:ascii="Arial" w:hAnsi="Arial"/>
                <w:sz w:val="16"/>
                <w:highlight w:val="yellow"/>
              </w:rPr>
            </w:pPr>
          </w:p>
          <w:p w:rsidR="00447A38" w:rsidP="006F250A" w:rsidRDefault="00447A38">
            <w:pPr>
              <w:rPr>
                <w:rFonts w:ascii="Arial" w:hAnsi="Arial"/>
                <w:sz w:val="16"/>
                <w:highlight w:val="yellow"/>
              </w:rPr>
            </w:pPr>
            <w:r>
              <w:rPr>
                <w:rFonts w:ascii="Arial" w:hAnsi="Arial"/>
                <w:sz w:val="16"/>
              </w:rPr>
              <w:t xml:space="preserve">15 U.S.C. § </w:t>
            </w:r>
            <w:r w:rsidR="00C630AE">
              <w:rPr>
                <w:rFonts w:ascii="Arial" w:hAnsi="Arial"/>
                <w:sz w:val="16"/>
              </w:rPr>
              <w:t>5401</w:t>
            </w:r>
          </w:p>
        </w:tc>
        <w:tc>
          <w:tcPr>
            <w:tcW w:w="2790" w:type="dxa"/>
          </w:tcPr>
          <w:p w:rsidR="00447A38" w:rsidRDefault="00447A38">
            <w:pPr>
              <w:jc w:val="both"/>
              <w:rPr>
                <w:rFonts w:ascii="Arial" w:hAnsi="Arial"/>
                <w:sz w:val="16"/>
                <w:highlight w:val="yellow"/>
              </w:rPr>
            </w:pPr>
          </w:p>
          <w:p w:rsidR="00447A38" w:rsidP="003E5F30" w:rsidRDefault="00B17014">
            <w:pPr>
              <w:ind w:left="70"/>
              <w:rPr>
                <w:rFonts w:ascii="Arial" w:hAnsi="Arial"/>
                <w:sz w:val="16"/>
                <w:highlight w:val="yellow"/>
              </w:rPr>
            </w:pPr>
            <w:r>
              <w:rPr>
                <w:rFonts w:ascii="Arial" w:hAnsi="Arial"/>
                <w:sz w:val="16"/>
              </w:rPr>
              <w:t xml:space="preserve">15 </w:t>
            </w:r>
            <w:r w:rsidR="00D35653">
              <w:rPr>
                <w:rFonts w:ascii="Arial" w:hAnsi="Arial"/>
                <w:sz w:val="16"/>
              </w:rPr>
              <w:t>C</w:t>
            </w:r>
            <w:r w:rsidR="00C630AE">
              <w:rPr>
                <w:rFonts w:ascii="Arial" w:hAnsi="Arial"/>
                <w:sz w:val="16"/>
              </w:rPr>
              <w:t>FR 280.300 – 280.326</w:t>
            </w:r>
          </w:p>
        </w:tc>
      </w:tr>
    </w:tbl>
    <w:p w:rsidR="00CF775F" w:rsidRDefault="00CF775F">
      <w:pPr>
        <w:jc w:val="both"/>
        <w:rPr>
          <w:rFonts w:ascii="Arial" w:hAnsi="Arial"/>
          <w:b/>
          <w:sz w:val="24"/>
        </w:rPr>
      </w:pPr>
    </w:p>
    <w:p w:rsidR="00C52AE2" w:rsidRDefault="00C52AE2">
      <w:pPr>
        <w:jc w:val="both"/>
        <w:rPr>
          <w:rFonts w:ascii="Arial" w:hAnsi="Arial"/>
          <w:b/>
          <w:sz w:val="24"/>
        </w:rPr>
      </w:pPr>
    </w:p>
    <w:p w:rsidR="00447A38" w:rsidP="0065613F" w:rsidRDefault="00093D91">
      <w:pPr>
        <w:numPr>
          <w:ilvl w:val="0"/>
          <w:numId w:val="26"/>
        </w:numPr>
        <w:tabs>
          <w:tab w:val="left" w:pos="360"/>
        </w:tabs>
        <w:jc w:val="both"/>
        <w:rPr>
          <w:rFonts w:ascii="Arial" w:hAnsi="Arial"/>
          <w:b/>
          <w:sz w:val="24"/>
        </w:rPr>
      </w:pPr>
      <w:r w:rsidRPr="00093D91">
        <w:rPr>
          <w:rFonts w:ascii="Arial" w:hAnsi="Arial"/>
          <w:b/>
          <w:sz w:val="24"/>
        </w:rPr>
        <w:t>Indicate how, by whom, and for what purpose the information is to be used. Except for a new information collection, indicate the actual use the agency has made of the information received from the current information collection.</w:t>
      </w:r>
    </w:p>
    <w:p w:rsidR="00093D91" w:rsidP="00093D91" w:rsidRDefault="00093D91">
      <w:pPr>
        <w:tabs>
          <w:tab w:val="left" w:pos="720"/>
        </w:tabs>
        <w:ind w:left="360"/>
        <w:jc w:val="both"/>
        <w:rPr>
          <w:rFonts w:ascii="Arial" w:hAnsi="Arial"/>
          <w:b/>
          <w:sz w:val="24"/>
        </w:rPr>
      </w:pPr>
    </w:p>
    <w:p w:rsidR="002B759C" w:rsidRDefault="00651DF5">
      <w:pPr>
        <w:tabs>
          <w:tab w:val="left" w:pos="720"/>
        </w:tabs>
        <w:jc w:val="both"/>
        <w:rPr>
          <w:rFonts w:ascii="Arial" w:hAnsi="Arial"/>
          <w:sz w:val="24"/>
        </w:rPr>
      </w:pPr>
      <w:r>
        <w:rPr>
          <w:rFonts w:ascii="Arial" w:hAnsi="Arial"/>
          <w:sz w:val="24"/>
        </w:rPr>
        <w:t xml:space="preserve">The public uses this information collection to comply with the insignia recordal provisions of the FQA. </w:t>
      </w:r>
      <w:r w:rsidR="00BF6371">
        <w:rPr>
          <w:rFonts w:ascii="Arial" w:hAnsi="Arial"/>
          <w:sz w:val="24"/>
        </w:rPr>
        <w:t xml:space="preserve">An applicant may choose to use either the Application for Recordal of Insignia or Renewal/Reactivation of Recordal Under the Fastener Quality Act (PTO-1611) or prepare requests for recordal using </w:t>
      </w:r>
      <w:r w:rsidR="00892680">
        <w:rPr>
          <w:rFonts w:ascii="Arial" w:hAnsi="Arial"/>
          <w:sz w:val="24"/>
        </w:rPr>
        <w:t>a</w:t>
      </w:r>
      <w:r w:rsidR="00BF6371">
        <w:rPr>
          <w:rFonts w:ascii="Arial" w:hAnsi="Arial"/>
          <w:sz w:val="24"/>
        </w:rPr>
        <w:t xml:space="preserve"> document that includes the information required by 15 CFR 280.310(b)(1)-(8).</w:t>
      </w:r>
    </w:p>
    <w:p w:rsidR="00447A38" w:rsidRDefault="00447A38">
      <w:pPr>
        <w:tabs>
          <w:tab w:val="left" w:pos="720"/>
        </w:tabs>
        <w:jc w:val="both"/>
        <w:rPr>
          <w:rFonts w:ascii="Arial" w:hAnsi="Arial"/>
          <w:sz w:val="24"/>
        </w:rPr>
      </w:pPr>
    </w:p>
    <w:p w:rsidRPr="00D6699C" w:rsidR="00D6699C" w:rsidP="00D6699C" w:rsidRDefault="00D6699C">
      <w:pPr>
        <w:tabs>
          <w:tab w:val="left" w:pos="720"/>
        </w:tabs>
        <w:jc w:val="both"/>
        <w:rPr>
          <w:rFonts w:ascii="Arial" w:hAnsi="Arial"/>
          <w:sz w:val="24"/>
        </w:rPr>
      </w:pPr>
      <w:r w:rsidRPr="00D6699C">
        <w:rPr>
          <w:rFonts w:ascii="Arial" w:hAnsi="Arial"/>
          <w:sz w:val="24"/>
        </w:rPr>
        <w:t xml:space="preserve">The information collected, maintained, and used in this </w:t>
      </w:r>
      <w:r w:rsidR="003E5F30">
        <w:rPr>
          <w:rFonts w:ascii="Arial" w:hAnsi="Arial"/>
          <w:sz w:val="24"/>
        </w:rPr>
        <w:t xml:space="preserve">information </w:t>
      </w:r>
      <w:r w:rsidRPr="00D6699C">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00447A38" w:rsidRDefault="00447A38">
      <w:pPr>
        <w:tabs>
          <w:tab w:val="left" w:pos="720"/>
        </w:tabs>
        <w:jc w:val="both"/>
        <w:rPr>
          <w:rFonts w:ascii="Arial" w:hAnsi="Arial"/>
          <w:sz w:val="24"/>
        </w:rPr>
      </w:pPr>
    </w:p>
    <w:p w:rsidR="00447A38" w:rsidRDefault="00447A38">
      <w:pPr>
        <w:tabs>
          <w:tab w:val="left" w:pos="720"/>
        </w:tabs>
        <w:jc w:val="both"/>
        <w:rPr>
          <w:rFonts w:ascii="Arial" w:hAnsi="Arial"/>
          <w:sz w:val="24"/>
        </w:rPr>
      </w:pPr>
      <w:r>
        <w:rPr>
          <w:rFonts w:ascii="Arial" w:hAnsi="Arial"/>
          <w:sz w:val="24"/>
        </w:rPr>
        <w:t xml:space="preserve">Table 2 </w:t>
      </w:r>
      <w:r w:rsidR="008E5A80">
        <w:rPr>
          <w:rFonts w:ascii="Arial" w:hAnsi="Arial"/>
          <w:sz w:val="24"/>
        </w:rPr>
        <w:t xml:space="preserve">describes how this collection of information </w:t>
      </w:r>
      <w:r>
        <w:rPr>
          <w:rFonts w:ascii="Arial" w:hAnsi="Arial"/>
          <w:sz w:val="24"/>
        </w:rPr>
        <w:t>is used</w:t>
      </w:r>
      <w:r w:rsidR="003E5F30">
        <w:rPr>
          <w:rFonts w:ascii="Arial" w:hAnsi="Arial"/>
          <w:sz w:val="24"/>
        </w:rPr>
        <w:t xml:space="preserve"> by the public and by the USPTO.</w:t>
      </w:r>
      <w:r>
        <w:rPr>
          <w:rFonts w:ascii="Arial" w:hAnsi="Arial"/>
          <w:sz w:val="24"/>
        </w:rPr>
        <w:t xml:space="preserve"> </w:t>
      </w:r>
    </w:p>
    <w:p w:rsidR="0073472D" w:rsidRDefault="0073472D">
      <w:pPr>
        <w:tabs>
          <w:tab w:val="left" w:pos="720"/>
        </w:tabs>
        <w:jc w:val="both"/>
        <w:rPr>
          <w:rFonts w:ascii="Arial" w:hAnsi="Arial"/>
          <w:sz w:val="24"/>
        </w:rPr>
      </w:pPr>
    </w:p>
    <w:p w:rsidR="00447A38" w:rsidP="001A4443" w:rsidRDefault="00447A38">
      <w:pPr>
        <w:pStyle w:val="Heading5"/>
        <w:jc w:val="both"/>
      </w:pPr>
      <w:r>
        <w:t>Table 2:  Needs and Uses of Information Collected</w:t>
      </w:r>
      <w:r w:rsidR="008E5A80">
        <w:t xml:space="preserve"> </w:t>
      </w:r>
      <w:r w:rsidR="001A4443">
        <w:t xml:space="preserve">for </w:t>
      </w:r>
      <w:r w:rsidRPr="00380D49" w:rsidR="00380D49">
        <w:t>Fastener Quality Act Insignia Recordal Process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260"/>
        <w:gridCol w:w="5220"/>
      </w:tblGrid>
      <w:tr w:rsidR="00447A38">
        <w:tblPrEx>
          <w:tblCellMar>
            <w:top w:w="0" w:type="dxa"/>
            <w:bottom w:w="0" w:type="dxa"/>
          </w:tblCellMar>
        </w:tblPrEx>
        <w:trPr>
          <w:cantSplit/>
          <w:trHeight w:val="278"/>
        </w:trPr>
        <w:tc>
          <w:tcPr>
            <w:tcW w:w="2970" w:type="dxa"/>
          </w:tcPr>
          <w:p w:rsidR="00447A38" w:rsidRDefault="00447A38">
            <w:pPr>
              <w:tabs>
                <w:tab w:val="left" w:pos="720"/>
              </w:tabs>
              <w:jc w:val="center"/>
              <w:rPr>
                <w:rFonts w:ascii="Arial" w:hAnsi="Arial"/>
                <w:b/>
                <w:sz w:val="16"/>
              </w:rPr>
            </w:pPr>
          </w:p>
          <w:p w:rsidR="00447A38" w:rsidRDefault="00447A38">
            <w:pPr>
              <w:tabs>
                <w:tab w:val="left" w:pos="720"/>
              </w:tabs>
              <w:jc w:val="center"/>
              <w:rPr>
                <w:rFonts w:ascii="Arial" w:hAnsi="Arial"/>
                <w:b/>
                <w:sz w:val="16"/>
              </w:rPr>
            </w:pPr>
            <w:r>
              <w:rPr>
                <w:rFonts w:ascii="Arial" w:hAnsi="Arial"/>
                <w:b/>
                <w:sz w:val="16"/>
              </w:rPr>
              <w:t>Form and Function</w:t>
            </w:r>
          </w:p>
        </w:tc>
        <w:tc>
          <w:tcPr>
            <w:tcW w:w="1260" w:type="dxa"/>
          </w:tcPr>
          <w:p w:rsidR="00447A38" w:rsidRDefault="00447A38">
            <w:pPr>
              <w:tabs>
                <w:tab w:val="left" w:pos="720"/>
              </w:tabs>
              <w:jc w:val="center"/>
              <w:rPr>
                <w:rFonts w:ascii="Arial" w:hAnsi="Arial"/>
                <w:b/>
                <w:sz w:val="16"/>
              </w:rPr>
            </w:pPr>
          </w:p>
          <w:p w:rsidR="00447A38" w:rsidRDefault="000B121C">
            <w:pPr>
              <w:tabs>
                <w:tab w:val="left" w:pos="720"/>
              </w:tabs>
              <w:jc w:val="center"/>
              <w:rPr>
                <w:rFonts w:ascii="Arial" w:hAnsi="Arial"/>
                <w:b/>
                <w:sz w:val="16"/>
              </w:rPr>
            </w:pPr>
            <w:r>
              <w:rPr>
                <w:rFonts w:ascii="Arial" w:hAnsi="Arial"/>
                <w:b/>
                <w:sz w:val="16"/>
              </w:rPr>
              <w:t>Form No.</w:t>
            </w:r>
          </w:p>
        </w:tc>
        <w:tc>
          <w:tcPr>
            <w:tcW w:w="5220" w:type="dxa"/>
          </w:tcPr>
          <w:p w:rsidR="00447A38" w:rsidRDefault="00447A38">
            <w:pPr>
              <w:tabs>
                <w:tab w:val="left" w:pos="720"/>
              </w:tabs>
              <w:jc w:val="center"/>
              <w:rPr>
                <w:rFonts w:ascii="Arial" w:hAnsi="Arial"/>
                <w:b/>
                <w:sz w:val="16"/>
              </w:rPr>
            </w:pPr>
          </w:p>
          <w:p w:rsidR="00447A38" w:rsidRDefault="00447A38">
            <w:pPr>
              <w:tabs>
                <w:tab w:val="left" w:pos="720"/>
              </w:tabs>
              <w:jc w:val="center"/>
              <w:rPr>
                <w:rFonts w:ascii="Arial" w:hAnsi="Arial"/>
                <w:b/>
                <w:sz w:val="16"/>
              </w:rPr>
            </w:pPr>
            <w:r>
              <w:rPr>
                <w:rFonts w:ascii="Arial" w:hAnsi="Arial"/>
                <w:b/>
                <w:sz w:val="16"/>
              </w:rPr>
              <w:t>Needs and Uses</w:t>
            </w:r>
          </w:p>
        </w:tc>
      </w:tr>
      <w:tr w:rsidR="00447A38">
        <w:tblPrEx>
          <w:tblCellMar>
            <w:top w:w="0" w:type="dxa"/>
            <w:bottom w:w="0" w:type="dxa"/>
          </w:tblCellMar>
        </w:tblPrEx>
        <w:trPr>
          <w:cantSplit/>
        </w:trPr>
        <w:tc>
          <w:tcPr>
            <w:tcW w:w="2970" w:type="dxa"/>
          </w:tcPr>
          <w:p w:rsidR="00447A38" w:rsidRDefault="00447A38">
            <w:pPr>
              <w:tabs>
                <w:tab w:val="left" w:pos="720"/>
              </w:tabs>
              <w:rPr>
                <w:rFonts w:ascii="Arial" w:hAnsi="Arial"/>
                <w:sz w:val="16"/>
              </w:rPr>
            </w:pPr>
          </w:p>
          <w:p w:rsidR="00447A38" w:rsidP="00A25B7B" w:rsidRDefault="00A25B7B">
            <w:pPr>
              <w:rPr>
                <w:rFonts w:ascii="Arial" w:hAnsi="Arial"/>
                <w:sz w:val="16"/>
              </w:rPr>
            </w:pPr>
            <w:r>
              <w:rPr>
                <w:rFonts w:ascii="Arial" w:hAnsi="Arial"/>
                <w:sz w:val="16"/>
              </w:rPr>
              <w:t>Application for Recordal of Insignia or Renewal/Reactivation of Recordal Under the Fastener Quality Act</w:t>
            </w:r>
          </w:p>
          <w:p w:rsidR="00447A38" w:rsidRDefault="00447A38">
            <w:pPr>
              <w:tabs>
                <w:tab w:val="left" w:pos="720"/>
              </w:tabs>
              <w:rPr>
                <w:rFonts w:ascii="Arial" w:hAnsi="Arial"/>
                <w:sz w:val="16"/>
              </w:rPr>
            </w:pPr>
          </w:p>
        </w:tc>
        <w:tc>
          <w:tcPr>
            <w:tcW w:w="1260" w:type="dxa"/>
          </w:tcPr>
          <w:p w:rsidR="00447A38" w:rsidRDefault="00447A38">
            <w:pPr>
              <w:tabs>
                <w:tab w:val="left" w:pos="720"/>
              </w:tabs>
              <w:jc w:val="center"/>
              <w:rPr>
                <w:rFonts w:ascii="Arial" w:hAnsi="Arial"/>
                <w:sz w:val="16"/>
                <w:highlight w:val="yellow"/>
              </w:rPr>
            </w:pPr>
          </w:p>
          <w:p w:rsidR="00447A38" w:rsidRDefault="00A25B7B">
            <w:pPr>
              <w:tabs>
                <w:tab w:val="left" w:pos="720"/>
              </w:tabs>
              <w:jc w:val="center"/>
              <w:rPr>
                <w:rFonts w:ascii="Arial" w:hAnsi="Arial"/>
                <w:sz w:val="16"/>
                <w:highlight w:val="yellow"/>
              </w:rPr>
            </w:pPr>
            <w:r>
              <w:rPr>
                <w:rFonts w:ascii="Arial" w:hAnsi="Arial"/>
                <w:sz w:val="16"/>
              </w:rPr>
              <w:t>PTO-1611</w:t>
            </w:r>
          </w:p>
        </w:tc>
        <w:tc>
          <w:tcPr>
            <w:tcW w:w="5220" w:type="dxa"/>
          </w:tcPr>
          <w:p w:rsidR="00447A38" w:rsidRDefault="00447A38">
            <w:pPr>
              <w:tabs>
                <w:tab w:val="left" w:pos="720"/>
              </w:tabs>
              <w:rPr>
                <w:rFonts w:ascii="Arial" w:hAnsi="Arial"/>
                <w:sz w:val="16"/>
              </w:rPr>
            </w:pPr>
          </w:p>
          <w:p w:rsidRPr="000B121C" w:rsidR="00F32411" w:rsidP="000B121C" w:rsidRDefault="00A25B7B">
            <w:pPr>
              <w:numPr>
                <w:ilvl w:val="0"/>
                <w:numId w:val="1"/>
              </w:numPr>
              <w:tabs>
                <w:tab w:val="clear" w:pos="360"/>
                <w:tab w:val="num" w:pos="252"/>
                <w:tab w:val="left" w:pos="720"/>
              </w:tabs>
              <w:ind w:left="252" w:hanging="252"/>
              <w:rPr>
                <w:rFonts w:ascii="Arial" w:hAnsi="Arial"/>
                <w:sz w:val="16"/>
              </w:rPr>
            </w:pPr>
            <w:r>
              <w:rPr>
                <w:rFonts w:ascii="Arial" w:hAnsi="Arial"/>
                <w:sz w:val="16"/>
              </w:rPr>
              <w:t>Used by manufacturers of certain types of industrial fasteners to apply to</w:t>
            </w:r>
            <w:r w:rsidR="000B121C">
              <w:rPr>
                <w:rFonts w:ascii="Arial" w:hAnsi="Arial"/>
                <w:sz w:val="16"/>
              </w:rPr>
              <w:t>, renew, or reactiviate</w:t>
            </w:r>
            <w:r>
              <w:rPr>
                <w:rFonts w:ascii="Arial" w:hAnsi="Arial"/>
                <w:sz w:val="16"/>
              </w:rPr>
              <w:t xml:space="preserve"> the USPTO for recordal of fastener insignia.</w:t>
            </w:r>
            <w:r w:rsidRPr="000B121C" w:rsidR="00F32411">
              <w:rPr>
                <w:rFonts w:ascii="Arial" w:hAnsi="Arial"/>
                <w:sz w:val="16"/>
              </w:rPr>
              <w:t xml:space="preserve">  </w:t>
            </w:r>
          </w:p>
          <w:p w:rsidR="00A25B7B" w:rsidP="00447A38" w:rsidRDefault="00A25B7B">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process the information needed to issue</w:t>
            </w:r>
            <w:r w:rsidR="007E0AE3">
              <w:rPr>
                <w:rFonts w:ascii="Arial" w:hAnsi="Arial"/>
                <w:sz w:val="16"/>
              </w:rPr>
              <w:t>,</w:t>
            </w:r>
            <w:r>
              <w:rPr>
                <w:rFonts w:ascii="Arial" w:hAnsi="Arial"/>
                <w:sz w:val="16"/>
              </w:rPr>
              <w:t xml:space="preserve"> renew</w:t>
            </w:r>
            <w:r w:rsidR="007E0AE3">
              <w:rPr>
                <w:rFonts w:ascii="Arial" w:hAnsi="Arial"/>
                <w:sz w:val="16"/>
              </w:rPr>
              <w:t>, or reactivate</w:t>
            </w:r>
            <w:r>
              <w:rPr>
                <w:rFonts w:ascii="Arial" w:hAnsi="Arial"/>
                <w:sz w:val="16"/>
              </w:rPr>
              <w:t xml:space="preserve"> fastener insignia </w:t>
            </w:r>
            <w:r w:rsidR="00BF6371">
              <w:rPr>
                <w:rFonts w:ascii="Arial" w:hAnsi="Arial"/>
                <w:sz w:val="16"/>
              </w:rPr>
              <w:t>Certificat</w:t>
            </w:r>
            <w:r w:rsidR="00892680">
              <w:rPr>
                <w:rFonts w:ascii="Arial" w:hAnsi="Arial"/>
                <w:sz w:val="16"/>
              </w:rPr>
              <w:t>es</w:t>
            </w:r>
            <w:r w:rsidR="00BF6371">
              <w:rPr>
                <w:rFonts w:ascii="Arial" w:hAnsi="Arial"/>
                <w:sz w:val="16"/>
              </w:rPr>
              <w:t xml:space="preserve"> of R</w:t>
            </w:r>
            <w:r>
              <w:rPr>
                <w:rFonts w:ascii="Arial" w:hAnsi="Arial"/>
                <w:sz w:val="16"/>
              </w:rPr>
              <w:t>ecordal.</w:t>
            </w:r>
          </w:p>
          <w:p w:rsidR="00447A38" w:rsidP="00447A38" w:rsidRDefault="00A25B7B">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w:t>
            </w:r>
            <w:r w:rsidR="0015799B">
              <w:rPr>
                <w:rFonts w:ascii="Arial" w:hAnsi="Arial"/>
                <w:sz w:val="16"/>
              </w:rPr>
              <w:t xml:space="preserve"> to establish and maintain the F</w:t>
            </w:r>
            <w:r>
              <w:rPr>
                <w:rFonts w:ascii="Arial" w:hAnsi="Arial"/>
                <w:sz w:val="16"/>
              </w:rPr>
              <w:t xml:space="preserve">astener </w:t>
            </w:r>
            <w:r w:rsidR="0015799B">
              <w:rPr>
                <w:rFonts w:ascii="Arial" w:hAnsi="Arial"/>
                <w:sz w:val="16"/>
              </w:rPr>
              <w:t>Insignia R</w:t>
            </w:r>
            <w:r>
              <w:rPr>
                <w:rFonts w:ascii="Arial" w:hAnsi="Arial"/>
                <w:sz w:val="16"/>
              </w:rPr>
              <w:t>egistry.</w:t>
            </w:r>
            <w:r w:rsidR="00447A38">
              <w:rPr>
                <w:rFonts w:ascii="Arial" w:hAnsi="Arial"/>
                <w:sz w:val="16"/>
              </w:rPr>
              <w:t xml:space="preserve">    </w:t>
            </w:r>
          </w:p>
        </w:tc>
      </w:tr>
    </w:tbl>
    <w:p w:rsidR="00953523" w:rsidRDefault="00953523">
      <w:pPr>
        <w:tabs>
          <w:tab w:val="left" w:pos="720"/>
        </w:tabs>
        <w:jc w:val="both"/>
        <w:rPr>
          <w:rFonts w:ascii="Arial" w:hAnsi="Arial"/>
          <w:sz w:val="24"/>
        </w:rPr>
      </w:pPr>
    </w:p>
    <w:p w:rsidR="00C52AE2" w:rsidRDefault="00C52AE2">
      <w:pPr>
        <w:tabs>
          <w:tab w:val="left" w:pos="720"/>
        </w:tabs>
        <w:jc w:val="both"/>
        <w:rPr>
          <w:rFonts w:ascii="Arial" w:hAnsi="Arial"/>
          <w:sz w:val="24"/>
        </w:rPr>
      </w:pPr>
    </w:p>
    <w:p w:rsidRPr="00CD4B70" w:rsidR="00CD4B70" w:rsidP="0065613F" w:rsidRDefault="00CD4B70">
      <w:pPr>
        <w:numPr>
          <w:ilvl w:val="0"/>
          <w:numId w:val="26"/>
        </w:numPr>
        <w:rPr>
          <w:rFonts w:ascii="Arial" w:hAnsi="Arial"/>
          <w:b/>
          <w:sz w:val="24"/>
        </w:rPr>
      </w:pPr>
      <w:r w:rsidRPr="00CD4B70">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447A38" w:rsidRDefault="00447A38">
      <w:pPr>
        <w:tabs>
          <w:tab w:val="left" w:pos="720"/>
        </w:tabs>
        <w:jc w:val="both"/>
        <w:rPr>
          <w:rFonts w:ascii="Arial" w:hAnsi="Arial"/>
          <w:sz w:val="24"/>
        </w:rPr>
      </w:pPr>
    </w:p>
    <w:p w:rsidR="0004225A" w:rsidRDefault="00CA7109">
      <w:pPr>
        <w:pStyle w:val="BodyText2"/>
        <w:tabs>
          <w:tab w:val="left" w:pos="720"/>
        </w:tabs>
      </w:pPr>
      <w:r>
        <w:t xml:space="preserve">Currently, </w:t>
      </w:r>
      <w:r w:rsidR="00B97A49">
        <w:t xml:space="preserve">trademark applicants and registrants are required to file all submissions </w:t>
      </w:r>
      <w:r w:rsidR="00A41068">
        <w:t xml:space="preserve">related to a trademark application or registration </w:t>
      </w:r>
      <w:r w:rsidRPr="00CA7109">
        <w:t>electronically</w:t>
      </w:r>
      <w:r w:rsidRPr="00CA7109" w:rsidDel="00CA7109">
        <w:t xml:space="preserve"> </w:t>
      </w:r>
      <w:r>
        <w:t>using t</w:t>
      </w:r>
      <w:r w:rsidR="0004225A">
        <w:t>he USPTO’s Trademark Electronic Application System (TEAS)</w:t>
      </w:r>
      <w:r w:rsidR="00B97A49">
        <w:t>, with limited exceptions.</w:t>
      </w:r>
      <w:r w:rsidR="00666957">
        <w:t xml:space="preserve"> </w:t>
      </w:r>
      <w:r w:rsidR="00C91C75">
        <w:t xml:space="preserve">As a result, </w:t>
      </w:r>
      <w:r w:rsidR="005D4A7D">
        <w:t xml:space="preserve">USPTO customers are accustomed to filing a variety of documents electronically and consider the use of paper forms for their FQA filings to be tedious and time consuming.  </w:t>
      </w:r>
      <w:r w:rsidR="00A31D25">
        <w:t>D</w:t>
      </w:r>
      <w:r w:rsidR="005D4A7D">
        <w:t xml:space="preserve">eveloping a system </w:t>
      </w:r>
      <w:r w:rsidR="00A41068">
        <w:t xml:space="preserve">similar to TEAS </w:t>
      </w:r>
      <w:r w:rsidR="005D4A7D">
        <w:t>for FQA filings wo</w:t>
      </w:r>
      <w:r w:rsidR="007E0AE3">
        <w:t>uld not be a cost-</w:t>
      </w:r>
      <w:r w:rsidR="005D4A7D">
        <w:t>effective method given the comparatively small number of annual F</w:t>
      </w:r>
      <w:r w:rsidR="00C92AE0">
        <w:t>QA</w:t>
      </w:r>
      <w:r w:rsidR="005D4A7D">
        <w:t xml:space="preserve"> filings versus trademark filings</w:t>
      </w:r>
      <w:r w:rsidR="00F32411">
        <w:t xml:space="preserve">. </w:t>
      </w:r>
      <w:r w:rsidR="00A31D25">
        <w:t xml:space="preserve">However, the </w:t>
      </w:r>
      <w:r w:rsidR="00F32411">
        <w:t xml:space="preserve">USPTO does allow </w:t>
      </w:r>
      <w:r w:rsidR="00A31D25">
        <w:t xml:space="preserve">submission of </w:t>
      </w:r>
      <w:r w:rsidRPr="00A31D25" w:rsidR="00A31D25">
        <w:t xml:space="preserve">electronically completed portable document format (PDF) versions of the FQA form </w:t>
      </w:r>
      <w:r w:rsidR="00A31D25">
        <w:t>via an email box at TMFQA@uspto.gov.</w:t>
      </w:r>
    </w:p>
    <w:p w:rsidR="0004225A" w:rsidRDefault="0004225A">
      <w:pPr>
        <w:pStyle w:val="BodyText2"/>
        <w:tabs>
          <w:tab w:val="left" w:pos="720"/>
        </w:tabs>
      </w:pPr>
    </w:p>
    <w:p w:rsidR="0004225A" w:rsidRDefault="00A41068">
      <w:pPr>
        <w:pStyle w:val="BodyText2"/>
        <w:tabs>
          <w:tab w:val="left" w:pos="720"/>
        </w:tabs>
      </w:pPr>
      <w:r>
        <w:t xml:space="preserve">Filing FQA submission using the email box provides several advantages. </w:t>
      </w:r>
      <w:r w:rsidR="002056BD">
        <w:t xml:space="preserve">First, </w:t>
      </w:r>
      <w:r w:rsidR="00CA7109">
        <w:t xml:space="preserve">when </w:t>
      </w:r>
      <w:r w:rsidRPr="00CA7109" w:rsidR="00CA7109">
        <w:t>the USPTO receives forms tha</w:t>
      </w:r>
      <w:r w:rsidR="00CA7109">
        <w:t xml:space="preserve">t were completed by hand, </w:t>
      </w:r>
      <w:r w:rsidRPr="00CA7109" w:rsidR="00CA7109">
        <w:t>they are often difficult to read</w:t>
      </w:r>
      <w:r w:rsidR="00CA7109">
        <w:t xml:space="preserve">. </w:t>
      </w:r>
      <w:r w:rsidRPr="00CA7109" w:rsidR="00CA7109">
        <w:t xml:space="preserve"> </w:t>
      </w:r>
      <w:r w:rsidR="00CA7109">
        <w:t>B</w:t>
      </w:r>
      <w:r w:rsidR="000B121C">
        <w:t>y allowing users to complete</w:t>
      </w:r>
      <w:r w:rsidR="00CA7109">
        <w:t xml:space="preserve"> and submit </w:t>
      </w:r>
      <w:r w:rsidR="002056BD">
        <w:t xml:space="preserve">the forms electronically, fewer errors in transcription of the data will be made. </w:t>
      </w:r>
      <w:r w:rsidR="00410914">
        <w:t>Further</w:t>
      </w:r>
      <w:r w:rsidR="002056BD">
        <w:t>, by allowing the completed forms to be sent via email, there is less likelihood of the form being misrouted or lost</w:t>
      </w:r>
      <w:r w:rsidR="00CA7109">
        <w:t>.</w:t>
      </w:r>
      <w:r w:rsidR="002056BD">
        <w:t xml:space="preserve">  </w:t>
      </w:r>
      <w:r w:rsidR="00410914">
        <w:t>I</w:t>
      </w:r>
      <w:r w:rsidR="006D12A0">
        <w:t xml:space="preserve">nternational manufacturers can </w:t>
      </w:r>
      <w:r w:rsidR="00410914">
        <w:t xml:space="preserve">also </w:t>
      </w:r>
      <w:r w:rsidR="006D12A0">
        <w:t>use email to avoid postal delays and the higher costs associa</w:t>
      </w:r>
      <w:r w:rsidR="00125C1A">
        <w:t>ted with international postage.</w:t>
      </w:r>
      <w:r w:rsidR="006D12A0">
        <w:t xml:space="preserve"> </w:t>
      </w:r>
      <w:r w:rsidR="002056BD">
        <w:t xml:space="preserve">Finally, the current modifications to the form will allow for more efficient development </w:t>
      </w:r>
      <w:r w:rsidR="00666135">
        <w:t xml:space="preserve">of an electronic submission system </w:t>
      </w:r>
      <w:r w:rsidR="002056BD">
        <w:t xml:space="preserve">in the future. Use of a fillable form for entering data will enable the USPTO to establish field-specific data capture, which will eventually be used to automatically transfer the data to the corresponding database and eliminate the process of manually entering the </w:t>
      </w:r>
      <w:r w:rsidR="00125C1A">
        <w:t>new applications one at a time.</w:t>
      </w:r>
      <w:r w:rsidR="002056BD">
        <w:t xml:space="preserve"> Presently, a clerk must enter each field of data into a database, which repeats work done by the customer and potentially leads to errors.</w:t>
      </w:r>
    </w:p>
    <w:p w:rsidR="00447A38" w:rsidRDefault="00447A38">
      <w:pPr>
        <w:pStyle w:val="BodyText2"/>
        <w:tabs>
          <w:tab w:val="left" w:pos="720"/>
        </w:tabs>
      </w:pPr>
    </w:p>
    <w:p w:rsidR="00C52AE2" w:rsidRDefault="00C52AE2">
      <w:pPr>
        <w:pStyle w:val="BodyText2"/>
        <w:tabs>
          <w:tab w:val="left" w:pos="720"/>
        </w:tabs>
      </w:pPr>
    </w:p>
    <w:p w:rsidR="00447A38" w:rsidP="0065613F" w:rsidRDefault="00CD4B70">
      <w:pPr>
        <w:numPr>
          <w:ilvl w:val="0"/>
          <w:numId w:val="26"/>
        </w:numPr>
        <w:tabs>
          <w:tab w:val="left" w:pos="360"/>
        </w:tabs>
        <w:jc w:val="both"/>
        <w:rPr>
          <w:rFonts w:ascii="Arial" w:hAnsi="Arial"/>
          <w:sz w:val="24"/>
        </w:rPr>
      </w:pPr>
      <w:r w:rsidRPr="00CD4B70">
        <w:rPr>
          <w:rFonts w:ascii="Arial" w:hAnsi="Arial"/>
          <w:b/>
          <w:sz w:val="24"/>
        </w:rPr>
        <w:t>Describe efforts to identify duplication. Show specifically why any similar information already available cannot be used or modified for use for the purposes described in Item 2 above.</w:t>
      </w:r>
    </w:p>
    <w:p w:rsidR="00447A38" w:rsidRDefault="00447A38">
      <w:pPr>
        <w:tabs>
          <w:tab w:val="left" w:pos="720"/>
        </w:tabs>
        <w:jc w:val="both"/>
        <w:rPr>
          <w:rFonts w:ascii="Arial" w:hAnsi="Arial"/>
          <w:sz w:val="24"/>
        </w:rPr>
      </w:pPr>
    </w:p>
    <w:p w:rsidR="00447A38" w:rsidRDefault="00116D61">
      <w:pPr>
        <w:tabs>
          <w:tab w:val="left" w:pos="720"/>
        </w:tabs>
        <w:jc w:val="both"/>
        <w:rPr>
          <w:rFonts w:ascii="Arial" w:hAnsi="Arial"/>
          <w:sz w:val="24"/>
        </w:rPr>
      </w:pPr>
      <w:r>
        <w:rPr>
          <w:rFonts w:ascii="Arial" w:hAnsi="Arial"/>
          <w:sz w:val="24"/>
        </w:rPr>
        <w:t>Th</w:t>
      </w:r>
      <w:r w:rsidR="002E1E1D">
        <w:rPr>
          <w:rFonts w:ascii="Arial" w:hAnsi="Arial"/>
          <w:sz w:val="24"/>
        </w:rPr>
        <w:t xml:space="preserve">is information is collected </w:t>
      </w:r>
      <w:r>
        <w:rPr>
          <w:rFonts w:ascii="Arial" w:hAnsi="Arial"/>
          <w:sz w:val="24"/>
        </w:rPr>
        <w:t>only when a manufacturer requests that the USPTO record or renew a fastener insignia. This information is not collected elsewhere and does not result in a duplication of effort.</w:t>
      </w:r>
    </w:p>
    <w:p w:rsidR="00447A38" w:rsidRDefault="00447A38">
      <w:pPr>
        <w:tabs>
          <w:tab w:val="left" w:pos="720"/>
        </w:tabs>
        <w:jc w:val="both"/>
        <w:rPr>
          <w:rFonts w:ascii="Arial" w:hAnsi="Arial"/>
          <w:sz w:val="24"/>
        </w:rPr>
      </w:pPr>
    </w:p>
    <w:p w:rsidR="00C52AE2" w:rsidRDefault="00C52AE2">
      <w:pPr>
        <w:tabs>
          <w:tab w:val="left" w:pos="720"/>
        </w:tabs>
        <w:jc w:val="both"/>
        <w:rPr>
          <w:rFonts w:ascii="Arial" w:hAnsi="Arial"/>
          <w:sz w:val="24"/>
        </w:rPr>
      </w:pPr>
    </w:p>
    <w:p w:rsidR="00447A38" w:rsidP="0065613F" w:rsidRDefault="00CD4B70">
      <w:pPr>
        <w:numPr>
          <w:ilvl w:val="0"/>
          <w:numId w:val="26"/>
        </w:numPr>
        <w:ind w:hanging="450"/>
        <w:jc w:val="both"/>
        <w:rPr>
          <w:rFonts w:ascii="Arial" w:hAnsi="Arial"/>
          <w:b/>
          <w:sz w:val="24"/>
        </w:rPr>
      </w:pPr>
      <w:r w:rsidRPr="00CD4B70">
        <w:rPr>
          <w:rFonts w:ascii="Arial" w:hAnsi="Arial" w:cs="Arial"/>
          <w:b/>
          <w:sz w:val="24"/>
          <w:szCs w:val="24"/>
        </w:rPr>
        <w:t>If the collection of information impacts small businesses or other small entities, describe any methods used to minimize burden.</w:t>
      </w:r>
    </w:p>
    <w:p w:rsidR="00447A38" w:rsidRDefault="00447A38">
      <w:pPr>
        <w:jc w:val="both"/>
        <w:rPr>
          <w:rFonts w:ascii="Arial" w:hAnsi="Arial"/>
          <w:b/>
          <w:sz w:val="24"/>
        </w:rPr>
      </w:pPr>
    </w:p>
    <w:p w:rsidR="00447A38" w:rsidRDefault="00BC6D07">
      <w:pPr>
        <w:jc w:val="both"/>
        <w:rPr>
          <w:rFonts w:ascii="Arial" w:hAnsi="Arial"/>
          <w:sz w:val="24"/>
        </w:rPr>
      </w:pPr>
      <w:r>
        <w:rPr>
          <w:rFonts w:ascii="Arial" w:hAnsi="Arial"/>
          <w:sz w:val="24"/>
        </w:rPr>
        <w:t xml:space="preserve">This </w:t>
      </w:r>
      <w:r w:rsidR="000B121C">
        <w:rPr>
          <w:rFonts w:ascii="Arial" w:hAnsi="Arial"/>
          <w:sz w:val="24"/>
        </w:rPr>
        <w:t xml:space="preserve">information </w:t>
      </w:r>
      <w:r>
        <w:rPr>
          <w:rFonts w:ascii="Arial" w:hAnsi="Arial"/>
          <w:sz w:val="24"/>
        </w:rPr>
        <w:t xml:space="preserve">collection does not impose a significant economic impact on small entities or small businesses. Only manufacturers of certain fasteners that are covered under the FQA are required to respond to this </w:t>
      </w:r>
      <w:r w:rsidR="000B121C">
        <w:rPr>
          <w:rFonts w:ascii="Arial" w:hAnsi="Arial"/>
          <w:sz w:val="24"/>
        </w:rPr>
        <w:t xml:space="preserve">information </w:t>
      </w:r>
      <w:r>
        <w:rPr>
          <w:rFonts w:ascii="Arial" w:hAnsi="Arial"/>
          <w:sz w:val="24"/>
        </w:rPr>
        <w:t>collection. This information is not available from any other source. The same information is required from every manufacturer who requests the recordal or renewal of a fastener insignia.</w:t>
      </w:r>
    </w:p>
    <w:p w:rsidR="00447A38" w:rsidRDefault="00447A38">
      <w:pPr>
        <w:jc w:val="both"/>
        <w:rPr>
          <w:rFonts w:ascii="Arial" w:hAnsi="Arial"/>
          <w:sz w:val="24"/>
        </w:rPr>
      </w:pPr>
    </w:p>
    <w:p w:rsidR="00CD4B70" w:rsidP="00CD4B70" w:rsidRDefault="00CD4B70">
      <w:pPr>
        <w:pStyle w:val="NoSpacing"/>
        <w:numPr>
          <w:ilvl w:val="0"/>
          <w:numId w:val="26"/>
        </w:numPr>
        <w:jc w:val="both"/>
        <w:rPr>
          <w:rFonts w:ascii="Arial" w:hAnsi="Arial" w:cs="Arial"/>
          <w:sz w:val="24"/>
        </w:rPr>
      </w:pPr>
      <w:r w:rsidRPr="006F5583">
        <w:rPr>
          <w:rFonts w:ascii="Arial" w:hAnsi="Arial" w:cs="Arial"/>
          <w:b/>
          <w:sz w:val="24"/>
        </w:rPr>
        <w:t xml:space="preserve">Describe the consequence to Federal program or policy activities if the </w:t>
      </w:r>
      <w:r>
        <w:rPr>
          <w:rFonts w:ascii="Arial" w:hAnsi="Arial" w:cs="Arial"/>
          <w:b/>
          <w:sz w:val="24"/>
        </w:rPr>
        <w:t xml:space="preserve">information </w:t>
      </w:r>
      <w:r w:rsidRPr="006F5583">
        <w:rPr>
          <w:rFonts w:ascii="Arial" w:hAnsi="Arial" w:cs="Arial"/>
          <w:b/>
          <w:sz w:val="24"/>
        </w:rPr>
        <w:t>collection is not conducted or is conducted less frequently, as well as any technical or legal obstacles to reducing burden.</w:t>
      </w:r>
    </w:p>
    <w:p w:rsidR="00447A38" w:rsidRDefault="00447A38">
      <w:pPr>
        <w:jc w:val="both"/>
        <w:rPr>
          <w:rFonts w:ascii="Arial" w:hAnsi="Arial"/>
          <w:sz w:val="24"/>
        </w:rPr>
      </w:pPr>
    </w:p>
    <w:p w:rsidR="00447A38" w:rsidRDefault="00BC6D07">
      <w:pPr>
        <w:jc w:val="both"/>
        <w:rPr>
          <w:rFonts w:ascii="Arial" w:hAnsi="Arial"/>
          <w:sz w:val="24"/>
        </w:rPr>
      </w:pPr>
      <w:r>
        <w:rPr>
          <w:rFonts w:ascii="Arial" w:hAnsi="Arial"/>
          <w:sz w:val="24"/>
        </w:rPr>
        <w:t>This information is collected only when a manu</w:t>
      </w:r>
      <w:r w:rsidR="007E0AE3">
        <w:rPr>
          <w:rFonts w:ascii="Arial" w:hAnsi="Arial"/>
          <w:sz w:val="24"/>
        </w:rPr>
        <w:t>facturer applies for recordal,</w:t>
      </w:r>
      <w:r>
        <w:rPr>
          <w:rFonts w:ascii="Arial" w:hAnsi="Arial"/>
          <w:sz w:val="24"/>
        </w:rPr>
        <w:t xml:space="preserve"> renewal</w:t>
      </w:r>
      <w:r w:rsidR="007E0AE3">
        <w:rPr>
          <w:rFonts w:ascii="Arial" w:hAnsi="Arial"/>
          <w:sz w:val="24"/>
        </w:rPr>
        <w:t>, or reactivation</w:t>
      </w:r>
      <w:r>
        <w:rPr>
          <w:rFonts w:ascii="Arial" w:hAnsi="Arial"/>
          <w:sz w:val="24"/>
        </w:rPr>
        <w:t xml:space="preserve"> of a fastener insignia and is not found elsewhere. If this information were not collected, the manufacturers and the USPTO would be unable to comply with the regulations implementing the FQA. Renewal of the Certificate of</w:t>
      </w:r>
      <w:r w:rsidR="000B121C">
        <w:rPr>
          <w:rFonts w:ascii="Arial" w:hAnsi="Arial"/>
          <w:sz w:val="24"/>
        </w:rPr>
        <w:t xml:space="preserve"> Recordal is required every 5</w:t>
      </w:r>
      <w:r>
        <w:rPr>
          <w:rFonts w:ascii="Arial" w:hAnsi="Arial"/>
          <w:sz w:val="24"/>
        </w:rPr>
        <w:t xml:space="preserve"> years and reactivation is required when ownership of a recorded alphanumeric designation is assigned to another entity. This collection of information could not be conducted less frequently. Less frequent collection would result in inaccurate or obsolete information in the fastener insignia registry.</w:t>
      </w:r>
      <w:r w:rsidR="00447A38">
        <w:rPr>
          <w:rFonts w:ascii="Arial" w:hAnsi="Arial"/>
          <w:sz w:val="24"/>
        </w:rPr>
        <w:t xml:space="preserve">  </w:t>
      </w:r>
    </w:p>
    <w:p w:rsidR="00447A38" w:rsidRDefault="00447A38">
      <w:pPr>
        <w:jc w:val="both"/>
        <w:rPr>
          <w:rFonts w:ascii="Arial" w:hAnsi="Arial"/>
          <w:sz w:val="24"/>
        </w:rPr>
      </w:pPr>
    </w:p>
    <w:p w:rsidR="00C52AE2" w:rsidRDefault="00C52AE2">
      <w:pPr>
        <w:jc w:val="both"/>
        <w:rPr>
          <w:rFonts w:ascii="Arial" w:hAnsi="Arial"/>
          <w:sz w:val="24"/>
        </w:rPr>
      </w:pPr>
    </w:p>
    <w:p w:rsidRPr="006F5583" w:rsidR="00CD4B70" w:rsidP="00CD4B70" w:rsidRDefault="00CD4B70">
      <w:pPr>
        <w:pStyle w:val="NoSpacing"/>
        <w:numPr>
          <w:ilvl w:val="0"/>
          <w:numId w:val="26"/>
        </w:numPr>
        <w:jc w:val="both"/>
        <w:rPr>
          <w:rFonts w:ascii="Arial" w:hAnsi="Arial" w:cs="Arial"/>
          <w:b/>
          <w:sz w:val="24"/>
        </w:rPr>
      </w:pPr>
      <w:r w:rsidRPr="006F5583">
        <w:rPr>
          <w:rFonts w:ascii="Arial" w:hAnsi="Arial" w:cs="Arial"/>
          <w:b/>
          <w:sz w:val="24"/>
        </w:rPr>
        <w:t>Explain any special circumstances that would cause an information collection to be conducted in a manner:</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report information to the agency more often than quarterly;</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prepare a written response to a collection of information in fewer than 30 days after receipt of it;</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submit more than an original and two copies of any document;</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respondents to retain records, other than health, medical, government contract, grant-in-aid, or tax records, for more than three years;</w:t>
      </w:r>
    </w:p>
    <w:p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in connection with a statistical survey, that is not designed to produce valid and reliable results that can be generalized to the universe of study;</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requiring the use of a statistical data classification that has not been reviewed and approved by OMB;</w:t>
      </w:r>
    </w:p>
    <w:p w:rsidRPr="006F5583" w:rsidR="00CD4B70" w:rsidP="00CD4B70" w:rsidRDefault="00CD4B70">
      <w:pPr>
        <w:pStyle w:val="NoSpacing"/>
        <w:numPr>
          <w:ilvl w:val="0"/>
          <w:numId w:val="27"/>
        </w:numPr>
        <w:jc w:val="both"/>
        <w:rPr>
          <w:rFonts w:ascii="Arial" w:hAnsi="Arial" w:cs="Arial"/>
          <w:b/>
          <w:sz w:val="24"/>
        </w:rPr>
      </w:pPr>
      <w:r w:rsidRPr="006F5583">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D4B70" w:rsidP="00CD4B70" w:rsidRDefault="00CD4B70">
      <w:pPr>
        <w:pStyle w:val="NoSpacing"/>
        <w:numPr>
          <w:ilvl w:val="0"/>
          <w:numId w:val="27"/>
        </w:numPr>
        <w:jc w:val="both"/>
        <w:rPr>
          <w:rFonts w:ascii="Arial" w:hAnsi="Arial" w:cs="Arial"/>
          <w:sz w:val="24"/>
        </w:rPr>
      </w:pPr>
      <w:r w:rsidRPr="006F5583">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00447A38" w:rsidRDefault="00447A38">
      <w:pPr>
        <w:jc w:val="both"/>
        <w:rPr>
          <w:rFonts w:ascii="Arial" w:hAnsi="Arial"/>
          <w:sz w:val="24"/>
        </w:rPr>
      </w:pPr>
    </w:p>
    <w:p w:rsidR="00447A38" w:rsidRDefault="00447A38">
      <w:pPr>
        <w:pStyle w:val="BodyText2"/>
      </w:pPr>
      <w:r>
        <w:t>There are no special circumstances associated with this collection of information.</w:t>
      </w:r>
    </w:p>
    <w:p w:rsidR="00447A38" w:rsidRDefault="00447A38">
      <w:pPr>
        <w:pStyle w:val="BodyText2"/>
      </w:pPr>
    </w:p>
    <w:p w:rsidR="00C52AE2" w:rsidRDefault="00C52AE2">
      <w:pPr>
        <w:pStyle w:val="BodyText2"/>
      </w:pPr>
    </w:p>
    <w:p w:rsidRPr="00CD4B70" w:rsidR="00CD4B70" w:rsidP="00666135" w:rsidRDefault="00CD4B70">
      <w:pPr>
        <w:numPr>
          <w:ilvl w:val="0"/>
          <w:numId w:val="26"/>
        </w:numPr>
        <w:jc w:val="both"/>
        <w:rPr>
          <w:rFonts w:ascii="Arial" w:hAnsi="Arial"/>
          <w:b/>
          <w:sz w:val="24"/>
        </w:rPr>
      </w:pPr>
      <w:r w:rsidRPr="00CD4B70">
        <w:rPr>
          <w:rFonts w:ascii="Arial" w:hAnsi="Arial"/>
          <w:b/>
          <w:sz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w:t>
      </w:r>
      <w:r w:rsidRPr="00CD4B70">
        <w:rPr>
          <w:rFonts w:ascii="Arial" w:hAnsi="Arial"/>
          <w:b/>
          <w:sz w:val="24"/>
        </w:rPr>
        <w:lastRenderedPageBreak/>
        <w:t>notice and describe actions taken by the agency in response to these comments. Specifically address comments received on cost and hour burden.</w:t>
      </w:r>
    </w:p>
    <w:p w:rsidR="00CD4B70" w:rsidP="00CD4B70" w:rsidRDefault="00CD4B70">
      <w:pPr>
        <w:ind w:left="720"/>
        <w:jc w:val="both"/>
        <w:rPr>
          <w:rFonts w:ascii="Arial" w:hAnsi="Arial"/>
          <w:b/>
          <w:sz w:val="24"/>
        </w:rPr>
      </w:pPr>
    </w:p>
    <w:p w:rsidRPr="00CD4B70" w:rsidR="00CD4B70" w:rsidP="00180425" w:rsidRDefault="00CD4B70">
      <w:pPr>
        <w:ind w:left="360"/>
        <w:jc w:val="both"/>
        <w:rPr>
          <w:rFonts w:ascii="Arial" w:hAnsi="Arial"/>
          <w:b/>
          <w:sz w:val="24"/>
        </w:rPr>
      </w:pPr>
      <w:r w:rsidRPr="00CD4B70">
        <w:rPr>
          <w:rFonts w:ascii="Arial" w:hAnsi="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Pr="00CD4B70" w:rsidR="00CD4B70" w:rsidP="00180425" w:rsidRDefault="00CD4B70">
      <w:pPr>
        <w:ind w:left="360"/>
        <w:jc w:val="both"/>
        <w:rPr>
          <w:rFonts w:ascii="Arial" w:hAnsi="Arial"/>
          <w:b/>
          <w:sz w:val="24"/>
        </w:rPr>
      </w:pPr>
    </w:p>
    <w:p w:rsidR="00447A38" w:rsidP="00180425" w:rsidRDefault="00CD4B70">
      <w:pPr>
        <w:ind w:left="360"/>
        <w:jc w:val="both"/>
        <w:rPr>
          <w:rFonts w:ascii="Arial" w:hAnsi="Arial"/>
          <w:b/>
          <w:sz w:val="24"/>
        </w:rPr>
      </w:pPr>
      <w:r w:rsidRPr="00CD4B70">
        <w:rPr>
          <w:rFonts w:ascii="Arial" w:hAnsi="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47A38" w:rsidRDefault="00447A38">
      <w:pPr>
        <w:jc w:val="both"/>
        <w:rPr>
          <w:rFonts w:ascii="Arial" w:hAnsi="Arial"/>
          <w:sz w:val="24"/>
        </w:rPr>
      </w:pPr>
    </w:p>
    <w:p w:rsidR="00447A38" w:rsidRDefault="00447A38">
      <w:pPr>
        <w:jc w:val="both"/>
        <w:rPr>
          <w:rFonts w:ascii="Arial" w:hAnsi="Arial"/>
          <w:sz w:val="24"/>
        </w:rPr>
      </w:pPr>
      <w:r>
        <w:rPr>
          <w:rFonts w:ascii="Arial" w:hAnsi="Arial"/>
          <w:sz w:val="24"/>
        </w:rPr>
        <w:t xml:space="preserve">The 60-Day Notice was published </w:t>
      </w:r>
      <w:r w:rsidR="00D648CA">
        <w:rPr>
          <w:rFonts w:ascii="Arial" w:hAnsi="Arial"/>
          <w:sz w:val="24"/>
        </w:rPr>
        <w:t xml:space="preserve">in the </w:t>
      </w:r>
      <w:r w:rsidRPr="00D648CA" w:rsidR="00D648CA">
        <w:rPr>
          <w:rFonts w:ascii="Arial" w:hAnsi="Arial"/>
          <w:i/>
          <w:sz w:val="24"/>
        </w:rPr>
        <w:t>Federal Register</w:t>
      </w:r>
      <w:r w:rsidR="00D648CA">
        <w:rPr>
          <w:rFonts w:ascii="Arial" w:hAnsi="Arial"/>
          <w:sz w:val="24"/>
        </w:rPr>
        <w:t xml:space="preserve"> </w:t>
      </w:r>
      <w:r>
        <w:rPr>
          <w:rFonts w:ascii="Arial" w:hAnsi="Arial"/>
          <w:sz w:val="24"/>
        </w:rPr>
        <w:t xml:space="preserve">on </w:t>
      </w:r>
      <w:r w:rsidR="007411AD">
        <w:rPr>
          <w:rFonts w:ascii="Arial" w:hAnsi="Arial"/>
          <w:sz w:val="24"/>
        </w:rPr>
        <w:t>January 15,</w:t>
      </w:r>
      <w:r w:rsidR="00CC745F">
        <w:rPr>
          <w:rFonts w:ascii="Arial" w:hAnsi="Arial"/>
          <w:sz w:val="24"/>
        </w:rPr>
        <w:t xml:space="preserve"> 20</w:t>
      </w:r>
      <w:r w:rsidR="00C55D64">
        <w:rPr>
          <w:rFonts w:ascii="Arial" w:hAnsi="Arial"/>
          <w:sz w:val="24"/>
        </w:rPr>
        <w:t>21</w:t>
      </w:r>
      <w:r w:rsidR="00D23FBE">
        <w:rPr>
          <w:rFonts w:ascii="Arial" w:hAnsi="Arial"/>
          <w:sz w:val="24"/>
        </w:rPr>
        <w:t xml:space="preserve"> (</w:t>
      </w:r>
      <w:r w:rsidR="007411AD">
        <w:rPr>
          <w:rFonts w:ascii="Arial" w:hAnsi="Arial"/>
          <w:sz w:val="24"/>
        </w:rPr>
        <w:t>86</w:t>
      </w:r>
      <w:r w:rsidR="007A0FEF">
        <w:rPr>
          <w:rFonts w:ascii="Arial" w:hAnsi="Arial"/>
          <w:sz w:val="24"/>
        </w:rPr>
        <w:t xml:space="preserve"> F</w:t>
      </w:r>
      <w:r w:rsidR="000B121C">
        <w:rPr>
          <w:rFonts w:ascii="Arial" w:hAnsi="Arial"/>
          <w:sz w:val="24"/>
        </w:rPr>
        <w:t>R</w:t>
      </w:r>
      <w:r w:rsidR="007A0FEF">
        <w:rPr>
          <w:rFonts w:ascii="Arial" w:hAnsi="Arial"/>
          <w:sz w:val="24"/>
        </w:rPr>
        <w:t xml:space="preserve"> </w:t>
      </w:r>
      <w:r w:rsidR="007411AD">
        <w:rPr>
          <w:rFonts w:ascii="Arial" w:hAnsi="Arial"/>
          <w:sz w:val="24"/>
        </w:rPr>
        <w:t>4007</w:t>
      </w:r>
      <w:r w:rsidR="00D23FBE">
        <w:rPr>
          <w:rFonts w:ascii="Arial" w:hAnsi="Arial"/>
          <w:sz w:val="24"/>
        </w:rPr>
        <w:t>)</w:t>
      </w:r>
      <w:r w:rsidR="007A0FEF">
        <w:rPr>
          <w:rFonts w:ascii="Arial" w:hAnsi="Arial"/>
          <w:sz w:val="24"/>
        </w:rPr>
        <w:t>.</w:t>
      </w:r>
      <w:r w:rsidR="0039141B">
        <w:rPr>
          <w:rFonts w:ascii="Arial" w:hAnsi="Arial"/>
          <w:sz w:val="24"/>
        </w:rPr>
        <w:t xml:space="preserve"> </w:t>
      </w:r>
      <w:r w:rsidR="0027530C">
        <w:rPr>
          <w:rFonts w:ascii="Arial" w:hAnsi="Arial"/>
          <w:sz w:val="24"/>
        </w:rPr>
        <w:t>The public comment per</w:t>
      </w:r>
      <w:r w:rsidR="0039141B">
        <w:rPr>
          <w:rFonts w:ascii="Arial" w:hAnsi="Arial"/>
          <w:sz w:val="24"/>
        </w:rPr>
        <w:t xml:space="preserve">iod ended on </w:t>
      </w:r>
      <w:r w:rsidR="00EE6FFD">
        <w:rPr>
          <w:rFonts w:ascii="Arial" w:hAnsi="Arial"/>
          <w:sz w:val="24"/>
        </w:rPr>
        <w:t>March 16</w:t>
      </w:r>
      <w:r w:rsidR="0039141B">
        <w:rPr>
          <w:rFonts w:ascii="Arial" w:hAnsi="Arial"/>
          <w:sz w:val="24"/>
        </w:rPr>
        <w:t>, 20</w:t>
      </w:r>
      <w:r w:rsidR="00C55D64">
        <w:rPr>
          <w:rFonts w:ascii="Arial" w:hAnsi="Arial"/>
          <w:sz w:val="24"/>
        </w:rPr>
        <w:t>21</w:t>
      </w:r>
      <w:r w:rsidR="0039141B">
        <w:rPr>
          <w:rFonts w:ascii="Arial" w:hAnsi="Arial"/>
          <w:sz w:val="24"/>
        </w:rPr>
        <w:t xml:space="preserve">. </w:t>
      </w:r>
      <w:r w:rsidRPr="000B537A" w:rsidR="0027530C">
        <w:rPr>
          <w:rFonts w:ascii="Arial" w:hAnsi="Arial"/>
          <w:sz w:val="24"/>
        </w:rPr>
        <w:t xml:space="preserve">The USPTO received no public comments in response to the </w:t>
      </w:r>
      <w:r w:rsidR="00FA0007">
        <w:rPr>
          <w:rFonts w:ascii="Arial" w:hAnsi="Arial"/>
          <w:sz w:val="24"/>
        </w:rPr>
        <w:t>n</w:t>
      </w:r>
      <w:r w:rsidRPr="000B537A" w:rsidR="0027530C">
        <w:rPr>
          <w:rFonts w:ascii="Arial" w:hAnsi="Arial"/>
          <w:sz w:val="24"/>
        </w:rPr>
        <w:t>otice.</w:t>
      </w:r>
      <w:r w:rsidR="0027530C">
        <w:rPr>
          <w:rFonts w:ascii="Arial" w:hAnsi="Arial"/>
          <w:sz w:val="24"/>
        </w:rPr>
        <w:t xml:space="preserve">  </w:t>
      </w:r>
    </w:p>
    <w:p w:rsidR="00E36833" w:rsidRDefault="00E36833">
      <w:pPr>
        <w:jc w:val="both"/>
        <w:rPr>
          <w:rFonts w:ascii="Arial" w:hAnsi="Arial"/>
          <w:sz w:val="24"/>
        </w:rPr>
      </w:pPr>
    </w:p>
    <w:p w:rsidR="00C173BF" w:rsidP="00C173BF" w:rsidRDefault="00C173BF">
      <w:pPr>
        <w:pStyle w:val="BodyText2"/>
      </w:pPr>
      <w:r>
        <w:t>Large and well-organized bar associations frequently communicate their views to the USPTO. Also, the Trademark Public Advisory Committee (</w:t>
      </w:r>
      <w:r w:rsidR="007247E9">
        <w:t>TPAC</w:t>
      </w:r>
      <w:r>
        <w:t>) was created by the American Inventors Protection Act of 1999 to advise th</w:t>
      </w:r>
      <w:r w:rsidR="00424FD6">
        <w:t>e Director of the USPTO on the A</w:t>
      </w:r>
      <w:r>
        <w:t xml:space="preserve">gency’s operations, including its goals, performance, budget, and user fees. </w:t>
      </w:r>
      <w:r w:rsidR="007247E9">
        <w:t>The TPAC</w:t>
      </w:r>
      <w:r>
        <w:t xml:space="preserve"> includes nine voting members who are appointed by and serve at the pleasure of the Secretary of Commerce. The statute also provides non-voting membe</w:t>
      </w:r>
      <w:r w:rsidR="00424FD6">
        <w:t>rship on the Committee for the A</w:t>
      </w:r>
      <w:r>
        <w:t xml:space="preserve">gency’s three recognized unions. Members include inventors, lawyers, corporate executives, entrepreneurs, and academicians with significant experience in management, finance, science, technology, labor relations, and intellectual property issues. The members of </w:t>
      </w:r>
      <w:r w:rsidR="007247E9">
        <w:t>the TPAC</w:t>
      </w:r>
      <w:r>
        <w:t xml:space="preserve"> reflect the broad array of USPTO’s stakeholders and embrace the USPTO’s e-government initiative. This diversity of interests is an effective tool in helping the USPTO nurture and protect the intellectual property that is the underpinning of </w:t>
      </w:r>
      <w:smartTag w:uri="urn:schemas-microsoft-com:office:smarttags" w:element="place">
        <w:smartTag w:uri="urn:schemas-microsoft-com:office:smarttags" w:element="country-region">
          <w:r>
            <w:t>America</w:t>
          </w:r>
        </w:smartTag>
      </w:smartTag>
      <w:r>
        <w:t>’s strong economy.</w:t>
      </w:r>
    </w:p>
    <w:p w:rsidR="00FD69BC" w:rsidRDefault="00FD69BC">
      <w:pPr>
        <w:jc w:val="both"/>
        <w:rPr>
          <w:rFonts w:ascii="Arial" w:hAnsi="Arial"/>
          <w:b/>
          <w:sz w:val="24"/>
        </w:rPr>
      </w:pPr>
    </w:p>
    <w:p w:rsidR="00C52AE2" w:rsidRDefault="00C52AE2">
      <w:pPr>
        <w:jc w:val="both"/>
        <w:rPr>
          <w:rFonts w:ascii="Arial" w:hAnsi="Arial"/>
          <w:b/>
          <w:sz w:val="24"/>
        </w:rPr>
      </w:pPr>
    </w:p>
    <w:p w:rsidRPr="00CD4B70" w:rsidR="00447A38" w:rsidP="00CD4B70" w:rsidRDefault="00CD4B70">
      <w:pPr>
        <w:pStyle w:val="NoSpacing"/>
        <w:numPr>
          <w:ilvl w:val="0"/>
          <w:numId w:val="26"/>
        </w:numPr>
        <w:jc w:val="both"/>
        <w:rPr>
          <w:rFonts w:ascii="Arial" w:hAnsi="Arial" w:cs="Arial"/>
          <w:sz w:val="24"/>
        </w:rPr>
      </w:pPr>
      <w:r w:rsidRPr="006F5583">
        <w:rPr>
          <w:rFonts w:ascii="Arial" w:hAnsi="Arial" w:cs="Arial"/>
          <w:b/>
          <w:sz w:val="24"/>
        </w:rPr>
        <w:t>Explain any decision to provide any payment or gift to respondents, other than remuneration of contractors or grantees.</w:t>
      </w:r>
    </w:p>
    <w:p w:rsidR="00447A38" w:rsidRDefault="00447A38">
      <w:pPr>
        <w:jc w:val="both"/>
        <w:rPr>
          <w:rFonts w:ascii="Arial" w:hAnsi="Arial"/>
          <w:sz w:val="24"/>
        </w:rPr>
      </w:pPr>
    </w:p>
    <w:p w:rsidR="00E17F96" w:rsidRDefault="00447A38">
      <w:pPr>
        <w:jc w:val="both"/>
        <w:rPr>
          <w:rFonts w:ascii="Arial" w:hAnsi="Arial"/>
          <w:sz w:val="24"/>
        </w:rPr>
      </w:pPr>
      <w:r>
        <w:rPr>
          <w:rFonts w:ascii="Arial" w:hAnsi="Arial"/>
          <w:sz w:val="24"/>
        </w:rPr>
        <w:t>This information collection does not involve a payment or gift to any respondent.</w:t>
      </w:r>
      <w:r w:rsidR="00E17F96">
        <w:rPr>
          <w:rFonts w:ascii="Arial" w:hAnsi="Arial"/>
          <w:sz w:val="24"/>
        </w:rPr>
        <w:t xml:space="preserve">  </w:t>
      </w:r>
    </w:p>
    <w:p w:rsidR="00447A38" w:rsidRDefault="00447A38">
      <w:pPr>
        <w:jc w:val="both"/>
        <w:rPr>
          <w:rFonts w:ascii="Arial" w:hAnsi="Arial"/>
          <w:sz w:val="24"/>
        </w:rPr>
      </w:pPr>
      <w:r>
        <w:rPr>
          <w:rFonts w:ascii="Arial" w:hAnsi="Arial"/>
          <w:sz w:val="24"/>
        </w:rPr>
        <w:t xml:space="preserve">  </w:t>
      </w:r>
    </w:p>
    <w:p w:rsidR="00C52AE2" w:rsidRDefault="00C52AE2">
      <w:pPr>
        <w:jc w:val="both"/>
        <w:rPr>
          <w:rFonts w:ascii="Arial" w:hAnsi="Arial"/>
          <w:sz w:val="24"/>
        </w:rPr>
      </w:pPr>
    </w:p>
    <w:p w:rsidR="00447A38" w:rsidP="00867F15" w:rsidRDefault="00CD4B70">
      <w:pPr>
        <w:numPr>
          <w:ilvl w:val="0"/>
          <w:numId w:val="26"/>
        </w:numPr>
        <w:ind w:hanging="450"/>
        <w:jc w:val="both"/>
        <w:rPr>
          <w:rFonts w:ascii="Arial" w:hAnsi="Arial" w:cs="Arial"/>
          <w:b/>
          <w:sz w:val="24"/>
          <w:szCs w:val="24"/>
        </w:rPr>
      </w:pPr>
      <w:r w:rsidRPr="00CD4B70">
        <w:rPr>
          <w:rFonts w:ascii="Arial" w:hAnsi="Arial" w:cs="Arial"/>
          <w:b/>
          <w:sz w:val="24"/>
          <w:szCs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CD4B70" w:rsidP="00CD4B70" w:rsidRDefault="00CD4B70">
      <w:pPr>
        <w:ind w:left="360"/>
        <w:jc w:val="both"/>
        <w:rPr>
          <w:rFonts w:ascii="Arial" w:hAnsi="Arial"/>
          <w:sz w:val="24"/>
        </w:rPr>
      </w:pPr>
    </w:p>
    <w:p w:rsidR="00447A38" w:rsidRDefault="00E17F96">
      <w:pPr>
        <w:jc w:val="both"/>
        <w:rPr>
          <w:rFonts w:ascii="Arial" w:hAnsi="Arial"/>
          <w:sz w:val="24"/>
        </w:rPr>
      </w:pPr>
      <w:r>
        <w:rPr>
          <w:rFonts w:ascii="Arial" w:hAnsi="Arial"/>
          <w:sz w:val="24"/>
        </w:rPr>
        <w:lastRenderedPageBreak/>
        <w:t xml:space="preserve">Fastener insignia applications are not confidential and </w:t>
      </w:r>
      <w:r w:rsidR="00447A38">
        <w:rPr>
          <w:rFonts w:ascii="Arial" w:hAnsi="Arial"/>
          <w:sz w:val="24"/>
        </w:rPr>
        <w:t xml:space="preserve">are open to public inspection.  </w:t>
      </w:r>
      <w:r w:rsidR="00F32411">
        <w:rPr>
          <w:rFonts w:ascii="Arial" w:hAnsi="Arial"/>
          <w:sz w:val="24"/>
        </w:rPr>
        <w:t xml:space="preserve">Active Insignias are listed on the Fastener Insignia Register which is available at </w:t>
      </w:r>
      <w:hyperlink w:history="1" r:id="rId12">
        <w:r w:rsidRPr="005D5375" w:rsidR="00F32411">
          <w:rPr>
            <w:rStyle w:val="Hyperlink"/>
            <w:rFonts w:ascii="Arial" w:hAnsi="Arial"/>
            <w:sz w:val="24"/>
          </w:rPr>
          <w:t>https://www.uspto.gov/sites/default/files/documents/FQA_Registry.pdf</w:t>
        </w:r>
      </w:hyperlink>
      <w:r w:rsidR="00F32411">
        <w:rPr>
          <w:rFonts w:ascii="Arial" w:hAnsi="Arial"/>
          <w:sz w:val="24"/>
        </w:rPr>
        <w:t xml:space="preserve">.  </w:t>
      </w:r>
    </w:p>
    <w:p w:rsidR="00447A38" w:rsidRDefault="00447A38">
      <w:pPr>
        <w:jc w:val="both"/>
        <w:rPr>
          <w:rFonts w:ascii="Arial" w:hAnsi="Arial"/>
          <w:sz w:val="24"/>
        </w:rPr>
      </w:pPr>
    </w:p>
    <w:p w:rsidR="00082D9E" w:rsidP="00082D9E" w:rsidRDefault="00F32411">
      <w:pPr>
        <w:jc w:val="both"/>
        <w:rPr>
          <w:rFonts w:ascii="Arial" w:hAnsi="Arial"/>
          <w:sz w:val="24"/>
          <w:szCs w:val="24"/>
          <w:lang w:val="en-GB"/>
        </w:rPr>
      </w:pPr>
      <w:r>
        <w:rPr>
          <w:rFonts w:ascii="Arial" w:hAnsi="Arial"/>
          <w:sz w:val="24"/>
          <w:szCs w:val="24"/>
          <w:lang w:val="en-GB"/>
        </w:rPr>
        <w:t xml:space="preserve">Applicants who submit information under the </w:t>
      </w:r>
      <w:r w:rsidR="00F019A8">
        <w:rPr>
          <w:rFonts w:ascii="Arial" w:hAnsi="Arial"/>
          <w:sz w:val="24"/>
          <w:szCs w:val="24"/>
          <w:lang w:val="en-GB"/>
        </w:rPr>
        <w:t>FQA</w:t>
      </w:r>
      <w:r>
        <w:rPr>
          <w:rFonts w:ascii="Arial" w:hAnsi="Arial"/>
          <w:sz w:val="24"/>
          <w:szCs w:val="24"/>
          <w:lang w:val="en-GB"/>
        </w:rPr>
        <w:t xml:space="preserve"> may also have submitted information related to trademark applications and other applications </w:t>
      </w:r>
      <w:r w:rsidR="006F3D11">
        <w:rPr>
          <w:rFonts w:ascii="Arial" w:hAnsi="Arial"/>
          <w:sz w:val="24"/>
          <w:szCs w:val="24"/>
          <w:lang w:val="en-GB"/>
        </w:rPr>
        <w:t xml:space="preserve">that </w:t>
      </w:r>
      <w:r>
        <w:rPr>
          <w:rFonts w:ascii="Arial" w:hAnsi="Arial"/>
          <w:sz w:val="24"/>
          <w:szCs w:val="24"/>
          <w:lang w:val="en-GB"/>
        </w:rPr>
        <w:t>may be</w:t>
      </w:r>
      <w:r w:rsidRPr="00082D9E" w:rsidR="00082D9E">
        <w:rPr>
          <w:rFonts w:ascii="Arial" w:hAnsi="Arial"/>
          <w:sz w:val="24"/>
          <w:szCs w:val="24"/>
          <w:lang w:val="en-GB"/>
        </w:rPr>
        <w:t xml:space="preserve"> subject to the Privacy Act. 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Trademark </w:t>
      </w:r>
      <w:r w:rsidR="00E91804">
        <w:rPr>
          <w:rFonts w:ascii="Arial" w:hAnsi="Arial"/>
          <w:sz w:val="24"/>
          <w:szCs w:val="24"/>
          <w:lang w:val="en-GB"/>
        </w:rPr>
        <w:t>a</w:t>
      </w:r>
      <w:r w:rsidRPr="00082D9E" w:rsidR="00082D9E">
        <w:rPr>
          <w:rFonts w:ascii="Arial" w:hAnsi="Arial"/>
          <w:sz w:val="24"/>
          <w:szCs w:val="24"/>
          <w:lang w:val="en-GB"/>
        </w:rPr>
        <w:t>pplication information collection activities are covered under the Statement of Records Notice (COMMERCE/USPTO-26 Trademark Application and Registration Records) at Federal Register /Vol. 85, No. 32 /Tuesday, February 18, 2020 /Notices. This SORN identifies the categories of records in the system containing applicants for trademark registration including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r w:rsidR="003967AC">
        <w:rPr>
          <w:rFonts w:ascii="Arial" w:hAnsi="Arial"/>
          <w:sz w:val="24"/>
          <w:szCs w:val="24"/>
          <w:lang w:val="en-GB"/>
        </w:rPr>
        <w:t xml:space="preserve">  </w:t>
      </w:r>
    </w:p>
    <w:p w:rsidR="003967AC" w:rsidP="00082D9E" w:rsidRDefault="003967AC">
      <w:pPr>
        <w:jc w:val="both"/>
        <w:rPr>
          <w:rFonts w:ascii="Arial" w:hAnsi="Arial"/>
          <w:sz w:val="24"/>
          <w:szCs w:val="24"/>
          <w:lang w:val="en-GB"/>
        </w:rPr>
      </w:pPr>
    </w:p>
    <w:p w:rsidR="003967AC" w:rsidP="00082D9E" w:rsidRDefault="003967AC">
      <w:pPr>
        <w:jc w:val="both"/>
        <w:rPr>
          <w:rFonts w:ascii="Arial" w:hAnsi="Arial"/>
          <w:sz w:val="24"/>
          <w:szCs w:val="24"/>
          <w:lang w:val="en-GB"/>
        </w:rPr>
      </w:pPr>
      <w:r>
        <w:rPr>
          <w:rFonts w:ascii="Arial" w:hAnsi="Arial"/>
          <w:sz w:val="24"/>
          <w:szCs w:val="24"/>
          <w:lang w:val="en-GB"/>
        </w:rPr>
        <w:t xml:space="preserve">Users who filled information with any of the following information collections submitted data that may be covered under SORN USPTO-26 (Trademark Application and Registration Records): </w:t>
      </w:r>
    </w:p>
    <w:p w:rsidR="003967AC" w:rsidP="00E8423A" w:rsidRDefault="003967AC">
      <w:pPr>
        <w:numPr>
          <w:ilvl w:val="0"/>
          <w:numId w:val="32"/>
        </w:numPr>
        <w:jc w:val="both"/>
        <w:rPr>
          <w:rFonts w:ascii="Arial" w:hAnsi="Arial"/>
          <w:sz w:val="24"/>
          <w:szCs w:val="24"/>
          <w:lang w:val="en-GB"/>
        </w:rPr>
      </w:pPr>
      <w:r>
        <w:rPr>
          <w:rFonts w:ascii="Arial" w:hAnsi="Arial"/>
          <w:sz w:val="24"/>
          <w:szCs w:val="24"/>
          <w:lang w:val="en-GB"/>
        </w:rPr>
        <w:t>0651-0009 Applications for Trademark Registrations</w:t>
      </w:r>
    </w:p>
    <w:p w:rsidR="003967AC" w:rsidP="00E8423A" w:rsidRDefault="003967AC">
      <w:pPr>
        <w:numPr>
          <w:ilvl w:val="0"/>
          <w:numId w:val="32"/>
        </w:numPr>
        <w:jc w:val="both"/>
        <w:rPr>
          <w:rFonts w:ascii="Arial" w:hAnsi="Arial"/>
          <w:sz w:val="24"/>
          <w:szCs w:val="24"/>
          <w:lang w:val="en-GB"/>
        </w:rPr>
      </w:pPr>
      <w:r>
        <w:rPr>
          <w:rFonts w:ascii="Arial" w:hAnsi="Arial"/>
          <w:sz w:val="24"/>
          <w:szCs w:val="24"/>
          <w:lang w:val="en-GB"/>
        </w:rPr>
        <w:t>0651-</w:t>
      </w:r>
      <w:r w:rsidR="00E8423A">
        <w:rPr>
          <w:rFonts w:ascii="Arial" w:hAnsi="Arial"/>
          <w:sz w:val="24"/>
          <w:szCs w:val="24"/>
          <w:lang w:val="en-GB"/>
        </w:rPr>
        <w:t>0048 Native American Tribal Insignia Database</w:t>
      </w:r>
    </w:p>
    <w:p w:rsidR="00E8423A" w:rsidP="00E8423A" w:rsidRDefault="00E8423A">
      <w:pPr>
        <w:numPr>
          <w:ilvl w:val="0"/>
          <w:numId w:val="32"/>
        </w:numPr>
        <w:jc w:val="both"/>
        <w:rPr>
          <w:rFonts w:ascii="Arial" w:hAnsi="Arial"/>
          <w:sz w:val="24"/>
          <w:szCs w:val="24"/>
          <w:lang w:val="en-GB"/>
        </w:rPr>
      </w:pPr>
      <w:r>
        <w:rPr>
          <w:rFonts w:ascii="Arial" w:hAnsi="Arial"/>
          <w:sz w:val="24"/>
          <w:szCs w:val="24"/>
          <w:lang w:val="en-GB"/>
        </w:rPr>
        <w:t>0651-0050 Response to Office Action and Voluntary Amendment Forms</w:t>
      </w:r>
    </w:p>
    <w:p w:rsidR="00E8423A" w:rsidP="00E8423A" w:rsidRDefault="00E8423A">
      <w:pPr>
        <w:numPr>
          <w:ilvl w:val="0"/>
          <w:numId w:val="32"/>
        </w:numPr>
        <w:jc w:val="both"/>
        <w:rPr>
          <w:rFonts w:ascii="Arial" w:hAnsi="Arial"/>
          <w:sz w:val="24"/>
          <w:szCs w:val="24"/>
          <w:lang w:val="en-GB"/>
        </w:rPr>
      </w:pPr>
      <w:r>
        <w:rPr>
          <w:rFonts w:ascii="Arial" w:hAnsi="Arial"/>
          <w:sz w:val="24"/>
          <w:szCs w:val="24"/>
          <w:lang w:val="en-GB"/>
        </w:rPr>
        <w:t>0651-0051 Madrid Protocol</w:t>
      </w:r>
    </w:p>
    <w:p w:rsidR="00E8423A" w:rsidP="00E8423A" w:rsidRDefault="00E8423A">
      <w:pPr>
        <w:numPr>
          <w:ilvl w:val="0"/>
          <w:numId w:val="32"/>
        </w:numPr>
        <w:jc w:val="both"/>
        <w:rPr>
          <w:rFonts w:ascii="Arial" w:hAnsi="Arial"/>
          <w:sz w:val="24"/>
          <w:szCs w:val="24"/>
          <w:lang w:val="en-GB"/>
        </w:rPr>
      </w:pPr>
      <w:r>
        <w:rPr>
          <w:rFonts w:ascii="Arial" w:hAnsi="Arial"/>
          <w:sz w:val="24"/>
          <w:szCs w:val="24"/>
          <w:lang w:val="en-GB"/>
        </w:rPr>
        <w:t>0651-0054 Substantive Submissions Made During Prosecution of the Trademark Application</w:t>
      </w:r>
    </w:p>
    <w:p w:rsidR="00E8423A" w:rsidP="00E8423A" w:rsidRDefault="00E8423A">
      <w:pPr>
        <w:numPr>
          <w:ilvl w:val="0"/>
          <w:numId w:val="32"/>
        </w:numPr>
        <w:jc w:val="both"/>
        <w:rPr>
          <w:rFonts w:ascii="Arial" w:hAnsi="Arial"/>
          <w:sz w:val="24"/>
          <w:szCs w:val="24"/>
          <w:lang w:val="en-GB"/>
        </w:rPr>
      </w:pPr>
      <w:r>
        <w:rPr>
          <w:rFonts w:ascii="Arial" w:hAnsi="Arial"/>
          <w:sz w:val="24"/>
          <w:szCs w:val="24"/>
          <w:lang w:val="en-GB"/>
        </w:rPr>
        <w:t>0651-0055 Trademark Processing Post Registration</w:t>
      </w:r>
    </w:p>
    <w:p w:rsidR="00E8423A" w:rsidP="00E8423A" w:rsidRDefault="00E8423A">
      <w:pPr>
        <w:numPr>
          <w:ilvl w:val="0"/>
          <w:numId w:val="32"/>
        </w:numPr>
        <w:jc w:val="both"/>
        <w:rPr>
          <w:rFonts w:ascii="Arial" w:hAnsi="Arial"/>
          <w:sz w:val="24"/>
          <w:szCs w:val="24"/>
          <w:lang w:val="en-GB"/>
        </w:rPr>
      </w:pPr>
      <w:r>
        <w:rPr>
          <w:rFonts w:ascii="Arial" w:hAnsi="Arial"/>
          <w:sz w:val="24"/>
          <w:szCs w:val="24"/>
          <w:lang w:val="en-GB"/>
        </w:rPr>
        <w:t>0651-0056 Submissions Regarding Correspondence and Regarding Attorney Representation</w:t>
      </w:r>
    </w:p>
    <w:p w:rsidRPr="00082D9E" w:rsidR="00E8423A" w:rsidP="00E8423A" w:rsidRDefault="00E8423A">
      <w:pPr>
        <w:numPr>
          <w:ilvl w:val="0"/>
          <w:numId w:val="32"/>
        </w:numPr>
        <w:jc w:val="both"/>
        <w:rPr>
          <w:rFonts w:ascii="Arial" w:hAnsi="Arial"/>
          <w:sz w:val="24"/>
          <w:szCs w:val="24"/>
          <w:lang w:val="en-GB"/>
        </w:rPr>
      </w:pPr>
      <w:r>
        <w:rPr>
          <w:rFonts w:ascii="Arial" w:hAnsi="Arial"/>
          <w:sz w:val="24"/>
          <w:szCs w:val="24"/>
          <w:lang w:val="en-GB"/>
        </w:rPr>
        <w:t>0651-0061 Trademark Petitions</w:t>
      </w:r>
    </w:p>
    <w:p w:rsidR="00082D9E" w:rsidP="00082D9E" w:rsidRDefault="00082D9E">
      <w:pPr>
        <w:jc w:val="both"/>
        <w:rPr>
          <w:rFonts w:ascii="Arial" w:hAnsi="Arial"/>
          <w:sz w:val="24"/>
          <w:szCs w:val="24"/>
        </w:rPr>
      </w:pPr>
    </w:p>
    <w:p w:rsidRPr="00082D9E" w:rsidR="00C52AE2" w:rsidP="00082D9E" w:rsidRDefault="00C52AE2">
      <w:pPr>
        <w:jc w:val="both"/>
        <w:rPr>
          <w:rFonts w:ascii="Arial" w:hAnsi="Arial"/>
          <w:sz w:val="24"/>
          <w:szCs w:val="24"/>
        </w:rPr>
      </w:pPr>
    </w:p>
    <w:p w:rsidRPr="005929EB" w:rsidR="00447A38" w:rsidP="00867F15" w:rsidRDefault="005929EB">
      <w:pPr>
        <w:numPr>
          <w:ilvl w:val="0"/>
          <w:numId w:val="26"/>
        </w:numPr>
        <w:ind w:hanging="450"/>
        <w:jc w:val="both"/>
        <w:rPr>
          <w:rFonts w:ascii="Arial" w:hAnsi="Arial"/>
          <w:sz w:val="24"/>
        </w:rPr>
      </w:pPr>
      <w:r w:rsidRPr="005929EB">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929EB" w:rsidP="005929EB" w:rsidRDefault="005929EB">
      <w:pPr>
        <w:ind w:left="360"/>
        <w:jc w:val="both"/>
        <w:rPr>
          <w:rFonts w:ascii="Arial" w:hAnsi="Arial"/>
          <w:sz w:val="24"/>
        </w:rPr>
      </w:pPr>
    </w:p>
    <w:p w:rsidR="00447A38" w:rsidRDefault="00447A38">
      <w:pPr>
        <w:pStyle w:val="BodyText2"/>
      </w:pPr>
      <w:r>
        <w:lastRenderedPageBreak/>
        <w:t xml:space="preserve">None of the required information </w:t>
      </w:r>
      <w:r w:rsidR="002B0EF6">
        <w:t xml:space="preserve">in this collection </w:t>
      </w:r>
      <w:r>
        <w:t>is considered to be sensitive.</w:t>
      </w:r>
    </w:p>
    <w:p w:rsidR="00447A38" w:rsidRDefault="00447A38">
      <w:pPr>
        <w:pStyle w:val="BodyText2"/>
      </w:pPr>
    </w:p>
    <w:p w:rsidR="00C52AE2" w:rsidRDefault="00C52AE2">
      <w:pPr>
        <w:pStyle w:val="BodyText2"/>
      </w:pPr>
    </w:p>
    <w:p w:rsidRPr="006F5583" w:rsidR="005929EB" w:rsidP="00867F15" w:rsidRDefault="005929EB">
      <w:pPr>
        <w:pStyle w:val="NoSpacing"/>
        <w:numPr>
          <w:ilvl w:val="0"/>
          <w:numId w:val="26"/>
        </w:numPr>
        <w:ind w:hanging="450"/>
        <w:jc w:val="both"/>
        <w:rPr>
          <w:rFonts w:ascii="Arial" w:hAnsi="Arial" w:cs="Arial"/>
          <w:b/>
          <w:sz w:val="24"/>
        </w:rPr>
      </w:pPr>
      <w:r w:rsidRPr="006F5583">
        <w:rPr>
          <w:rFonts w:ascii="Arial" w:hAnsi="Arial" w:cs="Arial"/>
          <w:b/>
          <w:sz w:val="24"/>
        </w:rPr>
        <w:t>Provide estimates of the hour burden of the collection of information. The statement should:</w:t>
      </w:r>
    </w:p>
    <w:p w:rsidR="005929EB" w:rsidP="005929EB" w:rsidRDefault="005929EB">
      <w:pPr>
        <w:pStyle w:val="NoSpacing"/>
        <w:numPr>
          <w:ilvl w:val="0"/>
          <w:numId w:val="27"/>
        </w:numPr>
        <w:jc w:val="both"/>
        <w:rPr>
          <w:rFonts w:ascii="Arial" w:hAnsi="Arial" w:cs="Arial"/>
          <w:b/>
          <w:sz w:val="24"/>
        </w:rPr>
      </w:pPr>
      <w:r w:rsidRPr="006F5583">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F5583">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r w:rsidR="00795F44">
        <w:rPr>
          <w:rFonts w:ascii="Arial" w:hAnsi="Arial" w:cs="Arial"/>
          <w:b/>
          <w:sz w:val="24"/>
        </w:rPr>
        <w:t>.</w:t>
      </w:r>
    </w:p>
    <w:p w:rsidRPr="006F5583" w:rsidR="005929EB" w:rsidP="005929EB" w:rsidRDefault="005929EB">
      <w:pPr>
        <w:pStyle w:val="NoSpacing"/>
        <w:numPr>
          <w:ilvl w:val="0"/>
          <w:numId w:val="27"/>
        </w:numPr>
        <w:jc w:val="both"/>
        <w:rPr>
          <w:rFonts w:ascii="Arial" w:hAnsi="Arial" w:cs="Arial"/>
          <w:b/>
          <w:sz w:val="24"/>
        </w:rPr>
      </w:pPr>
      <w:r w:rsidRPr="006F5583">
        <w:rPr>
          <w:rFonts w:ascii="Arial" w:hAnsi="Arial" w:cs="Arial"/>
          <w:b/>
          <w:sz w:val="24"/>
        </w:rPr>
        <w:t>If this request for approval covers more than one form, provide separate hour burden estimates for each form and aggregate the hour burdens</w:t>
      </w:r>
      <w:r w:rsidR="00795F44">
        <w:rPr>
          <w:rFonts w:ascii="Arial" w:hAnsi="Arial" w:cs="Arial"/>
          <w:b/>
          <w:sz w:val="24"/>
        </w:rPr>
        <w:t>.</w:t>
      </w:r>
    </w:p>
    <w:p w:rsidR="005929EB" w:rsidP="005929EB" w:rsidRDefault="005929EB">
      <w:pPr>
        <w:pStyle w:val="NoSpacing"/>
        <w:numPr>
          <w:ilvl w:val="0"/>
          <w:numId w:val="28"/>
        </w:numPr>
        <w:jc w:val="both"/>
        <w:rPr>
          <w:rFonts w:ascii="Arial" w:hAnsi="Arial" w:cs="Arial"/>
          <w:sz w:val="24"/>
        </w:rPr>
      </w:pPr>
      <w:r w:rsidRPr="006F5583">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795F44">
        <w:rPr>
          <w:rFonts w:ascii="Arial" w:hAnsi="Arial" w:cs="Arial"/>
          <w:b/>
          <w:sz w:val="24"/>
        </w:rPr>
        <w:t>.</w:t>
      </w:r>
    </w:p>
    <w:p w:rsidR="00447A38" w:rsidRDefault="00447A38">
      <w:pPr>
        <w:jc w:val="both"/>
        <w:rPr>
          <w:rFonts w:ascii="Arial" w:hAnsi="Arial"/>
          <w:sz w:val="24"/>
        </w:rPr>
      </w:pPr>
    </w:p>
    <w:p w:rsidR="00447A38" w:rsidRDefault="00447A38">
      <w:pPr>
        <w:pStyle w:val="BodyText2"/>
      </w:pPr>
      <w:r>
        <w:t>Table</w:t>
      </w:r>
      <w:r w:rsidR="00C52AE2">
        <w:t>s</w:t>
      </w:r>
      <w:r>
        <w:t xml:space="preserve"> 3</w:t>
      </w:r>
      <w:r w:rsidR="004B214E">
        <w:t xml:space="preserve"> and 4</w:t>
      </w:r>
      <w:r w:rsidR="00C52AE2">
        <w:t xml:space="preserve"> calculate</w:t>
      </w:r>
      <w:r>
        <w:t xml:space="preserve"> the anticipated burden hours and costs of this information collection to the public, based on the following factors:</w:t>
      </w:r>
    </w:p>
    <w:p w:rsidR="00447A38" w:rsidRDefault="00447A38">
      <w:pPr>
        <w:jc w:val="both"/>
        <w:rPr>
          <w:rFonts w:ascii="Arial" w:hAnsi="Arial"/>
        </w:rPr>
      </w:pPr>
    </w:p>
    <w:p w:rsidR="00506E91" w:rsidP="00506E91" w:rsidRDefault="00447A38">
      <w:pPr>
        <w:numPr>
          <w:ilvl w:val="0"/>
          <w:numId w:val="2"/>
        </w:numPr>
        <w:tabs>
          <w:tab w:val="clear" w:pos="360"/>
          <w:tab w:val="num" w:pos="720"/>
        </w:tabs>
        <w:ind w:left="720"/>
        <w:jc w:val="both"/>
        <w:rPr>
          <w:rFonts w:ascii="Arial" w:hAnsi="Arial"/>
          <w:b/>
          <w:sz w:val="22"/>
        </w:rPr>
      </w:pPr>
      <w:r>
        <w:rPr>
          <w:rFonts w:ascii="Arial" w:hAnsi="Arial"/>
          <w:b/>
          <w:sz w:val="22"/>
        </w:rPr>
        <w:t>Respondent Calculation Factors</w:t>
      </w:r>
    </w:p>
    <w:p w:rsidR="00506E91" w:rsidP="00506E91" w:rsidRDefault="00506E91">
      <w:pPr>
        <w:ind w:left="720"/>
        <w:jc w:val="both"/>
        <w:rPr>
          <w:rFonts w:ascii="Arial" w:hAnsi="Arial"/>
          <w:b/>
          <w:sz w:val="22"/>
        </w:rPr>
      </w:pPr>
    </w:p>
    <w:p w:rsidRPr="00506E91" w:rsidR="00506E91" w:rsidP="00180425" w:rsidRDefault="00506E91">
      <w:pPr>
        <w:ind w:left="720"/>
        <w:jc w:val="both"/>
        <w:rPr>
          <w:rFonts w:ascii="Arial" w:hAnsi="Arial"/>
          <w:b/>
          <w:sz w:val="22"/>
          <w:szCs w:val="22"/>
        </w:rPr>
      </w:pPr>
      <w:r w:rsidRPr="00506E91">
        <w:rPr>
          <w:rFonts w:ascii="Arial" w:hAnsi="Arial" w:cs="Arial"/>
          <w:sz w:val="22"/>
          <w:szCs w:val="22"/>
        </w:rPr>
        <w:t xml:space="preserve">The USPTO estimates that it will receive approximately </w:t>
      </w:r>
      <w:r w:rsidRPr="00506E91">
        <w:rPr>
          <w:rFonts w:ascii="Arial" w:hAnsi="Arial" w:cs="Arial"/>
          <w:bCs/>
          <w:sz w:val="22"/>
          <w:szCs w:val="22"/>
        </w:rPr>
        <w:t xml:space="preserve">96 </w:t>
      </w:r>
      <w:r w:rsidRPr="00506E91">
        <w:rPr>
          <w:rFonts w:ascii="Arial" w:hAnsi="Arial" w:cs="Arial"/>
          <w:sz w:val="22"/>
          <w:szCs w:val="22"/>
        </w:rPr>
        <w:t>responses per year from 96 respondents for this information collection</w:t>
      </w:r>
      <w:r w:rsidR="00180425">
        <w:rPr>
          <w:rFonts w:ascii="Arial" w:hAnsi="Arial" w:cs="Arial"/>
          <w:sz w:val="22"/>
          <w:szCs w:val="22"/>
        </w:rPr>
        <w:t>.</w:t>
      </w:r>
    </w:p>
    <w:p w:rsidRPr="00506E91" w:rsidR="00447A38" w:rsidRDefault="00447A38">
      <w:pPr>
        <w:jc w:val="both"/>
        <w:rPr>
          <w:rFonts w:ascii="Arial" w:hAnsi="Arial"/>
          <w:b/>
          <w:sz w:val="22"/>
          <w:szCs w:val="22"/>
        </w:rPr>
      </w:pPr>
    </w:p>
    <w:p w:rsidRPr="00506E91" w:rsidR="00447A38" w:rsidP="0028112A" w:rsidRDefault="00447A38">
      <w:pPr>
        <w:numPr>
          <w:ilvl w:val="0"/>
          <w:numId w:val="4"/>
        </w:numPr>
        <w:tabs>
          <w:tab w:val="clear" w:pos="360"/>
          <w:tab w:val="num" w:pos="720"/>
        </w:tabs>
        <w:ind w:left="720"/>
        <w:jc w:val="both"/>
        <w:rPr>
          <w:rFonts w:ascii="Arial" w:hAnsi="Arial"/>
          <w:b/>
          <w:sz w:val="22"/>
          <w:szCs w:val="22"/>
        </w:rPr>
      </w:pPr>
      <w:r w:rsidRPr="00506E91">
        <w:rPr>
          <w:rFonts w:ascii="Arial" w:hAnsi="Arial"/>
          <w:b/>
          <w:sz w:val="22"/>
          <w:szCs w:val="22"/>
        </w:rPr>
        <w:t>Burden Hour Calculation Factors</w:t>
      </w:r>
    </w:p>
    <w:p w:rsidRPr="00424FD6" w:rsidR="00447A38" w:rsidP="00424FD6" w:rsidRDefault="00447A38">
      <w:pPr>
        <w:ind w:left="720"/>
        <w:jc w:val="both"/>
        <w:rPr>
          <w:rFonts w:ascii="Arial" w:hAnsi="Arial"/>
          <w:sz w:val="22"/>
          <w:szCs w:val="22"/>
        </w:rPr>
      </w:pPr>
      <w:r w:rsidRPr="00506E91">
        <w:rPr>
          <w:rFonts w:ascii="Arial" w:hAnsi="Arial"/>
          <w:sz w:val="22"/>
          <w:szCs w:val="22"/>
        </w:rPr>
        <w:t>The USPTO estimates that</w:t>
      </w:r>
      <w:r w:rsidRPr="00506E91" w:rsidR="00E17F96">
        <w:rPr>
          <w:rFonts w:ascii="Arial" w:hAnsi="Arial"/>
          <w:sz w:val="22"/>
          <w:szCs w:val="22"/>
        </w:rPr>
        <w:t xml:space="preserve"> it will</w:t>
      </w:r>
      <w:r w:rsidRPr="00506E91" w:rsidR="00A93B29">
        <w:rPr>
          <w:rFonts w:ascii="Arial" w:hAnsi="Arial"/>
          <w:sz w:val="22"/>
          <w:szCs w:val="22"/>
        </w:rPr>
        <w:t xml:space="preserve"> take the public approximately </w:t>
      </w:r>
      <w:r w:rsidRPr="00506E91" w:rsidR="008A2533">
        <w:rPr>
          <w:rFonts w:ascii="Arial" w:hAnsi="Arial"/>
          <w:sz w:val="22"/>
          <w:szCs w:val="22"/>
        </w:rPr>
        <w:t>30</w:t>
      </w:r>
      <w:r w:rsidRPr="00506E91" w:rsidR="00E17F96">
        <w:rPr>
          <w:rFonts w:ascii="Arial" w:hAnsi="Arial"/>
          <w:sz w:val="22"/>
          <w:szCs w:val="22"/>
        </w:rPr>
        <w:t xml:space="preserve"> minutes (0.</w:t>
      </w:r>
      <w:r w:rsidRPr="00506E91" w:rsidR="008A2533">
        <w:rPr>
          <w:rFonts w:ascii="Arial" w:hAnsi="Arial"/>
          <w:sz w:val="22"/>
          <w:szCs w:val="22"/>
        </w:rPr>
        <w:t>5</w:t>
      </w:r>
      <w:r w:rsidRPr="00506E91" w:rsidR="00E17F96">
        <w:rPr>
          <w:rFonts w:ascii="Arial" w:hAnsi="Arial"/>
          <w:sz w:val="22"/>
          <w:szCs w:val="22"/>
        </w:rPr>
        <w:t xml:space="preserve"> hours)</w:t>
      </w:r>
      <w:r w:rsidRPr="00506E91" w:rsidR="000B537A">
        <w:rPr>
          <w:rFonts w:ascii="Arial" w:hAnsi="Arial"/>
          <w:sz w:val="22"/>
          <w:szCs w:val="22"/>
        </w:rPr>
        <w:t xml:space="preserve"> to </w:t>
      </w:r>
      <w:r w:rsidR="00424FD6">
        <w:rPr>
          <w:rFonts w:ascii="Arial" w:hAnsi="Arial"/>
          <w:sz w:val="22"/>
          <w:szCs w:val="22"/>
        </w:rPr>
        <w:t xml:space="preserve">complete and </w:t>
      </w:r>
      <w:r w:rsidRPr="00506E91" w:rsidR="000B537A">
        <w:rPr>
          <w:rFonts w:ascii="Arial" w:hAnsi="Arial"/>
          <w:sz w:val="22"/>
          <w:szCs w:val="22"/>
        </w:rPr>
        <w:t xml:space="preserve">submit the information in this </w:t>
      </w:r>
      <w:r w:rsidR="00424FD6">
        <w:rPr>
          <w:rFonts w:ascii="Arial" w:hAnsi="Arial"/>
          <w:sz w:val="22"/>
          <w:szCs w:val="22"/>
        </w:rPr>
        <w:t xml:space="preserve">information </w:t>
      </w:r>
      <w:r w:rsidRPr="00506E91" w:rsidR="000B537A">
        <w:rPr>
          <w:rFonts w:ascii="Arial" w:hAnsi="Arial"/>
          <w:sz w:val="22"/>
          <w:szCs w:val="22"/>
        </w:rPr>
        <w:t>collection, including the time</w:t>
      </w:r>
      <w:r w:rsidRPr="00506E91" w:rsidR="00B92D8B">
        <w:rPr>
          <w:rFonts w:ascii="Arial" w:hAnsi="Arial"/>
          <w:sz w:val="22"/>
          <w:szCs w:val="22"/>
        </w:rPr>
        <w:t xml:space="preserve"> </w:t>
      </w:r>
      <w:r w:rsidRPr="00506E91" w:rsidR="00E17F96">
        <w:rPr>
          <w:rFonts w:ascii="Arial" w:hAnsi="Arial"/>
          <w:sz w:val="22"/>
          <w:szCs w:val="22"/>
        </w:rPr>
        <w:t xml:space="preserve">to gather the necessary information, prepare the form, and submit the </w:t>
      </w:r>
      <w:r w:rsidRPr="00506E91" w:rsidR="00E87106">
        <w:rPr>
          <w:rFonts w:ascii="Arial" w:hAnsi="Arial"/>
          <w:sz w:val="22"/>
          <w:szCs w:val="22"/>
        </w:rPr>
        <w:t>request</w:t>
      </w:r>
      <w:r w:rsidRPr="00506E91" w:rsidR="00CC745F">
        <w:rPr>
          <w:rFonts w:ascii="Arial" w:hAnsi="Arial"/>
          <w:sz w:val="22"/>
          <w:szCs w:val="22"/>
        </w:rPr>
        <w:t xml:space="preserve"> for recordal or renewal of a fastener insignia to the USPTO</w:t>
      </w:r>
      <w:r w:rsidRPr="00506E91" w:rsidR="00E87106">
        <w:rPr>
          <w:rFonts w:ascii="Arial" w:hAnsi="Arial"/>
          <w:sz w:val="22"/>
          <w:szCs w:val="22"/>
        </w:rPr>
        <w:t xml:space="preserve">.  </w:t>
      </w:r>
      <w:r w:rsidRPr="00506E91" w:rsidR="00506E91">
        <w:rPr>
          <w:rFonts w:ascii="Arial" w:hAnsi="Arial"/>
          <w:sz w:val="22"/>
          <w:szCs w:val="22"/>
        </w:rPr>
        <w:t>Using these burden factors, USPTO estimates that the total respondent hourly burden for this information collection is 48 hours per year.</w:t>
      </w:r>
    </w:p>
    <w:p w:rsidR="00447A38" w:rsidRDefault="00447A38">
      <w:pPr>
        <w:ind w:left="720"/>
        <w:jc w:val="both"/>
        <w:rPr>
          <w:rFonts w:ascii="Arial" w:hAnsi="Arial"/>
        </w:rPr>
      </w:pPr>
    </w:p>
    <w:p w:rsidR="00447A38" w:rsidP="0028112A" w:rsidRDefault="00447A38">
      <w:pPr>
        <w:numPr>
          <w:ilvl w:val="0"/>
          <w:numId w:val="5"/>
        </w:numPr>
        <w:jc w:val="both"/>
        <w:rPr>
          <w:rFonts w:ascii="Arial" w:hAnsi="Arial"/>
          <w:sz w:val="22"/>
        </w:rPr>
      </w:pPr>
      <w:r>
        <w:rPr>
          <w:rFonts w:ascii="Arial" w:hAnsi="Arial"/>
          <w:b/>
          <w:sz w:val="22"/>
        </w:rPr>
        <w:t>Cost Burden Calculation Factors</w:t>
      </w:r>
    </w:p>
    <w:p w:rsidR="00DE62AD" w:rsidP="007F75D1" w:rsidRDefault="008A2533">
      <w:pPr>
        <w:pStyle w:val="BodyTextIndent2"/>
      </w:pPr>
      <w:r w:rsidRPr="008A2533">
        <w:t xml:space="preserve">The USPTO uses a professional rate of $400 per hour for respondent cost burden calculations, published in the </w:t>
      </w:r>
      <w:hyperlink w:history="1" r:id="rId13">
        <w:r w:rsidRPr="008A2533">
          <w:rPr>
            <w:rStyle w:val="Hyperlink"/>
          </w:rPr>
          <w:t>2019 Report of the Economic Survey</w:t>
        </w:r>
      </w:hyperlink>
      <w:r>
        <w:rPr>
          <w:rStyle w:val="FootnoteReference"/>
        </w:rPr>
        <w:footnoteReference w:id="1"/>
      </w:r>
      <w:r w:rsidRPr="008A2533">
        <w:t xml:space="preserve"> from the Law Practice Management Committee of the American Intellectual Property Law Association (A</w:t>
      </w:r>
      <w:r w:rsidR="00B55BE9">
        <w:t>IPLA).  Using this hourly rate</w:t>
      </w:r>
      <w:r w:rsidRPr="008A2533">
        <w:t>, the USPTO estimates that the total respondent cost burden for this information collection is $</w:t>
      </w:r>
      <w:r w:rsidRPr="00B55BE9" w:rsidR="00B55BE9">
        <w:t>19,200</w:t>
      </w:r>
      <w:r w:rsidR="00B55BE9">
        <w:t xml:space="preserve"> </w:t>
      </w:r>
      <w:r w:rsidRPr="008A2533">
        <w:t>per year.</w:t>
      </w:r>
    </w:p>
    <w:p w:rsidR="00DE62AD" w:rsidP="00DE62AD" w:rsidRDefault="00DE62AD">
      <w:pPr>
        <w:pStyle w:val="BodyTextIndent2"/>
      </w:pPr>
    </w:p>
    <w:p w:rsidRPr="00DE62AD" w:rsidR="00DE62AD" w:rsidP="00DE62AD" w:rsidRDefault="00DE62AD">
      <w:pPr>
        <w:pStyle w:val="BodyTextIndent2"/>
        <w:ind w:left="0"/>
        <w:jc w:val="left"/>
      </w:pPr>
      <w:r w:rsidRPr="004F3B59">
        <w:rPr>
          <w:rFonts w:cs="Arial"/>
          <w:b/>
        </w:rPr>
        <w:t xml:space="preserve">Table </w:t>
      </w:r>
      <w:r w:rsidR="004B214E">
        <w:rPr>
          <w:rFonts w:cs="Arial"/>
          <w:b/>
        </w:rPr>
        <w:t>3</w:t>
      </w:r>
      <w:r w:rsidRPr="004F3B59">
        <w:rPr>
          <w:rFonts w:cs="Arial"/>
          <w:b/>
        </w:rPr>
        <w:t>: Total Hourly Burden For</w:t>
      </w:r>
      <w:r>
        <w:rPr>
          <w:rFonts w:cs="Arial"/>
          <w:b/>
        </w:rPr>
        <w:t xml:space="preserve"> </w:t>
      </w:r>
      <w:r w:rsidRPr="008B7F39">
        <w:rPr>
          <w:rFonts w:cs="Arial"/>
          <w:b/>
          <w:bCs/>
        </w:rPr>
        <w:t>Private Sector</w:t>
      </w:r>
      <w:r w:rsidRPr="004F3B59">
        <w:rPr>
          <w:rFonts w:cs="Arial"/>
          <w:b/>
        </w:rPr>
        <w:t xml:space="preserve"> Respondents</w:t>
      </w:r>
    </w:p>
    <w:tbl>
      <w:tblPr>
        <w:tblW w:w="10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2"/>
        <w:gridCol w:w="2258"/>
        <w:gridCol w:w="1380"/>
        <w:gridCol w:w="1108"/>
        <w:gridCol w:w="1077"/>
        <w:gridCol w:w="1364"/>
        <w:gridCol w:w="886"/>
        <w:gridCol w:w="1464"/>
      </w:tblGrid>
      <w:tr w:rsidRPr="00B308DD" w:rsidR="00076B14" w:rsidTr="00076B14">
        <w:trPr>
          <w:jc w:val="center"/>
        </w:trPr>
        <w:tc>
          <w:tcPr>
            <w:tcW w:w="0" w:type="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lastRenderedPageBreak/>
              <w:t>Item No.</w:t>
            </w:r>
          </w:p>
        </w:tc>
        <w:tc>
          <w:tcPr>
            <w:tcW w:w="0" w:type="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Item</w:t>
            </w:r>
          </w:p>
        </w:tc>
        <w:tc>
          <w:tcPr>
            <w:tcW w:w="0" w:type="auto"/>
            <w:shd w:val="clear" w:color="auto" w:fill="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Estimated Annual Respondents</w:t>
            </w:r>
          </w:p>
        </w:tc>
        <w:tc>
          <w:tcPr>
            <w:tcW w:w="0" w:type="auto"/>
            <w:shd w:val="clear" w:color="auto" w:fill="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Estimated Annual Response (Year)</w:t>
            </w:r>
          </w:p>
          <w:p w:rsidRPr="00076B14" w:rsidR="00076B14" w:rsidP="00076B14" w:rsidRDefault="00076B14">
            <w:pPr>
              <w:pStyle w:val="NoSpacing"/>
              <w:jc w:val="center"/>
              <w:rPr>
                <w:rFonts w:ascii="Arial" w:hAnsi="Arial" w:cs="Arial"/>
                <w:b/>
                <w:sz w:val="18"/>
                <w:szCs w:val="18"/>
              </w:rPr>
            </w:pPr>
          </w:p>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(a)</w:t>
            </w:r>
          </w:p>
        </w:tc>
        <w:tc>
          <w:tcPr>
            <w:tcW w:w="947" w:type="dxa"/>
            <w:shd w:val="clear" w:color="auto" w:fill="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Estimated Time for Response</w:t>
            </w:r>
          </w:p>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(hour)</w:t>
            </w:r>
          </w:p>
          <w:p w:rsidRPr="00076B14" w:rsidR="00076B14" w:rsidP="00076B14" w:rsidRDefault="00076B14">
            <w:pPr>
              <w:pStyle w:val="NoSpacing"/>
              <w:jc w:val="center"/>
              <w:rPr>
                <w:rFonts w:ascii="Arial" w:hAnsi="Arial" w:cs="Arial"/>
                <w:b/>
                <w:sz w:val="18"/>
                <w:szCs w:val="18"/>
              </w:rPr>
            </w:pPr>
          </w:p>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(b)</w:t>
            </w:r>
          </w:p>
        </w:tc>
        <w:tc>
          <w:tcPr>
            <w:tcW w:w="1364" w:type="dxa"/>
            <w:shd w:val="clear" w:color="auto" w:fill="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Estimated Annual Burden</w:t>
            </w:r>
          </w:p>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(hour/year)</w:t>
            </w:r>
          </w:p>
          <w:p w:rsidRPr="00076B14" w:rsidR="00076B14" w:rsidP="00076B14" w:rsidRDefault="00076B14">
            <w:pPr>
              <w:pStyle w:val="NoSpacing"/>
              <w:jc w:val="center"/>
              <w:rPr>
                <w:rFonts w:ascii="Arial" w:hAnsi="Arial" w:cs="Arial"/>
                <w:b/>
                <w:sz w:val="18"/>
                <w:szCs w:val="18"/>
              </w:rPr>
            </w:pPr>
          </w:p>
          <w:p w:rsidRPr="00076B14" w:rsidR="00076B14" w:rsidP="00076B14" w:rsidRDefault="00076B14">
            <w:pPr>
              <w:pStyle w:val="NoSpacing"/>
              <w:jc w:val="center"/>
              <w:rPr>
                <w:rFonts w:ascii="Arial" w:hAnsi="Arial" w:cs="Arial"/>
                <w:b/>
                <w:sz w:val="18"/>
                <w:szCs w:val="18"/>
              </w:rPr>
            </w:pPr>
            <w:r>
              <w:rPr>
                <w:rFonts w:ascii="Arial" w:hAnsi="Arial" w:cs="Arial"/>
                <w:b/>
                <w:sz w:val="18"/>
                <w:szCs w:val="18"/>
              </w:rPr>
              <w:t>(a) x (b) = c)</w:t>
            </w:r>
          </w:p>
        </w:tc>
        <w:tc>
          <w:tcPr>
            <w:tcW w:w="886" w:type="dxa"/>
            <w:shd w:val="clear" w:color="auto" w:fill="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Rate</w:t>
            </w:r>
            <w:r w:rsidRPr="00076B14">
              <w:rPr>
                <w:rStyle w:val="FootnoteReference"/>
                <w:rFonts w:ascii="Arial" w:hAnsi="Arial" w:cs="Arial"/>
                <w:b/>
                <w:sz w:val="18"/>
                <w:szCs w:val="18"/>
              </w:rPr>
              <w:footnoteReference w:id="2"/>
            </w:r>
          </w:p>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($/hour)</w:t>
            </w:r>
          </w:p>
          <w:p w:rsidR="00076B14" w:rsidP="00076B14" w:rsidRDefault="00076B14">
            <w:pPr>
              <w:pStyle w:val="NoSpacing"/>
              <w:jc w:val="center"/>
              <w:rPr>
                <w:rFonts w:ascii="Arial" w:hAnsi="Arial" w:cs="Arial"/>
                <w:b/>
                <w:sz w:val="18"/>
                <w:szCs w:val="18"/>
              </w:rPr>
            </w:pPr>
          </w:p>
          <w:p w:rsidR="00506E91" w:rsidP="00076B14" w:rsidRDefault="00506E91">
            <w:pPr>
              <w:pStyle w:val="NoSpacing"/>
              <w:jc w:val="center"/>
              <w:rPr>
                <w:rFonts w:ascii="Arial" w:hAnsi="Arial" w:cs="Arial"/>
                <w:b/>
                <w:sz w:val="18"/>
                <w:szCs w:val="18"/>
              </w:rPr>
            </w:pPr>
          </w:p>
          <w:p w:rsidRPr="00076B14" w:rsidR="00506E91" w:rsidP="00076B14" w:rsidRDefault="00506E91">
            <w:pPr>
              <w:pStyle w:val="NoSpacing"/>
              <w:jc w:val="center"/>
              <w:rPr>
                <w:rFonts w:ascii="Arial" w:hAnsi="Arial" w:cs="Arial"/>
                <w:b/>
                <w:sz w:val="18"/>
                <w:szCs w:val="18"/>
              </w:rPr>
            </w:pPr>
          </w:p>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(d)</w:t>
            </w:r>
          </w:p>
        </w:tc>
        <w:tc>
          <w:tcPr>
            <w:tcW w:w="1464" w:type="dxa"/>
            <w:shd w:val="clear" w:color="auto" w:fill="auto"/>
          </w:tcPr>
          <w:p w:rsidRPr="00076B14" w:rsidR="00076B14" w:rsidP="00076B14" w:rsidRDefault="00076B14">
            <w:pPr>
              <w:pStyle w:val="NoSpacing"/>
              <w:jc w:val="center"/>
              <w:rPr>
                <w:rFonts w:ascii="Arial" w:hAnsi="Arial" w:cs="Arial"/>
                <w:b/>
                <w:sz w:val="18"/>
                <w:szCs w:val="18"/>
              </w:rPr>
            </w:pPr>
            <w:r w:rsidRPr="00076B14">
              <w:rPr>
                <w:rFonts w:ascii="Arial" w:hAnsi="Arial" w:cs="Arial"/>
                <w:b/>
                <w:sz w:val="18"/>
                <w:szCs w:val="18"/>
              </w:rPr>
              <w:t>Estimated Annual Burden</w:t>
            </w:r>
          </w:p>
          <w:p w:rsidR="00076B14" w:rsidP="00076B14" w:rsidRDefault="00076B14">
            <w:pPr>
              <w:pStyle w:val="NoSpacing"/>
              <w:jc w:val="center"/>
              <w:rPr>
                <w:rFonts w:ascii="Arial" w:hAnsi="Arial" w:cs="Arial"/>
                <w:b/>
                <w:sz w:val="18"/>
                <w:szCs w:val="18"/>
              </w:rPr>
            </w:pPr>
          </w:p>
          <w:p w:rsidRPr="00076B14" w:rsidR="00506E91" w:rsidP="00076B14" w:rsidRDefault="00506E91">
            <w:pPr>
              <w:pStyle w:val="NoSpacing"/>
              <w:jc w:val="center"/>
              <w:rPr>
                <w:rFonts w:ascii="Arial" w:hAnsi="Arial" w:cs="Arial"/>
                <w:b/>
                <w:sz w:val="18"/>
                <w:szCs w:val="18"/>
              </w:rPr>
            </w:pPr>
          </w:p>
          <w:p w:rsidRPr="00076B14" w:rsidR="00076B14" w:rsidP="00506E91" w:rsidRDefault="00076B14">
            <w:pPr>
              <w:pStyle w:val="NoSpacing"/>
              <w:jc w:val="center"/>
              <w:rPr>
                <w:rFonts w:ascii="Arial" w:hAnsi="Arial" w:cs="Arial"/>
                <w:b/>
                <w:sz w:val="18"/>
                <w:szCs w:val="18"/>
              </w:rPr>
            </w:pPr>
            <w:r w:rsidRPr="00076B14">
              <w:rPr>
                <w:rFonts w:ascii="Arial" w:hAnsi="Arial" w:cs="Arial"/>
                <w:b/>
                <w:sz w:val="18"/>
                <w:szCs w:val="18"/>
              </w:rPr>
              <w:t>(c) x (d) = (e)</w:t>
            </w:r>
          </w:p>
          <w:p w:rsidRPr="00076B14" w:rsidR="00076B14" w:rsidP="00506E91" w:rsidRDefault="00076B14">
            <w:pPr>
              <w:pStyle w:val="NoSpacing"/>
              <w:rPr>
                <w:rFonts w:ascii="Arial" w:hAnsi="Arial" w:cs="Arial"/>
                <w:b/>
                <w:sz w:val="18"/>
                <w:szCs w:val="18"/>
              </w:rPr>
            </w:pPr>
          </w:p>
        </w:tc>
      </w:tr>
      <w:tr w:rsidRPr="00B308DD" w:rsidR="00076B14" w:rsidTr="00076B14">
        <w:trPr>
          <w:jc w:val="center"/>
        </w:trPr>
        <w:tc>
          <w:tcPr>
            <w:tcW w:w="0" w:type="auto"/>
            <w:vAlign w:val="center"/>
          </w:tcPr>
          <w:p w:rsidRPr="00596A82" w:rsidR="00DE62AD" w:rsidP="00596A82" w:rsidRDefault="00DE62AD">
            <w:pPr>
              <w:pStyle w:val="NoSpacing"/>
              <w:jc w:val="center"/>
              <w:rPr>
                <w:rFonts w:ascii="Arial" w:hAnsi="Arial" w:cs="Arial"/>
                <w:sz w:val="20"/>
                <w:szCs w:val="20"/>
              </w:rPr>
            </w:pPr>
            <w:r w:rsidRPr="00596A82">
              <w:rPr>
                <w:rFonts w:ascii="Arial" w:hAnsi="Arial" w:cs="Arial"/>
                <w:sz w:val="20"/>
                <w:szCs w:val="20"/>
              </w:rPr>
              <w:t>1</w:t>
            </w:r>
          </w:p>
        </w:tc>
        <w:tc>
          <w:tcPr>
            <w:tcW w:w="0" w:type="auto"/>
            <w:vAlign w:val="center"/>
          </w:tcPr>
          <w:p w:rsidRPr="00596A82" w:rsidR="00DE62AD" w:rsidP="00596A82" w:rsidRDefault="00DE62AD">
            <w:pPr>
              <w:pStyle w:val="NoSpacing"/>
              <w:rPr>
                <w:rFonts w:ascii="Arial" w:hAnsi="Arial" w:cs="Arial"/>
                <w:sz w:val="20"/>
                <w:szCs w:val="20"/>
              </w:rPr>
            </w:pPr>
          </w:p>
          <w:p w:rsidR="00DE62AD" w:rsidP="00596A82" w:rsidRDefault="00DE62AD">
            <w:pPr>
              <w:pStyle w:val="NoSpacing"/>
              <w:rPr>
                <w:rFonts w:ascii="Arial" w:hAnsi="Arial" w:cs="Arial"/>
                <w:sz w:val="20"/>
                <w:szCs w:val="20"/>
              </w:rPr>
            </w:pPr>
            <w:r w:rsidRPr="00596A82">
              <w:rPr>
                <w:rFonts w:ascii="Arial" w:hAnsi="Arial" w:cs="Arial"/>
                <w:sz w:val="20"/>
                <w:szCs w:val="20"/>
              </w:rPr>
              <w:t>Applications for Recordal of Insignia or Renewal/Reactivation of Recordal Under the Fastener Quality Act</w:t>
            </w:r>
          </w:p>
          <w:p w:rsidRPr="00596A82" w:rsidR="00375D13" w:rsidP="00596A82" w:rsidRDefault="00375D13">
            <w:pPr>
              <w:pStyle w:val="NoSpacing"/>
              <w:rPr>
                <w:rFonts w:ascii="Arial" w:hAnsi="Arial" w:cs="Arial"/>
                <w:sz w:val="20"/>
                <w:szCs w:val="20"/>
              </w:rPr>
            </w:pPr>
          </w:p>
          <w:p w:rsidRPr="00375D13" w:rsidR="00DE62AD" w:rsidP="00596A82" w:rsidRDefault="00795F44">
            <w:pPr>
              <w:pStyle w:val="NoSpacing"/>
              <w:rPr>
                <w:rFonts w:ascii="Arial" w:hAnsi="Arial" w:cs="Arial"/>
                <w:b/>
                <w:sz w:val="20"/>
                <w:szCs w:val="20"/>
              </w:rPr>
            </w:pPr>
            <w:r>
              <w:rPr>
                <w:rFonts w:ascii="Arial" w:hAnsi="Arial" w:cs="Arial"/>
                <w:sz w:val="20"/>
                <w:szCs w:val="20"/>
              </w:rPr>
              <w:t xml:space="preserve"> </w:t>
            </w:r>
            <w:r w:rsidRPr="00375D13">
              <w:rPr>
                <w:rFonts w:ascii="Arial" w:hAnsi="Arial" w:cs="Arial"/>
                <w:b/>
                <w:sz w:val="20"/>
                <w:szCs w:val="20"/>
              </w:rPr>
              <w:t>PTO Form 1611</w:t>
            </w:r>
          </w:p>
        </w:tc>
        <w:tc>
          <w:tcPr>
            <w:tcW w:w="0" w:type="auto"/>
            <w:shd w:val="clear" w:color="auto" w:fill="auto"/>
            <w:vAlign w:val="center"/>
          </w:tcPr>
          <w:p w:rsidRPr="00596A82" w:rsidR="00DE62AD" w:rsidP="00596A82" w:rsidRDefault="00D824A9">
            <w:pPr>
              <w:pStyle w:val="NoSpacing"/>
              <w:jc w:val="right"/>
              <w:rPr>
                <w:rFonts w:ascii="Arial" w:hAnsi="Arial" w:cs="Arial"/>
                <w:sz w:val="20"/>
                <w:szCs w:val="20"/>
              </w:rPr>
            </w:pPr>
            <w:r>
              <w:rPr>
                <w:rFonts w:ascii="Arial" w:hAnsi="Arial" w:cs="Arial"/>
                <w:sz w:val="20"/>
                <w:szCs w:val="20"/>
              </w:rPr>
              <w:t>96</w:t>
            </w:r>
          </w:p>
        </w:tc>
        <w:tc>
          <w:tcPr>
            <w:tcW w:w="0" w:type="auto"/>
            <w:shd w:val="clear" w:color="auto" w:fill="auto"/>
            <w:vAlign w:val="center"/>
          </w:tcPr>
          <w:p w:rsidRPr="00596A82" w:rsidR="00DE62AD" w:rsidP="00596A82" w:rsidRDefault="00DE62AD">
            <w:pPr>
              <w:pStyle w:val="NoSpacing"/>
              <w:jc w:val="right"/>
              <w:rPr>
                <w:rFonts w:ascii="Arial" w:hAnsi="Arial" w:cs="Arial"/>
                <w:sz w:val="20"/>
                <w:szCs w:val="20"/>
              </w:rPr>
            </w:pPr>
            <w:r w:rsidRPr="00596A82">
              <w:rPr>
                <w:rFonts w:ascii="Arial" w:hAnsi="Arial" w:cs="Arial"/>
                <w:sz w:val="20"/>
                <w:szCs w:val="20"/>
              </w:rPr>
              <w:t>96</w:t>
            </w:r>
          </w:p>
        </w:tc>
        <w:tc>
          <w:tcPr>
            <w:tcW w:w="947" w:type="dxa"/>
            <w:shd w:val="clear" w:color="auto" w:fill="auto"/>
            <w:vAlign w:val="center"/>
          </w:tcPr>
          <w:p w:rsidRPr="00596A82" w:rsidR="00DE62AD" w:rsidP="00380D49" w:rsidRDefault="00D824A9">
            <w:pPr>
              <w:pStyle w:val="NoSpacing"/>
              <w:jc w:val="right"/>
              <w:rPr>
                <w:rFonts w:ascii="Arial" w:hAnsi="Arial" w:cs="Arial"/>
                <w:sz w:val="20"/>
                <w:szCs w:val="20"/>
              </w:rPr>
            </w:pPr>
            <w:r>
              <w:rPr>
                <w:rFonts w:ascii="Arial" w:hAnsi="Arial" w:cs="Arial"/>
                <w:sz w:val="20"/>
                <w:szCs w:val="20"/>
              </w:rPr>
              <w:t>0.5</w:t>
            </w:r>
          </w:p>
        </w:tc>
        <w:tc>
          <w:tcPr>
            <w:tcW w:w="1364" w:type="dxa"/>
            <w:shd w:val="clear" w:color="auto" w:fill="auto"/>
            <w:vAlign w:val="center"/>
          </w:tcPr>
          <w:p w:rsidRPr="00596A82" w:rsidR="00DE62AD" w:rsidP="00596A82" w:rsidRDefault="00D824A9">
            <w:pPr>
              <w:pStyle w:val="NoSpacing"/>
              <w:jc w:val="right"/>
              <w:rPr>
                <w:rFonts w:ascii="Arial" w:hAnsi="Arial" w:cs="Arial"/>
                <w:sz w:val="20"/>
                <w:szCs w:val="20"/>
              </w:rPr>
            </w:pPr>
            <w:r>
              <w:rPr>
                <w:rFonts w:ascii="Arial" w:hAnsi="Arial" w:cs="Arial"/>
                <w:sz w:val="20"/>
                <w:szCs w:val="20"/>
              </w:rPr>
              <w:t>48</w:t>
            </w:r>
          </w:p>
        </w:tc>
        <w:tc>
          <w:tcPr>
            <w:tcW w:w="886" w:type="dxa"/>
            <w:shd w:val="clear" w:color="auto" w:fill="auto"/>
            <w:vAlign w:val="center"/>
          </w:tcPr>
          <w:p w:rsidRPr="00596A82" w:rsidR="00DE62AD" w:rsidP="00380D49" w:rsidRDefault="00DE62AD">
            <w:pPr>
              <w:pStyle w:val="NoSpacing"/>
              <w:jc w:val="right"/>
              <w:rPr>
                <w:rFonts w:ascii="Arial" w:hAnsi="Arial" w:cs="Arial"/>
                <w:sz w:val="20"/>
                <w:szCs w:val="20"/>
              </w:rPr>
            </w:pPr>
            <w:r w:rsidRPr="00596A82">
              <w:rPr>
                <w:rFonts w:ascii="Arial" w:hAnsi="Arial" w:cs="Arial"/>
                <w:sz w:val="20"/>
                <w:szCs w:val="20"/>
              </w:rPr>
              <w:t>$</w:t>
            </w:r>
            <w:r w:rsidR="00D824A9">
              <w:rPr>
                <w:rFonts w:ascii="Arial" w:hAnsi="Arial" w:cs="Arial"/>
                <w:sz w:val="20"/>
                <w:szCs w:val="20"/>
              </w:rPr>
              <w:t>400</w:t>
            </w:r>
          </w:p>
        </w:tc>
        <w:tc>
          <w:tcPr>
            <w:tcW w:w="1464" w:type="dxa"/>
            <w:shd w:val="clear" w:color="auto" w:fill="auto"/>
            <w:vAlign w:val="center"/>
          </w:tcPr>
          <w:p w:rsidRPr="00596A82" w:rsidR="00DE62AD" w:rsidP="00596A82" w:rsidRDefault="00D824A9">
            <w:pPr>
              <w:pStyle w:val="NoSpacing"/>
              <w:jc w:val="right"/>
              <w:rPr>
                <w:rFonts w:ascii="Arial" w:hAnsi="Arial" w:cs="Arial"/>
                <w:sz w:val="20"/>
                <w:szCs w:val="20"/>
              </w:rPr>
            </w:pPr>
            <w:r>
              <w:rPr>
                <w:rFonts w:ascii="Arial" w:hAnsi="Arial" w:cs="Arial"/>
                <w:sz w:val="20"/>
                <w:szCs w:val="20"/>
              </w:rPr>
              <w:t>$</w:t>
            </w:r>
            <w:r w:rsidRPr="00D824A9">
              <w:rPr>
                <w:rFonts w:ascii="Arial" w:hAnsi="Arial" w:cs="Arial"/>
                <w:sz w:val="20"/>
                <w:szCs w:val="20"/>
              </w:rPr>
              <w:t>19</w:t>
            </w:r>
            <w:r>
              <w:rPr>
                <w:rFonts w:ascii="Arial" w:hAnsi="Arial" w:cs="Arial"/>
                <w:sz w:val="20"/>
                <w:szCs w:val="20"/>
              </w:rPr>
              <w:t>,</w:t>
            </w:r>
            <w:r w:rsidRPr="00D824A9">
              <w:rPr>
                <w:rFonts w:ascii="Arial" w:hAnsi="Arial" w:cs="Arial"/>
                <w:sz w:val="20"/>
                <w:szCs w:val="20"/>
              </w:rPr>
              <w:t>200</w:t>
            </w:r>
          </w:p>
        </w:tc>
      </w:tr>
      <w:tr w:rsidRPr="00B308DD" w:rsidR="00076B14" w:rsidTr="00076B14">
        <w:trPr>
          <w:jc w:val="center"/>
        </w:trPr>
        <w:tc>
          <w:tcPr>
            <w:tcW w:w="0" w:type="auto"/>
            <w:vAlign w:val="center"/>
          </w:tcPr>
          <w:p w:rsidRPr="00596A82" w:rsidR="00DE62AD" w:rsidP="00596A82" w:rsidRDefault="00DE62AD">
            <w:pPr>
              <w:pStyle w:val="NoSpacing"/>
              <w:jc w:val="center"/>
              <w:rPr>
                <w:rFonts w:ascii="Arial" w:hAnsi="Arial" w:cs="Arial"/>
                <w:b/>
                <w:sz w:val="20"/>
                <w:szCs w:val="20"/>
              </w:rPr>
            </w:pPr>
          </w:p>
        </w:tc>
        <w:tc>
          <w:tcPr>
            <w:tcW w:w="0" w:type="auto"/>
            <w:vAlign w:val="center"/>
          </w:tcPr>
          <w:p w:rsidRPr="00596A82" w:rsidR="00DE62AD" w:rsidP="00596A82" w:rsidRDefault="00DE62AD">
            <w:pPr>
              <w:pStyle w:val="NoSpacing"/>
              <w:rPr>
                <w:rFonts w:ascii="Arial" w:hAnsi="Arial" w:cs="Arial"/>
                <w:b/>
                <w:sz w:val="20"/>
                <w:szCs w:val="20"/>
              </w:rPr>
            </w:pPr>
          </w:p>
          <w:p w:rsidRPr="00596A82" w:rsidR="00DE62AD" w:rsidP="00596A82" w:rsidRDefault="00DE62AD">
            <w:pPr>
              <w:pStyle w:val="NoSpacing"/>
              <w:rPr>
                <w:rFonts w:ascii="Arial" w:hAnsi="Arial" w:cs="Arial"/>
                <w:b/>
                <w:sz w:val="20"/>
                <w:szCs w:val="20"/>
              </w:rPr>
            </w:pPr>
            <w:r w:rsidRPr="00596A82">
              <w:rPr>
                <w:rFonts w:ascii="Arial" w:hAnsi="Arial" w:cs="Arial"/>
                <w:b/>
                <w:sz w:val="20"/>
                <w:szCs w:val="20"/>
              </w:rPr>
              <w:t>Totals</w:t>
            </w:r>
          </w:p>
          <w:p w:rsidRPr="00596A82" w:rsidR="00DE62AD" w:rsidP="00596A82" w:rsidRDefault="00DE62AD">
            <w:pPr>
              <w:pStyle w:val="NoSpacing"/>
              <w:rPr>
                <w:rFonts w:ascii="Arial" w:hAnsi="Arial" w:cs="Arial"/>
                <w:b/>
                <w:sz w:val="20"/>
                <w:szCs w:val="20"/>
              </w:rPr>
            </w:pPr>
          </w:p>
        </w:tc>
        <w:tc>
          <w:tcPr>
            <w:tcW w:w="0" w:type="auto"/>
            <w:shd w:val="clear" w:color="auto" w:fill="auto"/>
            <w:vAlign w:val="center"/>
          </w:tcPr>
          <w:p w:rsidRPr="00596A82" w:rsidR="00DE62AD" w:rsidP="00596A82" w:rsidRDefault="00D824A9">
            <w:pPr>
              <w:pStyle w:val="NoSpacing"/>
              <w:jc w:val="right"/>
              <w:rPr>
                <w:rFonts w:ascii="Arial" w:hAnsi="Arial" w:cs="Arial"/>
                <w:b/>
                <w:sz w:val="20"/>
                <w:szCs w:val="20"/>
              </w:rPr>
            </w:pPr>
            <w:r>
              <w:rPr>
                <w:rFonts w:ascii="Arial" w:hAnsi="Arial" w:cs="Arial"/>
                <w:b/>
                <w:sz w:val="20"/>
                <w:szCs w:val="20"/>
              </w:rPr>
              <w:t>96</w:t>
            </w:r>
          </w:p>
        </w:tc>
        <w:tc>
          <w:tcPr>
            <w:tcW w:w="0" w:type="auto"/>
            <w:shd w:val="clear" w:color="auto" w:fill="auto"/>
            <w:vAlign w:val="center"/>
          </w:tcPr>
          <w:p w:rsidRPr="00596A82" w:rsidR="00DE62AD" w:rsidP="00596A82" w:rsidRDefault="00DE62AD">
            <w:pPr>
              <w:pStyle w:val="NoSpacing"/>
              <w:jc w:val="right"/>
              <w:rPr>
                <w:rFonts w:ascii="Arial" w:hAnsi="Arial" w:cs="Arial"/>
                <w:b/>
                <w:sz w:val="20"/>
                <w:szCs w:val="20"/>
              </w:rPr>
            </w:pPr>
            <w:r w:rsidRPr="00596A82">
              <w:rPr>
                <w:rFonts w:ascii="Arial" w:hAnsi="Arial" w:cs="Arial"/>
                <w:b/>
                <w:sz w:val="20"/>
                <w:szCs w:val="20"/>
              </w:rPr>
              <w:t>96</w:t>
            </w:r>
          </w:p>
        </w:tc>
        <w:tc>
          <w:tcPr>
            <w:tcW w:w="947" w:type="dxa"/>
            <w:shd w:val="clear" w:color="auto" w:fill="auto"/>
            <w:vAlign w:val="center"/>
          </w:tcPr>
          <w:p w:rsidRPr="00596A82" w:rsidR="00DE62AD" w:rsidP="00596A82" w:rsidRDefault="00DE62AD">
            <w:pPr>
              <w:pStyle w:val="NoSpacing"/>
              <w:jc w:val="right"/>
              <w:rPr>
                <w:rFonts w:ascii="Arial" w:hAnsi="Arial" w:cs="Arial"/>
                <w:b/>
                <w:sz w:val="20"/>
                <w:szCs w:val="20"/>
              </w:rPr>
            </w:pPr>
            <w:r w:rsidRPr="00596A82">
              <w:rPr>
                <w:rFonts w:ascii="Arial" w:hAnsi="Arial" w:cs="Arial"/>
                <w:b/>
                <w:sz w:val="20"/>
                <w:szCs w:val="20"/>
              </w:rPr>
              <w:t>- - -</w:t>
            </w:r>
          </w:p>
        </w:tc>
        <w:tc>
          <w:tcPr>
            <w:tcW w:w="1364" w:type="dxa"/>
            <w:shd w:val="clear" w:color="auto" w:fill="auto"/>
            <w:vAlign w:val="center"/>
          </w:tcPr>
          <w:p w:rsidRPr="00596A82" w:rsidR="00DE62AD" w:rsidP="00596A82" w:rsidRDefault="00D824A9">
            <w:pPr>
              <w:pStyle w:val="NoSpacing"/>
              <w:jc w:val="right"/>
              <w:rPr>
                <w:rFonts w:ascii="Arial" w:hAnsi="Arial" w:cs="Arial"/>
                <w:b/>
                <w:sz w:val="20"/>
                <w:szCs w:val="20"/>
              </w:rPr>
            </w:pPr>
            <w:r>
              <w:rPr>
                <w:rFonts w:ascii="Arial" w:hAnsi="Arial" w:cs="Arial"/>
                <w:b/>
                <w:sz w:val="20"/>
                <w:szCs w:val="20"/>
              </w:rPr>
              <w:t>48</w:t>
            </w:r>
          </w:p>
        </w:tc>
        <w:tc>
          <w:tcPr>
            <w:tcW w:w="886" w:type="dxa"/>
            <w:shd w:val="clear" w:color="auto" w:fill="auto"/>
            <w:vAlign w:val="center"/>
          </w:tcPr>
          <w:p w:rsidRPr="00596A82" w:rsidR="00DE62AD" w:rsidP="00596A82" w:rsidRDefault="00DE62AD">
            <w:pPr>
              <w:pStyle w:val="NoSpacing"/>
              <w:jc w:val="right"/>
              <w:rPr>
                <w:rFonts w:ascii="Arial" w:hAnsi="Arial" w:cs="Arial"/>
                <w:b/>
                <w:sz w:val="20"/>
                <w:szCs w:val="20"/>
              </w:rPr>
            </w:pPr>
            <w:r w:rsidRPr="00596A82">
              <w:rPr>
                <w:rFonts w:ascii="Arial" w:hAnsi="Arial" w:cs="Arial"/>
                <w:b/>
                <w:sz w:val="20"/>
                <w:szCs w:val="20"/>
              </w:rPr>
              <w:t>- - -</w:t>
            </w:r>
          </w:p>
        </w:tc>
        <w:tc>
          <w:tcPr>
            <w:tcW w:w="1464" w:type="dxa"/>
            <w:shd w:val="clear" w:color="auto" w:fill="auto"/>
            <w:vAlign w:val="center"/>
          </w:tcPr>
          <w:p w:rsidRPr="00596A82" w:rsidR="00DE62AD" w:rsidP="00596A82" w:rsidRDefault="00D824A9">
            <w:pPr>
              <w:pStyle w:val="NoSpacing"/>
              <w:jc w:val="right"/>
              <w:rPr>
                <w:rFonts w:ascii="Arial" w:hAnsi="Arial" w:cs="Arial"/>
                <w:b/>
                <w:sz w:val="20"/>
                <w:szCs w:val="20"/>
              </w:rPr>
            </w:pPr>
            <w:r w:rsidRPr="00D824A9">
              <w:rPr>
                <w:rFonts w:ascii="Arial" w:hAnsi="Arial" w:cs="Arial"/>
                <w:b/>
                <w:sz w:val="20"/>
                <w:szCs w:val="20"/>
              </w:rPr>
              <w:t>$19,200</w:t>
            </w:r>
          </w:p>
        </w:tc>
      </w:tr>
    </w:tbl>
    <w:p w:rsidR="00D76909" w:rsidRDefault="00D76909">
      <w:pPr>
        <w:rPr>
          <w:rFonts w:ascii="Arial" w:hAnsi="Arial"/>
          <w:sz w:val="24"/>
        </w:rPr>
      </w:pPr>
    </w:p>
    <w:p w:rsidR="00C52AE2" w:rsidRDefault="00C52AE2">
      <w:pPr>
        <w:rPr>
          <w:rFonts w:ascii="Arial" w:hAnsi="Arial"/>
          <w:sz w:val="24"/>
        </w:rPr>
      </w:pPr>
    </w:p>
    <w:p w:rsidRPr="00D246D7" w:rsidR="005929EB" w:rsidP="00867F15" w:rsidRDefault="005929EB">
      <w:pPr>
        <w:pStyle w:val="NoSpacing"/>
        <w:numPr>
          <w:ilvl w:val="0"/>
          <w:numId w:val="26"/>
        </w:numPr>
        <w:ind w:hanging="450"/>
        <w:jc w:val="both"/>
        <w:rPr>
          <w:rFonts w:ascii="Arial" w:hAnsi="Arial" w:cs="Arial"/>
          <w:b/>
          <w:sz w:val="24"/>
        </w:rPr>
      </w:pPr>
      <w:r w:rsidRPr="00D246D7">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D246D7" w:rsidR="005929EB" w:rsidP="005929EB" w:rsidRDefault="005929EB">
      <w:pPr>
        <w:pStyle w:val="NoSpacing"/>
        <w:numPr>
          <w:ilvl w:val="0"/>
          <w:numId w:val="29"/>
        </w:numPr>
        <w:jc w:val="both"/>
        <w:rPr>
          <w:rFonts w:ascii="Arial" w:hAnsi="Arial" w:cs="Arial"/>
          <w:b/>
          <w:sz w:val="24"/>
        </w:rPr>
      </w:pPr>
      <w:r w:rsidRPr="00D246D7">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929EB" w:rsidP="005929EB" w:rsidRDefault="005929EB">
      <w:pPr>
        <w:pStyle w:val="NoSpacing"/>
        <w:numPr>
          <w:ilvl w:val="0"/>
          <w:numId w:val="29"/>
        </w:numPr>
        <w:jc w:val="both"/>
        <w:rPr>
          <w:rFonts w:ascii="Arial" w:hAnsi="Arial" w:cs="Arial"/>
          <w:b/>
          <w:sz w:val="24"/>
        </w:rPr>
      </w:pPr>
      <w:r w:rsidRPr="00D246D7">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929EB" w:rsidP="005929EB" w:rsidRDefault="005929EB">
      <w:pPr>
        <w:pStyle w:val="NoSpacing"/>
        <w:numPr>
          <w:ilvl w:val="0"/>
          <w:numId w:val="29"/>
        </w:numPr>
        <w:jc w:val="both"/>
        <w:rPr>
          <w:rFonts w:ascii="Arial" w:hAnsi="Arial" w:cs="Arial"/>
          <w:b/>
          <w:sz w:val="24"/>
        </w:rPr>
      </w:pPr>
      <w:r w:rsidRPr="005929EB">
        <w:rPr>
          <w:rFonts w:ascii="Arial" w:hAnsi="Arial" w:cs="Arial"/>
          <w:b/>
          <w:sz w:val="24"/>
        </w:rPr>
        <w:t xml:space="preserve">Generally, estimates should not include purchases of equipment or services, or portions thereof, made: (1) prior to October 1, 1995, (2) to </w:t>
      </w:r>
      <w:r w:rsidRPr="005929EB">
        <w:rPr>
          <w:rFonts w:ascii="Arial" w:hAnsi="Arial" w:cs="Arial"/>
          <w:b/>
          <w:sz w:val="24"/>
        </w:rPr>
        <w:lastRenderedPageBreak/>
        <w:t>achieve regulatory compliance with requirements not associated with the information collection, (3) for reasons other than to provide information or keep records for the government, or (4) as part of customary and usual business or private practices.</w:t>
      </w:r>
    </w:p>
    <w:p w:rsidR="005929EB" w:rsidP="005929EB" w:rsidRDefault="005929EB">
      <w:pPr>
        <w:pStyle w:val="NoSpacing"/>
        <w:ind w:left="720"/>
        <w:jc w:val="both"/>
        <w:rPr>
          <w:rFonts w:ascii="Arial" w:hAnsi="Arial" w:cs="Arial"/>
          <w:b/>
          <w:sz w:val="24"/>
        </w:rPr>
      </w:pPr>
    </w:p>
    <w:p w:rsidRPr="005929EB" w:rsidR="00104EB8" w:rsidP="00082D9E" w:rsidRDefault="00104EB8">
      <w:pPr>
        <w:pStyle w:val="NoSpacing"/>
        <w:jc w:val="both"/>
        <w:rPr>
          <w:rFonts w:ascii="Arial" w:hAnsi="Arial" w:cs="Arial"/>
          <w:b/>
          <w:sz w:val="24"/>
          <w:szCs w:val="24"/>
        </w:rPr>
      </w:pPr>
      <w:r w:rsidRPr="005929EB">
        <w:rPr>
          <w:rFonts w:ascii="Arial" w:hAnsi="Arial" w:cs="Arial"/>
          <w:sz w:val="24"/>
          <w:szCs w:val="24"/>
        </w:rPr>
        <w:t xml:space="preserve">The total annual (non-hour) cost burden </w:t>
      </w:r>
      <w:r w:rsidRPr="005929EB" w:rsidR="00F15869">
        <w:rPr>
          <w:rFonts w:ascii="Arial" w:hAnsi="Arial" w:cs="Arial"/>
          <w:sz w:val="24"/>
          <w:szCs w:val="24"/>
        </w:rPr>
        <w:t xml:space="preserve">for this </w:t>
      </w:r>
      <w:r w:rsidR="00D824A9">
        <w:rPr>
          <w:rFonts w:ascii="Arial" w:hAnsi="Arial" w:cs="Arial"/>
          <w:sz w:val="24"/>
          <w:szCs w:val="24"/>
        </w:rPr>
        <w:t xml:space="preserve">information </w:t>
      </w:r>
      <w:r w:rsidRPr="005929EB" w:rsidR="00F15869">
        <w:rPr>
          <w:rFonts w:ascii="Arial" w:hAnsi="Arial" w:cs="Arial"/>
          <w:sz w:val="24"/>
          <w:szCs w:val="24"/>
        </w:rPr>
        <w:t>coll</w:t>
      </w:r>
      <w:r w:rsidRPr="005929EB" w:rsidR="00703FEC">
        <w:rPr>
          <w:rFonts w:ascii="Arial" w:hAnsi="Arial" w:cs="Arial"/>
          <w:sz w:val="24"/>
          <w:szCs w:val="24"/>
        </w:rPr>
        <w:t>ection is estimated to be $</w:t>
      </w:r>
      <w:r w:rsidRPr="00F83298" w:rsidR="00F83298">
        <w:rPr>
          <w:rFonts w:ascii="Arial" w:hAnsi="Arial" w:cs="Arial"/>
          <w:sz w:val="24"/>
          <w:szCs w:val="24"/>
        </w:rPr>
        <w:t>2,136</w:t>
      </w:r>
      <w:r w:rsidRPr="005929EB" w:rsidR="00F15869">
        <w:rPr>
          <w:rFonts w:ascii="Arial" w:hAnsi="Arial" w:cs="Arial"/>
          <w:sz w:val="24"/>
          <w:szCs w:val="24"/>
        </w:rPr>
        <w:t xml:space="preserve"> per year</w:t>
      </w:r>
      <w:r w:rsidRPr="005929EB" w:rsidR="009021EE">
        <w:rPr>
          <w:rFonts w:ascii="Arial" w:hAnsi="Arial" w:cs="Arial"/>
          <w:sz w:val="24"/>
          <w:szCs w:val="24"/>
        </w:rPr>
        <w:t>, which</w:t>
      </w:r>
      <w:r w:rsidRPr="005929EB" w:rsidR="00F15869">
        <w:rPr>
          <w:rFonts w:ascii="Arial" w:hAnsi="Arial" w:cs="Arial"/>
          <w:sz w:val="24"/>
          <w:szCs w:val="24"/>
        </w:rPr>
        <w:t xml:space="preserve"> inclu</w:t>
      </w:r>
      <w:r w:rsidRPr="005929EB" w:rsidR="00703FEC">
        <w:rPr>
          <w:rFonts w:ascii="Arial" w:hAnsi="Arial" w:cs="Arial"/>
          <w:sz w:val="24"/>
          <w:szCs w:val="24"/>
        </w:rPr>
        <w:t>des $</w:t>
      </w:r>
      <w:r w:rsidR="00F83298">
        <w:rPr>
          <w:rFonts w:ascii="Arial" w:hAnsi="Arial" w:cs="Arial"/>
          <w:sz w:val="24"/>
          <w:szCs w:val="24"/>
        </w:rPr>
        <w:t>2,120</w:t>
      </w:r>
      <w:r w:rsidRPr="005929EB" w:rsidR="007532E0">
        <w:rPr>
          <w:rFonts w:ascii="Arial" w:hAnsi="Arial" w:cs="Arial"/>
          <w:sz w:val="24"/>
          <w:szCs w:val="24"/>
        </w:rPr>
        <w:t xml:space="preserve"> </w:t>
      </w:r>
      <w:r w:rsidR="00506E91">
        <w:rPr>
          <w:rFonts w:ascii="Arial" w:hAnsi="Arial" w:cs="Arial"/>
          <w:sz w:val="24"/>
          <w:szCs w:val="24"/>
        </w:rPr>
        <w:t xml:space="preserve">in </w:t>
      </w:r>
      <w:r w:rsidRPr="005929EB" w:rsidR="007532E0">
        <w:rPr>
          <w:rFonts w:ascii="Arial" w:hAnsi="Arial" w:cs="Arial"/>
          <w:sz w:val="24"/>
          <w:szCs w:val="24"/>
        </w:rPr>
        <w:t>filing fees and $</w:t>
      </w:r>
      <w:r w:rsidRPr="00F83298" w:rsidR="00F83298">
        <w:rPr>
          <w:rFonts w:ascii="Arial" w:hAnsi="Arial" w:cs="Arial"/>
          <w:sz w:val="24"/>
          <w:szCs w:val="24"/>
        </w:rPr>
        <w:t>16</w:t>
      </w:r>
      <w:r w:rsidRPr="005929EB" w:rsidR="00F15869">
        <w:rPr>
          <w:rFonts w:ascii="Arial" w:hAnsi="Arial" w:cs="Arial"/>
          <w:sz w:val="24"/>
          <w:szCs w:val="24"/>
        </w:rPr>
        <w:t xml:space="preserve"> in postage</w:t>
      </w:r>
      <w:r w:rsidR="00424FD6">
        <w:rPr>
          <w:rFonts w:ascii="Arial" w:hAnsi="Arial" w:cs="Arial"/>
          <w:sz w:val="24"/>
          <w:szCs w:val="24"/>
        </w:rPr>
        <w:t xml:space="preserve"> costs</w:t>
      </w:r>
      <w:r w:rsidRPr="005929EB" w:rsidR="00F15869">
        <w:rPr>
          <w:rFonts w:ascii="Arial" w:hAnsi="Arial" w:cs="Arial"/>
          <w:sz w:val="24"/>
          <w:szCs w:val="24"/>
        </w:rPr>
        <w:t>.</w:t>
      </w:r>
    </w:p>
    <w:p w:rsidR="00104EB8" w:rsidRDefault="00104EB8">
      <w:pPr>
        <w:pStyle w:val="BodyText2"/>
      </w:pPr>
    </w:p>
    <w:p w:rsidR="0028473B" w:rsidRDefault="00DE752C">
      <w:pPr>
        <w:pStyle w:val="BodyText2"/>
      </w:pPr>
      <w:r w:rsidRPr="00DE752C">
        <w:rPr>
          <w:u w:val="single"/>
        </w:rPr>
        <w:t>Filing Fees</w:t>
      </w:r>
      <w:r>
        <w:t>:</w:t>
      </w:r>
    </w:p>
    <w:p w:rsidR="004B214E" w:rsidP="00A260FF" w:rsidRDefault="004B214E">
      <w:pPr>
        <w:pStyle w:val="NoSpacing"/>
        <w:jc w:val="both"/>
        <w:rPr>
          <w:rFonts w:ascii="Arial" w:hAnsi="Arial" w:cs="Arial"/>
          <w:sz w:val="24"/>
        </w:rPr>
      </w:pPr>
    </w:p>
    <w:p w:rsidR="004B214E" w:rsidP="00A260FF" w:rsidRDefault="004B214E">
      <w:pPr>
        <w:pStyle w:val="NoSpacing"/>
        <w:jc w:val="both"/>
        <w:rPr>
          <w:rFonts w:ascii="Arial" w:hAnsi="Arial" w:cs="Arial"/>
          <w:sz w:val="24"/>
        </w:rPr>
      </w:pPr>
      <w:r>
        <w:rPr>
          <w:rFonts w:ascii="Arial" w:hAnsi="Arial" w:cs="Arial"/>
          <w:sz w:val="24"/>
        </w:rPr>
        <w:t xml:space="preserve">There are </w:t>
      </w:r>
      <w:r w:rsidR="00093B30">
        <w:rPr>
          <w:rFonts w:ascii="Arial" w:hAnsi="Arial" w:cs="Arial"/>
          <w:sz w:val="24"/>
        </w:rPr>
        <w:t>two</w:t>
      </w:r>
      <w:r>
        <w:rPr>
          <w:rFonts w:ascii="Arial" w:hAnsi="Arial" w:cs="Arial"/>
          <w:sz w:val="24"/>
        </w:rPr>
        <w:t xml:space="preserve"> fees associated with submitting </w:t>
      </w:r>
      <w:r w:rsidRPr="002537C1" w:rsidR="002537C1">
        <w:rPr>
          <w:rFonts w:ascii="Arial" w:hAnsi="Arial" w:cs="Arial"/>
          <w:sz w:val="24"/>
        </w:rPr>
        <w:t xml:space="preserve">Applications for Recordal of Insignia or Renewal/Reactivation of Recordal </w:t>
      </w:r>
      <w:r>
        <w:rPr>
          <w:rFonts w:ascii="Arial" w:hAnsi="Arial" w:cs="Arial"/>
          <w:sz w:val="24"/>
        </w:rPr>
        <w:t>to the USPTO</w:t>
      </w:r>
      <w:r w:rsidR="002537C1">
        <w:rPr>
          <w:rFonts w:ascii="Arial" w:hAnsi="Arial" w:cs="Arial"/>
          <w:sz w:val="24"/>
        </w:rPr>
        <w:t>,</w:t>
      </w:r>
      <w:r>
        <w:rPr>
          <w:rFonts w:ascii="Arial" w:hAnsi="Arial" w:cs="Arial"/>
          <w:sz w:val="24"/>
        </w:rPr>
        <w:t xml:space="preserve"> as outlined in Table </w:t>
      </w:r>
      <w:r w:rsidR="002F3DA5">
        <w:rPr>
          <w:rFonts w:ascii="Arial" w:hAnsi="Arial" w:cs="Arial"/>
          <w:sz w:val="24"/>
        </w:rPr>
        <w:t>4</w:t>
      </w:r>
      <w:r>
        <w:rPr>
          <w:rFonts w:ascii="Arial" w:hAnsi="Arial" w:cs="Arial"/>
          <w:sz w:val="24"/>
        </w:rPr>
        <w:t xml:space="preserve"> below.</w:t>
      </w:r>
    </w:p>
    <w:p w:rsidR="00D1207D" w:rsidP="00D1207D" w:rsidRDefault="00D1207D">
      <w:pPr>
        <w:pStyle w:val="BodyText2"/>
      </w:pPr>
    </w:p>
    <w:p w:rsidR="00D1207D" w:rsidP="00A260FF" w:rsidRDefault="004B214E">
      <w:pPr>
        <w:pStyle w:val="NoSpacing"/>
        <w:jc w:val="both"/>
      </w:pPr>
      <w:r>
        <w:rPr>
          <w:rFonts w:ascii="Arial" w:hAnsi="Arial" w:cs="Arial"/>
          <w:b/>
          <w:sz w:val="20"/>
        </w:rPr>
        <w:t xml:space="preserve">Table </w:t>
      </w:r>
      <w:r w:rsidR="002F3DA5">
        <w:rPr>
          <w:rFonts w:ascii="Arial" w:hAnsi="Arial" w:cs="Arial"/>
          <w:b/>
          <w:sz w:val="20"/>
        </w:rPr>
        <w:t>4</w:t>
      </w:r>
      <w:r>
        <w:rPr>
          <w:rFonts w:ascii="Arial" w:hAnsi="Arial" w:cs="Arial"/>
          <w:b/>
          <w:sz w:val="20"/>
        </w:rPr>
        <w:t>: Filing Fee/Non-hour Cost Burden to Respondents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642"/>
        <w:gridCol w:w="3284"/>
        <w:gridCol w:w="1949"/>
        <w:gridCol w:w="1577"/>
        <w:gridCol w:w="2138"/>
      </w:tblGrid>
      <w:tr w:rsidRPr="00596A82" w:rsidR="004B214E" w:rsidTr="00082D9E">
        <w:trPr>
          <w:cantSplit/>
          <w:tblHeader/>
        </w:trPr>
        <w:tc>
          <w:tcPr>
            <w:tcW w:w="324" w:type="pct"/>
            <w:shd w:val="clear" w:color="auto" w:fill="auto"/>
          </w:tcPr>
          <w:p w:rsidRPr="00596A82" w:rsidR="004B214E" w:rsidP="00082D9E" w:rsidRDefault="004B214E">
            <w:pPr>
              <w:spacing w:after="120"/>
              <w:contextualSpacing/>
              <w:jc w:val="center"/>
              <w:rPr>
                <w:rFonts w:ascii="Arial" w:hAnsi="Arial" w:eastAsia="Calibri" w:cs="Arial"/>
                <w:b/>
                <w:bCs/>
              </w:rPr>
            </w:pPr>
            <w:r w:rsidRPr="00596A82">
              <w:rPr>
                <w:rFonts w:ascii="Arial" w:hAnsi="Arial" w:eastAsia="Calibri" w:cs="Arial"/>
                <w:b/>
                <w:bCs/>
              </w:rPr>
              <w:t>Item No.</w:t>
            </w:r>
          </w:p>
        </w:tc>
        <w:tc>
          <w:tcPr>
            <w:tcW w:w="1715" w:type="pct"/>
            <w:shd w:val="clear" w:color="auto" w:fill="auto"/>
          </w:tcPr>
          <w:p w:rsidRPr="00596A82" w:rsidR="004B214E" w:rsidP="00082D9E" w:rsidRDefault="004B214E">
            <w:pPr>
              <w:spacing w:after="120"/>
              <w:contextualSpacing/>
              <w:jc w:val="center"/>
              <w:rPr>
                <w:rFonts w:ascii="Arial" w:hAnsi="Arial" w:eastAsia="Calibri" w:cs="Arial"/>
                <w:b/>
                <w:bCs/>
              </w:rPr>
            </w:pPr>
            <w:r w:rsidRPr="00596A82">
              <w:rPr>
                <w:rFonts w:ascii="Arial" w:hAnsi="Arial" w:eastAsia="Calibri" w:cs="Arial"/>
                <w:b/>
                <w:bCs/>
              </w:rPr>
              <w:t>Item</w:t>
            </w:r>
          </w:p>
        </w:tc>
        <w:tc>
          <w:tcPr>
            <w:tcW w:w="1019" w:type="pct"/>
            <w:shd w:val="clear" w:color="auto" w:fill="auto"/>
          </w:tcPr>
          <w:p w:rsidRPr="00596A82" w:rsidR="004B214E" w:rsidP="00082D9E" w:rsidRDefault="004B214E">
            <w:pPr>
              <w:spacing w:after="120"/>
              <w:contextualSpacing/>
              <w:jc w:val="center"/>
              <w:rPr>
                <w:rFonts w:ascii="Arial" w:hAnsi="Arial" w:eastAsia="Calibri" w:cs="Arial"/>
                <w:b/>
                <w:bCs/>
              </w:rPr>
            </w:pPr>
            <w:r w:rsidRPr="00596A82">
              <w:rPr>
                <w:rFonts w:ascii="Arial" w:hAnsi="Arial" w:eastAsia="Calibri" w:cs="Arial"/>
                <w:b/>
                <w:bCs/>
              </w:rPr>
              <w:t>Estimated Annual  Responses</w:t>
            </w:r>
          </w:p>
          <w:p w:rsidRPr="00596A82" w:rsidR="004B214E" w:rsidP="00082D9E" w:rsidRDefault="004B214E">
            <w:pPr>
              <w:spacing w:after="120"/>
              <w:contextualSpacing/>
              <w:jc w:val="center"/>
              <w:rPr>
                <w:rFonts w:ascii="Arial" w:hAnsi="Arial" w:eastAsia="Calibri" w:cs="Arial"/>
                <w:b/>
                <w:bCs/>
              </w:rPr>
            </w:pPr>
            <w:r w:rsidRPr="00596A82">
              <w:rPr>
                <w:rFonts w:ascii="Arial" w:hAnsi="Arial" w:eastAsia="Calibri" w:cs="Arial"/>
                <w:b/>
                <w:bCs/>
              </w:rPr>
              <w:t>(a)</w:t>
            </w:r>
          </w:p>
        </w:tc>
        <w:tc>
          <w:tcPr>
            <w:tcW w:w="825" w:type="pct"/>
            <w:shd w:val="clear" w:color="auto" w:fill="auto"/>
          </w:tcPr>
          <w:p w:rsidRPr="00596A82" w:rsidR="004B214E" w:rsidP="00082D9E" w:rsidRDefault="004B214E">
            <w:pPr>
              <w:spacing w:after="120"/>
              <w:contextualSpacing/>
              <w:jc w:val="center"/>
              <w:rPr>
                <w:rFonts w:ascii="Arial" w:hAnsi="Arial" w:eastAsia="Calibri" w:cs="Arial"/>
                <w:b/>
                <w:bCs/>
              </w:rPr>
            </w:pPr>
            <w:r w:rsidRPr="00596A82">
              <w:rPr>
                <w:rFonts w:ascii="Arial" w:hAnsi="Arial" w:eastAsia="Calibri" w:cs="Arial"/>
                <w:b/>
                <w:bCs/>
              </w:rPr>
              <w:t>Filing Fee ($)</w:t>
            </w:r>
          </w:p>
          <w:p w:rsidRPr="00596A82" w:rsidR="004B214E" w:rsidP="00082D9E" w:rsidRDefault="004B214E">
            <w:pPr>
              <w:spacing w:after="120"/>
              <w:contextualSpacing/>
              <w:jc w:val="center"/>
              <w:rPr>
                <w:rFonts w:ascii="Arial" w:hAnsi="Arial" w:eastAsia="Calibri" w:cs="Arial"/>
                <w:b/>
                <w:bCs/>
              </w:rPr>
            </w:pPr>
          </w:p>
          <w:p w:rsidRPr="00596A82" w:rsidR="004B214E" w:rsidP="00082D9E" w:rsidRDefault="004B214E">
            <w:pPr>
              <w:spacing w:after="120"/>
              <w:contextualSpacing/>
              <w:jc w:val="center"/>
              <w:rPr>
                <w:rFonts w:ascii="Arial" w:hAnsi="Arial" w:eastAsia="Calibri" w:cs="Arial"/>
                <w:b/>
                <w:bCs/>
              </w:rPr>
            </w:pPr>
            <w:r w:rsidRPr="00596A82">
              <w:rPr>
                <w:rFonts w:ascii="Arial" w:hAnsi="Arial" w:eastAsia="Calibri" w:cs="Arial"/>
                <w:b/>
                <w:bCs/>
              </w:rPr>
              <w:t>(b)</w:t>
            </w:r>
          </w:p>
        </w:tc>
        <w:tc>
          <w:tcPr>
            <w:tcW w:w="1117" w:type="pct"/>
            <w:shd w:val="clear" w:color="auto" w:fill="auto"/>
          </w:tcPr>
          <w:p w:rsidRPr="00596A82" w:rsidR="004B214E" w:rsidP="00082D9E" w:rsidRDefault="004B214E">
            <w:pPr>
              <w:spacing w:after="120"/>
              <w:contextualSpacing/>
              <w:jc w:val="center"/>
              <w:rPr>
                <w:rFonts w:ascii="Arial" w:hAnsi="Arial" w:eastAsia="Calibri" w:cs="Arial"/>
                <w:b/>
                <w:bCs/>
              </w:rPr>
            </w:pPr>
            <w:r w:rsidRPr="00596A82">
              <w:rPr>
                <w:rFonts w:ascii="Arial" w:hAnsi="Arial" w:eastAsia="Calibri" w:cs="Arial"/>
                <w:b/>
                <w:bCs/>
              </w:rPr>
              <w:t xml:space="preserve">Total Non-hour </w:t>
            </w:r>
            <w:r w:rsidR="002F3DA5">
              <w:rPr>
                <w:rFonts w:ascii="Arial" w:hAnsi="Arial" w:eastAsia="Calibri" w:cs="Arial"/>
                <w:b/>
                <w:bCs/>
              </w:rPr>
              <w:t xml:space="preserve">respondent </w:t>
            </w:r>
            <w:r w:rsidRPr="00596A82">
              <w:rPr>
                <w:rFonts w:ascii="Arial" w:hAnsi="Arial" w:eastAsia="Calibri" w:cs="Arial"/>
                <w:b/>
                <w:bCs/>
              </w:rPr>
              <w:t>Cost Burden</w:t>
            </w:r>
          </w:p>
          <w:p w:rsidRPr="00596A82" w:rsidR="004B214E" w:rsidP="00082D9E" w:rsidRDefault="004B214E">
            <w:pPr>
              <w:spacing w:after="120"/>
              <w:jc w:val="center"/>
              <w:rPr>
                <w:rFonts w:ascii="Arial" w:hAnsi="Arial" w:eastAsia="Calibri" w:cs="Arial"/>
                <w:b/>
                <w:bCs/>
              </w:rPr>
            </w:pPr>
            <w:r w:rsidRPr="00596A82">
              <w:rPr>
                <w:rFonts w:ascii="Arial" w:hAnsi="Arial" w:eastAsia="Calibri" w:cs="Arial"/>
                <w:b/>
                <w:bCs/>
              </w:rPr>
              <w:t>(a) x (b) = (c)</w:t>
            </w:r>
          </w:p>
        </w:tc>
      </w:tr>
      <w:tr w:rsidRPr="00596A82" w:rsidR="004B214E" w:rsidTr="00596A82">
        <w:tc>
          <w:tcPr>
            <w:tcW w:w="324" w:type="pct"/>
            <w:shd w:val="clear" w:color="auto" w:fill="auto"/>
            <w:vAlign w:val="center"/>
          </w:tcPr>
          <w:p w:rsidR="004B214E" w:rsidP="00596A82" w:rsidRDefault="004B214E">
            <w:pPr>
              <w:jc w:val="center"/>
              <w:rPr>
                <w:rFonts w:ascii="Arial" w:hAnsi="Arial" w:eastAsia="Calibri"/>
                <w:b/>
              </w:rPr>
            </w:pPr>
            <w:r w:rsidRPr="00596A82">
              <w:rPr>
                <w:rFonts w:ascii="Arial" w:hAnsi="Arial" w:eastAsia="Calibri"/>
                <w:b/>
              </w:rPr>
              <w:t>1</w:t>
            </w:r>
          </w:p>
          <w:p w:rsidR="005C47D1" w:rsidP="00596A82" w:rsidRDefault="005C47D1">
            <w:pPr>
              <w:jc w:val="center"/>
              <w:rPr>
                <w:rFonts w:ascii="Arial" w:hAnsi="Arial" w:eastAsia="Calibri"/>
                <w:b/>
              </w:rPr>
            </w:pPr>
          </w:p>
          <w:p w:rsidRPr="00596A82" w:rsidR="002F3DA5" w:rsidP="00596A82" w:rsidRDefault="002F3DA5">
            <w:pPr>
              <w:jc w:val="center"/>
              <w:rPr>
                <w:rFonts w:ascii="Arial" w:hAnsi="Arial" w:eastAsia="Calibri"/>
                <w:b/>
              </w:rPr>
            </w:pPr>
          </w:p>
        </w:tc>
        <w:tc>
          <w:tcPr>
            <w:tcW w:w="1715" w:type="pct"/>
            <w:shd w:val="clear" w:color="auto" w:fill="auto"/>
            <w:vAlign w:val="center"/>
          </w:tcPr>
          <w:p w:rsidRPr="00596A82" w:rsidR="004B214E" w:rsidP="004B214E" w:rsidRDefault="004B214E">
            <w:pPr>
              <w:pStyle w:val="NoSpacing"/>
              <w:rPr>
                <w:rFonts w:ascii="Arial" w:hAnsi="Arial" w:cs="Arial"/>
                <w:sz w:val="20"/>
                <w:szCs w:val="20"/>
              </w:rPr>
            </w:pPr>
          </w:p>
          <w:p w:rsidR="004B214E" w:rsidP="004B214E" w:rsidRDefault="004B214E">
            <w:pPr>
              <w:pStyle w:val="NoSpacing"/>
              <w:rPr>
                <w:rFonts w:ascii="Arial" w:hAnsi="Arial" w:cs="Arial"/>
                <w:sz w:val="20"/>
                <w:szCs w:val="20"/>
              </w:rPr>
            </w:pPr>
            <w:r w:rsidRPr="00596A82">
              <w:rPr>
                <w:rFonts w:ascii="Arial" w:hAnsi="Arial" w:cs="Arial"/>
                <w:sz w:val="20"/>
                <w:szCs w:val="20"/>
              </w:rPr>
              <w:t>Applications for Recordal of Insignia or Renewal/Reactivation of Recordal Under the Fastener Quality Act</w:t>
            </w:r>
            <w:r w:rsidR="002F3DA5">
              <w:rPr>
                <w:rFonts w:ascii="Arial" w:hAnsi="Arial" w:cs="Arial"/>
                <w:sz w:val="20"/>
                <w:szCs w:val="20"/>
              </w:rPr>
              <w:t>.</w:t>
            </w:r>
          </w:p>
          <w:p w:rsidR="005C47D1" w:rsidP="005C47D1" w:rsidRDefault="005C47D1">
            <w:pPr>
              <w:pStyle w:val="NoSpacing"/>
              <w:rPr>
                <w:rFonts w:ascii="Arial" w:hAnsi="Arial" w:cs="Arial"/>
                <w:sz w:val="20"/>
                <w:szCs w:val="20"/>
              </w:rPr>
            </w:pPr>
          </w:p>
          <w:p w:rsidRPr="00596A82" w:rsidR="002F3DA5" w:rsidP="004B214E" w:rsidRDefault="002F3DA5">
            <w:pPr>
              <w:pStyle w:val="NoSpacing"/>
              <w:rPr>
                <w:rFonts w:ascii="Arial" w:hAnsi="Arial" w:cs="Arial"/>
                <w:sz w:val="20"/>
                <w:szCs w:val="20"/>
              </w:rPr>
            </w:pPr>
          </w:p>
          <w:p w:rsidRPr="00596A82" w:rsidR="004B214E" w:rsidP="004B214E" w:rsidRDefault="004B214E">
            <w:pPr>
              <w:pStyle w:val="NoSpacing"/>
              <w:rPr>
                <w:rFonts w:ascii="Arial" w:hAnsi="Arial" w:cs="Arial"/>
                <w:sz w:val="20"/>
                <w:szCs w:val="20"/>
              </w:rPr>
            </w:pPr>
          </w:p>
        </w:tc>
        <w:tc>
          <w:tcPr>
            <w:tcW w:w="1019" w:type="pct"/>
            <w:shd w:val="clear" w:color="auto" w:fill="auto"/>
            <w:vAlign w:val="center"/>
          </w:tcPr>
          <w:p w:rsidR="004B214E" w:rsidP="00596A82" w:rsidRDefault="002F3DA5">
            <w:pPr>
              <w:spacing w:after="120"/>
              <w:contextualSpacing/>
              <w:jc w:val="right"/>
              <w:rPr>
                <w:rFonts w:ascii="Arial" w:hAnsi="Arial" w:eastAsia="Calibri" w:cs="Arial"/>
                <w:bCs/>
              </w:rPr>
            </w:pPr>
            <w:r>
              <w:rPr>
                <w:rFonts w:ascii="Arial" w:hAnsi="Arial" w:eastAsia="Calibri" w:cs="Arial"/>
                <w:bCs/>
              </w:rPr>
              <w:t>96</w:t>
            </w:r>
          </w:p>
          <w:p w:rsidRPr="00596A82" w:rsidR="002F3DA5" w:rsidP="00596A82" w:rsidRDefault="002F3DA5">
            <w:pPr>
              <w:spacing w:after="120"/>
              <w:contextualSpacing/>
              <w:jc w:val="right"/>
              <w:rPr>
                <w:rFonts w:ascii="Arial" w:hAnsi="Arial" w:eastAsia="Calibri" w:cs="Arial"/>
                <w:bCs/>
              </w:rPr>
            </w:pPr>
          </w:p>
        </w:tc>
        <w:tc>
          <w:tcPr>
            <w:tcW w:w="825" w:type="pct"/>
            <w:shd w:val="clear" w:color="auto" w:fill="auto"/>
            <w:vAlign w:val="center"/>
          </w:tcPr>
          <w:p w:rsidR="004B214E" w:rsidP="00596A82" w:rsidRDefault="00424FD6">
            <w:pPr>
              <w:spacing w:after="120"/>
              <w:contextualSpacing/>
              <w:jc w:val="right"/>
              <w:rPr>
                <w:rFonts w:ascii="Arial" w:hAnsi="Arial" w:eastAsia="Calibri" w:cs="Arial"/>
                <w:bCs/>
              </w:rPr>
            </w:pPr>
            <w:r>
              <w:rPr>
                <w:rFonts w:ascii="Arial" w:hAnsi="Arial" w:eastAsia="Calibri" w:cs="Arial"/>
                <w:bCs/>
              </w:rPr>
              <w:t>$20</w:t>
            </w:r>
          </w:p>
          <w:p w:rsidRPr="00596A82" w:rsidR="002F3DA5" w:rsidP="00596A82" w:rsidRDefault="002F3DA5">
            <w:pPr>
              <w:spacing w:after="120"/>
              <w:contextualSpacing/>
              <w:jc w:val="right"/>
              <w:rPr>
                <w:rFonts w:ascii="Arial" w:hAnsi="Arial" w:eastAsia="Calibri" w:cs="Arial"/>
                <w:bCs/>
              </w:rPr>
            </w:pPr>
          </w:p>
        </w:tc>
        <w:tc>
          <w:tcPr>
            <w:tcW w:w="1117" w:type="pct"/>
            <w:shd w:val="clear" w:color="auto" w:fill="auto"/>
            <w:vAlign w:val="center"/>
          </w:tcPr>
          <w:p w:rsidR="004B214E" w:rsidP="00596A82" w:rsidRDefault="002F3DA5">
            <w:pPr>
              <w:spacing w:after="120"/>
              <w:contextualSpacing/>
              <w:jc w:val="right"/>
              <w:rPr>
                <w:rFonts w:ascii="Arial" w:hAnsi="Arial" w:eastAsia="Calibri" w:cs="Arial"/>
                <w:bCs/>
              </w:rPr>
            </w:pPr>
            <w:r>
              <w:rPr>
                <w:rFonts w:ascii="Arial" w:hAnsi="Arial" w:eastAsia="Calibri" w:cs="Arial"/>
                <w:bCs/>
              </w:rPr>
              <w:t>$1,920</w:t>
            </w:r>
          </w:p>
          <w:p w:rsidRPr="00596A82" w:rsidR="002F3DA5" w:rsidP="00596A82" w:rsidRDefault="002F3DA5">
            <w:pPr>
              <w:spacing w:after="120"/>
              <w:contextualSpacing/>
              <w:jc w:val="right"/>
              <w:rPr>
                <w:rFonts w:ascii="Arial" w:hAnsi="Arial" w:eastAsia="Calibri" w:cs="Arial"/>
                <w:bCs/>
              </w:rPr>
            </w:pPr>
          </w:p>
        </w:tc>
      </w:tr>
      <w:tr w:rsidRPr="00596A82" w:rsidR="00082D9E" w:rsidTr="00596A82">
        <w:tc>
          <w:tcPr>
            <w:tcW w:w="324" w:type="pct"/>
            <w:shd w:val="clear" w:color="auto" w:fill="auto"/>
            <w:vAlign w:val="center"/>
          </w:tcPr>
          <w:p w:rsidRPr="00596A82" w:rsidR="00082D9E" w:rsidP="00596A82" w:rsidRDefault="00082D9E">
            <w:pPr>
              <w:jc w:val="center"/>
              <w:rPr>
                <w:rFonts w:ascii="Arial" w:hAnsi="Arial" w:eastAsia="Calibri"/>
                <w:b/>
              </w:rPr>
            </w:pPr>
            <w:r>
              <w:rPr>
                <w:rFonts w:ascii="Arial" w:hAnsi="Arial" w:eastAsia="Calibri"/>
                <w:b/>
              </w:rPr>
              <w:t>1</w:t>
            </w:r>
          </w:p>
        </w:tc>
        <w:tc>
          <w:tcPr>
            <w:tcW w:w="1715" w:type="pct"/>
            <w:shd w:val="clear" w:color="auto" w:fill="auto"/>
            <w:vAlign w:val="center"/>
          </w:tcPr>
          <w:p w:rsidR="00082D9E" w:rsidP="00082D9E" w:rsidRDefault="00082D9E">
            <w:pPr>
              <w:pStyle w:val="NoSpacing"/>
              <w:rPr>
                <w:rFonts w:ascii="Arial" w:hAnsi="Arial" w:cs="Arial"/>
                <w:sz w:val="20"/>
                <w:szCs w:val="20"/>
              </w:rPr>
            </w:pPr>
            <w:r w:rsidRPr="005C47D1">
              <w:rPr>
                <w:rFonts w:ascii="Arial" w:hAnsi="Arial" w:cs="Arial"/>
                <w:sz w:val="20"/>
                <w:szCs w:val="20"/>
              </w:rPr>
              <w:t>Surcharge for filing 6 months after the expira</w:t>
            </w:r>
            <w:r>
              <w:rPr>
                <w:rFonts w:ascii="Arial" w:hAnsi="Arial" w:cs="Arial"/>
                <w:sz w:val="20"/>
                <w:szCs w:val="20"/>
              </w:rPr>
              <w:t xml:space="preserve">tion date—Filing an application for recordal of </w:t>
            </w:r>
            <w:r w:rsidRPr="005C47D1">
              <w:rPr>
                <w:rFonts w:ascii="Arial" w:hAnsi="Arial" w:cs="Arial"/>
                <w:sz w:val="20"/>
                <w:szCs w:val="20"/>
              </w:rPr>
              <w:t>insignia or renewal/reactivation of recordal</w:t>
            </w:r>
          </w:p>
          <w:p w:rsidRPr="00596A82" w:rsidR="00082D9E" w:rsidP="00082D9E" w:rsidRDefault="00082D9E">
            <w:pPr>
              <w:pStyle w:val="NoSpacing"/>
              <w:rPr>
                <w:rFonts w:ascii="Arial" w:hAnsi="Arial" w:cs="Arial"/>
                <w:sz w:val="20"/>
                <w:szCs w:val="20"/>
              </w:rPr>
            </w:pPr>
          </w:p>
          <w:p w:rsidRPr="00596A82" w:rsidR="00082D9E" w:rsidP="004B214E" w:rsidRDefault="00082D9E">
            <w:pPr>
              <w:pStyle w:val="NoSpacing"/>
              <w:rPr>
                <w:rFonts w:ascii="Arial" w:hAnsi="Arial" w:cs="Arial"/>
                <w:sz w:val="20"/>
                <w:szCs w:val="20"/>
              </w:rPr>
            </w:pPr>
          </w:p>
        </w:tc>
        <w:tc>
          <w:tcPr>
            <w:tcW w:w="1019" w:type="pct"/>
            <w:shd w:val="clear" w:color="auto" w:fill="auto"/>
            <w:vAlign w:val="center"/>
          </w:tcPr>
          <w:p w:rsidR="00082D9E" w:rsidP="00596A82" w:rsidRDefault="00082D9E">
            <w:pPr>
              <w:spacing w:after="120"/>
              <w:contextualSpacing/>
              <w:jc w:val="right"/>
              <w:rPr>
                <w:rFonts w:ascii="Arial" w:hAnsi="Arial" w:eastAsia="Calibri" w:cs="Arial"/>
                <w:bCs/>
              </w:rPr>
            </w:pPr>
            <w:r>
              <w:rPr>
                <w:rFonts w:ascii="Arial" w:hAnsi="Arial" w:eastAsia="Calibri" w:cs="Arial"/>
                <w:bCs/>
              </w:rPr>
              <w:t>10</w:t>
            </w:r>
          </w:p>
        </w:tc>
        <w:tc>
          <w:tcPr>
            <w:tcW w:w="825" w:type="pct"/>
            <w:shd w:val="clear" w:color="auto" w:fill="auto"/>
            <w:vAlign w:val="center"/>
          </w:tcPr>
          <w:p w:rsidR="00082D9E" w:rsidP="00596A82" w:rsidRDefault="00082D9E">
            <w:pPr>
              <w:spacing w:after="120"/>
              <w:contextualSpacing/>
              <w:jc w:val="right"/>
              <w:rPr>
                <w:rFonts w:ascii="Arial" w:hAnsi="Arial" w:eastAsia="Calibri" w:cs="Arial"/>
                <w:bCs/>
              </w:rPr>
            </w:pPr>
            <w:r>
              <w:rPr>
                <w:rFonts w:ascii="Arial" w:hAnsi="Arial" w:eastAsia="Calibri" w:cs="Arial"/>
                <w:bCs/>
              </w:rPr>
              <w:t>$20</w:t>
            </w:r>
          </w:p>
        </w:tc>
        <w:tc>
          <w:tcPr>
            <w:tcW w:w="1117" w:type="pct"/>
            <w:shd w:val="clear" w:color="auto" w:fill="auto"/>
            <w:vAlign w:val="center"/>
          </w:tcPr>
          <w:p w:rsidR="00082D9E" w:rsidP="00596A82" w:rsidRDefault="00082D9E">
            <w:pPr>
              <w:spacing w:after="120"/>
              <w:contextualSpacing/>
              <w:jc w:val="right"/>
              <w:rPr>
                <w:rFonts w:ascii="Arial" w:hAnsi="Arial" w:eastAsia="Calibri" w:cs="Arial"/>
                <w:bCs/>
              </w:rPr>
            </w:pPr>
            <w:r>
              <w:rPr>
                <w:rFonts w:ascii="Arial" w:hAnsi="Arial" w:eastAsia="Calibri" w:cs="Arial"/>
                <w:bCs/>
              </w:rPr>
              <w:t>$200</w:t>
            </w:r>
          </w:p>
        </w:tc>
      </w:tr>
      <w:tr w:rsidRPr="00596A82" w:rsidR="004B214E" w:rsidTr="00082D9E">
        <w:tc>
          <w:tcPr>
            <w:tcW w:w="324" w:type="pct"/>
            <w:shd w:val="clear" w:color="auto" w:fill="auto"/>
            <w:vAlign w:val="center"/>
          </w:tcPr>
          <w:p w:rsidRPr="00596A82" w:rsidR="004B214E" w:rsidP="00596A82" w:rsidRDefault="004B214E">
            <w:pPr>
              <w:spacing w:after="120"/>
              <w:contextualSpacing/>
              <w:rPr>
                <w:rFonts w:ascii="Arial" w:hAnsi="Arial" w:eastAsia="Calibri" w:cs="Arial"/>
                <w:bCs/>
              </w:rPr>
            </w:pPr>
          </w:p>
        </w:tc>
        <w:tc>
          <w:tcPr>
            <w:tcW w:w="1715" w:type="pct"/>
            <w:shd w:val="clear" w:color="auto" w:fill="auto"/>
            <w:vAlign w:val="center"/>
          </w:tcPr>
          <w:p w:rsidRPr="00596A82" w:rsidR="004B214E" w:rsidP="00596A82" w:rsidRDefault="004B214E">
            <w:pPr>
              <w:spacing w:after="120"/>
              <w:contextualSpacing/>
              <w:rPr>
                <w:rFonts w:ascii="Arial" w:hAnsi="Arial" w:eastAsia="Calibri" w:cs="Arial"/>
                <w:bCs/>
              </w:rPr>
            </w:pPr>
            <w:r w:rsidRPr="00596A82">
              <w:rPr>
                <w:rFonts w:ascii="Arial" w:hAnsi="Arial" w:eastAsia="Calibri" w:cs="Arial"/>
                <w:b/>
                <w:bCs/>
              </w:rPr>
              <w:t>Totals</w:t>
            </w:r>
          </w:p>
        </w:tc>
        <w:tc>
          <w:tcPr>
            <w:tcW w:w="1019" w:type="pct"/>
            <w:shd w:val="clear" w:color="auto" w:fill="auto"/>
            <w:vAlign w:val="center"/>
          </w:tcPr>
          <w:p w:rsidRPr="00596A82" w:rsidR="004B214E" w:rsidP="00596A82" w:rsidRDefault="00506E91">
            <w:pPr>
              <w:spacing w:after="120"/>
              <w:contextualSpacing/>
              <w:jc w:val="right"/>
              <w:rPr>
                <w:rFonts w:ascii="Arial" w:hAnsi="Arial" w:eastAsia="Calibri" w:cs="Arial"/>
                <w:b/>
                <w:bCs/>
              </w:rPr>
            </w:pPr>
            <w:r w:rsidRPr="00596A82">
              <w:rPr>
                <w:rFonts w:ascii="Arial" w:hAnsi="Arial" w:eastAsia="Calibri" w:cs="Arial"/>
                <w:bCs/>
              </w:rPr>
              <w:t>…</w:t>
            </w:r>
          </w:p>
        </w:tc>
        <w:tc>
          <w:tcPr>
            <w:tcW w:w="825" w:type="pct"/>
            <w:shd w:val="clear" w:color="auto" w:fill="auto"/>
            <w:vAlign w:val="center"/>
          </w:tcPr>
          <w:p w:rsidRPr="00596A82" w:rsidR="004B214E" w:rsidP="00082D9E" w:rsidRDefault="004B214E">
            <w:pPr>
              <w:spacing w:after="120"/>
              <w:contextualSpacing/>
              <w:jc w:val="right"/>
              <w:rPr>
                <w:rFonts w:ascii="Arial" w:hAnsi="Arial" w:eastAsia="Calibri" w:cs="Arial"/>
                <w:bCs/>
              </w:rPr>
            </w:pPr>
            <w:r w:rsidRPr="00596A82">
              <w:rPr>
                <w:rFonts w:ascii="Arial" w:hAnsi="Arial" w:eastAsia="Calibri" w:cs="Arial"/>
                <w:bCs/>
              </w:rPr>
              <w:t>…</w:t>
            </w:r>
          </w:p>
        </w:tc>
        <w:tc>
          <w:tcPr>
            <w:tcW w:w="1117" w:type="pct"/>
            <w:shd w:val="clear" w:color="auto" w:fill="auto"/>
            <w:vAlign w:val="center"/>
          </w:tcPr>
          <w:p w:rsidRPr="00596A82" w:rsidR="004B214E" w:rsidP="00596A82" w:rsidRDefault="002F3DA5">
            <w:pPr>
              <w:spacing w:after="120"/>
              <w:contextualSpacing/>
              <w:jc w:val="right"/>
              <w:rPr>
                <w:rFonts w:ascii="Arial" w:hAnsi="Arial" w:eastAsia="Calibri" w:cs="Arial"/>
                <w:b/>
                <w:bCs/>
              </w:rPr>
            </w:pPr>
            <w:r>
              <w:rPr>
                <w:rFonts w:ascii="Arial" w:hAnsi="Arial" w:eastAsia="Calibri" w:cs="Arial"/>
                <w:b/>
                <w:bCs/>
              </w:rPr>
              <w:t>$2,120</w:t>
            </w:r>
          </w:p>
        </w:tc>
      </w:tr>
    </w:tbl>
    <w:p w:rsidRPr="00DE752C" w:rsidR="00DE752C" w:rsidRDefault="00DE752C">
      <w:pPr>
        <w:pStyle w:val="BodyText2"/>
        <w:rPr>
          <w:u w:val="single"/>
        </w:rPr>
      </w:pPr>
    </w:p>
    <w:p w:rsidR="00DE752C" w:rsidRDefault="00DE752C">
      <w:pPr>
        <w:pStyle w:val="BodyText2"/>
      </w:pPr>
      <w:r w:rsidRPr="00DE752C">
        <w:rPr>
          <w:u w:val="single"/>
        </w:rPr>
        <w:t>Postage Costs</w:t>
      </w:r>
    </w:p>
    <w:p w:rsidR="002C59F6" w:rsidRDefault="002C59F6">
      <w:pPr>
        <w:pStyle w:val="BodyText2"/>
      </w:pPr>
    </w:p>
    <w:p w:rsidR="00347E30" w:rsidP="00AF4E30" w:rsidRDefault="004B214E">
      <w:pPr>
        <w:jc w:val="both"/>
        <w:rPr>
          <w:rFonts w:ascii="Arial" w:hAnsi="Arial" w:eastAsia="Calibri" w:cs="Arial"/>
          <w:sz w:val="24"/>
          <w:szCs w:val="22"/>
        </w:rPr>
      </w:pPr>
      <w:r w:rsidRPr="004B214E">
        <w:rPr>
          <w:rFonts w:ascii="Arial" w:hAnsi="Arial" w:eastAsia="Calibri" w:cs="Arial"/>
          <w:sz w:val="24"/>
          <w:szCs w:val="22"/>
        </w:rPr>
        <w:t xml:space="preserve">Although the USPTO prefers that the items in this information collection be submitted electronically, responses may be submitted by mail through the United States Postal Service (USPS). </w:t>
      </w:r>
      <w:r w:rsidRPr="00347E30" w:rsidR="00347E30">
        <w:rPr>
          <w:rFonts w:ascii="Arial" w:hAnsi="Arial" w:eastAsia="Calibri" w:cs="Arial"/>
          <w:sz w:val="24"/>
          <w:szCs w:val="22"/>
        </w:rPr>
        <w:t>The USPTO estimates that the average postage cost for a mailed submission, using a Priority Mail 2-day flat rate legal envelope, will be $</w:t>
      </w:r>
      <w:r w:rsidR="00506E91">
        <w:rPr>
          <w:rFonts w:ascii="Arial" w:hAnsi="Arial" w:eastAsia="Calibri" w:cs="Arial"/>
          <w:sz w:val="24"/>
          <w:szCs w:val="22"/>
        </w:rPr>
        <w:t>8.2</w:t>
      </w:r>
      <w:r w:rsidR="00347E30">
        <w:rPr>
          <w:rFonts w:ascii="Arial" w:hAnsi="Arial" w:eastAsia="Calibri" w:cs="Arial"/>
          <w:sz w:val="24"/>
          <w:szCs w:val="22"/>
        </w:rPr>
        <w:t>5. The USPTO estimates that 2</w:t>
      </w:r>
      <w:r w:rsidRPr="00347E30" w:rsidR="00347E30">
        <w:rPr>
          <w:rFonts w:ascii="Arial" w:hAnsi="Arial" w:eastAsia="Calibri" w:cs="Arial"/>
          <w:sz w:val="24"/>
          <w:szCs w:val="22"/>
        </w:rPr>
        <w:t xml:space="preserve"> paper submission</w:t>
      </w:r>
      <w:r w:rsidR="00347E30">
        <w:rPr>
          <w:rFonts w:ascii="Arial" w:hAnsi="Arial" w:eastAsia="Calibri" w:cs="Arial"/>
          <w:sz w:val="24"/>
          <w:szCs w:val="22"/>
        </w:rPr>
        <w:t>s</w:t>
      </w:r>
      <w:r w:rsidRPr="00347E30" w:rsidR="00347E30">
        <w:rPr>
          <w:rFonts w:ascii="Arial" w:hAnsi="Arial" w:eastAsia="Calibri" w:cs="Arial"/>
          <w:sz w:val="24"/>
          <w:szCs w:val="22"/>
        </w:rPr>
        <w:t xml:space="preserve"> will be mailed annually</w:t>
      </w:r>
      <w:r w:rsidR="00082D9E">
        <w:rPr>
          <w:rFonts w:ascii="Arial" w:hAnsi="Arial" w:eastAsia="Calibri" w:cs="Arial"/>
          <w:sz w:val="24"/>
          <w:szCs w:val="22"/>
        </w:rPr>
        <w:t xml:space="preserve"> for a total cost of $16 in postage.</w:t>
      </w:r>
    </w:p>
    <w:p w:rsidR="004B214E" w:rsidRDefault="004B214E">
      <w:pPr>
        <w:pStyle w:val="BodyText2"/>
      </w:pPr>
    </w:p>
    <w:p w:rsidR="00C52AE2" w:rsidRDefault="00C52AE2">
      <w:pPr>
        <w:pStyle w:val="BodyText2"/>
      </w:pPr>
    </w:p>
    <w:p w:rsidR="005929EB" w:rsidP="00867F15" w:rsidRDefault="005929EB">
      <w:pPr>
        <w:pStyle w:val="NoSpacing"/>
        <w:numPr>
          <w:ilvl w:val="0"/>
          <w:numId w:val="26"/>
        </w:numPr>
        <w:ind w:hanging="450"/>
        <w:jc w:val="both"/>
        <w:rPr>
          <w:rFonts w:ascii="Arial" w:hAnsi="Arial" w:cs="Arial"/>
          <w:sz w:val="24"/>
        </w:rPr>
      </w:pPr>
      <w:r w:rsidRPr="00D246D7">
        <w:rPr>
          <w:rFonts w:ascii="Arial" w:hAnsi="Arial" w:cs="Arial"/>
          <w:b/>
          <w:sz w:val="24"/>
        </w:rPr>
        <w:lastRenderedPageBreak/>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5659A" w:rsidRDefault="0015659A">
      <w:pPr>
        <w:jc w:val="both"/>
        <w:rPr>
          <w:rFonts w:ascii="Arial" w:hAnsi="Arial"/>
          <w:sz w:val="24"/>
        </w:rPr>
      </w:pPr>
    </w:p>
    <w:p w:rsidR="0015659A" w:rsidRDefault="0015659A">
      <w:pPr>
        <w:jc w:val="both"/>
        <w:rPr>
          <w:rFonts w:ascii="Arial" w:hAnsi="Arial"/>
          <w:sz w:val="24"/>
        </w:rPr>
      </w:pPr>
      <w:r>
        <w:rPr>
          <w:rFonts w:ascii="Arial" w:hAnsi="Arial"/>
          <w:sz w:val="24"/>
        </w:rPr>
        <w:t>The USPTO estimates that it takes a GS-</w:t>
      </w:r>
      <w:r w:rsidR="008C19A0">
        <w:rPr>
          <w:rFonts w:ascii="Arial" w:hAnsi="Arial"/>
          <w:sz w:val="24"/>
        </w:rPr>
        <w:t>12</w:t>
      </w:r>
      <w:r>
        <w:rPr>
          <w:rFonts w:ascii="Arial" w:hAnsi="Arial"/>
          <w:sz w:val="24"/>
        </w:rPr>
        <w:t xml:space="preserve">, step </w:t>
      </w:r>
      <w:r w:rsidR="008C19A0">
        <w:rPr>
          <w:rFonts w:ascii="Arial" w:hAnsi="Arial"/>
          <w:sz w:val="24"/>
        </w:rPr>
        <w:t>5</w:t>
      </w:r>
      <w:r>
        <w:rPr>
          <w:rFonts w:ascii="Arial" w:hAnsi="Arial"/>
          <w:sz w:val="24"/>
        </w:rPr>
        <w:t xml:space="preserve"> employee approximately 15 minutes (0.25 hours) to process the information in this </w:t>
      </w:r>
      <w:r w:rsidR="00424FD6">
        <w:rPr>
          <w:rFonts w:ascii="Arial" w:hAnsi="Arial"/>
          <w:sz w:val="24"/>
        </w:rPr>
        <w:t xml:space="preserve">information </w:t>
      </w:r>
      <w:r>
        <w:rPr>
          <w:rFonts w:ascii="Arial" w:hAnsi="Arial"/>
          <w:sz w:val="24"/>
        </w:rPr>
        <w:t>collection.  The USPTO estimates that the cost of a GS-</w:t>
      </w:r>
      <w:r w:rsidR="008C19A0">
        <w:rPr>
          <w:rFonts w:ascii="Arial" w:hAnsi="Arial"/>
          <w:sz w:val="24"/>
        </w:rPr>
        <w:t>12</w:t>
      </w:r>
      <w:r>
        <w:rPr>
          <w:rFonts w:ascii="Arial" w:hAnsi="Arial"/>
          <w:sz w:val="24"/>
        </w:rPr>
        <w:t xml:space="preserve">, step </w:t>
      </w:r>
      <w:r w:rsidR="008C19A0">
        <w:rPr>
          <w:rFonts w:ascii="Arial" w:hAnsi="Arial"/>
          <w:sz w:val="24"/>
        </w:rPr>
        <w:t>5</w:t>
      </w:r>
      <w:r>
        <w:rPr>
          <w:rFonts w:ascii="Arial" w:hAnsi="Arial"/>
          <w:sz w:val="24"/>
        </w:rPr>
        <w:t xml:space="preserve"> employee is $</w:t>
      </w:r>
      <w:r w:rsidR="00BF44F9">
        <w:rPr>
          <w:rFonts w:ascii="Arial" w:hAnsi="Arial"/>
          <w:sz w:val="24"/>
        </w:rPr>
        <w:t>61.56</w:t>
      </w:r>
      <w:r w:rsidR="002F6315">
        <w:rPr>
          <w:rFonts w:ascii="Arial" w:hAnsi="Arial"/>
          <w:sz w:val="24"/>
        </w:rPr>
        <w:t xml:space="preserve"> </w:t>
      </w:r>
      <w:r w:rsidR="00D1566F">
        <w:rPr>
          <w:rFonts w:ascii="Arial" w:hAnsi="Arial"/>
          <w:sz w:val="24"/>
        </w:rPr>
        <w:t xml:space="preserve">per hour (GS hourly rate of </w:t>
      </w:r>
      <w:r w:rsidR="002F6315">
        <w:rPr>
          <w:rFonts w:ascii="Arial" w:hAnsi="Arial"/>
          <w:sz w:val="24"/>
        </w:rPr>
        <w:t>$</w:t>
      </w:r>
      <w:r w:rsidR="00BF44F9">
        <w:rPr>
          <w:rFonts w:ascii="Arial" w:hAnsi="Arial"/>
          <w:sz w:val="24"/>
        </w:rPr>
        <w:t xml:space="preserve">47.35 </w:t>
      </w:r>
      <w:r w:rsidR="00E8379D">
        <w:rPr>
          <w:rFonts w:ascii="Arial" w:hAnsi="Arial"/>
          <w:sz w:val="24"/>
        </w:rPr>
        <w:t>with 30% ($</w:t>
      </w:r>
      <w:r w:rsidR="00BF44F9">
        <w:rPr>
          <w:rFonts w:ascii="Arial" w:hAnsi="Arial"/>
          <w:sz w:val="24"/>
        </w:rPr>
        <w:t>14.21</w:t>
      </w:r>
      <w:r>
        <w:rPr>
          <w:rFonts w:ascii="Arial" w:hAnsi="Arial"/>
          <w:sz w:val="24"/>
        </w:rPr>
        <w:t>added for benefits and overhead).</w:t>
      </w:r>
    </w:p>
    <w:p w:rsidR="00447A38" w:rsidRDefault="00447A38">
      <w:pPr>
        <w:jc w:val="both"/>
        <w:rPr>
          <w:rFonts w:ascii="Arial" w:hAnsi="Arial"/>
          <w:sz w:val="24"/>
        </w:rPr>
      </w:pPr>
    </w:p>
    <w:p w:rsidR="00447A38" w:rsidRDefault="00447A38">
      <w:pPr>
        <w:jc w:val="both"/>
        <w:rPr>
          <w:rFonts w:ascii="Arial" w:hAnsi="Arial"/>
          <w:sz w:val="24"/>
        </w:rPr>
      </w:pPr>
      <w:r>
        <w:rPr>
          <w:rFonts w:ascii="Arial" w:hAnsi="Arial"/>
          <w:sz w:val="24"/>
        </w:rPr>
        <w:t xml:space="preserve">Table </w:t>
      </w:r>
      <w:r w:rsidR="00380D49">
        <w:rPr>
          <w:rFonts w:ascii="Arial" w:hAnsi="Arial"/>
          <w:sz w:val="24"/>
        </w:rPr>
        <w:t>5</w:t>
      </w:r>
      <w:r>
        <w:rPr>
          <w:rFonts w:ascii="Arial" w:hAnsi="Arial"/>
          <w:sz w:val="24"/>
        </w:rPr>
        <w:t xml:space="preserve"> calculates the </w:t>
      </w:r>
      <w:r w:rsidR="0015659A">
        <w:rPr>
          <w:rFonts w:ascii="Arial" w:hAnsi="Arial"/>
          <w:sz w:val="24"/>
        </w:rPr>
        <w:t>burden hours and cost</w:t>
      </w:r>
      <w:r>
        <w:rPr>
          <w:rFonts w:ascii="Arial" w:hAnsi="Arial"/>
          <w:sz w:val="24"/>
        </w:rPr>
        <w:t xml:space="preserve"> </w:t>
      </w:r>
      <w:r w:rsidR="0015659A">
        <w:rPr>
          <w:rFonts w:ascii="Arial" w:hAnsi="Arial"/>
          <w:sz w:val="24"/>
        </w:rPr>
        <w:t>to the Federal Government for processing</w:t>
      </w:r>
      <w:r w:rsidR="00424FD6">
        <w:rPr>
          <w:rFonts w:ascii="Arial" w:hAnsi="Arial"/>
          <w:sz w:val="24"/>
        </w:rPr>
        <w:t xml:space="preserve"> this information collection.</w:t>
      </w:r>
    </w:p>
    <w:p w:rsidR="00447A38" w:rsidRDefault="00447A38">
      <w:pPr>
        <w:jc w:val="both"/>
        <w:rPr>
          <w:rFonts w:ascii="Arial" w:hAnsi="Arial"/>
          <w:sz w:val="24"/>
        </w:rPr>
      </w:pPr>
    </w:p>
    <w:p w:rsidR="00447A38" w:rsidRDefault="00447A38">
      <w:pPr>
        <w:pStyle w:val="Heading5"/>
      </w:pPr>
      <w:r>
        <w:t xml:space="preserve">Table </w:t>
      </w:r>
      <w:r w:rsidR="00380D49">
        <w:t>5</w:t>
      </w:r>
      <w:r>
        <w:t>:  Burden Hour/Burden Cost to the Federal Government</w:t>
      </w:r>
      <w:r w:rsidR="001A4443">
        <w:t xml:space="preserve"> </w:t>
      </w:r>
      <w:r w:rsidR="00380D49">
        <w:t xml:space="preserve">for </w:t>
      </w:r>
      <w:r w:rsidRPr="00380D49" w:rsidR="00380D49">
        <w:t>Fastener Quality Act Insignia Recordal Process</w:t>
      </w:r>
    </w:p>
    <w:tbl>
      <w:tblPr>
        <w:tblW w:w="9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00"/>
        <w:gridCol w:w="1080"/>
        <w:gridCol w:w="1080"/>
        <w:gridCol w:w="1080"/>
        <w:gridCol w:w="960"/>
        <w:gridCol w:w="1080"/>
      </w:tblGrid>
      <w:tr w:rsidR="00BF44F9" w:rsidTr="00BF44F9">
        <w:tblPrEx>
          <w:tblCellMar>
            <w:top w:w="0" w:type="dxa"/>
            <w:bottom w:w="0" w:type="dxa"/>
          </w:tblCellMar>
        </w:tblPrEx>
        <w:trPr>
          <w:cantSplit/>
        </w:trPr>
        <w:tc>
          <w:tcPr>
            <w:tcW w:w="4200" w:type="dxa"/>
          </w:tcPr>
          <w:p w:rsidR="00BF44F9" w:rsidP="00BF44F9" w:rsidRDefault="00BF44F9">
            <w:pPr>
              <w:jc w:val="center"/>
              <w:rPr>
                <w:rFonts w:ascii="Arial" w:hAnsi="Arial"/>
                <w:b/>
                <w:sz w:val="16"/>
              </w:rPr>
            </w:pPr>
          </w:p>
          <w:p w:rsidR="00BF44F9" w:rsidP="00BF44F9" w:rsidRDefault="00BF44F9">
            <w:pPr>
              <w:jc w:val="center"/>
              <w:rPr>
                <w:rFonts w:ascii="Arial" w:hAnsi="Arial"/>
                <w:b/>
                <w:sz w:val="16"/>
              </w:rPr>
            </w:pPr>
            <w:r>
              <w:rPr>
                <w:rFonts w:ascii="Arial" w:hAnsi="Arial"/>
                <w:b/>
                <w:sz w:val="16"/>
              </w:rPr>
              <w:t>Item</w:t>
            </w:r>
          </w:p>
        </w:tc>
        <w:tc>
          <w:tcPr>
            <w:tcW w:w="1080" w:type="dxa"/>
            <w:tcBorders>
              <w:bottom w:val="single" w:color="auto" w:sz="4" w:space="0"/>
            </w:tcBorders>
          </w:tcPr>
          <w:p w:rsidR="00BF44F9" w:rsidP="00BF44F9" w:rsidRDefault="00BF44F9">
            <w:pPr>
              <w:jc w:val="center"/>
              <w:rPr>
                <w:rFonts w:ascii="Arial" w:hAnsi="Arial"/>
                <w:b/>
                <w:sz w:val="16"/>
              </w:rPr>
            </w:pPr>
          </w:p>
          <w:p w:rsidR="00BF44F9" w:rsidP="00BF44F9" w:rsidRDefault="00BF44F9">
            <w:pPr>
              <w:jc w:val="center"/>
              <w:rPr>
                <w:rFonts w:ascii="Arial" w:hAnsi="Arial"/>
                <w:b/>
                <w:sz w:val="16"/>
              </w:rPr>
            </w:pPr>
            <w:r>
              <w:rPr>
                <w:rFonts w:ascii="Arial" w:hAnsi="Arial"/>
                <w:b/>
                <w:sz w:val="16"/>
              </w:rPr>
              <w:t>Responses</w:t>
            </w:r>
          </w:p>
          <w:p w:rsidR="00BF44F9" w:rsidP="00BF44F9" w:rsidRDefault="00BF44F9">
            <w:pPr>
              <w:jc w:val="center"/>
              <w:rPr>
                <w:rFonts w:ascii="Arial" w:hAnsi="Arial"/>
                <w:b/>
                <w:sz w:val="16"/>
              </w:rPr>
            </w:pPr>
            <w:r>
              <w:rPr>
                <w:rFonts w:ascii="Arial" w:hAnsi="Arial"/>
                <w:b/>
                <w:sz w:val="16"/>
              </w:rPr>
              <w:t>(yr)</w:t>
            </w:r>
          </w:p>
          <w:p w:rsidR="00BF44F9" w:rsidP="00BF44F9" w:rsidRDefault="00BF44F9">
            <w:pPr>
              <w:jc w:val="center"/>
              <w:rPr>
                <w:rFonts w:ascii="Arial" w:hAnsi="Arial"/>
                <w:b/>
                <w:sz w:val="16"/>
              </w:rPr>
            </w:pPr>
            <w:r>
              <w:rPr>
                <w:rFonts w:ascii="Arial" w:hAnsi="Arial"/>
                <w:b/>
                <w:sz w:val="16"/>
              </w:rPr>
              <w:t>(b)</w:t>
            </w:r>
          </w:p>
        </w:tc>
        <w:tc>
          <w:tcPr>
            <w:tcW w:w="1080" w:type="dxa"/>
          </w:tcPr>
          <w:p w:rsidR="00BF44F9" w:rsidP="00BF44F9" w:rsidRDefault="00BF44F9">
            <w:pPr>
              <w:jc w:val="center"/>
              <w:rPr>
                <w:rFonts w:ascii="Arial" w:hAnsi="Arial"/>
                <w:b/>
                <w:sz w:val="16"/>
              </w:rPr>
            </w:pPr>
          </w:p>
          <w:p w:rsidR="00BF44F9" w:rsidP="00BF44F9" w:rsidRDefault="00BF44F9">
            <w:pPr>
              <w:jc w:val="center"/>
              <w:rPr>
                <w:rFonts w:ascii="Arial" w:hAnsi="Arial"/>
                <w:b/>
                <w:sz w:val="16"/>
              </w:rPr>
            </w:pPr>
            <w:r>
              <w:rPr>
                <w:rFonts w:ascii="Arial" w:hAnsi="Arial"/>
                <w:b/>
                <w:sz w:val="16"/>
              </w:rPr>
              <w:t xml:space="preserve">Hours </w:t>
            </w:r>
          </w:p>
          <w:p w:rsidR="00BF44F9" w:rsidP="00BF44F9" w:rsidRDefault="00BF44F9">
            <w:pPr>
              <w:jc w:val="center"/>
              <w:rPr>
                <w:rFonts w:ascii="Arial" w:hAnsi="Arial"/>
                <w:b/>
                <w:sz w:val="16"/>
              </w:rPr>
            </w:pPr>
            <w:r>
              <w:rPr>
                <w:rFonts w:ascii="Arial" w:hAnsi="Arial"/>
                <w:b/>
                <w:sz w:val="16"/>
              </w:rPr>
              <w:t>(a)</w:t>
            </w:r>
          </w:p>
        </w:tc>
        <w:tc>
          <w:tcPr>
            <w:tcW w:w="1080" w:type="dxa"/>
          </w:tcPr>
          <w:p w:rsidR="00BF44F9" w:rsidP="00BF44F9" w:rsidRDefault="00BF44F9">
            <w:pPr>
              <w:jc w:val="center"/>
              <w:rPr>
                <w:rFonts w:ascii="Arial" w:hAnsi="Arial"/>
                <w:b/>
                <w:sz w:val="16"/>
              </w:rPr>
            </w:pPr>
          </w:p>
          <w:p w:rsidR="00BF44F9" w:rsidP="00BF44F9" w:rsidRDefault="00BF44F9">
            <w:pPr>
              <w:jc w:val="center"/>
              <w:rPr>
                <w:rFonts w:ascii="Arial" w:hAnsi="Arial"/>
                <w:b/>
                <w:sz w:val="16"/>
              </w:rPr>
            </w:pPr>
            <w:r>
              <w:rPr>
                <w:rFonts w:ascii="Arial" w:hAnsi="Arial"/>
                <w:b/>
                <w:sz w:val="16"/>
              </w:rPr>
              <w:t>Burden</w:t>
            </w:r>
          </w:p>
          <w:p w:rsidR="00BF44F9" w:rsidP="00BF44F9" w:rsidRDefault="00BF44F9">
            <w:pPr>
              <w:jc w:val="center"/>
              <w:rPr>
                <w:rFonts w:ascii="Arial" w:hAnsi="Arial"/>
                <w:b/>
                <w:sz w:val="16"/>
              </w:rPr>
            </w:pPr>
            <w:r>
              <w:rPr>
                <w:rFonts w:ascii="Arial" w:hAnsi="Arial"/>
                <w:b/>
                <w:sz w:val="16"/>
              </w:rPr>
              <w:t>(hrs/yr)</w:t>
            </w:r>
          </w:p>
          <w:p w:rsidR="00BF44F9" w:rsidP="00BF44F9" w:rsidRDefault="00BF44F9">
            <w:pPr>
              <w:jc w:val="center"/>
              <w:rPr>
                <w:rFonts w:ascii="Arial" w:hAnsi="Arial"/>
                <w:b/>
                <w:sz w:val="16"/>
              </w:rPr>
            </w:pPr>
            <w:r>
              <w:rPr>
                <w:rFonts w:ascii="Arial" w:hAnsi="Arial"/>
                <w:b/>
                <w:sz w:val="16"/>
              </w:rPr>
              <w:t>(c)</w:t>
            </w:r>
          </w:p>
          <w:p w:rsidR="00BF44F9" w:rsidP="00BF44F9" w:rsidRDefault="00BF44F9">
            <w:pPr>
              <w:jc w:val="center"/>
              <w:rPr>
                <w:rFonts w:ascii="Arial" w:hAnsi="Arial"/>
                <w:b/>
                <w:sz w:val="16"/>
              </w:rPr>
            </w:pPr>
            <w:r>
              <w:rPr>
                <w:rFonts w:ascii="Arial" w:hAnsi="Arial"/>
                <w:b/>
                <w:sz w:val="16"/>
              </w:rPr>
              <w:t>(a) x (b)</w:t>
            </w:r>
          </w:p>
        </w:tc>
        <w:tc>
          <w:tcPr>
            <w:tcW w:w="960" w:type="dxa"/>
          </w:tcPr>
          <w:p w:rsidR="00BF44F9" w:rsidP="00BF44F9" w:rsidRDefault="00BF44F9">
            <w:pPr>
              <w:jc w:val="center"/>
              <w:rPr>
                <w:rFonts w:ascii="Arial" w:hAnsi="Arial"/>
                <w:b/>
                <w:sz w:val="16"/>
              </w:rPr>
            </w:pPr>
          </w:p>
          <w:p w:rsidR="00BF44F9" w:rsidP="00BF44F9" w:rsidRDefault="00BF44F9">
            <w:pPr>
              <w:jc w:val="center"/>
              <w:rPr>
                <w:rFonts w:ascii="Arial" w:hAnsi="Arial"/>
                <w:b/>
                <w:sz w:val="16"/>
              </w:rPr>
            </w:pPr>
            <w:r>
              <w:rPr>
                <w:rFonts w:ascii="Arial" w:hAnsi="Arial"/>
                <w:b/>
                <w:sz w:val="16"/>
              </w:rPr>
              <w:t>Rate</w:t>
            </w:r>
          </w:p>
          <w:p w:rsidR="00BF44F9" w:rsidP="00BF44F9" w:rsidRDefault="00BF44F9">
            <w:pPr>
              <w:jc w:val="center"/>
              <w:rPr>
                <w:rFonts w:ascii="Arial" w:hAnsi="Arial"/>
                <w:b/>
                <w:sz w:val="16"/>
              </w:rPr>
            </w:pPr>
            <w:r>
              <w:rPr>
                <w:rFonts w:ascii="Arial" w:hAnsi="Arial"/>
                <w:b/>
                <w:sz w:val="16"/>
              </w:rPr>
              <w:t>($/hr)</w:t>
            </w:r>
          </w:p>
          <w:p w:rsidR="00BF44F9" w:rsidP="00BF44F9" w:rsidRDefault="00BF44F9">
            <w:pPr>
              <w:jc w:val="center"/>
              <w:rPr>
                <w:rFonts w:ascii="Arial" w:hAnsi="Arial"/>
                <w:b/>
                <w:sz w:val="16"/>
              </w:rPr>
            </w:pPr>
            <w:r>
              <w:rPr>
                <w:rFonts w:ascii="Arial" w:hAnsi="Arial"/>
                <w:b/>
                <w:sz w:val="16"/>
              </w:rPr>
              <w:t>(d)</w:t>
            </w:r>
          </w:p>
        </w:tc>
        <w:tc>
          <w:tcPr>
            <w:tcW w:w="1080" w:type="dxa"/>
          </w:tcPr>
          <w:p w:rsidR="00BF44F9" w:rsidP="00BF44F9" w:rsidRDefault="00BF44F9">
            <w:pPr>
              <w:jc w:val="center"/>
              <w:rPr>
                <w:rFonts w:ascii="Arial" w:hAnsi="Arial"/>
                <w:b/>
                <w:sz w:val="16"/>
              </w:rPr>
            </w:pPr>
          </w:p>
          <w:p w:rsidR="00BF44F9" w:rsidP="00BF44F9" w:rsidRDefault="00BF44F9">
            <w:pPr>
              <w:jc w:val="center"/>
              <w:rPr>
                <w:rFonts w:ascii="Arial" w:hAnsi="Arial"/>
                <w:b/>
                <w:sz w:val="16"/>
              </w:rPr>
            </w:pPr>
            <w:r>
              <w:rPr>
                <w:rFonts w:ascii="Arial" w:hAnsi="Arial"/>
                <w:b/>
                <w:sz w:val="16"/>
              </w:rPr>
              <w:t>Total Cost</w:t>
            </w:r>
          </w:p>
          <w:p w:rsidR="00BF44F9" w:rsidP="00BF44F9" w:rsidRDefault="00BF44F9">
            <w:pPr>
              <w:jc w:val="center"/>
              <w:rPr>
                <w:rFonts w:ascii="Arial" w:hAnsi="Arial"/>
                <w:b/>
                <w:sz w:val="16"/>
              </w:rPr>
            </w:pPr>
            <w:r>
              <w:rPr>
                <w:rFonts w:ascii="Arial" w:hAnsi="Arial"/>
                <w:b/>
                <w:sz w:val="16"/>
              </w:rPr>
              <w:t>($/hr)</w:t>
            </w:r>
          </w:p>
          <w:p w:rsidR="00BF44F9" w:rsidP="00BF44F9" w:rsidRDefault="00BF44F9">
            <w:pPr>
              <w:jc w:val="center"/>
              <w:rPr>
                <w:rFonts w:ascii="Arial" w:hAnsi="Arial"/>
                <w:b/>
                <w:sz w:val="16"/>
              </w:rPr>
            </w:pPr>
            <w:r>
              <w:rPr>
                <w:rFonts w:ascii="Arial" w:hAnsi="Arial"/>
                <w:b/>
                <w:sz w:val="16"/>
              </w:rPr>
              <w:t>(e)</w:t>
            </w:r>
          </w:p>
          <w:p w:rsidR="00BF44F9" w:rsidP="00BF44F9" w:rsidRDefault="00BF44F9">
            <w:pPr>
              <w:jc w:val="center"/>
              <w:rPr>
                <w:rFonts w:ascii="Arial" w:hAnsi="Arial"/>
                <w:b/>
                <w:sz w:val="16"/>
              </w:rPr>
            </w:pPr>
            <w:r>
              <w:rPr>
                <w:rFonts w:ascii="Arial" w:hAnsi="Arial"/>
                <w:b/>
                <w:sz w:val="16"/>
              </w:rPr>
              <w:t>(c) x (d)</w:t>
            </w:r>
          </w:p>
        </w:tc>
      </w:tr>
      <w:tr w:rsidR="00BF44F9" w:rsidTr="00BF44F9">
        <w:tblPrEx>
          <w:tblCellMar>
            <w:top w:w="0" w:type="dxa"/>
            <w:bottom w:w="0" w:type="dxa"/>
          </w:tblCellMar>
        </w:tblPrEx>
        <w:trPr>
          <w:cantSplit/>
        </w:trPr>
        <w:tc>
          <w:tcPr>
            <w:tcW w:w="4200" w:type="dxa"/>
          </w:tcPr>
          <w:p w:rsidR="00BF44F9" w:rsidP="00BF44F9" w:rsidRDefault="00BF44F9">
            <w:pPr>
              <w:rPr>
                <w:rFonts w:ascii="Arial" w:hAnsi="Arial"/>
                <w:sz w:val="16"/>
              </w:rPr>
            </w:pPr>
          </w:p>
          <w:p w:rsidR="00BF44F9" w:rsidP="006D26FE" w:rsidRDefault="00BF44F9">
            <w:pPr>
              <w:rPr>
                <w:rFonts w:ascii="Arial" w:hAnsi="Arial"/>
                <w:sz w:val="16"/>
              </w:rPr>
            </w:pPr>
            <w:r>
              <w:rPr>
                <w:rFonts w:ascii="Arial" w:hAnsi="Arial"/>
                <w:sz w:val="16"/>
              </w:rPr>
              <w:t>Application for Recordal of Insignia or Renewal/Reactivation of Recordal Under the Fastener Quality Act</w:t>
            </w:r>
          </w:p>
        </w:tc>
        <w:tc>
          <w:tcPr>
            <w:tcW w:w="1080" w:type="dxa"/>
            <w:shd w:val="clear" w:color="auto" w:fill="auto"/>
          </w:tcPr>
          <w:p w:rsidR="00BF44F9" w:rsidP="00BF44F9" w:rsidRDefault="00BF44F9">
            <w:pPr>
              <w:jc w:val="right"/>
              <w:rPr>
                <w:rFonts w:ascii="Arial" w:hAnsi="Arial"/>
                <w:sz w:val="16"/>
              </w:rPr>
            </w:pPr>
          </w:p>
          <w:p w:rsidR="00BF44F9" w:rsidP="00BF44F9" w:rsidRDefault="00BF44F9">
            <w:pPr>
              <w:jc w:val="right"/>
              <w:rPr>
                <w:rFonts w:ascii="Arial" w:hAnsi="Arial"/>
                <w:sz w:val="16"/>
              </w:rPr>
            </w:pPr>
            <w:r>
              <w:rPr>
                <w:rFonts w:ascii="Arial" w:hAnsi="Arial"/>
                <w:sz w:val="16"/>
              </w:rPr>
              <w:t>96</w:t>
            </w:r>
          </w:p>
        </w:tc>
        <w:tc>
          <w:tcPr>
            <w:tcW w:w="1080" w:type="dxa"/>
          </w:tcPr>
          <w:p w:rsidR="00BF44F9" w:rsidP="00BF44F9" w:rsidRDefault="00BF44F9">
            <w:pPr>
              <w:jc w:val="right"/>
              <w:rPr>
                <w:rFonts w:ascii="Arial" w:hAnsi="Arial"/>
                <w:sz w:val="16"/>
              </w:rPr>
            </w:pPr>
          </w:p>
          <w:p w:rsidR="00BF44F9" w:rsidP="00BF44F9" w:rsidRDefault="00BF44F9">
            <w:pPr>
              <w:jc w:val="right"/>
              <w:rPr>
                <w:rFonts w:ascii="Arial" w:hAnsi="Arial"/>
                <w:sz w:val="16"/>
              </w:rPr>
            </w:pPr>
            <w:r>
              <w:rPr>
                <w:rFonts w:ascii="Arial" w:hAnsi="Arial"/>
                <w:sz w:val="16"/>
              </w:rPr>
              <w:t>0.25</w:t>
            </w:r>
          </w:p>
        </w:tc>
        <w:tc>
          <w:tcPr>
            <w:tcW w:w="1080" w:type="dxa"/>
          </w:tcPr>
          <w:p w:rsidR="00BF44F9" w:rsidP="00BF44F9" w:rsidRDefault="00BF44F9">
            <w:pPr>
              <w:jc w:val="right"/>
              <w:rPr>
                <w:rFonts w:ascii="Arial" w:hAnsi="Arial"/>
                <w:sz w:val="16"/>
              </w:rPr>
            </w:pPr>
          </w:p>
          <w:p w:rsidR="00BF44F9" w:rsidP="00BF44F9" w:rsidRDefault="00BF44F9">
            <w:pPr>
              <w:jc w:val="right"/>
              <w:rPr>
                <w:rFonts w:ascii="Arial" w:hAnsi="Arial"/>
                <w:sz w:val="16"/>
              </w:rPr>
            </w:pPr>
            <w:r>
              <w:rPr>
                <w:rFonts w:ascii="Arial" w:hAnsi="Arial"/>
                <w:sz w:val="16"/>
              </w:rPr>
              <w:t>24</w:t>
            </w:r>
          </w:p>
        </w:tc>
        <w:tc>
          <w:tcPr>
            <w:tcW w:w="960" w:type="dxa"/>
          </w:tcPr>
          <w:p w:rsidR="00BF44F9" w:rsidP="00BF44F9" w:rsidRDefault="00BF44F9">
            <w:pPr>
              <w:jc w:val="right"/>
              <w:rPr>
                <w:rFonts w:ascii="Arial" w:hAnsi="Arial"/>
                <w:sz w:val="16"/>
              </w:rPr>
            </w:pPr>
          </w:p>
          <w:p w:rsidR="00BF44F9" w:rsidP="00BF44F9" w:rsidRDefault="00BF44F9">
            <w:pPr>
              <w:jc w:val="right"/>
              <w:rPr>
                <w:rFonts w:ascii="Arial" w:hAnsi="Arial"/>
                <w:sz w:val="16"/>
              </w:rPr>
            </w:pPr>
            <w:r>
              <w:rPr>
                <w:rFonts w:ascii="Arial" w:hAnsi="Arial"/>
                <w:sz w:val="16"/>
              </w:rPr>
              <w:t>$61.56</w:t>
            </w:r>
          </w:p>
        </w:tc>
        <w:tc>
          <w:tcPr>
            <w:tcW w:w="1080" w:type="dxa"/>
          </w:tcPr>
          <w:p w:rsidR="00BF44F9" w:rsidP="00BF44F9" w:rsidRDefault="00BF44F9">
            <w:pPr>
              <w:jc w:val="right"/>
              <w:rPr>
                <w:rFonts w:ascii="Arial" w:hAnsi="Arial"/>
                <w:sz w:val="16"/>
              </w:rPr>
            </w:pPr>
          </w:p>
          <w:p w:rsidR="00BF44F9" w:rsidP="00BF44F9" w:rsidRDefault="00BF44F9">
            <w:pPr>
              <w:jc w:val="right"/>
              <w:rPr>
                <w:rFonts w:ascii="Arial" w:hAnsi="Arial"/>
                <w:sz w:val="16"/>
              </w:rPr>
            </w:pPr>
            <w:r>
              <w:rPr>
                <w:rFonts w:ascii="Arial" w:hAnsi="Arial"/>
                <w:sz w:val="16"/>
              </w:rPr>
              <w:t>$1,477</w:t>
            </w:r>
          </w:p>
        </w:tc>
      </w:tr>
      <w:tr w:rsidR="00BF44F9" w:rsidTr="00BF44F9">
        <w:tblPrEx>
          <w:tblCellMar>
            <w:top w:w="0" w:type="dxa"/>
            <w:bottom w:w="0" w:type="dxa"/>
          </w:tblCellMar>
        </w:tblPrEx>
        <w:trPr>
          <w:cantSplit/>
        </w:trPr>
        <w:tc>
          <w:tcPr>
            <w:tcW w:w="4200" w:type="dxa"/>
          </w:tcPr>
          <w:p w:rsidR="00BF44F9" w:rsidP="00BF44F9" w:rsidRDefault="00BF44F9">
            <w:pPr>
              <w:rPr>
                <w:rFonts w:ascii="Arial" w:hAnsi="Arial"/>
                <w:b/>
                <w:sz w:val="16"/>
              </w:rPr>
            </w:pPr>
          </w:p>
          <w:p w:rsidR="00BF44F9" w:rsidP="00BF44F9" w:rsidRDefault="00BF44F9">
            <w:pPr>
              <w:rPr>
                <w:rFonts w:ascii="Arial" w:hAnsi="Arial"/>
                <w:b/>
                <w:sz w:val="16"/>
              </w:rPr>
            </w:pPr>
            <w:r>
              <w:rPr>
                <w:rFonts w:ascii="Arial" w:hAnsi="Arial"/>
                <w:b/>
                <w:sz w:val="16"/>
              </w:rPr>
              <w:t>Total</w:t>
            </w:r>
          </w:p>
        </w:tc>
        <w:tc>
          <w:tcPr>
            <w:tcW w:w="1080" w:type="dxa"/>
            <w:shd w:val="clear" w:color="auto" w:fill="auto"/>
          </w:tcPr>
          <w:p w:rsidR="00BF44F9" w:rsidP="00BF44F9" w:rsidRDefault="00BF44F9">
            <w:pPr>
              <w:jc w:val="right"/>
              <w:rPr>
                <w:rFonts w:ascii="Arial" w:hAnsi="Arial"/>
                <w:b/>
                <w:sz w:val="16"/>
              </w:rPr>
            </w:pPr>
          </w:p>
          <w:p w:rsidR="00BF44F9" w:rsidP="00BF44F9" w:rsidRDefault="00BF44F9">
            <w:pPr>
              <w:jc w:val="right"/>
              <w:rPr>
                <w:rFonts w:ascii="Arial" w:hAnsi="Arial"/>
                <w:b/>
                <w:sz w:val="16"/>
              </w:rPr>
            </w:pPr>
            <w:r>
              <w:rPr>
                <w:rFonts w:ascii="Arial" w:hAnsi="Arial"/>
                <w:b/>
                <w:sz w:val="16"/>
              </w:rPr>
              <w:t>96</w:t>
            </w:r>
          </w:p>
        </w:tc>
        <w:tc>
          <w:tcPr>
            <w:tcW w:w="1080" w:type="dxa"/>
          </w:tcPr>
          <w:p w:rsidR="00BF44F9" w:rsidP="00BF44F9" w:rsidRDefault="00BF44F9">
            <w:pPr>
              <w:jc w:val="center"/>
              <w:rPr>
                <w:rFonts w:ascii="Arial" w:hAnsi="Arial"/>
                <w:b/>
                <w:sz w:val="16"/>
              </w:rPr>
            </w:pPr>
          </w:p>
          <w:p w:rsidR="00BF44F9" w:rsidP="00BF44F9" w:rsidRDefault="00BF44F9">
            <w:pPr>
              <w:jc w:val="right"/>
              <w:rPr>
                <w:rFonts w:ascii="Arial" w:hAnsi="Arial"/>
                <w:b/>
                <w:sz w:val="16"/>
              </w:rPr>
            </w:pPr>
            <w:r>
              <w:rPr>
                <w:rFonts w:ascii="Arial" w:hAnsi="Arial"/>
                <w:b/>
                <w:sz w:val="16"/>
              </w:rPr>
              <w:t xml:space="preserve"> -  -  -</w:t>
            </w:r>
          </w:p>
        </w:tc>
        <w:tc>
          <w:tcPr>
            <w:tcW w:w="1080" w:type="dxa"/>
          </w:tcPr>
          <w:p w:rsidR="00BF44F9" w:rsidP="00BF44F9" w:rsidRDefault="00BF44F9">
            <w:pPr>
              <w:jc w:val="right"/>
              <w:rPr>
                <w:rFonts w:ascii="Arial" w:hAnsi="Arial"/>
                <w:b/>
                <w:sz w:val="16"/>
              </w:rPr>
            </w:pPr>
          </w:p>
          <w:p w:rsidR="00BF44F9" w:rsidP="00BF44F9" w:rsidRDefault="00BF44F9">
            <w:pPr>
              <w:jc w:val="right"/>
              <w:rPr>
                <w:rFonts w:ascii="Arial" w:hAnsi="Arial"/>
                <w:b/>
                <w:sz w:val="16"/>
              </w:rPr>
            </w:pPr>
            <w:r>
              <w:rPr>
                <w:rFonts w:ascii="Arial" w:hAnsi="Arial"/>
                <w:b/>
                <w:sz w:val="16"/>
              </w:rPr>
              <w:t>24</w:t>
            </w:r>
          </w:p>
        </w:tc>
        <w:tc>
          <w:tcPr>
            <w:tcW w:w="960" w:type="dxa"/>
          </w:tcPr>
          <w:p w:rsidR="00BF44F9" w:rsidP="00BF44F9" w:rsidRDefault="00BF44F9">
            <w:pPr>
              <w:jc w:val="right"/>
              <w:rPr>
                <w:rFonts w:ascii="Arial" w:hAnsi="Arial"/>
                <w:b/>
                <w:sz w:val="16"/>
              </w:rPr>
            </w:pPr>
          </w:p>
          <w:p w:rsidR="00BF44F9" w:rsidP="00BF44F9" w:rsidRDefault="00BF44F9">
            <w:pPr>
              <w:jc w:val="right"/>
              <w:rPr>
                <w:rFonts w:ascii="Arial" w:hAnsi="Arial"/>
                <w:b/>
                <w:sz w:val="16"/>
              </w:rPr>
            </w:pPr>
            <w:r>
              <w:rPr>
                <w:rFonts w:ascii="Arial" w:hAnsi="Arial"/>
                <w:b/>
                <w:sz w:val="16"/>
              </w:rPr>
              <w:t>-  -  -</w:t>
            </w:r>
          </w:p>
        </w:tc>
        <w:tc>
          <w:tcPr>
            <w:tcW w:w="1080" w:type="dxa"/>
          </w:tcPr>
          <w:p w:rsidR="00BF44F9" w:rsidP="00BF44F9" w:rsidRDefault="00BF44F9">
            <w:pPr>
              <w:jc w:val="right"/>
              <w:rPr>
                <w:rFonts w:ascii="Arial" w:hAnsi="Arial"/>
                <w:b/>
                <w:sz w:val="16"/>
              </w:rPr>
            </w:pPr>
          </w:p>
          <w:p w:rsidR="00BF44F9" w:rsidP="00BF44F9" w:rsidRDefault="00BF44F9">
            <w:pPr>
              <w:jc w:val="right"/>
              <w:rPr>
                <w:rFonts w:ascii="Arial" w:hAnsi="Arial"/>
                <w:b/>
                <w:sz w:val="16"/>
              </w:rPr>
            </w:pPr>
            <w:r w:rsidRPr="002053D4">
              <w:rPr>
                <w:rFonts w:ascii="Arial" w:hAnsi="Arial"/>
                <w:b/>
                <w:sz w:val="16"/>
              </w:rPr>
              <w:t>$</w:t>
            </w:r>
            <w:r>
              <w:rPr>
                <w:rFonts w:ascii="Arial" w:hAnsi="Arial"/>
                <w:b/>
                <w:sz w:val="16"/>
              </w:rPr>
              <w:t>1,477</w:t>
            </w:r>
          </w:p>
        </w:tc>
      </w:tr>
    </w:tbl>
    <w:p w:rsidR="00FC44D5" w:rsidRDefault="00FC44D5">
      <w:pPr>
        <w:jc w:val="both"/>
        <w:rPr>
          <w:rFonts w:ascii="Arial" w:hAnsi="Arial"/>
          <w:sz w:val="24"/>
        </w:rPr>
      </w:pPr>
    </w:p>
    <w:p w:rsidR="00C52AE2" w:rsidRDefault="00C52AE2">
      <w:pPr>
        <w:jc w:val="both"/>
        <w:rPr>
          <w:rFonts w:ascii="Arial" w:hAnsi="Arial"/>
          <w:sz w:val="24"/>
        </w:rPr>
      </w:pPr>
    </w:p>
    <w:p w:rsidRPr="005929EB" w:rsidR="00447A38" w:rsidP="00867F15" w:rsidRDefault="005929EB">
      <w:pPr>
        <w:numPr>
          <w:ilvl w:val="0"/>
          <w:numId w:val="26"/>
        </w:numPr>
        <w:ind w:hanging="450"/>
        <w:jc w:val="both"/>
        <w:rPr>
          <w:rFonts w:ascii="Arial" w:hAnsi="Arial"/>
          <w:sz w:val="24"/>
        </w:rPr>
      </w:pPr>
      <w:r w:rsidRPr="00D246D7">
        <w:rPr>
          <w:rFonts w:ascii="Arial" w:hAnsi="Arial" w:cs="Arial"/>
          <w:b/>
          <w:sz w:val="24"/>
        </w:rPr>
        <w:t>Explain the reasons for any program changes or adjustments reported on the burden worksheet.</w:t>
      </w:r>
    </w:p>
    <w:p w:rsidR="008008E6" w:rsidRDefault="008008E6">
      <w:pPr>
        <w:pStyle w:val="BodyText2"/>
      </w:pPr>
    </w:p>
    <w:p w:rsidR="00A7334C" w:rsidP="00424FD6" w:rsidRDefault="00597EE8">
      <w:pPr>
        <w:pStyle w:val="BodyText2"/>
        <w:ind w:left="-90"/>
      </w:pPr>
      <w:r w:rsidRPr="00CC63C9">
        <w:rPr>
          <w:noProof/>
        </w:rPr>
        <w:drawing>
          <wp:inline distT="0" distB="0" distL="0" distR="0">
            <wp:extent cx="6458585" cy="972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8585" cy="972185"/>
                    </a:xfrm>
                    <a:prstGeom prst="rect">
                      <a:avLst/>
                    </a:prstGeom>
                    <a:noFill/>
                    <a:ln>
                      <a:noFill/>
                    </a:ln>
                  </pic:spPr>
                </pic:pic>
              </a:graphicData>
            </a:graphic>
          </wp:inline>
        </w:drawing>
      </w:r>
    </w:p>
    <w:p w:rsidR="00562F10" w:rsidRDefault="00562F10">
      <w:pPr>
        <w:pStyle w:val="BodyText2"/>
      </w:pPr>
    </w:p>
    <w:p w:rsidR="00447A38" w:rsidRDefault="00447A38">
      <w:pPr>
        <w:pStyle w:val="BodyText2"/>
        <w:rPr>
          <w:u w:val="single"/>
        </w:rPr>
      </w:pPr>
      <w:r w:rsidRPr="00110277">
        <w:rPr>
          <w:u w:val="single"/>
        </w:rPr>
        <w:t xml:space="preserve">Changes </w:t>
      </w:r>
      <w:r w:rsidR="00C52AE2">
        <w:rPr>
          <w:u w:val="single"/>
        </w:rPr>
        <w:t>Due to Adjustment in Agency Estimate for</w:t>
      </w:r>
      <w:r w:rsidRPr="00110277">
        <w:rPr>
          <w:u w:val="single"/>
        </w:rPr>
        <w:t xml:space="preserve"> Respondent </w:t>
      </w:r>
      <w:r w:rsidR="00C52AE2">
        <w:rPr>
          <w:u w:val="single"/>
        </w:rPr>
        <w:t>Annual Time and</w:t>
      </w:r>
      <w:r w:rsidR="003669F7">
        <w:rPr>
          <w:u w:val="single"/>
        </w:rPr>
        <w:t xml:space="preserve"> </w:t>
      </w:r>
      <w:r w:rsidRPr="00110277">
        <w:rPr>
          <w:u w:val="single"/>
        </w:rPr>
        <w:t>Cost Burden</w:t>
      </w:r>
      <w:r w:rsidR="003669F7">
        <w:rPr>
          <w:u w:val="single"/>
        </w:rPr>
        <w:t>s</w:t>
      </w:r>
    </w:p>
    <w:p w:rsidR="003E59CB" w:rsidRDefault="003E59CB">
      <w:pPr>
        <w:pStyle w:val="BodyText2"/>
        <w:rPr>
          <w:u w:val="single"/>
        </w:rPr>
      </w:pPr>
    </w:p>
    <w:p w:rsidRPr="00F832D4" w:rsidR="00F832D4" w:rsidRDefault="00F832D4">
      <w:pPr>
        <w:pStyle w:val="BodyText2"/>
      </w:pPr>
      <w:r w:rsidRPr="00F832D4">
        <w:t xml:space="preserve">The total respondent cost burden for this </w:t>
      </w:r>
      <w:r w:rsidR="00A7334C">
        <w:t xml:space="preserve">information </w:t>
      </w:r>
      <w:r w:rsidRPr="00F832D4">
        <w:t>collect</w:t>
      </w:r>
      <w:r w:rsidR="00EA100A">
        <w:t xml:space="preserve">ion has </w:t>
      </w:r>
      <w:r w:rsidR="00CA57EA">
        <w:t xml:space="preserve">increased </w:t>
      </w:r>
      <w:r w:rsidR="00EA100A">
        <w:t>by $</w:t>
      </w:r>
      <w:r w:rsidRPr="00CA57EA" w:rsidR="00CA57EA">
        <w:t>14</w:t>
      </w:r>
      <w:r w:rsidR="008C19A0">
        <w:t>,</w:t>
      </w:r>
      <w:r w:rsidRPr="00CA57EA" w:rsidR="00CA57EA">
        <w:t>560</w:t>
      </w:r>
      <w:r w:rsidR="00CA57EA">
        <w:t xml:space="preserve"> </w:t>
      </w:r>
      <w:r w:rsidR="00EA100A">
        <w:t>(from $</w:t>
      </w:r>
      <w:r w:rsidRPr="00CA57EA" w:rsidR="00CA57EA">
        <w:t xml:space="preserve">4,640.00 </w:t>
      </w:r>
      <w:r w:rsidRPr="00F832D4">
        <w:t xml:space="preserve">to </w:t>
      </w:r>
      <w:r w:rsidRPr="00EA100A" w:rsidR="00EA100A">
        <w:t>$</w:t>
      </w:r>
      <w:r w:rsidRPr="00CA57EA" w:rsidR="00CA57EA">
        <w:t>19,200</w:t>
      </w:r>
      <w:r w:rsidRPr="00F832D4">
        <w:t>) from the previous renewal due to:</w:t>
      </w:r>
    </w:p>
    <w:p w:rsidR="00F832D4" w:rsidRDefault="00F832D4">
      <w:pPr>
        <w:pStyle w:val="BodyText2"/>
        <w:rPr>
          <w:u w:val="single"/>
        </w:rPr>
      </w:pPr>
    </w:p>
    <w:p w:rsidR="00F832D4" w:rsidP="00F832D4" w:rsidRDefault="00F832D4">
      <w:pPr>
        <w:pStyle w:val="BodyText2"/>
        <w:numPr>
          <w:ilvl w:val="0"/>
          <w:numId w:val="22"/>
        </w:numPr>
      </w:pPr>
      <w:r w:rsidRPr="00675001">
        <w:rPr>
          <w:b/>
        </w:rPr>
        <w:t xml:space="preserve">Increases in </w:t>
      </w:r>
      <w:r w:rsidRPr="00675001" w:rsidR="00EA100A">
        <w:rPr>
          <w:b/>
        </w:rPr>
        <w:t>estimated hourly rates.</w:t>
      </w:r>
      <w:r w:rsidR="00EA100A">
        <w:t xml:space="preserve"> The 201</w:t>
      </w:r>
      <w:r w:rsidR="00CA57EA">
        <w:t>8</w:t>
      </w:r>
      <w:r w:rsidRPr="00F832D4">
        <w:t xml:space="preserve"> renewa</w:t>
      </w:r>
      <w:r w:rsidR="00EA100A">
        <w:t>l used an estimated rate of $</w:t>
      </w:r>
      <w:r w:rsidR="008E40A9">
        <w:t>145</w:t>
      </w:r>
      <w:r w:rsidRPr="00F832D4">
        <w:t xml:space="preserve"> per hour for </w:t>
      </w:r>
      <w:r w:rsidR="00EA100A">
        <w:t xml:space="preserve">respondents (paraprofessionals) to this </w:t>
      </w:r>
      <w:r w:rsidR="008E40A9">
        <w:t xml:space="preserve">information </w:t>
      </w:r>
      <w:r w:rsidR="00EA100A">
        <w:t>collection.</w:t>
      </w:r>
      <w:r w:rsidRPr="00F832D4">
        <w:t xml:space="preserve"> For the current renewal, the USPTO is using </w:t>
      </w:r>
      <w:r w:rsidR="008E40A9">
        <w:t xml:space="preserve">a professional </w:t>
      </w:r>
      <w:r w:rsidRPr="00F832D4">
        <w:t>hourly rate of $</w:t>
      </w:r>
      <w:r w:rsidR="008E40A9">
        <w:t>400.</w:t>
      </w:r>
    </w:p>
    <w:p w:rsidRPr="00F832D4" w:rsidR="00EA100A" w:rsidP="00EA100A" w:rsidRDefault="00EA100A">
      <w:pPr>
        <w:pStyle w:val="BodyText2"/>
        <w:ind w:left="720"/>
      </w:pPr>
    </w:p>
    <w:p w:rsidRPr="00F832D4" w:rsidR="00F832D4" w:rsidP="00F832D4" w:rsidRDefault="00F832D4">
      <w:pPr>
        <w:pStyle w:val="BodyText2"/>
        <w:numPr>
          <w:ilvl w:val="0"/>
          <w:numId w:val="22"/>
        </w:numPr>
      </w:pPr>
      <w:r w:rsidRPr="00675001">
        <w:rPr>
          <w:b/>
        </w:rPr>
        <w:lastRenderedPageBreak/>
        <w:t>Increases in estimated burden hours.</w:t>
      </w:r>
      <w:r w:rsidRPr="00F832D4">
        <w:t xml:space="preserve"> The total estimated burden hours hav</w:t>
      </w:r>
      <w:r w:rsidR="00EA100A">
        <w:t xml:space="preserve">e increased from </w:t>
      </w:r>
      <w:r w:rsidR="0021329B">
        <w:t>32</w:t>
      </w:r>
      <w:r w:rsidR="00EA100A">
        <w:t xml:space="preserve"> in the 201</w:t>
      </w:r>
      <w:r w:rsidR="0021329B">
        <w:t>8</w:t>
      </w:r>
      <w:r w:rsidRPr="00F832D4">
        <w:t xml:space="preserve"> renewal to </w:t>
      </w:r>
      <w:r w:rsidR="0021329B">
        <w:t>48</w:t>
      </w:r>
      <w:r w:rsidRPr="00F832D4">
        <w:t xml:space="preserve"> for the current renewal due to </w:t>
      </w:r>
      <w:r w:rsidR="003669F7">
        <w:t xml:space="preserve">changes in the estimated time </w:t>
      </w:r>
      <w:r w:rsidR="003013AE">
        <w:t>to complete the application</w:t>
      </w:r>
      <w:r w:rsidR="00BD0F6D">
        <w:t>.</w:t>
      </w:r>
    </w:p>
    <w:p w:rsidR="009012BB" w:rsidRDefault="009012BB">
      <w:pPr>
        <w:pStyle w:val="BodyText2"/>
      </w:pPr>
    </w:p>
    <w:p w:rsidR="00447A38" w:rsidRDefault="00447A38">
      <w:pPr>
        <w:pStyle w:val="Heading8"/>
      </w:pPr>
      <w:r>
        <w:t xml:space="preserve">Changes </w:t>
      </w:r>
      <w:r w:rsidR="00C52AE2">
        <w:t>Due to Adjustment in Agency Estimate for</w:t>
      </w:r>
      <w:r>
        <w:t xml:space="preserve"> </w:t>
      </w:r>
      <w:r w:rsidR="003669F7">
        <w:t>Annual (Non-Hour) Cost Burdens</w:t>
      </w:r>
    </w:p>
    <w:p w:rsidR="00447A38" w:rsidRDefault="00447A38">
      <w:pPr>
        <w:rPr>
          <w:lang w:val="en-GB"/>
        </w:rPr>
      </w:pPr>
    </w:p>
    <w:p w:rsidR="0025284F" w:rsidP="0025284F" w:rsidRDefault="006E6CFF">
      <w:pPr>
        <w:pStyle w:val="BodyText2"/>
      </w:pPr>
      <w:r>
        <w:t>For this renewal, the USPTO estimates that the total annual (non-hour) costs will increase by $</w:t>
      </w:r>
      <w:r w:rsidRPr="003C2131" w:rsidR="003C2131">
        <w:t>14</w:t>
      </w:r>
      <w:r w:rsidR="003C2131">
        <w:t xml:space="preserve"> </w:t>
      </w:r>
      <w:r>
        <w:t xml:space="preserve">(from </w:t>
      </w:r>
      <w:r w:rsidR="00646D7E">
        <w:t>$</w:t>
      </w:r>
      <w:r w:rsidRPr="003C2131" w:rsidR="003C2131">
        <w:t xml:space="preserve">2,122.00 </w:t>
      </w:r>
      <w:r>
        <w:t>to $</w:t>
      </w:r>
      <w:r w:rsidR="003C2131">
        <w:t>2,136.00</w:t>
      </w:r>
      <w:r>
        <w:t xml:space="preserve">) </w:t>
      </w:r>
      <w:r w:rsidR="00762A4A">
        <w:t>due</w:t>
      </w:r>
      <w:r w:rsidR="006D26FE">
        <w:t xml:space="preserve"> to</w:t>
      </w:r>
      <w:r w:rsidR="00762A4A">
        <w:t xml:space="preserve"> an increase in the postage rates used to calculate the mailing costs associated with these applications</w:t>
      </w:r>
      <w:r>
        <w:t>.</w:t>
      </w:r>
    </w:p>
    <w:p w:rsidR="00126537" w:rsidRDefault="00126537">
      <w:pPr>
        <w:pStyle w:val="BodyText2"/>
      </w:pPr>
    </w:p>
    <w:p w:rsidR="00C52AE2" w:rsidRDefault="00C52AE2">
      <w:pPr>
        <w:pStyle w:val="BodyText2"/>
      </w:pPr>
    </w:p>
    <w:p w:rsidRPr="005929EB" w:rsidR="00447A38" w:rsidP="00867F15" w:rsidRDefault="005929EB">
      <w:pPr>
        <w:numPr>
          <w:ilvl w:val="0"/>
          <w:numId w:val="26"/>
        </w:numPr>
        <w:ind w:hanging="450"/>
        <w:jc w:val="both"/>
        <w:rPr>
          <w:rFonts w:ascii="Arial" w:hAnsi="Arial"/>
          <w:sz w:val="24"/>
        </w:rPr>
      </w:pPr>
      <w:r w:rsidRPr="005929EB">
        <w:rPr>
          <w:rFonts w:ascii="Arial" w:hAnsi="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929EB" w:rsidP="005929EB" w:rsidRDefault="005929EB">
      <w:pPr>
        <w:ind w:left="360"/>
        <w:jc w:val="both"/>
        <w:rPr>
          <w:rFonts w:ascii="Arial" w:hAnsi="Arial"/>
          <w:sz w:val="24"/>
        </w:rPr>
      </w:pPr>
    </w:p>
    <w:p w:rsidR="00AE788E" w:rsidP="00AE788E" w:rsidRDefault="00447A38">
      <w:pPr>
        <w:pStyle w:val="BodyText2"/>
      </w:pPr>
      <w:r>
        <w:t>There is no plan to publish this information for statistical use.</w:t>
      </w:r>
      <w:r w:rsidR="00440159">
        <w:t xml:space="preserve"> However, the USPTO does publish a register of active fastener insignia that is available for public inspection.  The Fastener</w:t>
      </w:r>
      <w:r w:rsidR="00B0349A">
        <w:t xml:space="preserve"> Insignia </w:t>
      </w:r>
      <w:r w:rsidR="00440159">
        <w:t>Register</w:t>
      </w:r>
      <w:r w:rsidR="00B0349A">
        <w:t xml:space="preserve"> </w:t>
      </w:r>
      <w:r w:rsidR="00440159">
        <w:t xml:space="preserve">may be </w:t>
      </w:r>
      <w:r w:rsidR="00646D7E">
        <w:t xml:space="preserve">viewed or </w:t>
      </w:r>
      <w:r w:rsidR="00440159">
        <w:t>downl</w:t>
      </w:r>
      <w:r w:rsidR="00170E9A">
        <w:t xml:space="preserve">oaded </w:t>
      </w:r>
      <w:r w:rsidR="00CE1F23">
        <w:t xml:space="preserve">and printed </w:t>
      </w:r>
      <w:r w:rsidR="00170E9A">
        <w:t>from the USPTO</w:t>
      </w:r>
      <w:r w:rsidR="00AE788E">
        <w:t xml:space="preserve"> </w:t>
      </w:r>
      <w:r w:rsidR="00C52AE2">
        <w:t>web</w:t>
      </w:r>
      <w:r w:rsidR="00440159">
        <w:t>site</w:t>
      </w:r>
      <w:r w:rsidR="00AE788E">
        <w:t xml:space="preserve"> at:</w:t>
      </w:r>
    </w:p>
    <w:p w:rsidR="00AE788E" w:rsidP="00AE788E" w:rsidRDefault="00AE788E">
      <w:pPr>
        <w:pStyle w:val="BodyText2"/>
      </w:pPr>
      <w:r>
        <w:t xml:space="preserve"> </w:t>
      </w:r>
      <w:hyperlink w:history="1" r:id="rId15">
        <w:r w:rsidRPr="005D5375">
          <w:rPr>
            <w:rStyle w:val="Hyperlink"/>
          </w:rPr>
          <w:t>https://www.uspto.gov/sites/default/files/documents/FQA_Registry.pdf</w:t>
        </w:r>
      </w:hyperlink>
      <w:r>
        <w:t xml:space="preserve"> </w:t>
      </w:r>
    </w:p>
    <w:p w:rsidR="00447A38" w:rsidP="00AE788E" w:rsidRDefault="00447A38">
      <w:pPr>
        <w:pStyle w:val="BodyText2"/>
      </w:pPr>
    </w:p>
    <w:p w:rsidR="009603A1" w:rsidRDefault="009603A1">
      <w:pPr>
        <w:pStyle w:val="BodyText2"/>
      </w:pPr>
    </w:p>
    <w:p w:rsidR="005929EB" w:rsidP="00867F15" w:rsidRDefault="005929EB">
      <w:pPr>
        <w:pStyle w:val="NoSpacing"/>
        <w:numPr>
          <w:ilvl w:val="0"/>
          <w:numId w:val="26"/>
        </w:numPr>
        <w:ind w:hanging="450"/>
        <w:jc w:val="both"/>
        <w:rPr>
          <w:rFonts w:ascii="Arial" w:hAnsi="Arial" w:cs="Arial"/>
          <w:sz w:val="24"/>
        </w:rPr>
      </w:pPr>
      <w:r w:rsidRPr="00D246D7">
        <w:rPr>
          <w:rFonts w:ascii="Arial" w:hAnsi="Arial" w:cs="Arial"/>
          <w:b/>
          <w:sz w:val="24"/>
        </w:rPr>
        <w:t>If seeking approval to not display the expiration date for OMB approval of the information collection, explain the reasons that display would be inappropriate.</w:t>
      </w:r>
    </w:p>
    <w:p w:rsidR="00DA1ADF" w:rsidRDefault="00DA1ADF">
      <w:pPr>
        <w:jc w:val="both"/>
        <w:rPr>
          <w:rFonts w:ascii="Arial" w:hAnsi="Arial"/>
          <w:sz w:val="24"/>
        </w:rPr>
      </w:pPr>
    </w:p>
    <w:p w:rsidR="00447A38" w:rsidRDefault="00447A38">
      <w:pPr>
        <w:jc w:val="both"/>
        <w:rPr>
          <w:rFonts w:ascii="Arial" w:hAnsi="Arial"/>
          <w:sz w:val="24"/>
        </w:rPr>
      </w:pPr>
      <w:r>
        <w:rPr>
          <w:rFonts w:ascii="Arial" w:hAnsi="Arial"/>
          <w:sz w:val="24"/>
        </w:rPr>
        <w:t xml:space="preserve">The form in this information collection will display the OMB Control Number and the </w:t>
      </w:r>
      <w:r w:rsidR="006336F7">
        <w:rPr>
          <w:rFonts w:ascii="Arial" w:hAnsi="Arial"/>
          <w:sz w:val="24"/>
        </w:rPr>
        <w:t xml:space="preserve">expiration </w:t>
      </w:r>
      <w:r>
        <w:rPr>
          <w:rFonts w:ascii="Arial" w:hAnsi="Arial"/>
          <w:sz w:val="24"/>
        </w:rPr>
        <w:t xml:space="preserve">date </w:t>
      </w:r>
      <w:r w:rsidR="006336F7">
        <w:rPr>
          <w:rFonts w:ascii="Arial" w:hAnsi="Arial"/>
          <w:sz w:val="24"/>
        </w:rPr>
        <w:t>of OMB</w:t>
      </w:r>
      <w:r>
        <w:rPr>
          <w:rFonts w:ascii="Arial" w:hAnsi="Arial"/>
          <w:sz w:val="24"/>
        </w:rPr>
        <w:t xml:space="preserve"> approval. </w:t>
      </w:r>
    </w:p>
    <w:p w:rsidR="009D5116" w:rsidRDefault="00447A38">
      <w:pPr>
        <w:jc w:val="both"/>
        <w:rPr>
          <w:rFonts w:ascii="Arial" w:hAnsi="Arial"/>
          <w:sz w:val="24"/>
        </w:rPr>
      </w:pPr>
      <w:r>
        <w:rPr>
          <w:rFonts w:ascii="Arial" w:hAnsi="Arial"/>
          <w:sz w:val="24"/>
        </w:rPr>
        <w:t xml:space="preserve"> </w:t>
      </w:r>
    </w:p>
    <w:p w:rsidR="00C52AE2" w:rsidRDefault="00C52AE2">
      <w:pPr>
        <w:jc w:val="both"/>
        <w:rPr>
          <w:rFonts w:ascii="Arial" w:hAnsi="Arial"/>
          <w:sz w:val="24"/>
        </w:rPr>
      </w:pPr>
    </w:p>
    <w:p w:rsidR="005929EB" w:rsidP="00867F15" w:rsidRDefault="005929EB">
      <w:pPr>
        <w:pStyle w:val="NoSpacing"/>
        <w:numPr>
          <w:ilvl w:val="0"/>
          <w:numId w:val="26"/>
        </w:numPr>
        <w:ind w:hanging="450"/>
        <w:jc w:val="both"/>
        <w:rPr>
          <w:rFonts w:ascii="Arial" w:hAnsi="Arial" w:cs="Arial"/>
          <w:sz w:val="24"/>
        </w:rPr>
      </w:pPr>
      <w:r w:rsidRPr="00D246D7">
        <w:rPr>
          <w:rFonts w:ascii="Arial" w:hAnsi="Arial" w:cs="Arial"/>
          <w:b/>
          <w:sz w:val="24"/>
        </w:rPr>
        <w:t>Explain each exception to the topics of the certification statement identified in “Certification for Paperwork Reduction Act Submissions.”</w:t>
      </w:r>
    </w:p>
    <w:p w:rsidR="00447A38" w:rsidRDefault="00447A38">
      <w:pPr>
        <w:jc w:val="both"/>
        <w:rPr>
          <w:rFonts w:ascii="Arial" w:hAnsi="Arial"/>
          <w:sz w:val="24"/>
        </w:rPr>
      </w:pPr>
    </w:p>
    <w:p w:rsidR="00447A38" w:rsidRDefault="00447A38">
      <w:pPr>
        <w:jc w:val="both"/>
        <w:rPr>
          <w:rFonts w:ascii="Arial" w:hAnsi="Arial"/>
          <w:sz w:val="24"/>
        </w:rPr>
      </w:pPr>
      <w:r>
        <w:rPr>
          <w:rFonts w:ascii="Arial" w:hAnsi="Arial"/>
          <w:sz w:val="24"/>
        </w:rPr>
        <w:t>This collection of information does not include any exceptions to the certificate statement.</w:t>
      </w:r>
    </w:p>
    <w:p w:rsidR="00447A38" w:rsidRDefault="00447A38">
      <w:pPr>
        <w:jc w:val="both"/>
        <w:rPr>
          <w:rFonts w:ascii="Arial" w:hAnsi="Arial"/>
          <w:sz w:val="24"/>
        </w:rPr>
      </w:pPr>
    </w:p>
    <w:p w:rsidR="00C52AE2" w:rsidRDefault="00C52AE2">
      <w:pPr>
        <w:jc w:val="both"/>
        <w:rPr>
          <w:rFonts w:ascii="Arial" w:hAnsi="Arial"/>
          <w:sz w:val="24"/>
        </w:rPr>
      </w:pPr>
    </w:p>
    <w:p w:rsidR="00447A38" w:rsidRDefault="00447A38">
      <w:pPr>
        <w:pStyle w:val="Heading1"/>
        <w:tabs>
          <w:tab w:val="clear" w:pos="720"/>
        </w:tabs>
      </w:pPr>
      <w:r>
        <w:t>B.</w:t>
      </w:r>
      <w:r>
        <w:tab/>
        <w:t>COLLECTIONS OF INFORMATION EMPLOYING STATISTICAL METHODS</w:t>
      </w:r>
    </w:p>
    <w:p w:rsidR="00447A38" w:rsidRDefault="00447A38">
      <w:pPr>
        <w:jc w:val="both"/>
        <w:rPr>
          <w:rFonts w:ascii="Arial" w:hAnsi="Arial"/>
          <w:sz w:val="24"/>
        </w:rPr>
      </w:pPr>
    </w:p>
    <w:p w:rsidR="00447A38" w:rsidRDefault="00447A38">
      <w:pPr>
        <w:jc w:val="both"/>
        <w:rPr>
          <w:rFonts w:ascii="Arial" w:hAnsi="Arial"/>
          <w:sz w:val="24"/>
        </w:rPr>
      </w:pPr>
      <w:r>
        <w:rPr>
          <w:rFonts w:ascii="Arial" w:hAnsi="Arial"/>
          <w:sz w:val="24"/>
        </w:rPr>
        <w:t>This collection of information does not employ statistical methods.</w:t>
      </w:r>
    </w:p>
    <w:p w:rsidR="00447A38" w:rsidRDefault="00447A38">
      <w:pPr>
        <w:jc w:val="both"/>
        <w:rPr>
          <w:rFonts w:ascii="Arial" w:hAnsi="Arial"/>
          <w:sz w:val="24"/>
        </w:rPr>
      </w:pPr>
    </w:p>
    <w:p w:rsidR="00F02B30" w:rsidP="009845F6" w:rsidRDefault="00F02B30">
      <w:pPr>
        <w:rPr>
          <w:rFonts w:ascii="Arial" w:hAnsi="Arial" w:cs="Arial"/>
          <w:sz w:val="22"/>
        </w:rPr>
      </w:pPr>
    </w:p>
    <w:sectPr w:rsidR="00F02B30">
      <w:footerReference w:type="even" r:id="rId16"/>
      <w:footerReference w:type="defaul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70" w:rsidRDefault="00BF2870">
      <w:r>
        <w:separator/>
      </w:r>
    </w:p>
  </w:endnote>
  <w:endnote w:type="continuationSeparator" w:id="0">
    <w:p w:rsidR="00BF2870" w:rsidRDefault="00BF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EE" w:rsidRDefault="00902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021EE" w:rsidRDefault="00902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1EE" w:rsidRDefault="009021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7EE8">
      <w:rPr>
        <w:rStyle w:val="PageNumber"/>
        <w:noProof/>
      </w:rPr>
      <w:t>2</w:t>
    </w:r>
    <w:r>
      <w:rPr>
        <w:rStyle w:val="PageNumber"/>
      </w:rPr>
      <w:fldChar w:fldCharType="end"/>
    </w:r>
  </w:p>
  <w:p w:rsidR="009021EE" w:rsidRDefault="0090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70" w:rsidRDefault="00BF2870">
      <w:r>
        <w:separator/>
      </w:r>
    </w:p>
  </w:footnote>
  <w:footnote w:type="continuationSeparator" w:id="0">
    <w:p w:rsidR="00BF2870" w:rsidRDefault="00BF2870">
      <w:r>
        <w:continuationSeparator/>
      </w:r>
    </w:p>
  </w:footnote>
  <w:footnote w:id="1">
    <w:p w:rsidR="008A2533" w:rsidRDefault="008A2533">
      <w:pPr>
        <w:pStyle w:val="FootnoteText"/>
      </w:pPr>
      <w:r>
        <w:rPr>
          <w:rStyle w:val="FootnoteReference"/>
        </w:rPr>
        <w:footnoteRef/>
      </w:r>
      <w:r>
        <w:t xml:space="preserve"> </w:t>
      </w:r>
      <w:r w:rsidRPr="008A2533">
        <w:t>https://www.aipla.org/detail/journal-issue/2019-report-of-the-economic-survey</w:t>
      </w:r>
    </w:p>
  </w:footnote>
  <w:footnote w:id="2">
    <w:p w:rsidR="00076B14" w:rsidRDefault="00076B14" w:rsidP="00076B14">
      <w:pPr>
        <w:pStyle w:val="FootnoteText"/>
      </w:pPr>
      <w:r>
        <w:rPr>
          <w:rStyle w:val="FootnoteReference"/>
        </w:rPr>
        <w:footnoteRef/>
      </w:r>
      <w:r>
        <w:t xml:space="preserve"> </w:t>
      </w:r>
      <w:r w:rsidRPr="00583B0E">
        <w:t>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w:t>
      </w:r>
    </w:p>
    <w:p w:rsidR="00076B14" w:rsidRDefault="00076B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03EFA"/>
    <w:multiLevelType w:val="hybridMultilevel"/>
    <w:tmpl w:val="1F8ED1FE"/>
    <w:lvl w:ilvl="0" w:tplc="08A62FC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2030A"/>
    <w:multiLevelType w:val="hybridMultilevel"/>
    <w:tmpl w:val="20C0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43F64"/>
    <w:multiLevelType w:val="hybridMultilevel"/>
    <w:tmpl w:val="5276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158E5"/>
    <w:multiLevelType w:val="hybridMultilevel"/>
    <w:tmpl w:val="18B89FEC"/>
    <w:lvl w:ilvl="0" w:tplc="39FCC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A922C2"/>
    <w:multiLevelType w:val="hybridMultilevel"/>
    <w:tmpl w:val="566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060AE7"/>
    <w:multiLevelType w:val="hybridMultilevel"/>
    <w:tmpl w:val="437A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155B0A"/>
    <w:multiLevelType w:val="hybridMultilevel"/>
    <w:tmpl w:val="8D72D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FC3E89"/>
    <w:multiLevelType w:val="hybridMultilevel"/>
    <w:tmpl w:val="D634459A"/>
    <w:lvl w:ilvl="0" w:tplc="C456AB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7B214C"/>
    <w:multiLevelType w:val="hybridMultilevel"/>
    <w:tmpl w:val="3DCE8C0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4315F9"/>
    <w:multiLevelType w:val="hybridMultilevel"/>
    <w:tmpl w:val="59823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633DDB"/>
    <w:multiLevelType w:val="hybridMultilevel"/>
    <w:tmpl w:val="D7F44608"/>
    <w:lvl w:ilvl="0" w:tplc="C270D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02514A"/>
    <w:multiLevelType w:val="hybridMultilevel"/>
    <w:tmpl w:val="D616A42E"/>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1710F"/>
    <w:multiLevelType w:val="hybridMultilevel"/>
    <w:tmpl w:val="90EE7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DC3DAD"/>
    <w:multiLevelType w:val="hybridMultilevel"/>
    <w:tmpl w:val="B250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41D3F"/>
    <w:multiLevelType w:val="hybridMultilevel"/>
    <w:tmpl w:val="75B6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5"/>
  </w:num>
  <w:num w:numId="2">
    <w:abstractNumId w:val="21"/>
  </w:num>
  <w:num w:numId="3">
    <w:abstractNumId w:val="14"/>
  </w:num>
  <w:num w:numId="4">
    <w:abstractNumId w:val="8"/>
  </w:num>
  <w:num w:numId="5">
    <w:abstractNumId w:val="29"/>
  </w:num>
  <w:num w:numId="6">
    <w:abstractNumId w:val="22"/>
  </w:num>
  <w:num w:numId="7">
    <w:abstractNumId w:val="26"/>
  </w:num>
  <w:num w:numId="8">
    <w:abstractNumId w:val="7"/>
  </w:num>
  <w:num w:numId="9">
    <w:abstractNumId w:val="17"/>
  </w:num>
  <w:num w:numId="10">
    <w:abstractNumId w:val="0"/>
  </w:num>
  <w:num w:numId="11">
    <w:abstractNumId w:val="18"/>
  </w:num>
  <w:num w:numId="12">
    <w:abstractNumId w:val="16"/>
  </w:num>
  <w:num w:numId="13">
    <w:abstractNumId w:val="15"/>
  </w:num>
  <w:num w:numId="14">
    <w:abstractNumId w:val="23"/>
  </w:num>
  <w:num w:numId="15">
    <w:abstractNumId w:val="11"/>
  </w:num>
  <w:num w:numId="16">
    <w:abstractNumId w:val="9"/>
  </w:num>
  <w:num w:numId="17">
    <w:abstractNumId w:val="25"/>
  </w:num>
  <w:num w:numId="18">
    <w:abstractNumId w:val="10"/>
  </w:num>
  <w:num w:numId="19">
    <w:abstractNumId w:val="13"/>
  </w:num>
  <w:num w:numId="20">
    <w:abstractNumId w:val="27"/>
  </w:num>
  <w:num w:numId="21">
    <w:abstractNumId w:val="3"/>
  </w:num>
  <w:num w:numId="22">
    <w:abstractNumId w:val="2"/>
  </w:num>
  <w:num w:numId="23">
    <w:abstractNumId w:val="20"/>
  </w:num>
  <w:num w:numId="24">
    <w:abstractNumId w:val="1"/>
  </w:num>
  <w:num w:numId="25">
    <w:abstractNumId w:val="20"/>
    <w:lvlOverride w:ilvl="0">
      <w:lvl w:ilvl="0" w:tplc="FFEC9FF4">
        <w:start w:val="1"/>
        <w:numFmt w:val="decimal"/>
        <w:suff w:val="nothing"/>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abstractNumId w:val="20"/>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abstractNumId w:val="24"/>
  </w:num>
  <w:num w:numId="28">
    <w:abstractNumId w:val="12"/>
  </w:num>
  <w:num w:numId="29">
    <w:abstractNumId w:val="6"/>
  </w:num>
  <w:num w:numId="30">
    <w:abstractNumId w:val="4"/>
  </w:num>
  <w:num w:numId="31">
    <w:abstractNumId w:val="19"/>
  </w:num>
  <w:num w:numId="3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1A"/>
    <w:rsid w:val="00005461"/>
    <w:rsid w:val="00007C05"/>
    <w:rsid w:val="000100AB"/>
    <w:rsid w:val="00011413"/>
    <w:rsid w:val="00023AB9"/>
    <w:rsid w:val="0004225A"/>
    <w:rsid w:val="000440AD"/>
    <w:rsid w:val="00044D93"/>
    <w:rsid w:val="000543CC"/>
    <w:rsid w:val="00062D00"/>
    <w:rsid w:val="000722A1"/>
    <w:rsid w:val="0007375A"/>
    <w:rsid w:val="00076B14"/>
    <w:rsid w:val="00077D6C"/>
    <w:rsid w:val="00082D9E"/>
    <w:rsid w:val="000939D9"/>
    <w:rsid w:val="00093B30"/>
    <w:rsid w:val="00093D91"/>
    <w:rsid w:val="00094185"/>
    <w:rsid w:val="000941A5"/>
    <w:rsid w:val="00095574"/>
    <w:rsid w:val="000A6071"/>
    <w:rsid w:val="000A6415"/>
    <w:rsid w:val="000B0111"/>
    <w:rsid w:val="000B07B6"/>
    <w:rsid w:val="000B121C"/>
    <w:rsid w:val="000B41E9"/>
    <w:rsid w:val="000B4CFD"/>
    <w:rsid w:val="000B537A"/>
    <w:rsid w:val="000B55F7"/>
    <w:rsid w:val="000B7A11"/>
    <w:rsid w:val="000C546B"/>
    <w:rsid w:val="000C54CE"/>
    <w:rsid w:val="000E4114"/>
    <w:rsid w:val="000F3094"/>
    <w:rsid w:val="00101F40"/>
    <w:rsid w:val="00103B58"/>
    <w:rsid w:val="00104EB8"/>
    <w:rsid w:val="00107D23"/>
    <w:rsid w:val="00110277"/>
    <w:rsid w:val="00112F0E"/>
    <w:rsid w:val="00116D61"/>
    <w:rsid w:val="001227EB"/>
    <w:rsid w:val="00123D98"/>
    <w:rsid w:val="0012567F"/>
    <w:rsid w:val="00125C1A"/>
    <w:rsid w:val="00126537"/>
    <w:rsid w:val="001266B0"/>
    <w:rsid w:val="0014640A"/>
    <w:rsid w:val="00147747"/>
    <w:rsid w:val="00151088"/>
    <w:rsid w:val="00152C08"/>
    <w:rsid w:val="0015659A"/>
    <w:rsid w:val="0015799B"/>
    <w:rsid w:val="0016236B"/>
    <w:rsid w:val="00170E9A"/>
    <w:rsid w:val="00171D18"/>
    <w:rsid w:val="001735C4"/>
    <w:rsid w:val="001757D1"/>
    <w:rsid w:val="00180425"/>
    <w:rsid w:val="00180B67"/>
    <w:rsid w:val="001872B4"/>
    <w:rsid w:val="00193A03"/>
    <w:rsid w:val="001A4443"/>
    <w:rsid w:val="001B17EC"/>
    <w:rsid w:val="001C1EF0"/>
    <w:rsid w:val="001E24D4"/>
    <w:rsid w:val="001E34C6"/>
    <w:rsid w:val="001F1054"/>
    <w:rsid w:val="001F606F"/>
    <w:rsid w:val="002053D4"/>
    <w:rsid w:val="002056BD"/>
    <w:rsid w:val="00212DD0"/>
    <w:rsid w:val="0021329B"/>
    <w:rsid w:val="00213F67"/>
    <w:rsid w:val="0022087D"/>
    <w:rsid w:val="00225372"/>
    <w:rsid w:val="00225DAE"/>
    <w:rsid w:val="00231222"/>
    <w:rsid w:val="00232DDA"/>
    <w:rsid w:val="002413D4"/>
    <w:rsid w:val="0025284F"/>
    <w:rsid w:val="002537C1"/>
    <w:rsid w:val="002553F2"/>
    <w:rsid w:val="00263ACC"/>
    <w:rsid w:val="0027530C"/>
    <w:rsid w:val="00276D3E"/>
    <w:rsid w:val="0028112A"/>
    <w:rsid w:val="002811A6"/>
    <w:rsid w:val="00281B00"/>
    <w:rsid w:val="0028473B"/>
    <w:rsid w:val="002926AF"/>
    <w:rsid w:val="00292B9A"/>
    <w:rsid w:val="002A3408"/>
    <w:rsid w:val="002A4024"/>
    <w:rsid w:val="002B0EF6"/>
    <w:rsid w:val="002B64DD"/>
    <w:rsid w:val="002B6EFB"/>
    <w:rsid w:val="002B759C"/>
    <w:rsid w:val="002C1D5A"/>
    <w:rsid w:val="002C59F6"/>
    <w:rsid w:val="002C69B2"/>
    <w:rsid w:val="002E1E1D"/>
    <w:rsid w:val="002E2142"/>
    <w:rsid w:val="002E4B98"/>
    <w:rsid w:val="002F05A5"/>
    <w:rsid w:val="002F15D6"/>
    <w:rsid w:val="002F3DA5"/>
    <w:rsid w:val="002F6315"/>
    <w:rsid w:val="002F7EA7"/>
    <w:rsid w:val="002F7FEA"/>
    <w:rsid w:val="003013AE"/>
    <w:rsid w:val="00307226"/>
    <w:rsid w:val="003077D3"/>
    <w:rsid w:val="003271E2"/>
    <w:rsid w:val="00332B44"/>
    <w:rsid w:val="003351EB"/>
    <w:rsid w:val="00335AB3"/>
    <w:rsid w:val="00341C54"/>
    <w:rsid w:val="00342A4F"/>
    <w:rsid w:val="00347E30"/>
    <w:rsid w:val="00351D95"/>
    <w:rsid w:val="00351DD4"/>
    <w:rsid w:val="00353CFE"/>
    <w:rsid w:val="00356536"/>
    <w:rsid w:val="00356BFD"/>
    <w:rsid w:val="00357BC4"/>
    <w:rsid w:val="003669F7"/>
    <w:rsid w:val="003702FD"/>
    <w:rsid w:val="00373867"/>
    <w:rsid w:val="00375D13"/>
    <w:rsid w:val="00380D49"/>
    <w:rsid w:val="0038229B"/>
    <w:rsid w:val="003833F9"/>
    <w:rsid w:val="0039141B"/>
    <w:rsid w:val="00395008"/>
    <w:rsid w:val="003967AC"/>
    <w:rsid w:val="00396927"/>
    <w:rsid w:val="003A6983"/>
    <w:rsid w:val="003B2BAB"/>
    <w:rsid w:val="003B4AAB"/>
    <w:rsid w:val="003C2131"/>
    <w:rsid w:val="003D3978"/>
    <w:rsid w:val="003E14CF"/>
    <w:rsid w:val="003E28C2"/>
    <w:rsid w:val="003E59CB"/>
    <w:rsid w:val="003E5F30"/>
    <w:rsid w:val="003F0285"/>
    <w:rsid w:val="003F3E21"/>
    <w:rsid w:val="003F471D"/>
    <w:rsid w:val="003F6AE5"/>
    <w:rsid w:val="00401C30"/>
    <w:rsid w:val="004061B2"/>
    <w:rsid w:val="00407925"/>
    <w:rsid w:val="00410769"/>
    <w:rsid w:val="00410914"/>
    <w:rsid w:val="00416E4A"/>
    <w:rsid w:val="004179AA"/>
    <w:rsid w:val="00424FD6"/>
    <w:rsid w:val="004334F2"/>
    <w:rsid w:val="00440159"/>
    <w:rsid w:val="004474F8"/>
    <w:rsid w:val="00447A38"/>
    <w:rsid w:val="0046505E"/>
    <w:rsid w:val="00465D64"/>
    <w:rsid w:val="00467D24"/>
    <w:rsid w:val="00467E31"/>
    <w:rsid w:val="00477811"/>
    <w:rsid w:val="004961EF"/>
    <w:rsid w:val="004A3F6F"/>
    <w:rsid w:val="004A49F4"/>
    <w:rsid w:val="004A4E3C"/>
    <w:rsid w:val="004A623F"/>
    <w:rsid w:val="004A73A0"/>
    <w:rsid w:val="004A7D49"/>
    <w:rsid w:val="004B214E"/>
    <w:rsid w:val="004C60F4"/>
    <w:rsid w:val="004C7B98"/>
    <w:rsid w:val="004D0811"/>
    <w:rsid w:val="004F1774"/>
    <w:rsid w:val="004F1BB8"/>
    <w:rsid w:val="00506E91"/>
    <w:rsid w:val="005325F1"/>
    <w:rsid w:val="0053401E"/>
    <w:rsid w:val="00537A7E"/>
    <w:rsid w:val="00562F10"/>
    <w:rsid w:val="005653D4"/>
    <w:rsid w:val="00566295"/>
    <w:rsid w:val="005672F9"/>
    <w:rsid w:val="00570D9D"/>
    <w:rsid w:val="00574EB0"/>
    <w:rsid w:val="00575567"/>
    <w:rsid w:val="00580642"/>
    <w:rsid w:val="00583A57"/>
    <w:rsid w:val="005852D9"/>
    <w:rsid w:val="0058771A"/>
    <w:rsid w:val="005929EB"/>
    <w:rsid w:val="00596A82"/>
    <w:rsid w:val="00597EE8"/>
    <w:rsid w:val="005A330B"/>
    <w:rsid w:val="005A39CD"/>
    <w:rsid w:val="005B0992"/>
    <w:rsid w:val="005B2F71"/>
    <w:rsid w:val="005B43DC"/>
    <w:rsid w:val="005B449F"/>
    <w:rsid w:val="005B49EC"/>
    <w:rsid w:val="005B4CB7"/>
    <w:rsid w:val="005B5CE4"/>
    <w:rsid w:val="005C10B4"/>
    <w:rsid w:val="005C47D1"/>
    <w:rsid w:val="005D01DE"/>
    <w:rsid w:val="005D04E8"/>
    <w:rsid w:val="005D1641"/>
    <w:rsid w:val="005D4A7D"/>
    <w:rsid w:val="005E1F81"/>
    <w:rsid w:val="005E3FDA"/>
    <w:rsid w:val="005E6252"/>
    <w:rsid w:val="005F0E0F"/>
    <w:rsid w:val="005F1A30"/>
    <w:rsid w:val="005F2812"/>
    <w:rsid w:val="005F6607"/>
    <w:rsid w:val="00600DFB"/>
    <w:rsid w:val="0060159A"/>
    <w:rsid w:val="00605229"/>
    <w:rsid w:val="00611484"/>
    <w:rsid w:val="006134AE"/>
    <w:rsid w:val="0063022A"/>
    <w:rsid w:val="006336F7"/>
    <w:rsid w:val="0063471A"/>
    <w:rsid w:val="00641BEC"/>
    <w:rsid w:val="00641CAB"/>
    <w:rsid w:val="00646D7E"/>
    <w:rsid w:val="00651DF5"/>
    <w:rsid w:val="006530B3"/>
    <w:rsid w:val="006536B7"/>
    <w:rsid w:val="0065613F"/>
    <w:rsid w:val="0065677E"/>
    <w:rsid w:val="00660B1F"/>
    <w:rsid w:val="00662AF8"/>
    <w:rsid w:val="00666135"/>
    <w:rsid w:val="00666957"/>
    <w:rsid w:val="00667FD8"/>
    <w:rsid w:val="0067175F"/>
    <w:rsid w:val="00675001"/>
    <w:rsid w:val="00682721"/>
    <w:rsid w:val="00683C67"/>
    <w:rsid w:val="00686609"/>
    <w:rsid w:val="006968B2"/>
    <w:rsid w:val="006A0BC5"/>
    <w:rsid w:val="006A66B2"/>
    <w:rsid w:val="006B1951"/>
    <w:rsid w:val="006B31F6"/>
    <w:rsid w:val="006B577F"/>
    <w:rsid w:val="006C0BF9"/>
    <w:rsid w:val="006C4FFF"/>
    <w:rsid w:val="006D12A0"/>
    <w:rsid w:val="006D26FE"/>
    <w:rsid w:val="006E0185"/>
    <w:rsid w:val="006E6706"/>
    <w:rsid w:val="006E6CFF"/>
    <w:rsid w:val="006F0D09"/>
    <w:rsid w:val="006F132F"/>
    <w:rsid w:val="006F250A"/>
    <w:rsid w:val="006F3D11"/>
    <w:rsid w:val="0070042B"/>
    <w:rsid w:val="00700558"/>
    <w:rsid w:val="00703FEC"/>
    <w:rsid w:val="0070558E"/>
    <w:rsid w:val="00710A5E"/>
    <w:rsid w:val="0071211A"/>
    <w:rsid w:val="007145D6"/>
    <w:rsid w:val="007215C2"/>
    <w:rsid w:val="007247E9"/>
    <w:rsid w:val="007249DF"/>
    <w:rsid w:val="00724E3F"/>
    <w:rsid w:val="0072684C"/>
    <w:rsid w:val="00727FDC"/>
    <w:rsid w:val="0073002D"/>
    <w:rsid w:val="0073472D"/>
    <w:rsid w:val="007411AD"/>
    <w:rsid w:val="007532E0"/>
    <w:rsid w:val="00754B4A"/>
    <w:rsid w:val="00762A4A"/>
    <w:rsid w:val="00767263"/>
    <w:rsid w:val="00767E02"/>
    <w:rsid w:val="007706C1"/>
    <w:rsid w:val="0077636B"/>
    <w:rsid w:val="00787AB7"/>
    <w:rsid w:val="007911C3"/>
    <w:rsid w:val="00795F44"/>
    <w:rsid w:val="007A0FEF"/>
    <w:rsid w:val="007A311C"/>
    <w:rsid w:val="007B0217"/>
    <w:rsid w:val="007B3FB7"/>
    <w:rsid w:val="007C2191"/>
    <w:rsid w:val="007C6170"/>
    <w:rsid w:val="007D4021"/>
    <w:rsid w:val="007D79B4"/>
    <w:rsid w:val="007D7B59"/>
    <w:rsid w:val="007E03C8"/>
    <w:rsid w:val="007E0AE3"/>
    <w:rsid w:val="007E3C9A"/>
    <w:rsid w:val="007E3CA2"/>
    <w:rsid w:val="007E4621"/>
    <w:rsid w:val="007F193A"/>
    <w:rsid w:val="007F75D1"/>
    <w:rsid w:val="008008E6"/>
    <w:rsid w:val="00810A3F"/>
    <w:rsid w:val="00810AA0"/>
    <w:rsid w:val="00812FE5"/>
    <w:rsid w:val="00813195"/>
    <w:rsid w:val="00816C41"/>
    <w:rsid w:val="00824DE8"/>
    <w:rsid w:val="00841349"/>
    <w:rsid w:val="00846D61"/>
    <w:rsid w:val="00851264"/>
    <w:rsid w:val="008513F0"/>
    <w:rsid w:val="00851867"/>
    <w:rsid w:val="00853719"/>
    <w:rsid w:val="00854833"/>
    <w:rsid w:val="008554C8"/>
    <w:rsid w:val="00867F15"/>
    <w:rsid w:val="00870257"/>
    <w:rsid w:val="00870F5E"/>
    <w:rsid w:val="008714E3"/>
    <w:rsid w:val="0087465C"/>
    <w:rsid w:val="0089209A"/>
    <w:rsid w:val="00892680"/>
    <w:rsid w:val="008A2533"/>
    <w:rsid w:val="008A25FD"/>
    <w:rsid w:val="008A3418"/>
    <w:rsid w:val="008A398E"/>
    <w:rsid w:val="008A50E4"/>
    <w:rsid w:val="008A57FC"/>
    <w:rsid w:val="008A6AE9"/>
    <w:rsid w:val="008A6DD3"/>
    <w:rsid w:val="008B3236"/>
    <w:rsid w:val="008B67F5"/>
    <w:rsid w:val="008C19A0"/>
    <w:rsid w:val="008C1A40"/>
    <w:rsid w:val="008C302B"/>
    <w:rsid w:val="008C6A1E"/>
    <w:rsid w:val="008C6DE2"/>
    <w:rsid w:val="008E2579"/>
    <w:rsid w:val="008E40A9"/>
    <w:rsid w:val="008E5A80"/>
    <w:rsid w:val="008F148A"/>
    <w:rsid w:val="008F4EA8"/>
    <w:rsid w:val="0090036A"/>
    <w:rsid w:val="009012BB"/>
    <w:rsid w:val="009021EE"/>
    <w:rsid w:val="0091784C"/>
    <w:rsid w:val="00920009"/>
    <w:rsid w:val="00920599"/>
    <w:rsid w:val="0092148D"/>
    <w:rsid w:val="00924EEE"/>
    <w:rsid w:val="00927529"/>
    <w:rsid w:val="0093229C"/>
    <w:rsid w:val="00941F80"/>
    <w:rsid w:val="00953523"/>
    <w:rsid w:val="009603A1"/>
    <w:rsid w:val="0096288E"/>
    <w:rsid w:val="00964528"/>
    <w:rsid w:val="00966523"/>
    <w:rsid w:val="00967367"/>
    <w:rsid w:val="009709B9"/>
    <w:rsid w:val="00977A0C"/>
    <w:rsid w:val="009845F6"/>
    <w:rsid w:val="009857AC"/>
    <w:rsid w:val="00994A41"/>
    <w:rsid w:val="009B436F"/>
    <w:rsid w:val="009C031F"/>
    <w:rsid w:val="009C0DAE"/>
    <w:rsid w:val="009D487F"/>
    <w:rsid w:val="009D5116"/>
    <w:rsid w:val="009D7ABC"/>
    <w:rsid w:val="009E2FD3"/>
    <w:rsid w:val="009E330F"/>
    <w:rsid w:val="009F2D77"/>
    <w:rsid w:val="00A00D1A"/>
    <w:rsid w:val="00A1040A"/>
    <w:rsid w:val="00A14A54"/>
    <w:rsid w:val="00A17950"/>
    <w:rsid w:val="00A25B7B"/>
    <w:rsid w:val="00A260FF"/>
    <w:rsid w:val="00A2625D"/>
    <w:rsid w:val="00A31D25"/>
    <w:rsid w:val="00A368DA"/>
    <w:rsid w:val="00A41068"/>
    <w:rsid w:val="00A51304"/>
    <w:rsid w:val="00A527FA"/>
    <w:rsid w:val="00A5382C"/>
    <w:rsid w:val="00A57653"/>
    <w:rsid w:val="00A608FC"/>
    <w:rsid w:val="00A62932"/>
    <w:rsid w:val="00A65CF3"/>
    <w:rsid w:val="00A7125F"/>
    <w:rsid w:val="00A7334C"/>
    <w:rsid w:val="00A80DA8"/>
    <w:rsid w:val="00A8657F"/>
    <w:rsid w:val="00A93B29"/>
    <w:rsid w:val="00A96F8E"/>
    <w:rsid w:val="00A97C81"/>
    <w:rsid w:val="00AA69E8"/>
    <w:rsid w:val="00AB4EAF"/>
    <w:rsid w:val="00AC099F"/>
    <w:rsid w:val="00AC1981"/>
    <w:rsid w:val="00AC19A5"/>
    <w:rsid w:val="00AD32A3"/>
    <w:rsid w:val="00AD36F4"/>
    <w:rsid w:val="00AD6588"/>
    <w:rsid w:val="00AE0B96"/>
    <w:rsid w:val="00AE788E"/>
    <w:rsid w:val="00AF2F44"/>
    <w:rsid w:val="00AF4BFC"/>
    <w:rsid w:val="00AF4E30"/>
    <w:rsid w:val="00AF4FF0"/>
    <w:rsid w:val="00AF62B4"/>
    <w:rsid w:val="00B02144"/>
    <w:rsid w:val="00B0349A"/>
    <w:rsid w:val="00B0419A"/>
    <w:rsid w:val="00B17014"/>
    <w:rsid w:val="00B20EC8"/>
    <w:rsid w:val="00B2754E"/>
    <w:rsid w:val="00B31C22"/>
    <w:rsid w:val="00B359CD"/>
    <w:rsid w:val="00B511DC"/>
    <w:rsid w:val="00B55BE9"/>
    <w:rsid w:val="00B61690"/>
    <w:rsid w:val="00B61920"/>
    <w:rsid w:val="00B7195E"/>
    <w:rsid w:val="00B720DA"/>
    <w:rsid w:val="00B865D4"/>
    <w:rsid w:val="00B86E88"/>
    <w:rsid w:val="00B86F48"/>
    <w:rsid w:val="00B924BD"/>
    <w:rsid w:val="00B92D8B"/>
    <w:rsid w:val="00B9457B"/>
    <w:rsid w:val="00B97A49"/>
    <w:rsid w:val="00BA3E46"/>
    <w:rsid w:val="00BC21D4"/>
    <w:rsid w:val="00BC2590"/>
    <w:rsid w:val="00BC3D6D"/>
    <w:rsid w:val="00BC5225"/>
    <w:rsid w:val="00BC6D07"/>
    <w:rsid w:val="00BD0F6D"/>
    <w:rsid w:val="00BE639B"/>
    <w:rsid w:val="00BE6414"/>
    <w:rsid w:val="00BF2870"/>
    <w:rsid w:val="00BF4177"/>
    <w:rsid w:val="00BF44F9"/>
    <w:rsid w:val="00BF6371"/>
    <w:rsid w:val="00C06E19"/>
    <w:rsid w:val="00C15835"/>
    <w:rsid w:val="00C1669F"/>
    <w:rsid w:val="00C173BF"/>
    <w:rsid w:val="00C20CBC"/>
    <w:rsid w:val="00C216BA"/>
    <w:rsid w:val="00C21FBE"/>
    <w:rsid w:val="00C30050"/>
    <w:rsid w:val="00C43CBF"/>
    <w:rsid w:val="00C52AE2"/>
    <w:rsid w:val="00C55D64"/>
    <w:rsid w:val="00C56DED"/>
    <w:rsid w:val="00C600A6"/>
    <w:rsid w:val="00C630AE"/>
    <w:rsid w:val="00C7113B"/>
    <w:rsid w:val="00C736ED"/>
    <w:rsid w:val="00C75A4D"/>
    <w:rsid w:val="00C812FD"/>
    <w:rsid w:val="00C8314D"/>
    <w:rsid w:val="00C835F1"/>
    <w:rsid w:val="00C84A2A"/>
    <w:rsid w:val="00C91C75"/>
    <w:rsid w:val="00C92AE0"/>
    <w:rsid w:val="00CA2900"/>
    <w:rsid w:val="00CA4C46"/>
    <w:rsid w:val="00CA57EA"/>
    <w:rsid w:val="00CA7109"/>
    <w:rsid w:val="00CC0B98"/>
    <w:rsid w:val="00CC4E97"/>
    <w:rsid w:val="00CC745F"/>
    <w:rsid w:val="00CD2F38"/>
    <w:rsid w:val="00CD31C6"/>
    <w:rsid w:val="00CD4484"/>
    <w:rsid w:val="00CD4B70"/>
    <w:rsid w:val="00CE099A"/>
    <w:rsid w:val="00CE0F39"/>
    <w:rsid w:val="00CE1C64"/>
    <w:rsid w:val="00CE1F23"/>
    <w:rsid w:val="00CE5C28"/>
    <w:rsid w:val="00CE7098"/>
    <w:rsid w:val="00CF57F7"/>
    <w:rsid w:val="00CF6AF8"/>
    <w:rsid w:val="00CF6D0E"/>
    <w:rsid w:val="00CF775F"/>
    <w:rsid w:val="00D06BFE"/>
    <w:rsid w:val="00D06E69"/>
    <w:rsid w:val="00D1207D"/>
    <w:rsid w:val="00D1566F"/>
    <w:rsid w:val="00D21935"/>
    <w:rsid w:val="00D23FBE"/>
    <w:rsid w:val="00D33266"/>
    <w:rsid w:val="00D35653"/>
    <w:rsid w:val="00D46B23"/>
    <w:rsid w:val="00D51C6E"/>
    <w:rsid w:val="00D56352"/>
    <w:rsid w:val="00D60BA4"/>
    <w:rsid w:val="00D648CA"/>
    <w:rsid w:val="00D6557D"/>
    <w:rsid w:val="00D6699C"/>
    <w:rsid w:val="00D66B58"/>
    <w:rsid w:val="00D66BF6"/>
    <w:rsid w:val="00D70E7C"/>
    <w:rsid w:val="00D76909"/>
    <w:rsid w:val="00D824A9"/>
    <w:rsid w:val="00D837EA"/>
    <w:rsid w:val="00D94D34"/>
    <w:rsid w:val="00DA1ADF"/>
    <w:rsid w:val="00DA1BCF"/>
    <w:rsid w:val="00DA1ECE"/>
    <w:rsid w:val="00DB0D56"/>
    <w:rsid w:val="00DB1C05"/>
    <w:rsid w:val="00DB5B32"/>
    <w:rsid w:val="00DC2853"/>
    <w:rsid w:val="00DD0313"/>
    <w:rsid w:val="00DD4BDE"/>
    <w:rsid w:val="00DD5185"/>
    <w:rsid w:val="00DD766A"/>
    <w:rsid w:val="00DE25BF"/>
    <w:rsid w:val="00DE62AD"/>
    <w:rsid w:val="00DE752C"/>
    <w:rsid w:val="00DF0226"/>
    <w:rsid w:val="00DF0C66"/>
    <w:rsid w:val="00E14431"/>
    <w:rsid w:val="00E17AE5"/>
    <w:rsid w:val="00E17F96"/>
    <w:rsid w:val="00E20854"/>
    <w:rsid w:val="00E222A5"/>
    <w:rsid w:val="00E2523E"/>
    <w:rsid w:val="00E30DB8"/>
    <w:rsid w:val="00E32129"/>
    <w:rsid w:val="00E36833"/>
    <w:rsid w:val="00E40C76"/>
    <w:rsid w:val="00E41B24"/>
    <w:rsid w:val="00E4756B"/>
    <w:rsid w:val="00E51817"/>
    <w:rsid w:val="00E555FF"/>
    <w:rsid w:val="00E56442"/>
    <w:rsid w:val="00E6386E"/>
    <w:rsid w:val="00E64B68"/>
    <w:rsid w:val="00E73C37"/>
    <w:rsid w:val="00E75E7E"/>
    <w:rsid w:val="00E8379D"/>
    <w:rsid w:val="00E8423A"/>
    <w:rsid w:val="00E87106"/>
    <w:rsid w:val="00E91317"/>
    <w:rsid w:val="00E91804"/>
    <w:rsid w:val="00E92D54"/>
    <w:rsid w:val="00E9603A"/>
    <w:rsid w:val="00EA100A"/>
    <w:rsid w:val="00EA3A3F"/>
    <w:rsid w:val="00EB4605"/>
    <w:rsid w:val="00EB7D6B"/>
    <w:rsid w:val="00EC1C5A"/>
    <w:rsid w:val="00EC2EF3"/>
    <w:rsid w:val="00ED2BD8"/>
    <w:rsid w:val="00ED6A1A"/>
    <w:rsid w:val="00EE09BD"/>
    <w:rsid w:val="00EE2030"/>
    <w:rsid w:val="00EE259C"/>
    <w:rsid w:val="00EE3A6D"/>
    <w:rsid w:val="00EE51E9"/>
    <w:rsid w:val="00EE6FFD"/>
    <w:rsid w:val="00F019A8"/>
    <w:rsid w:val="00F02B30"/>
    <w:rsid w:val="00F15869"/>
    <w:rsid w:val="00F175AE"/>
    <w:rsid w:val="00F32411"/>
    <w:rsid w:val="00F3631B"/>
    <w:rsid w:val="00F40F51"/>
    <w:rsid w:val="00F41529"/>
    <w:rsid w:val="00F46CFF"/>
    <w:rsid w:val="00F53FBB"/>
    <w:rsid w:val="00F67573"/>
    <w:rsid w:val="00F73CA0"/>
    <w:rsid w:val="00F83298"/>
    <w:rsid w:val="00F832D4"/>
    <w:rsid w:val="00F838B0"/>
    <w:rsid w:val="00F86172"/>
    <w:rsid w:val="00F9281B"/>
    <w:rsid w:val="00FA0007"/>
    <w:rsid w:val="00FA0309"/>
    <w:rsid w:val="00FC3CAB"/>
    <w:rsid w:val="00FC44D5"/>
    <w:rsid w:val="00FD567F"/>
    <w:rsid w:val="00FD69BC"/>
    <w:rsid w:val="00FE1755"/>
    <w:rsid w:val="00FE5ECD"/>
    <w:rsid w:val="00FE7248"/>
    <w:rsid w:val="00FE7E91"/>
    <w:rsid w:val="00FF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DDB1086-D2B7-4B1A-89A9-F215C425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34C"/>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46D7E"/>
    <w:rPr>
      <w:rFonts w:ascii="Segoe UI" w:hAnsi="Segoe UI" w:cs="Segoe UI"/>
      <w:sz w:val="18"/>
      <w:szCs w:val="18"/>
    </w:rPr>
  </w:style>
  <w:style w:type="character" w:customStyle="1" w:styleId="BalloonTextChar">
    <w:name w:val="Balloon Text Char"/>
    <w:link w:val="BalloonText"/>
    <w:rsid w:val="00646D7E"/>
    <w:rPr>
      <w:rFonts w:ascii="Segoe UI" w:hAnsi="Segoe UI" w:cs="Segoe UI"/>
      <w:sz w:val="18"/>
      <w:szCs w:val="18"/>
    </w:rPr>
  </w:style>
  <w:style w:type="paragraph" w:styleId="NoSpacing">
    <w:name w:val="No Spacing"/>
    <w:uiPriority w:val="1"/>
    <w:qFormat/>
    <w:rsid w:val="00093D91"/>
    <w:rPr>
      <w:rFonts w:ascii="Calibri" w:eastAsia="Calibri" w:hAnsi="Calibri"/>
      <w:sz w:val="22"/>
      <w:szCs w:val="22"/>
    </w:rPr>
  </w:style>
  <w:style w:type="character" w:styleId="CommentReference">
    <w:name w:val="annotation reference"/>
    <w:uiPriority w:val="99"/>
    <w:unhideWhenUsed/>
    <w:rsid w:val="005929EB"/>
    <w:rPr>
      <w:sz w:val="16"/>
      <w:szCs w:val="16"/>
    </w:rPr>
  </w:style>
  <w:style w:type="paragraph" w:styleId="CommentText">
    <w:name w:val="annotation text"/>
    <w:basedOn w:val="Normal"/>
    <w:link w:val="CommentTextChar"/>
    <w:uiPriority w:val="99"/>
    <w:unhideWhenUsed/>
    <w:rsid w:val="005929EB"/>
    <w:pPr>
      <w:widowControl w:val="0"/>
      <w:autoSpaceDE w:val="0"/>
      <w:autoSpaceDN w:val="0"/>
      <w:adjustRightInd w:val="0"/>
    </w:pPr>
  </w:style>
  <w:style w:type="character" w:customStyle="1" w:styleId="CommentTextChar">
    <w:name w:val="Comment Text Char"/>
    <w:basedOn w:val="DefaultParagraphFont"/>
    <w:link w:val="CommentText"/>
    <w:uiPriority w:val="99"/>
    <w:rsid w:val="005929EB"/>
  </w:style>
  <w:style w:type="paragraph" w:styleId="CommentSubject">
    <w:name w:val="annotation subject"/>
    <w:basedOn w:val="CommentText"/>
    <w:next w:val="CommentText"/>
    <w:link w:val="CommentSubjectChar"/>
    <w:rsid w:val="005929EB"/>
    <w:pPr>
      <w:widowControl/>
      <w:autoSpaceDE/>
      <w:autoSpaceDN/>
      <w:adjustRightInd/>
    </w:pPr>
    <w:rPr>
      <w:b/>
      <w:bCs/>
    </w:rPr>
  </w:style>
  <w:style w:type="character" w:customStyle="1" w:styleId="CommentSubjectChar">
    <w:name w:val="Comment Subject Char"/>
    <w:link w:val="CommentSubject"/>
    <w:rsid w:val="005929EB"/>
    <w:rPr>
      <w:b/>
      <w:bCs/>
    </w:rPr>
  </w:style>
  <w:style w:type="table" w:styleId="TableGrid">
    <w:name w:val="Table Grid"/>
    <w:basedOn w:val="TableNormal"/>
    <w:uiPriority w:val="59"/>
    <w:rsid w:val="00DE62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E62AD"/>
    <w:rPr>
      <w:rFonts w:ascii="Calibri" w:eastAsia="Calibri" w:hAnsi="Calibri"/>
    </w:rPr>
  </w:style>
  <w:style w:type="character" w:customStyle="1" w:styleId="FootnoteTextChar">
    <w:name w:val="Footnote Text Char"/>
    <w:link w:val="FootnoteText"/>
    <w:uiPriority w:val="99"/>
    <w:rsid w:val="00DE62AD"/>
    <w:rPr>
      <w:rFonts w:ascii="Calibri" w:eastAsia="Calibri" w:hAnsi="Calibri"/>
    </w:rPr>
  </w:style>
  <w:style w:type="character" w:styleId="FootnoteReference">
    <w:name w:val="footnote reference"/>
    <w:uiPriority w:val="99"/>
    <w:unhideWhenUsed/>
    <w:rsid w:val="00DE62AD"/>
    <w:rPr>
      <w:vertAlign w:val="superscript"/>
    </w:rPr>
  </w:style>
  <w:style w:type="character" w:styleId="Hyperlink">
    <w:name w:val="Hyperlink"/>
    <w:rsid w:val="008A25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728676">
      <w:bodyDiv w:val="1"/>
      <w:marLeft w:val="0"/>
      <w:marRight w:val="0"/>
      <w:marTop w:val="0"/>
      <w:marBottom w:val="0"/>
      <w:divBdr>
        <w:top w:val="none" w:sz="0" w:space="0" w:color="auto"/>
        <w:left w:val="none" w:sz="0" w:space="0" w:color="auto"/>
        <w:bottom w:val="none" w:sz="0" w:space="0" w:color="auto"/>
        <w:right w:val="none" w:sz="0" w:space="0" w:color="auto"/>
      </w:divBdr>
    </w:div>
    <w:div w:id="20565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ipla.org/detail/journal-issue/2019-report-of-the-economic-surve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pto.gov/sites/default/files/documents/FQA_Registry.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spto.gov/sites/default/files/documents/FQA_Registry.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40-51FB-44B8-BB50-8DAC8779F160}">
  <ds:schemaRefs>
    <ds:schemaRef ds:uri="http://schemas.microsoft.com/office/2006/metadata/longProperties"/>
  </ds:schemaRefs>
</ds:datastoreItem>
</file>

<file path=customXml/itemProps2.xml><?xml version="1.0" encoding="utf-8"?>
<ds:datastoreItem xmlns:ds="http://schemas.openxmlformats.org/officeDocument/2006/customXml" ds:itemID="{35B4EF8B-D953-4D29-AEED-C1CAAAB58E52}">
  <ds:schemaRefs>
    <ds:schemaRef ds:uri="http://schemas.microsoft.com/sharepoint/v3/contenttype/forms"/>
  </ds:schemaRefs>
</ds:datastoreItem>
</file>

<file path=customXml/itemProps3.xml><?xml version="1.0" encoding="utf-8"?>
<ds:datastoreItem xmlns:ds="http://schemas.openxmlformats.org/officeDocument/2006/customXml" ds:itemID="{0C3C34A6-9C97-4B28-BDA6-38D081FFA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2134B-A8F5-41A9-81F6-77BFDA1F5179}">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EC4A3255-7964-4A79-B604-615F8739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December 2014</vt:lpstr>
    </vt:vector>
  </TitlesOfParts>
  <Company>U.S. Patent and Trademark Office</Company>
  <LinksUpToDate>false</LinksUpToDate>
  <CharactersWithSpaces>26517</CharactersWithSpaces>
  <SharedDoc>false</SharedDoc>
  <HLinks>
    <vt:vector size="18" baseType="variant">
      <vt:variant>
        <vt:i4>8060955</vt:i4>
      </vt:variant>
      <vt:variant>
        <vt:i4>6</vt:i4>
      </vt:variant>
      <vt:variant>
        <vt:i4>0</vt:i4>
      </vt:variant>
      <vt:variant>
        <vt:i4>5</vt:i4>
      </vt:variant>
      <vt:variant>
        <vt:lpwstr>https://www.uspto.gov/sites/default/files/documents/FQA_Registry.pdf</vt:lpwstr>
      </vt:variant>
      <vt:variant>
        <vt:lpwstr/>
      </vt:variant>
      <vt:variant>
        <vt:i4>262167</vt:i4>
      </vt:variant>
      <vt:variant>
        <vt:i4>3</vt:i4>
      </vt:variant>
      <vt:variant>
        <vt:i4>0</vt:i4>
      </vt:variant>
      <vt:variant>
        <vt:i4>5</vt:i4>
      </vt:variant>
      <vt:variant>
        <vt:lpwstr>https://www.aipla.org/detail/journal-issue/2019-report-of-the-economic-survey</vt:lpwstr>
      </vt:variant>
      <vt:variant>
        <vt:lpwstr/>
      </vt:variant>
      <vt:variant>
        <vt:i4>8060955</vt:i4>
      </vt:variant>
      <vt:variant>
        <vt:i4>0</vt:i4>
      </vt:variant>
      <vt:variant>
        <vt:i4>0</vt:i4>
      </vt:variant>
      <vt:variant>
        <vt:i4>5</vt:i4>
      </vt:variant>
      <vt:variant>
        <vt:lpwstr>https://www.uspto.gov/sites/default/files/documents/FQA_Registry.pdf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December 2014</dc:title>
  <dc:subject/>
  <dc:creator>USPTO</dc:creator>
  <cp:keywords/>
  <cp:lastModifiedBy>Isaac, Justin</cp:lastModifiedBy>
  <cp:revision>2</cp:revision>
  <cp:lastPrinted>2011-11-07T14:48:00Z</cp:lastPrinted>
  <dcterms:created xsi:type="dcterms:W3CDTF">2021-06-08T18:44:00Z</dcterms:created>
  <dcterms:modified xsi:type="dcterms:W3CDTF">2021-06-08T18:44:00Z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Hall, Drew (AMBIT)</vt:lpwstr>
  </property>
  <property fmtid="{D5CDD505-2E9C-101B-9397-08002B2CF9AE}" pid="4" name="display_urn:schemas-microsoft-com:office:office#Owner">
    <vt:lpwstr>Cain, Catherine</vt:lpwstr>
  </property>
  <property fmtid="{D5CDD505-2E9C-101B-9397-08002B2CF9AE}" pid="5" name="display_urn:schemas-microsoft-com:office:office#SharedWithUsers">
    <vt:lpwstr>Isaac, Justin;Ameyedowo, Barbara (AMBIT);Azam, Maryam (AMBIT)</vt:lpwstr>
  </property>
  <property fmtid="{D5CDD505-2E9C-101B-9397-08002B2CF9AE}" pid="6" name="SharedWithUsers">
    <vt:lpwstr>115;#Isaac, Justin;#595;#Ameyedowo, Barbara (AMBIT);#594;#Azam, Maryam (AMBIT)</vt:lpwstr>
  </property>
</Properties>
</file>