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E5A" w:rsidRDefault="00136E5A">
      <w:pPr>
        <w:widowControl/>
        <w:tabs>
          <w:tab w:val="center" w:pos="4680"/>
        </w:tabs>
        <w:rPr>
          <w:b/>
          <w:bCs/>
        </w:rPr>
      </w:pPr>
      <w:r>
        <w:tab/>
      </w:r>
      <w:r>
        <w:rPr>
          <w:b/>
          <w:bCs/>
        </w:rPr>
        <w:t>SUPPORTING STATEMENT</w:t>
      </w:r>
    </w:p>
    <w:p w:rsidR="00734522" w:rsidP="00734522" w:rsidRDefault="00734522">
      <w:pPr>
        <w:widowControl/>
        <w:tabs>
          <w:tab w:val="center" w:pos="4680"/>
        </w:tabs>
        <w:jc w:val="center"/>
        <w:rPr>
          <w:b/>
          <w:bCs/>
        </w:rPr>
      </w:pPr>
      <w:r>
        <w:rPr>
          <w:b/>
          <w:bCs/>
        </w:rPr>
        <w:t>U.S. Department of Commerce</w:t>
      </w:r>
    </w:p>
    <w:p w:rsidRPr="003411F4" w:rsidR="00136E5A" w:rsidRDefault="00136E5A">
      <w:pPr>
        <w:widowControl/>
        <w:tabs>
          <w:tab w:val="center" w:pos="4680"/>
        </w:tabs>
        <w:rPr>
          <w:b/>
          <w:bCs/>
        </w:rPr>
      </w:pPr>
      <w:r>
        <w:tab/>
      </w:r>
      <w:r w:rsidRPr="003411F4" w:rsidR="009A5D30">
        <w:rPr>
          <w:b/>
        </w:rPr>
        <w:t>National Institute of Standards and Technology (NIST)</w:t>
      </w:r>
    </w:p>
    <w:p w:rsidR="00136E5A" w:rsidRDefault="004317CB">
      <w:pPr>
        <w:widowControl/>
        <w:jc w:val="center"/>
        <w:rPr>
          <w:b/>
          <w:bCs/>
        </w:rPr>
      </w:pPr>
      <w:r>
        <w:rPr>
          <w:b/>
          <w:bCs/>
        </w:rPr>
        <w:t>Organization of Scientific Area Committees (OSAC) Membership Application</w:t>
      </w:r>
    </w:p>
    <w:p w:rsidR="00136E5A" w:rsidRDefault="00DC7587">
      <w:pPr>
        <w:widowControl/>
        <w:jc w:val="center"/>
      </w:pPr>
      <w:r>
        <w:rPr>
          <w:b/>
          <w:bCs/>
        </w:rPr>
        <w:t>OMB Control</w:t>
      </w:r>
      <w:r w:rsidR="00136E5A">
        <w:rPr>
          <w:b/>
          <w:bCs/>
        </w:rPr>
        <w:t xml:space="preserve"> N</w:t>
      </w:r>
      <w:r>
        <w:rPr>
          <w:b/>
          <w:bCs/>
        </w:rPr>
        <w:t>o</w:t>
      </w:r>
      <w:r w:rsidR="00136E5A">
        <w:rPr>
          <w:b/>
          <w:bCs/>
        </w:rPr>
        <w:t xml:space="preserve">. </w:t>
      </w:r>
      <w:r w:rsidR="009A5D30">
        <w:rPr>
          <w:b/>
          <w:bCs/>
        </w:rPr>
        <w:t>0693-</w:t>
      </w:r>
      <w:r w:rsidR="004317CB">
        <w:rPr>
          <w:b/>
          <w:bCs/>
        </w:rPr>
        <w:t>0070</w:t>
      </w:r>
    </w:p>
    <w:p w:rsidR="00136E5A" w:rsidRDefault="00136E5A">
      <w:pPr>
        <w:widowControl/>
      </w:pPr>
    </w:p>
    <w:p w:rsidR="00136E5A" w:rsidRDefault="00136E5A">
      <w:pPr>
        <w:widowControl/>
        <w:tabs>
          <w:tab w:val="left" w:pos="-1440"/>
        </w:tabs>
        <w:ind w:left="720" w:hanging="720"/>
      </w:pPr>
      <w:r>
        <w:rPr>
          <w:b/>
          <w:bCs/>
        </w:rPr>
        <w:t xml:space="preserve">A. </w:t>
      </w:r>
      <w:r>
        <w:rPr>
          <w:b/>
          <w:bCs/>
        </w:rPr>
        <w:tab/>
        <w:t>JUSTIFICATION</w:t>
      </w:r>
    </w:p>
    <w:p w:rsidR="00136E5A" w:rsidRDefault="00136E5A">
      <w:pPr>
        <w:widowControl/>
      </w:pPr>
    </w:p>
    <w:p w:rsidR="009D3808" w:rsidP="00CC2183" w:rsidRDefault="00A472E0">
      <w:pPr>
        <w:widowControl/>
      </w:pPr>
      <w:r>
        <w:t>This is a request</w:t>
      </w:r>
      <w:r w:rsidR="004317CB">
        <w:t xml:space="preserve"> to </w:t>
      </w:r>
      <w:r w:rsidR="00C6040F">
        <w:t xml:space="preserve">revise and extend </w:t>
      </w:r>
      <w:r w:rsidR="004E278B">
        <w:t xml:space="preserve">the current </w:t>
      </w:r>
      <w:r w:rsidR="004317CB">
        <w:t>Office of Management and Budget approval</w:t>
      </w:r>
      <w:r w:rsidR="004E278B">
        <w:t xml:space="preserve"> for this collection of information</w:t>
      </w:r>
      <w:r w:rsidR="004317CB">
        <w:t>.</w:t>
      </w:r>
      <w:r>
        <w:t xml:space="preserve"> </w:t>
      </w:r>
    </w:p>
    <w:p w:rsidR="009D3808" w:rsidRDefault="009D3808">
      <w:pPr>
        <w:widowControl/>
      </w:pPr>
    </w:p>
    <w:p w:rsidR="00136E5A" w:rsidRDefault="00136E5A">
      <w:pPr>
        <w:widowControl/>
      </w:pPr>
      <w:r>
        <w:rPr>
          <w:b/>
          <w:bCs/>
        </w:rPr>
        <w:t xml:space="preserve">1.  </w:t>
      </w:r>
      <w:r>
        <w:rPr>
          <w:b/>
          <w:bCs/>
          <w:u w:val="single"/>
        </w:rPr>
        <w:t>Explain the circumstances that make the collection of information necessary.</w:t>
      </w:r>
    </w:p>
    <w:p w:rsidR="00136E5A" w:rsidRDefault="00136E5A">
      <w:pPr>
        <w:widowControl/>
      </w:pPr>
    </w:p>
    <w:p w:rsidR="00136E5A" w:rsidP="00396BBA" w:rsidRDefault="009A5D30">
      <w:pPr>
        <w:widowControl/>
      </w:pPr>
      <w:r>
        <w:t>N</w:t>
      </w:r>
      <w:r w:rsidR="00206846">
        <w:t xml:space="preserve">IST </w:t>
      </w:r>
      <w:r w:rsidR="00D969FF">
        <w:t xml:space="preserve">has established </w:t>
      </w:r>
      <w:r w:rsidR="00206846">
        <w:t xml:space="preserve">an </w:t>
      </w:r>
      <w:r w:rsidR="004317CB">
        <w:t xml:space="preserve">Organization of Scientific Area Committees </w:t>
      </w:r>
      <w:r w:rsidR="00CB2501">
        <w:t xml:space="preserve">for Forensic Science </w:t>
      </w:r>
      <w:r w:rsidR="004317CB">
        <w:t>(</w:t>
      </w:r>
      <w:r w:rsidR="0068771B">
        <w:t>OSAC</w:t>
      </w:r>
      <w:r w:rsidR="004317CB">
        <w:t>)</w:t>
      </w:r>
      <w:r w:rsidR="0068771B">
        <w:t xml:space="preserve"> </w:t>
      </w:r>
      <w:r w:rsidR="00206846">
        <w:t>to enable a coordinated U</w:t>
      </w:r>
      <w:r>
        <w:t>.</w:t>
      </w:r>
      <w:r w:rsidR="00206846">
        <w:t>S</w:t>
      </w:r>
      <w:r>
        <w:t>.</w:t>
      </w:r>
      <w:r w:rsidR="00206846">
        <w:t xml:space="preserve"> approach to </w:t>
      </w:r>
      <w:r w:rsidR="00CB2501">
        <w:t xml:space="preserve">development of scientifically sound forensic science standards </w:t>
      </w:r>
      <w:r w:rsidR="00206846">
        <w:t>that include</w:t>
      </w:r>
      <w:r w:rsidR="00D969FF">
        <w:t>s</w:t>
      </w:r>
      <w:r w:rsidR="00206846">
        <w:t xml:space="preserve"> broad participation </w:t>
      </w:r>
      <w:r w:rsidR="00945F68">
        <w:t xml:space="preserve">from forensic science practitioners, researchers, metrologists, </w:t>
      </w:r>
      <w:r w:rsidR="00CB2501">
        <w:t>quality assurance experts</w:t>
      </w:r>
      <w:r w:rsidR="00945F68">
        <w:t>, defense, and prosecution</w:t>
      </w:r>
      <w:r w:rsidR="00206846">
        <w:t xml:space="preserve">. </w:t>
      </w:r>
      <w:r w:rsidRPr="00945F68" w:rsidR="00BA13BE">
        <w:t xml:space="preserve">NIST </w:t>
      </w:r>
      <w:r w:rsidR="00CA0CC9">
        <w:t xml:space="preserve">works </w:t>
      </w:r>
      <w:r w:rsidRPr="00945F68" w:rsidR="00BA13BE">
        <w:t xml:space="preserve">with professional forensic </w:t>
      </w:r>
      <w:r w:rsidR="00F15BF2">
        <w:t xml:space="preserve">science </w:t>
      </w:r>
      <w:r w:rsidRPr="00945F68" w:rsidR="00BA13BE">
        <w:t>societies</w:t>
      </w:r>
      <w:r w:rsidR="00CA0CC9">
        <w:t xml:space="preserve"> and science societies </w:t>
      </w:r>
      <w:r w:rsidRPr="00945F68" w:rsidR="00BA13BE">
        <w:t xml:space="preserve">to </w:t>
      </w:r>
      <w:r w:rsidR="00E8712F">
        <w:t>i</w:t>
      </w:r>
      <w:r w:rsidR="005E5E07">
        <w:t>nform their members of the OSAC application (</w:t>
      </w:r>
      <w:r w:rsidR="00E8712F">
        <w:t>self-nomination)</w:t>
      </w:r>
      <w:r w:rsidRPr="00BA13BE" w:rsidR="00206846">
        <w:t xml:space="preserve"> in</w:t>
      </w:r>
      <w:r w:rsidR="0068771B">
        <w:t xml:space="preserve"> </w:t>
      </w:r>
      <w:r w:rsidR="00206846">
        <w:t>order to identify those interested and qualified to contribute.</w:t>
      </w:r>
    </w:p>
    <w:p w:rsidR="00136E5A" w:rsidRDefault="00136E5A">
      <w:pPr>
        <w:widowControl/>
      </w:pPr>
    </w:p>
    <w:p w:rsidR="005E5E07" w:rsidP="005E5E07" w:rsidRDefault="00D4714F">
      <w:r>
        <w:t xml:space="preserve">The information will assist </w:t>
      </w:r>
      <w:r w:rsidR="009D3808">
        <w:t xml:space="preserve">NIST </w:t>
      </w:r>
      <w:r>
        <w:t xml:space="preserve">to determine </w:t>
      </w:r>
      <w:r w:rsidR="009D3808">
        <w:t xml:space="preserve">who wants to serve on the OSAC, which of the </w:t>
      </w:r>
      <w:r w:rsidR="00CA0CC9">
        <w:t xml:space="preserve">over </w:t>
      </w:r>
      <w:r w:rsidR="009D3808">
        <w:t xml:space="preserve">thirty organizational components of the OSAC they are interested in working on, the experience that they bring to the OSAC so those selected for the OSAC will reflect a balance of perspectives. </w:t>
      </w:r>
      <w:r>
        <w:t>NIST work</w:t>
      </w:r>
      <w:r w:rsidR="00744C32">
        <w:t>s</w:t>
      </w:r>
      <w:r>
        <w:t xml:space="preserve"> with the </w:t>
      </w:r>
      <w:r w:rsidR="00A04536">
        <w:t>Forensic Science Standards Board (the Executive Board of OSAC)</w:t>
      </w:r>
      <w:r>
        <w:t xml:space="preserve"> to place appropriate participants into the different roles within </w:t>
      </w:r>
      <w:r w:rsidR="00A04536">
        <w:t>the leadership positions of the multiple</w:t>
      </w:r>
      <w:r>
        <w:t xml:space="preserve"> tiers of OSAC (structure chart included with this request).  </w:t>
      </w:r>
    </w:p>
    <w:p w:rsidR="00D4714F" w:rsidP="00D4714F" w:rsidRDefault="00D4714F"/>
    <w:p w:rsidR="00837016" w:rsidP="009D3808" w:rsidRDefault="00D4714F">
      <w:r>
        <w:t>I</w:t>
      </w:r>
      <w:r w:rsidR="009D3808">
        <w:t>t is important to note that the OSAC addresses key aspects of a Forensic Science Standards Program that have not previously existed in the United States, including:</w:t>
      </w:r>
    </w:p>
    <w:p w:rsidR="009D3808" w:rsidP="009D3808" w:rsidRDefault="009D3808"/>
    <w:p w:rsidR="009D3808" w:rsidP="009D3808" w:rsidRDefault="00FE0A3B">
      <w:pPr>
        <w:widowControl/>
        <w:numPr>
          <w:ilvl w:val="0"/>
          <w:numId w:val="1"/>
        </w:numPr>
        <w:autoSpaceDE/>
        <w:autoSpaceDN/>
        <w:adjustRightInd/>
      </w:pPr>
      <w:r>
        <w:t xml:space="preserve">Seven </w:t>
      </w:r>
      <w:r w:rsidR="009D3808">
        <w:t>Scientific Area Committees (SACs) with an underlying struc</w:t>
      </w:r>
      <w:r w:rsidR="00744C32">
        <w:t xml:space="preserve">ture of </w:t>
      </w:r>
      <w:r w:rsidR="00A75E23">
        <w:t>twenty-two</w:t>
      </w:r>
      <w:r>
        <w:t xml:space="preserve"> discipline-specific</w:t>
      </w:r>
      <w:r w:rsidR="00F15BF2">
        <w:t xml:space="preserve"> </w:t>
      </w:r>
      <w:r w:rsidR="00744C32">
        <w:t xml:space="preserve">Subcommittees that </w:t>
      </w:r>
      <w:r w:rsidR="009D3808">
        <w:t>develop and identify appropriate standards, provide common web access to standards and best practices, and monitor for duplication and inactivity within the organization;</w:t>
      </w:r>
    </w:p>
    <w:p w:rsidR="00837016" w:rsidP="00837016" w:rsidRDefault="00837016">
      <w:pPr>
        <w:widowControl/>
        <w:autoSpaceDE/>
        <w:autoSpaceDN/>
        <w:adjustRightInd/>
        <w:ind w:left="1080"/>
      </w:pPr>
    </w:p>
    <w:p w:rsidR="009D3808" w:rsidP="009D3808" w:rsidRDefault="009D3808">
      <w:pPr>
        <w:widowControl/>
        <w:numPr>
          <w:ilvl w:val="0"/>
          <w:numId w:val="1"/>
        </w:numPr>
        <w:autoSpaceDE/>
        <w:autoSpaceDN/>
        <w:adjustRightInd/>
      </w:pPr>
      <w:r>
        <w:t xml:space="preserve">Three </w:t>
      </w:r>
      <w:r w:rsidR="00744C32">
        <w:t xml:space="preserve">Resource Committees that </w:t>
      </w:r>
      <w:r>
        <w:t>provide advice and intellectual resources to the SACs</w:t>
      </w:r>
      <w:r w:rsidR="00F15BF2">
        <w:t xml:space="preserve"> and Subcommittees, composed of Legal Resources</w:t>
      </w:r>
      <w:r>
        <w:t>, Quality Infrastructure, and Human Factors Committees; and</w:t>
      </w:r>
    </w:p>
    <w:p w:rsidR="00837016" w:rsidP="00837016" w:rsidRDefault="00837016">
      <w:pPr>
        <w:pStyle w:val="ColorfulList-Accent1"/>
      </w:pPr>
    </w:p>
    <w:p w:rsidR="009D3808" w:rsidP="009D3808" w:rsidRDefault="009D3808">
      <w:pPr>
        <w:widowControl/>
        <w:numPr>
          <w:ilvl w:val="0"/>
          <w:numId w:val="1"/>
        </w:numPr>
        <w:autoSpaceDE/>
        <w:autoSpaceDN/>
        <w:adjustRightInd/>
      </w:pPr>
      <w:r>
        <w:t>A Forensic Science Standards Board to resolve overarching issues and to address expectations that span all SACs.</w:t>
      </w:r>
    </w:p>
    <w:p w:rsidR="009D3808" w:rsidP="009D3808" w:rsidRDefault="009D3808"/>
    <w:p w:rsidR="009D3808" w:rsidP="009D3808" w:rsidRDefault="00744C32">
      <w:r>
        <w:t xml:space="preserve">For NIST to continue in the role of administering OSAC, it must </w:t>
      </w:r>
      <w:r w:rsidR="009D3808">
        <w:t xml:space="preserve">be able to identify </w:t>
      </w:r>
      <w:r w:rsidR="00201771">
        <w:t>new</w:t>
      </w:r>
      <w:r w:rsidR="009D3808">
        <w:t xml:space="preserve"> OSAC participants </w:t>
      </w:r>
      <w:r w:rsidR="00201771">
        <w:t xml:space="preserve">to fill new positions created within OSAC and to replace positions vacated by resignation or rotation of </w:t>
      </w:r>
      <w:r>
        <w:t>more than 550</w:t>
      </w:r>
      <w:r w:rsidR="003D0642">
        <w:t xml:space="preserve"> </w:t>
      </w:r>
      <w:r w:rsidR="00201771">
        <w:t>current members.</w:t>
      </w:r>
      <w:r w:rsidR="009D3808">
        <w:t xml:space="preserve"> </w:t>
      </w:r>
    </w:p>
    <w:p w:rsidR="009D3808" w:rsidP="009D3808" w:rsidRDefault="009D3808"/>
    <w:p w:rsidR="002108DD" w:rsidP="009D3808" w:rsidRDefault="002108DD"/>
    <w:p w:rsidR="00136E5A" w:rsidRDefault="00136E5A">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136E5A" w:rsidRDefault="00136E5A">
      <w:pPr>
        <w:widowControl/>
      </w:pPr>
    </w:p>
    <w:p w:rsidR="00837016" w:rsidP="00D9297E" w:rsidRDefault="00BA5547">
      <w:pPr>
        <w:widowControl/>
      </w:pPr>
      <w:r>
        <w:t xml:space="preserve">Self-nominations will </w:t>
      </w:r>
      <w:r w:rsidR="000A72F0">
        <w:t xml:space="preserve">be open continuously throughout the year and </w:t>
      </w:r>
      <w:r>
        <w:t xml:space="preserve">provide the OSAC with the information needed to identify interested and qualified respondents with the ability to participate. </w:t>
      </w:r>
      <w:r w:rsidR="00580094">
        <w:t xml:space="preserve">The collection information will enable </w:t>
      </w:r>
      <w:r w:rsidR="00206846">
        <w:t xml:space="preserve">OSAC </w:t>
      </w:r>
      <w:r w:rsidR="00580094">
        <w:t>to fill</w:t>
      </w:r>
      <w:r w:rsidR="00206846">
        <w:t xml:space="preserve"> vacancies through directed requests to meet specific balance requirements caused by resignation or rotation of appointees.  </w:t>
      </w:r>
      <w:r w:rsidR="00D9297E">
        <w:t>NIST does not intend to disseminate the information that is collected.</w:t>
      </w:r>
    </w:p>
    <w:p w:rsidR="00A77166" w:rsidRDefault="00A77166">
      <w:pPr>
        <w:widowControl/>
        <w:rPr>
          <w:b/>
          <w:bCs/>
        </w:rPr>
      </w:pPr>
    </w:p>
    <w:p w:rsidR="00A77166" w:rsidRDefault="00A77166">
      <w:pPr>
        <w:widowControl/>
        <w:rPr>
          <w:b/>
          <w:bCs/>
        </w:rPr>
      </w:pPr>
    </w:p>
    <w:p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36E5A" w:rsidRDefault="00136E5A">
      <w:pPr>
        <w:widowControl/>
      </w:pPr>
    </w:p>
    <w:p w:rsidR="00FA221B" w:rsidP="00AF4A3C" w:rsidRDefault="00206846">
      <w:pPr>
        <w:widowControl/>
      </w:pPr>
      <w:r>
        <w:t>The collection will rely on a web</w:t>
      </w:r>
      <w:r w:rsidR="0068771B">
        <w:t>-</w:t>
      </w:r>
      <w:r>
        <w:t xml:space="preserve">based application </w:t>
      </w:r>
      <w:r w:rsidR="006D0F68">
        <w:t>for interested participants to</w:t>
      </w:r>
      <w:r>
        <w:t xml:space="preserve"> include </w:t>
      </w:r>
      <w:r w:rsidR="00D26D67">
        <w:t xml:space="preserve">multiple choice response options and one brief narrative. </w:t>
      </w:r>
      <w:r w:rsidR="00811E96">
        <w:t xml:space="preserve">The application will be posted on </w:t>
      </w:r>
      <w:r w:rsidR="00441B7C">
        <w:t xml:space="preserve">the existing NIST website: </w:t>
      </w:r>
      <w:hyperlink w:history="1" r:id="rId8">
        <w:r w:rsidRPr="003674BA" w:rsidR="002C3356">
          <w:rPr>
            <w:rStyle w:val="Hyperlink"/>
          </w:rPr>
          <w:t>https://www.</w:t>
        </w:r>
        <w:r w:rsidRPr="003674BA" w:rsidR="002C3356">
          <w:rPr>
            <w:rStyle w:val="Hyperlink"/>
          </w:rPr>
          <w:t>n</w:t>
        </w:r>
        <w:r w:rsidRPr="003674BA" w:rsidR="002C3356">
          <w:rPr>
            <w:rStyle w:val="Hyperlink"/>
          </w:rPr>
          <w:t>ist.gov/osac</w:t>
        </w:r>
      </w:hyperlink>
      <w:r w:rsidR="002C3356">
        <w:t xml:space="preserve"> </w:t>
      </w:r>
      <w:r w:rsidR="00B44790">
        <w:t xml:space="preserve">and the electronic OSAC membership application form can be found at the website: </w:t>
      </w:r>
      <w:hyperlink w:history="1" r:id="rId9">
        <w:r w:rsidRPr="003674BA" w:rsidR="002C3356">
          <w:rPr>
            <w:rStyle w:val="Hyperlink"/>
          </w:rPr>
          <w:t>https://www.nist.go</w:t>
        </w:r>
        <w:r w:rsidRPr="003674BA" w:rsidR="002C3356">
          <w:rPr>
            <w:rStyle w:val="Hyperlink"/>
          </w:rPr>
          <w:t>v</w:t>
        </w:r>
        <w:r w:rsidRPr="003674BA" w:rsidR="002C3356">
          <w:rPr>
            <w:rStyle w:val="Hyperlink"/>
          </w:rPr>
          <w:t>/osac-application-form</w:t>
        </w:r>
      </w:hyperlink>
    </w:p>
    <w:p w:rsidR="00136E5A" w:rsidRDefault="00136E5A">
      <w:pPr>
        <w:widowControl/>
      </w:pPr>
    </w:p>
    <w:p w:rsidR="00441B7C" w:rsidRDefault="00441B7C">
      <w:pPr>
        <w:widowControl/>
      </w:pPr>
    </w:p>
    <w:p w:rsidR="00136E5A" w:rsidRDefault="00136E5A">
      <w:pPr>
        <w:widowControl/>
      </w:pPr>
      <w:r>
        <w:rPr>
          <w:b/>
          <w:bCs/>
        </w:rPr>
        <w:t xml:space="preserve">4.  </w:t>
      </w:r>
      <w:r>
        <w:rPr>
          <w:b/>
          <w:bCs/>
          <w:u w:val="single"/>
        </w:rPr>
        <w:t>Describe efforts to identify duplication</w:t>
      </w:r>
      <w:r>
        <w:rPr>
          <w:b/>
          <w:bCs/>
        </w:rPr>
        <w:t>.</w:t>
      </w:r>
    </w:p>
    <w:p w:rsidR="00136E5A" w:rsidRDefault="00136E5A">
      <w:pPr>
        <w:widowControl/>
      </w:pPr>
    </w:p>
    <w:p w:rsidR="00136E5A" w:rsidRDefault="00206846">
      <w:pPr>
        <w:widowControl/>
      </w:pPr>
      <w:r>
        <w:t>The</w:t>
      </w:r>
      <w:r w:rsidR="00E6524D">
        <w:t>re is no other information collection of this type</w:t>
      </w:r>
      <w:r w:rsidR="004C4501">
        <w:t xml:space="preserve"> as the OSAC is the only organization soliciting applications for membership to </w:t>
      </w:r>
      <w:r w:rsidR="00E3209C">
        <w:t xml:space="preserve">support the coordinated U.S. approach for developing scientifically sound forensic science standards. </w:t>
      </w:r>
    </w:p>
    <w:p w:rsidR="00136E5A" w:rsidRDefault="00136E5A">
      <w:pPr>
        <w:widowControl/>
      </w:pPr>
    </w:p>
    <w:p w:rsidR="00441B7C" w:rsidRDefault="00441B7C">
      <w:pPr>
        <w:widowControl/>
      </w:pPr>
    </w:p>
    <w:p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36E5A" w:rsidRDefault="00136E5A">
      <w:pPr>
        <w:widowControl/>
      </w:pPr>
    </w:p>
    <w:p w:rsidR="00136E5A" w:rsidRDefault="006D0F68">
      <w:pPr>
        <w:widowControl/>
      </w:pPr>
      <w:r>
        <w:t>While t</w:t>
      </w:r>
      <w:r w:rsidR="00206846">
        <w:t>his collection is</w:t>
      </w:r>
      <w:r w:rsidR="00AF4A3C">
        <w:t xml:space="preserve"> not focused on small entities, </w:t>
      </w:r>
      <w:r w:rsidR="00206846">
        <w:t xml:space="preserve">we expect individuals who are part of small entities to respond.  By conducting the collection via a </w:t>
      </w:r>
      <w:r w:rsidR="00CC7D0E">
        <w:t>web-based</w:t>
      </w:r>
      <w:r w:rsidR="00206846">
        <w:t xml:space="preserve"> tool, focusing the questions on specific interest</w:t>
      </w:r>
      <w:r w:rsidR="00870D62">
        <w:t>s</w:t>
      </w:r>
      <w:r w:rsidR="00206846">
        <w:t xml:space="preserve"> </w:t>
      </w:r>
      <w:r>
        <w:t xml:space="preserve">in order </w:t>
      </w:r>
      <w:r w:rsidR="00206846">
        <w:t xml:space="preserve">to fill the </w:t>
      </w:r>
      <w:r w:rsidR="00870D62">
        <w:t xml:space="preserve">positions available on the </w:t>
      </w:r>
      <w:r w:rsidR="00206846">
        <w:t>OSAC, and</w:t>
      </w:r>
      <w:r>
        <w:t xml:space="preserve"> by</w:t>
      </w:r>
      <w:r w:rsidR="00206846">
        <w:t xml:space="preserve"> limiting the length of any narrative response</w:t>
      </w:r>
      <w:r>
        <w:t xml:space="preserve"> request</w:t>
      </w:r>
      <w:r w:rsidR="00206846">
        <w:t>, we have minimized burden on the respondents.</w:t>
      </w:r>
    </w:p>
    <w:p w:rsidR="00136E5A" w:rsidRDefault="00136E5A">
      <w:pPr>
        <w:widowControl/>
      </w:pPr>
    </w:p>
    <w:p w:rsidR="00136E5A" w:rsidRDefault="00136E5A">
      <w:pPr>
        <w:widowControl/>
      </w:pPr>
    </w:p>
    <w:p w:rsidR="00136E5A" w:rsidRDefault="00136E5A">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136E5A" w:rsidRDefault="00136E5A">
      <w:pPr>
        <w:widowControl/>
      </w:pPr>
    </w:p>
    <w:p w:rsidR="00136E5A" w:rsidRDefault="00206846">
      <w:pPr>
        <w:widowControl/>
      </w:pPr>
      <w:r>
        <w:t xml:space="preserve">Without this collection, NIST will not be able to </w:t>
      </w:r>
      <w:r w:rsidR="005045FD">
        <w:t xml:space="preserve">fill vacancies with appropriate qualified applicants and </w:t>
      </w:r>
      <w:r>
        <w:t>assure the public that a</w:t>
      </w:r>
      <w:r w:rsidR="005045FD">
        <w:t xml:space="preserve"> balanced composition has been maintained in </w:t>
      </w:r>
      <w:r>
        <w:t xml:space="preserve">OSAC.  The need for balance in an organization such as OSAC was a major conclusion of the National </w:t>
      </w:r>
      <w:r>
        <w:lastRenderedPageBreak/>
        <w:t>Academy of Science inquiry into forensic science in the United States.  Without assu</w:t>
      </w:r>
      <w:r w:rsidR="00E507E9">
        <w:t>rance that the OSAC has maintained</w:t>
      </w:r>
      <w:r>
        <w:t xml:space="preserve"> balance, the Federal government will not be able to make a credible response to these concerns.</w:t>
      </w:r>
      <w:r w:rsidR="00870D62">
        <w:t xml:space="preserve"> Furthermore, qualified applicants who are interested in membership will be denied access without the collection being conducted.</w:t>
      </w:r>
    </w:p>
    <w:p w:rsidR="00FA221B" w:rsidRDefault="00FA221B">
      <w:pPr>
        <w:widowControl/>
      </w:pPr>
    </w:p>
    <w:p w:rsidR="00FA221B" w:rsidRDefault="008B2ED0">
      <w:pPr>
        <w:widowControl/>
      </w:pPr>
      <w:r>
        <w:t xml:space="preserve">Since OSAC’s inception, </w:t>
      </w:r>
      <w:r w:rsidR="00FA221B">
        <w:t xml:space="preserve">NIST has </w:t>
      </w:r>
      <w:r>
        <w:t xml:space="preserve">worked </w:t>
      </w:r>
      <w:r w:rsidR="00FA221B">
        <w:t>with</w:t>
      </w:r>
      <w:r w:rsidR="00E8712F">
        <w:t xml:space="preserve"> </w:t>
      </w:r>
      <w:r w:rsidR="00FA221B">
        <w:t xml:space="preserve">OSTP and the Department of Justice to </w:t>
      </w:r>
      <w:r w:rsidR="00C01928">
        <w:t xml:space="preserve">advance the state of forensic science in the U.S.  </w:t>
      </w:r>
      <w:r>
        <w:t>OSAC is the key component to ensuring scientifically sound forensic science standards are developed and adopted in support of the criminal justice system.</w:t>
      </w:r>
    </w:p>
    <w:p w:rsidR="00E8712F" w:rsidRDefault="00E8712F">
      <w:pPr>
        <w:widowControl/>
      </w:pPr>
    </w:p>
    <w:p w:rsidR="002108DD" w:rsidRDefault="002108DD">
      <w:pPr>
        <w:widowControl/>
      </w:pPr>
    </w:p>
    <w:p w:rsidR="00136E5A" w:rsidRDefault="00136E5A">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36E5A" w:rsidRDefault="00136E5A">
      <w:pPr>
        <w:widowControl/>
      </w:pPr>
    </w:p>
    <w:p w:rsidRPr="00AA4CE4" w:rsidR="00AA4CE4" w:rsidP="00AA4CE4" w:rsidRDefault="00AA4CE4">
      <w:pPr>
        <w:widowControl/>
      </w:pPr>
      <w:r w:rsidRPr="00AA4CE4">
        <w:t>The collection will be conducted in a manner consistent with OMB guidelines.</w:t>
      </w:r>
    </w:p>
    <w:p w:rsidR="00136E5A" w:rsidRDefault="002412B7">
      <w:pPr>
        <w:widowControl/>
      </w:pPr>
      <w:r>
        <w:t xml:space="preserve"> </w:t>
      </w:r>
    </w:p>
    <w:p w:rsidR="00136E5A" w:rsidRDefault="00136E5A">
      <w:pPr>
        <w:widowControl/>
      </w:pPr>
    </w:p>
    <w:p w:rsidR="00136E5A" w:rsidRDefault="00136E5A">
      <w:pPr>
        <w:widowControl/>
        <w:rPr>
          <w:b/>
          <w:bCs/>
        </w:rPr>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D9297E" w:rsidRDefault="00D9297E">
      <w:pPr>
        <w:widowControl/>
      </w:pPr>
    </w:p>
    <w:p w:rsidR="004317CB" w:rsidP="008B2ED0" w:rsidRDefault="008B2ED0">
      <w:r>
        <w:t xml:space="preserve">A </w:t>
      </w:r>
      <w:r w:rsidR="0081444C">
        <w:t xml:space="preserve">60 Day </w:t>
      </w:r>
      <w:r>
        <w:t xml:space="preserve">Federal Register Notice </w:t>
      </w:r>
      <w:r w:rsidR="0081444C">
        <w:t xml:space="preserve">(FRN) </w:t>
      </w:r>
      <w:r>
        <w:t xml:space="preserve">soliciting public comments was published on </w:t>
      </w:r>
      <w:r w:rsidR="00DF2622">
        <w:t>January</w:t>
      </w:r>
      <w:r>
        <w:t xml:space="preserve"> </w:t>
      </w:r>
      <w:r w:rsidR="00DF2622">
        <w:t>14</w:t>
      </w:r>
      <w:r>
        <w:t>, 20</w:t>
      </w:r>
      <w:r w:rsidR="00DF2622">
        <w:t>2</w:t>
      </w:r>
      <w:r>
        <w:t>1, Vol 8</w:t>
      </w:r>
      <w:r w:rsidR="00DF2622">
        <w:t>6</w:t>
      </w:r>
      <w:r>
        <w:t xml:space="preserve">, No. </w:t>
      </w:r>
      <w:r w:rsidR="00DF2622">
        <w:t>9</w:t>
      </w:r>
      <w:r>
        <w:t xml:space="preserve">, page </w:t>
      </w:r>
      <w:r w:rsidR="00DF2622">
        <w:t>3120</w:t>
      </w:r>
      <w:r>
        <w:t xml:space="preserve">. </w:t>
      </w:r>
      <w:r w:rsidR="004E278B">
        <w:t xml:space="preserve"> </w:t>
      </w:r>
      <w:r w:rsidRPr="004317CB">
        <w:t>No comments were received.</w:t>
      </w:r>
      <w:r>
        <w:t xml:space="preserve">  </w:t>
      </w:r>
    </w:p>
    <w:p w:rsidR="0081444C" w:rsidP="008B2ED0" w:rsidRDefault="0081444C"/>
    <w:p w:rsidRPr="008B2ED0" w:rsidR="0081444C" w:rsidP="008B2ED0" w:rsidRDefault="0081444C">
      <w:r>
        <w:t xml:space="preserve">A 30 Day Federal Register Notice (FRN) soliciting public comments was published on </w:t>
      </w:r>
      <w:r w:rsidR="000640CF">
        <w:t>Mar</w:t>
      </w:r>
      <w:bookmarkStart w:name="_GoBack" w:id="0"/>
      <w:bookmarkEnd w:id="0"/>
      <w:r w:rsidR="000640CF">
        <w:t>ch</w:t>
      </w:r>
      <w:r>
        <w:t xml:space="preserve"> 29, 20</w:t>
      </w:r>
      <w:r w:rsidR="000640CF">
        <w:t>2</w:t>
      </w:r>
      <w:r>
        <w:t>1, Vol. 8</w:t>
      </w:r>
      <w:r w:rsidR="000640CF">
        <w:t>6</w:t>
      </w:r>
      <w:r>
        <w:t xml:space="preserve">, No. </w:t>
      </w:r>
      <w:r w:rsidR="000640CF">
        <w:t>58</w:t>
      </w:r>
      <w:r>
        <w:t xml:space="preserve">, page </w:t>
      </w:r>
      <w:r w:rsidR="000640CF">
        <w:t>16324</w:t>
      </w:r>
      <w:r>
        <w:t>.</w:t>
      </w:r>
    </w:p>
    <w:p w:rsidR="00136E5A" w:rsidRDefault="00136E5A">
      <w:pPr>
        <w:widowControl/>
      </w:pPr>
    </w:p>
    <w:p w:rsidR="00DC7587" w:rsidRDefault="00DC7587">
      <w:pPr>
        <w:widowControl/>
        <w:rPr>
          <w:b/>
          <w:bCs/>
        </w:rPr>
      </w:pPr>
    </w:p>
    <w:p w:rsidR="00136E5A" w:rsidRDefault="00136E5A">
      <w:pPr>
        <w:widowControl/>
      </w:pPr>
      <w:r>
        <w:rPr>
          <w:b/>
          <w:bCs/>
        </w:rPr>
        <w:t xml:space="preserve">9.  </w:t>
      </w:r>
      <w:r>
        <w:rPr>
          <w:b/>
          <w:bCs/>
          <w:u w:val="single"/>
        </w:rPr>
        <w:t>Explain any decisions to provide payments or gifts to respondents, other than remuneration of contractors or grantees</w:t>
      </w:r>
      <w:r>
        <w:rPr>
          <w:b/>
          <w:bCs/>
        </w:rPr>
        <w:t>.</w:t>
      </w:r>
    </w:p>
    <w:p w:rsidR="00136E5A" w:rsidRDefault="00136E5A">
      <w:pPr>
        <w:widowControl/>
      </w:pPr>
    </w:p>
    <w:p w:rsidR="002412B7" w:rsidRDefault="007F4D7B">
      <w:pPr>
        <w:widowControl/>
      </w:pPr>
      <w:r>
        <w:t xml:space="preserve">There will be no payments or gifts associated with this questionnaire.  </w:t>
      </w:r>
    </w:p>
    <w:p w:rsidR="002412B7" w:rsidRDefault="002412B7">
      <w:pPr>
        <w:widowControl/>
      </w:pPr>
    </w:p>
    <w:p w:rsidR="00136E5A" w:rsidRDefault="00136E5A">
      <w:pPr>
        <w:widowControl/>
      </w:pPr>
    </w:p>
    <w:p w:rsidR="00136E5A" w:rsidRDefault="00136E5A">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136E5A" w:rsidRDefault="00136E5A">
      <w:pPr>
        <w:widowControl/>
      </w:pPr>
    </w:p>
    <w:p w:rsidRPr="009B2ACC" w:rsidR="009B2ACC" w:rsidP="009B2ACC" w:rsidRDefault="00962A2B">
      <w:pPr>
        <w:widowControl/>
      </w:pPr>
      <w:r w:rsidRPr="00962A2B">
        <w:t>PII such as name is collected in this IC.  Data is retrieved by a personal identifier; therefore, this is a Privacy Act System of Records.  A Privacy Act Statement is provided on the instrument and an appropriate SORN is uploaded as a supplementary document.</w:t>
      </w:r>
      <w:r w:rsidR="002108DD">
        <w:t xml:space="preserve">  </w:t>
      </w:r>
    </w:p>
    <w:p w:rsidR="00136E5A" w:rsidRDefault="00136E5A">
      <w:pPr>
        <w:widowControl/>
      </w:pPr>
    </w:p>
    <w:p w:rsidR="00136E5A" w:rsidRDefault="00136E5A">
      <w:pPr>
        <w:widowControl/>
      </w:pPr>
    </w:p>
    <w:p w:rsidR="00136E5A" w:rsidRDefault="00136E5A">
      <w:pPr>
        <w:widowControl/>
      </w:pPr>
      <w:r>
        <w:rPr>
          <w:b/>
          <w:bCs/>
        </w:rPr>
        <w:lastRenderedPageBreak/>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136E5A" w:rsidRDefault="00136E5A">
      <w:pPr>
        <w:widowControl/>
      </w:pPr>
    </w:p>
    <w:p w:rsidR="00837016" w:rsidRDefault="007F4D7B">
      <w:pPr>
        <w:widowControl/>
      </w:pPr>
      <w:r w:rsidRPr="00441B7C">
        <w:t>No questions of a sensitive nature will be included.</w:t>
      </w:r>
    </w:p>
    <w:p w:rsidR="00A77166" w:rsidRDefault="00A77166">
      <w:pPr>
        <w:widowControl/>
      </w:pPr>
    </w:p>
    <w:p w:rsidR="00A77166" w:rsidRDefault="00A77166">
      <w:pPr>
        <w:widowControl/>
      </w:pPr>
    </w:p>
    <w:p w:rsidR="00136E5A" w:rsidRDefault="00136E5A">
      <w:pPr>
        <w:widowControl/>
      </w:pPr>
      <w:r>
        <w:rPr>
          <w:b/>
          <w:bCs/>
        </w:rPr>
        <w:t xml:space="preserve">12.  </w:t>
      </w:r>
      <w:r>
        <w:rPr>
          <w:b/>
          <w:bCs/>
          <w:u w:val="single"/>
        </w:rPr>
        <w:t>Provide an estimate in hours of the burden of the collection of information</w:t>
      </w:r>
      <w:r>
        <w:rPr>
          <w:b/>
          <w:bCs/>
        </w:rPr>
        <w:t>.</w:t>
      </w:r>
    </w:p>
    <w:p w:rsidR="00136E5A" w:rsidRDefault="00136E5A">
      <w:pPr>
        <w:widowControl/>
      </w:pPr>
    </w:p>
    <w:p w:rsidR="000A2696" w:rsidRDefault="000A2696">
      <w:pPr>
        <w:widowControl/>
      </w:pPr>
      <w:r>
        <w:t xml:space="preserve">NIST is estimating that </w:t>
      </w:r>
      <w:r w:rsidR="00201771">
        <w:t xml:space="preserve">1,000 </w:t>
      </w:r>
      <w:r w:rsidR="004317CB">
        <w:t xml:space="preserve">respondents may participate </w:t>
      </w:r>
      <w:r w:rsidR="00201771">
        <w:t>per year</w:t>
      </w:r>
      <w:r>
        <w:t xml:space="preserve">.  The </w:t>
      </w:r>
      <w:r w:rsidR="00AA1FC8">
        <w:t xml:space="preserve">application </w:t>
      </w:r>
      <w:r>
        <w:t xml:space="preserve">takes approximately </w:t>
      </w:r>
      <w:r w:rsidR="00AE604B">
        <w:t xml:space="preserve">5 </w:t>
      </w:r>
      <w:r>
        <w:t xml:space="preserve">minutes per response for an estimated total of </w:t>
      </w:r>
      <w:r w:rsidR="00AE604B">
        <w:t xml:space="preserve">84 </w:t>
      </w:r>
      <w:r w:rsidR="004317CB">
        <w:t>annual b</w:t>
      </w:r>
      <w:r>
        <w:t xml:space="preserve">urden </w:t>
      </w:r>
      <w:r w:rsidR="004317CB">
        <w:t>h</w:t>
      </w:r>
      <w:r>
        <w:t xml:space="preserve">ours.  </w:t>
      </w:r>
    </w:p>
    <w:p w:rsidR="000A2696" w:rsidRDefault="000A2696">
      <w:pPr>
        <w:widowControl/>
      </w:pPr>
    </w:p>
    <w:p w:rsidR="000A2696" w:rsidRDefault="004317CB">
      <w:pPr>
        <w:widowControl/>
      </w:pPr>
      <w:r>
        <w:t>1</w:t>
      </w:r>
      <w:r w:rsidR="00201771">
        <w:t>,000</w:t>
      </w:r>
      <w:r w:rsidR="000A2696">
        <w:t xml:space="preserve"> Respondents x </w:t>
      </w:r>
      <w:r w:rsidR="00AE604B">
        <w:t xml:space="preserve">5 </w:t>
      </w:r>
      <w:r w:rsidR="000A2696">
        <w:t xml:space="preserve">minutes per response = </w:t>
      </w:r>
      <w:r w:rsidR="00AE604B">
        <w:rPr>
          <w:b/>
        </w:rPr>
        <w:t>84</w:t>
      </w:r>
      <w:r w:rsidRPr="00AA1FC8" w:rsidR="00AE604B">
        <w:rPr>
          <w:b/>
        </w:rPr>
        <w:t xml:space="preserve"> </w:t>
      </w:r>
      <w:r w:rsidRPr="00AA1FC8" w:rsidR="000A2696">
        <w:rPr>
          <w:b/>
        </w:rPr>
        <w:t>Burden Hours</w:t>
      </w:r>
      <w:r w:rsidR="003411F4">
        <w:t>.</w:t>
      </w:r>
    </w:p>
    <w:p w:rsidR="000A2696" w:rsidRDefault="000A2696">
      <w:pPr>
        <w:widowControl/>
      </w:pPr>
    </w:p>
    <w:p w:rsidR="00136E5A" w:rsidRDefault="00136E5A">
      <w:pPr>
        <w:widowControl/>
      </w:pPr>
    </w:p>
    <w:p w:rsidR="00DC7587" w:rsidRDefault="00136E5A">
      <w:pPr>
        <w:widowControl/>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rsidR="00136E5A" w:rsidRDefault="00DC7587">
      <w:pPr>
        <w:widowControl/>
        <w:rPr>
          <w:b/>
          <w:bCs/>
        </w:rPr>
      </w:pPr>
      <w:r>
        <w:rPr>
          <w:b/>
          <w:bCs/>
          <w:u w:val="single"/>
        </w:rPr>
        <w:t xml:space="preserve">Question </w:t>
      </w:r>
      <w:r w:rsidR="00136E5A">
        <w:rPr>
          <w:b/>
          <w:bCs/>
          <w:u w:val="single"/>
        </w:rPr>
        <w:t>12 above)</w:t>
      </w:r>
      <w:r w:rsidR="00136E5A">
        <w:rPr>
          <w:b/>
          <w:bCs/>
        </w:rPr>
        <w:t>.</w:t>
      </w:r>
    </w:p>
    <w:p w:rsidR="00DC7587" w:rsidRDefault="00DC7587">
      <w:pPr>
        <w:widowControl/>
        <w:rPr>
          <w:b/>
          <w:bCs/>
        </w:rPr>
      </w:pPr>
    </w:p>
    <w:p w:rsidRPr="00D9297E" w:rsidR="00DC7587" w:rsidRDefault="00AA4CE4">
      <w:pPr>
        <w:widowControl/>
        <w:rPr>
          <w:bCs/>
        </w:rPr>
      </w:pPr>
      <w:r w:rsidRPr="00AA4CE4">
        <w:rPr>
          <w:bCs/>
        </w:rPr>
        <w:t>There are no costs to the respondents.</w:t>
      </w:r>
    </w:p>
    <w:p w:rsidR="00DC7587" w:rsidRDefault="00DC7587">
      <w:pPr>
        <w:widowControl/>
      </w:pPr>
    </w:p>
    <w:p w:rsidR="00441B7C" w:rsidRDefault="00441B7C">
      <w:pPr>
        <w:widowControl/>
      </w:pPr>
    </w:p>
    <w:p w:rsidR="00136E5A" w:rsidRDefault="00136E5A">
      <w:pPr>
        <w:widowControl/>
      </w:pPr>
      <w:r>
        <w:rPr>
          <w:b/>
          <w:bCs/>
        </w:rPr>
        <w:t xml:space="preserve">14.  </w:t>
      </w:r>
      <w:r>
        <w:rPr>
          <w:b/>
          <w:bCs/>
          <w:u w:val="single"/>
        </w:rPr>
        <w:t>Provide estimates of annualized cost to the Federal government</w:t>
      </w:r>
      <w:r>
        <w:rPr>
          <w:b/>
          <w:bCs/>
        </w:rPr>
        <w:t>.</w:t>
      </w:r>
    </w:p>
    <w:p w:rsidR="00136E5A" w:rsidRDefault="00136E5A">
      <w:pPr>
        <w:widowControl/>
      </w:pPr>
    </w:p>
    <w:p w:rsidR="000631FC" w:rsidRDefault="00864041">
      <w:pPr>
        <w:widowControl/>
      </w:pPr>
      <w:r w:rsidRPr="00864041">
        <w:t>The OSAC Application does not require manual manipulation by a federal employee for an application to be accepted into the data collection system.  OSAC applications are downloaded monthly from the application system by a NIST employee (ZA-III) and provided to the OSAC units to determine if any applications fill open OSAC positions.  This activity requires approximately 30 minutes of labor per month for a total of 6 hours annually.  The approximate cost for this download and sharing activity by a ZA-III is $</w:t>
      </w:r>
      <w:r w:rsidR="004802E7">
        <w:t>50.00</w:t>
      </w:r>
      <w:r w:rsidRPr="00864041">
        <w:t xml:space="preserve"> per hour totaling $</w:t>
      </w:r>
      <w:r w:rsidR="004802E7">
        <w:t>300.00</w:t>
      </w:r>
      <w:r w:rsidRPr="00864041">
        <w:t xml:space="preserve"> annually.</w:t>
      </w:r>
    </w:p>
    <w:p w:rsidR="00C6040F" w:rsidRDefault="00C6040F">
      <w:pPr>
        <w:widowControl/>
      </w:pPr>
    </w:p>
    <w:p w:rsidR="000631FC" w:rsidRDefault="000631FC">
      <w:pPr>
        <w:widowControl/>
      </w:pPr>
    </w:p>
    <w:p w:rsidR="00136E5A" w:rsidRDefault="00136E5A">
      <w:pPr>
        <w:widowControl/>
      </w:pPr>
      <w:r>
        <w:rPr>
          <w:b/>
          <w:bCs/>
        </w:rPr>
        <w:t xml:space="preserve">15.  </w:t>
      </w:r>
      <w:r>
        <w:rPr>
          <w:b/>
          <w:bCs/>
          <w:u w:val="single"/>
        </w:rPr>
        <w:t>Explain the reasons for any program changes or adjustments</w:t>
      </w:r>
      <w:r>
        <w:rPr>
          <w:b/>
          <w:bCs/>
        </w:rPr>
        <w:t>.</w:t>
      </w:r>
    </w:p>
    <w:p w:rsidR="00136E5A" w:rsidRDefault="00136E5A">
      <w:pPr>
        <w:widowControl/>
      </w:pPr>
    </w:p>
    <w:p w:rsidR="00136E5A" w:rsidRDefault="00AE604B">
      <w:pPr>
        <w:widowControl/>
      </w:pPr>
      <w:r>
        <w:t xml:space="preserve">The changes since the previous approval have all been to streamline and simplify the application process.  </w:t>
      </w:r>
      <w:r w:rsidR="00CC7D0E">
        <w:t xml:space="preserve">Specifically, reduction of open text responses to multiple choice questions. </w:t>
      </w:r>
      <w:r>
        <w:t>The time for response per application has been reduced from 30 minutes to 5 minutes per response.  This creates less of a burden for applicants and for program staff that is reviewing the applications as they come in.</w:t>
      </w:r>
    </w:p>
    <w:p w:rsidR="00136E5A" w:rsidRDefault="00136E5A">
      <w:pPr>
        <w:widowControl/>
      </w:pPr>
    </w:p>
    <w:p w:rsidR="00DC7587" w:rsidRDefault="00DC7587">
      <w:pPr>
        <w:widowControl/>
      </w:pPr>
    </w:p>
    <w:p w:rsidR="00136E5A" w:rsidRDefault="00136E5A">
      <w:pPr>
        <w:widowControl/>
        <w:rPr>
          <w:b/>
          <w:bCs/>
        </w:rPr>
      </w:pPr>
      <w:r>
        <w:rPr>
          <w:b/>
          <w:bCs/>
        </w:rPr>
        <w:t xml:space="preserve">16.  </w:t>
      </w:r>
      <w:r>
        <w:rPr>
          <w:b/>
          <w:bCs/>
          <w:u w:val="single"/>
        </w:rPr>
        <w:t>For collections whose results will be published, outline the plans for tabulation and publication</w:t>
      </w:r>
      <w:r>
        <w:rPr>
          <w:b/>
          <w:bCs/>
        </w:rPr>
        <w:t>.</w:t>
      </w:r>
    </w:p>
    <w:p w:rsidR="00D9297E" w:rsidRDefault="00D9297E">
      <w:pPr>
        <w:widowControl/>
      </w:pPr>
    </w:p>
    <w:p w:rsidRPr="00AA4CE4" w:rsidR="00AA4CE4" w:rsidP="00AA4CE4" w:rsidRDefault="00AA4CE4">
      <w:pPr>
        <w:widowControl/>
      </w:pPr>
      <w:r w:rsidRPr="00AA4CE4">
        <w:t>Results will not be published.</w:t>
      </w:r>
    </w:p>
    <w:p w:rsidR="00136E5A" w:rsidRDefault="00136E5A">
      <w:pPr>
        <w:widowControl/>
      </w:pPr>
    </w:p>
    <w:p w:rsidR="00DC7587" w:rsidRDefault="00DC7587">
      <w:pPr>
        <w:widowControl/>
      </w:pPr>
    </w:p>
    <w:p w:rsidR="00136E5A" w:rsidRDefault="00136E5A">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pPr>
        <w:widowControl/>
      </w:pPr>
    </w:p>
    <w:p w:rsidRPr="00D9297E" w:rsidR="00136E5A" w:rsidRDefault="00453325">
      <w:pPr>
        <w:widowControl/>
      </w:pPr>
      <w:r w:rsidRPr="00453325">
        <w:t>The expiration date for the OMB approval will be displayed.</w:t>
      </w:r>
    </w:p>
    <w:p w:rsidR="00441B7C" w:rsidRDefault="00441B7C">
      <w:pPr>
        <w:widowControl/>
        <w:rPr>
          <w:rFonts w:ascii="Shruti" w:hAnsi="Shruti" w:cs="Shruti"/>
        </w:rPr>
      </w:pPr>
    </w:p>
    <w:p w:rsidR="00136E5A" w:rsidRDefault="00136E5A">
      <w:pPr>
        <w:widowControl/>
        <w:rPr>
          <w:b/>
          <w:bCs/>
        </w:rPr>
      </w:pPr>
      <w:r>
        <w:rPr>
          <w:b/>
          <w:bCs/>
        </w:rPr>
        <w:t xml:space="preserve">18.  </w:t>
      </w:r>
      <w:r>
        <w:rPr>
          <w:b/>
          <w:bCs/>
          <w:u w:val="single"/>
        </w:rPr>
        <w:t>Explain each exception to the certification statement</w:t>
      </w:r>
      <w:r>
        <w:rPr>
          <w:b/>
          <w:bCs/>
        </w:rPr>
        <w:t>.</w:t>
      </w:r>
    </w:p>
    <w:p w:rsidR="00C002D3" w:rsidRDefault="00C002D3">
      <w:pPr>
        <w:widowControl/>
        <w:rPr>
          <w:rFonts w:ascii="Shruti" w:hAnsi="Shruti" w:cs="Shruti"/>
        </w:rPr>
      </w:pPr>
    </w:p>
    <w:p w:rsidR="00771B44" w:rsidRDefault="00AA4CE4">
      <w:pPr>
        <w:widowControl/>
      </w:pPr>
      <w:r w:rsidRPr="00AA4CE4">
        <w:t xml:space="preserve"> There are no exceptions to the certification statement.</w:t>
      </w:r>
    </w:p>
    <w:p w:rsidR="00A472E0" w:rsidP="00771B44" w:rsidRDefault="00771B44">
      <w:pPr>
        <w:widowControl/>
        <w:rPr>
          <w:b/>
        </w:rPr>
      </w:pPr>
      <w:r>
        <w:br w:type="page"/>
      </w:r>
      <w:r w:rsidR="00A472E0">
        <w:rPr>
          <w:b/>
        </w:rPr>
        <w:lastRenderedPageBreak/>
        <w:t>B.  COLLECTIONS OF INFORMATION EMPLOYING STATISTICAL METHODS</w:t>
      </w:r>
    </w:p>
    <w:p w:rsidR="00A472E0" w:rsidP="00A472E0" w:rsidRDefault="00A472E0"/>
    <w:p w:rsidR="00A472E0" w:rsidP="00A472E0" w:rsidRDefault="00A472E0">
      <w:r>
        <w:t>No statistical methods are employed.</w:t>
      </w:r>
    </w:p>
    <w:p w:rsidR="00A472E0" w:rsidRDefault="00A472E0">
      <w:pPr>
        <w:widowControl/>
      </w:pPr>
    </w:p>
    <w:sectPr w:rsidR="00A472E0" w:rsidSect="00136E5A">
      <w:footerReference w:type="default" r:id="rId10"/>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9BA" w:rsidRDefault="007E39BA">
      <w:r>
        <w:separator/>
      </w:r>
    </w:p>
  </w:endnote>
  <w:endnote w:type="continuationSeparator" w:id="0">
    <w:p w:rsidR="007E39BA" w:rsidRDefault="007E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491" w:rsidRDefault="003D4491">
    <w:pPr>
      <w:spacing w:line="240" w:lineRule="exact"/>
    </w:pPr>
  </w:p>
  <w:p w:rsidR="003D4491" w:rsidRDefault="003D4491">
    <w:pPr>
      <w:framePr w:w="9361" w:wrap="notBeside" w:vAnchor="text" w:hAnchor="text" w:x="1" w:y="1"/>
      <w:jc w:val="center"/>
    </w:pPr>
    <w:r>
      <w:fldChar w:fldCharType="begin"/>
    </w:r>
    <w:r>
      <w:instrText xml:space="preserve">PAGE </w:instrText>
    </w:r>
    <w:r>
      <w:fldChar w:fldCharType="separate"/>
    </w:r>
    <w:r w:rsidR="00704BDD">
      <w:rPr>
        <w:noProof/>
      </w:rPr>
      <w:t>4</w:t>
    </w:r>
    <w:r>
      <w:fldChar w:fldCharType="end"/>
    </w:r>
  </w:p>
  <w:p w:rsidR="003D4491" w:rsidRDefault="003D4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9BA" w:rsidRDefault="007E39BA">
      <w:r>
        <w:separator/>
      </w:r>
    </w:p>
  </w:footnote>
  <w:footnote w:type="continuationSeparator" w:id="0">
    <w:p w:rsidR="007E39BA" w:rsidRDefault="007E3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87525B"/>
    <w:multiLevelType w:val="hybridMultilevel"/>
    <w:tmpl w:val="874A8E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7924A8"/>
    <w:multiLevelType w:val="hybridMultilevel"/>
    <w:tmpl w:val="FBFED9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07006"/>
    <w:rsid w:val="000559E9"/>
    <w:rsid w:val="0005645F"/>
    <w:rsid w:val="000631FC"/>
    <w:rsid w:val="000640CF"/>
    <w:rsid w:val="00077546"/>
    <w:rsid w:val="00091E19"/>
    <w:rsid w:val="000A2696"/>
    <w:rsid w:val="000A72F0"/>
    <w:rsid w:val="000D6B23"/>
    <w:rsid w:val="000F71D5"/>
    <w:rsid w:val="00136E5A"/>
    <w:rsid w:val="00140C89"/>
    <w:rsid w:val="001540DD"/>
    <w:rsid w:val="00161392"/>
    <w:rsid w:val="0016468D"/>
    <w:rsid w:val="001B3EF2"/>
    <w:rsid w:val="001B5C62"/>
    <w:rsid w:val="001C3089"/>
    <w:rsid w:val="00201771"/>
    <w:rsid w:val="00206846"/>
    <w:rsid w:val="002108DD"/>
    <w:rsid w:val="002412B7"/>
    <w:rsid w:val="002469BA"/>
    <w:rsid w:val="00280000"/>
    <w:rsid w:val="002C3356"/>
    <w:rsid w:val="002E2927"/>
    <w:rsid w:val="002F55F8"/>
    <w:rsid w:val="00306C3B"/>
    <w:rsid w:val="00317322"/>
    <w:rsid w:val="003411F4"/>
    <w:rsid w:val="00396BBA"/>
    <w:rsid w:val="003A506A"/>
    <w:rsid w:val="003D0642"/>
    <w:rsid w:val="003D4491"/>
    <w:rsid w:val="003E6B44"/>
    <w:rsid w:val="0041774E"/>
    <w:rsid w:val="00424972"/>
    <w:rsid w:val="004317CB"/>
    <w:rsid w:val="00434B25"/>
    <w:rsid w:val="00441B7C"/>
    <w:rsid w:val="00443CEB"/>
    <w:rsid w:val="0044410E"/>
    <w:rsid w:val="00453325"/>
    <w:rsid w:val="00467B70"/>
    <w:rsid w:val="00473558"/>
    <w:rsid w:val="004802E7"/>
    <w:rsid w:val="004A1B6B"/>
    <w:rsid w:val="004B48DB"/>
    <w:rsid w:val="004C4501"/>
    <w:rsid w:val="004E278B"/>
    <w:rsid w:val="00501C5F"/>
    <w:rsid w:val="00502B82"/>
    <w:rsid w:val="005045FD"/>
    <w:rsid w:val="005105C3"/>
    <w:rsid w:val="005201C5"/>
    <w:rsid w:val="00545733"/>
    <w:rsid w:val="005668B4"/>
    <w:rsid w:val="00580094"/>
    <w:rsid w:val="00595555"/>
    <w:rsid w:val="005A7CC9"/>
    <w:rsid w:val="005E5E07"/>
    <w:rsid w:val="006056AE"/>
    <w:rsid w:val="006654A7"/>
    <w:rsid w:val="0068771B"/>
    <w:rsid w:val="006D0F68"/>
    <w:rsid w:val="006F3AA5"/>
    <w:rsid w:val="00703008"/>
    <w:rsid w:val="00704BDD"/>
    <w:rsid w:val="00734326"/>
    <w:rsid w:val="00734522"/>
    <w:rsid w:val="00736971"/>
    <w:rsid w:val="00744C32"/>
    <w:rsid w:val="00771B44"/>
    <w:rsid w:val="00791491"/>
    <w:rsid w:val="007A7A7E"/>
    <w:rsid w:val="007E39BA"/>
    <w:rsid w:val="007F317E"/>
    <w:rsid w:val="007F4D7B"/>
    <w:rsid w:val="00802B77"/>
    <w:rsid w:val="00811E96"/>
    <w:rsid w:val="0081444C"/>
    <w:rsid w:val="00822E6E"/>
    <w:rsid w:val="0083176D"/>
    <w:rsid w:val="00834EF0"/>
    <w:rsid w:val="00837016"/>
    <w:rsid w:val="00864041"/>
    <w:rsid w:val="00870D62"/>
    <w:rsid w:val="00891FBB"/>
    <w:rsid w:val="008B2ED0"/>
    <w:rsid w:val="00920C09"/>
    <w:rsid w:val="00945F68"/>
    <w:rsid w:val="00962A2B"/>
    <w:rsid w:val="00977221"/>
    <w:rsid w:val="009A5D30"/>
    <w:rsid w:val="009B2ACC"/>
    <w:rsid w:val="009C0CA0"/>
    <w:rsid w:val="009C1C1A"/>
    <w:rsid w:val="009D3808"/>
    <w:rsid w:val="009D677A"/>
    <w:rsid w:val="009F1EEE"/>
    <w:rsid w:val="00A021BF"/>
    <w:rsid w:val="00A04536"/>
    <w:rsid w:val="00A16030"/>
    <w:rsid w:val="00A32D72"/>
    <w:rsid w:val="00A32DE9"/>
    <w:rsid w:val="00A46A47"/>
    <w:rsid w:val="00A472E0"/>
    <w:rsid w:val="00A75E23"/>
    <w:rsid w:val="00A77166"/>
    <w:rsid w:val="00A81D8D"/>
    <w:rsid w:val="00AA1FC8"/>
    <w:rsid w:val="00AA4CE4"/>
    <w:rsid w:val="00AE604B"/>
    <w:rsid w:val="00AF4A3C"/>
    <w:rsid w:val="00B00144"/>
    <w:rsid w:val="00B13858"/>
    <w:rsid w:val="00B44790"/>
    <w:rsid w:val="00B65D45"/>
    <w:rsid w:val="00B75666"/>
    <w:rsid w:val="00BA13BE"/>
    <w:rsid w:val="00BA42CC"/>
    <w:rsid w:val="00BA5547"/>
    <w:rsid w:val="00BD3F1C"/>
    <w:rsid w:val="00BF01FA"/>
    <w:rsid w:val="00BF42A7"/>
    <w:rsid w:val="00C002D3"/>
    <w:rsid w:val="00C01928"/>
    <w:rsid w:val="00C33AAA"/>
    <w:rsid w:val="00C4026B"/>
    <w:rsid w:val="00C53ED4"/>
    <w:rsid w:val="00C6040F"/>
    <w:rsid w:val="00C70F3D"/>
    <w:rsid w:val="00C72C5E"/>
    <w:rsid w:val="00CA0CC9"/>
    <w:rsid w:val="00CA4636"/>
    <w:rsid w:val="00CB2501"/>
    <w:rsid w:val="00CB6575"/>
    <w:rsid w:val="00CC2183"/>
    <w:rsid w:val="00CC7D0E"/>
    <w:rsid w:val="00CE1851"/>
    <w:rsid w:val="00CF0854"/>
    <w:rsid w:val="00CF2DC5"/>
    <w:rsid w:val="00D15CFF"/>
    <w:rsid w:val="00D26D67"/>
    <w:rsid w:val="00D42D4B"/>
    <w:rsid w:val="00D4714F"/>
    <w:rsid w:val="00D547A3"/>
    <w:rsid w:val="00D7199A"/>
    <w:rsid w:val="00D774C1"/>
    <w:rsid w:val="00D9297E"/>
    <w:rsid w:val="00D969FF"/>
    <w:rsid w:val="00DA38A0"/>
    <w:rsid w:val="00DC7587"/>
    <w:rsid w:val="00DD39F1"/>
    <w:rsid w:val="00DF2622"/>
    <w:rsid w:val="00E30B95"/>
    <w:rsid w:val="00E3209C"/>
    <w:rsid w:val="00E507E9"/>
    <w:rsid w:val="00E623FB"/>
    <w:rsid w:val="00E6524D"/>
    <w:rsid w:val="00E8712F"/>
    <w:rsid w:val="00ED0540"/>
    <w:rsid w:val="00ED7F82"/>
    <w:rsid w:val="00EE222D"/>
    <w:rsid w:val="00EE691C"/>
    <w:rsid w:val="00F15BF2"/>
    <w:rsid w:val="00F403CE"/>
    <w:rsid w:val="00F42E97"/>
    <w:rsid w:val="00FA221B"/>
    <w:rsid w:val="00FD596E"/>
    <w:rsid w:val="00FE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3E3B10"/>
  <w15:chartTrackingRefBased/>
  <w15:docId w15:val="{A28AD561-8B0B-4B3F-AEA0-C2D87EA3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link w:val="BalloonTextChar"/>
    <w:rsid w:val="00B00144"/>
    <w:rPr>
      <w:rFonts w:ascii="Tahoma" w:hAnsi="Tahoma" w:cs="Tahoma"/>
      <w:sz w:val="16"/>
      <w:szCs w:val="16"/>
    </w:rPr>
  </w:style>
  <w:style w:type="character" w:customStyle="1" w:styleId="BalloonTextChar">
    <w:name w:val="Balloon Text Char"/>
    <w:link w:val="BalloonText"/>
    <w:rsid w:val="00B00144"/>
    <w:rPr>
      <w:rFonts w:ascii="Tahoma" w:hAnsi="Tahoma" w:cs="Tahoma"/>
      <w:sz w:val="16"/>
      <w:szCs w:val="16"/>
    </w:rPr>
  </w:style>
  <w:style w:type="table" w:styleId="TableGrid">
    <w:name w:val="Table Grid"/>
    <w:basedOn w:val="TableNormal"/>
    <w:rsid w:val="00BA4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A221B"/>
    <w:rPr>
      <w:sz w:val="16"/>
      <w:szCs w:val="16"/>
    </w:rPr>
  </w:style>
  <w:style w:type="paragraph" w:styleId="CommentText">
    <w:name w:val="annotation text"/>
    <w:basedOn w:val="Normal"/>
    <w:link w:val="CommentTextChar"/>
    <w:rsid w:val="00FA221B"/>
    <w:rPr>
      <w:sz w:val="20"/>
      <w:szCs w:val="20"/>
    </w:rPr>
  </w:style>
  <w:style w:type="character" w:customStyle="1" w:styleId="CommentTextChar">
    <w:name w:val="Comment Text Char"/>
    <w:basedOn w:val="DefaultParagraphFont"/>
    <w:link w:val="CommentText"/>
    <w:rsid w:val="00FA221B"/>
  </w:style>
  <w:style w:type="paragraph" w:styleId="CommentSubject">
    <w:name w:val="annotation subject"/>
    <w:basedOn w:val="CommentText"/>
    <w:next w:val="CommentText"/>
    <w:link w:val="CommentSubjectChar"/>
    <w:rsid w:val="00FA221B"/>
    <w:rPr>
      <w:b/>
      <w:bCs/>
    </w:rPr>
  </w:style>
  <w:style w:type="character" w:customStyle="1" w:styleId="CommentSubjectChar">
    <w:name w:val="Comment Subject Char"/>
    <w:link w:val="CommentSubject"/>
    <w:rsid w:val="00FA221B"/>
    <w:rPr>
      <w:b/>
      <w:bCs/>
    </w:rPr>
  </w:style>
  <w:style w:type="character" w:styleId="Hyperlink">
    <w:name w:val="Hyperlink"/>
    <w:uiPriority w:val="99"/>
    <w:unhideWhenUsed/>
    <w:rsid w:val="00FA221B"/>
    <w:rPr>
      <w:color w:val="0000FF"/>
      <w:u w:val="single"/>
    </w:rPr>
  </w:style>
  <w:style w:type="paragraph" w:styleId="ColorfulList-Accent1">
    <w:name w:val="Colorful List Accent 1"/>
    <w:basedOn w:val="Normal"/>
    <w:uiPriority w:val="34"/>
    <w:qFormat/>
    <w:rsid w:val="00837016"/>
    <w:pPr>
      <w:ind w:left="720"/>
    </w:pPr>
  </w:style>
  <w:style w:type="character" w:styleId="FollowedHyperlink">
    <w:name w:val="FollowedHyperlink"/>
    <w:rsid w:val="00467B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423">
      <w:bodyDiv w:val="1"/>
      <w:marLeft w:val="0"/>
      <w:marRight w:val="0"/>
      <w:marTop w:val="0"/>
      <w:marBottom w:val="0"/>
      <w:divBdr>
        <w:top w:val="none" w:sz="0" w:space="0" w:color="auto"/>
        <w:left w:val="none" w:sz="0" w:space="0" w:color="auto"/>
        <w:bottom w:val="none" w:sz="0" w:space="0" w:color="auto"/>
        <w:right w:val="none" w:sz="0" w:space="0" w:color="auto"/>
      </w:divBdr>
    </w:div>
    <w:div w:id="777213899">
      <w:bodyDiv w:val="1"/>
      <w:marLeft w:val="0"/>
      <w:marRight w:val="0"/>
      <w:marTop w:val="0"/>
      <w:marBottom w:val="0"/>
      <w:divBdr>
        <w:top w:val="none" w:sz="0" w:space="0" w:color="auto"/>
        <w:left w:val="none" w:sz="0" w:space="0" w:color="auto"/>
        <w:bottom w:val="none" w:sz="0" w:space="0" w:color="auto"/>
        <w:right w:val="none" w:sz="0" w:space="0" w:color="auto"/>
      </w:divBdr>
    </w:div>
    <w:div w:id="935481037">
      <w:bodyDiv w:val="1"/>
      <w:marLeft w:val="0"/>
      <w:marRight w:val="0"/>
      <w:marTop w:val="0"/>
      <w:marBottom w:val="0"/>
      <w:divBdr>
        <w:top w:val="none" w:sz="0" w:space="0" w:color="auto"/>
        <w:left w:val="none" w:sz="0" w:space="0" w:color="auto"/>
        <w:bottom w:val="none" w:sz="0" w:space="0" w:color="auto"/>
        <w:right w:val="none" w:sz="0" w:space="0" w:color="auto"/>
      </w:divBdr>
    </w:div>
    <w:div w:id="1215122773">
      <w:bodyDiv w:val="1"/>
      <w:marLeft w:val="0"/>
      <w:marRight w:val="0"/>
      <w:marTop w:val="0"/>
      <w:marBottom w:val="0"/>
      <w:divBdr>
        <w:top w:val="none" w:sz="0" w:space="0" w:color="auto"/>
        <w:left w:val="none" w:sz="0" w:space="0" w:color="auto"/>
        <w:bottom w:val="none" w:sz="0" w:space="0" w:color="auto"/>
        <w:right w:val="none" w:sz="0" w:space="0" w:color="auto"/>
      </w:divBdr>
    </w:div>
    <w:div w:id="1303929467">
      <w:bodyDiv w:val="1"/>
      <w:marLeft w:val="0"/>
      <w:marRight w:val="0"/>
      <w:marTop w:val="0"/>
      <w:marBottom w:val="0"/>
      <w:divBdr>
        <w:top w:val="none" w:sz="0" w:space="0" w:color="auto"/>
        <w:left w:val="none" w:sz="0" w:space="0" w:color="auto"/>
        <w:bottom w:val="none" w:sz="0" w:space="0" w:color="auto"/>
        <w:right w:val="none" w:sz="0" w:space="0" w:color="auto"/>
      </w:divBdr>
    </w:div>
    <w:div w:id="20518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nist.gov/os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st.gov/osac-applic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3844F-C7FA-442D-A9EB-FC21AA8F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10001</CharactersWithSpaces>
  <SharedDoc>false</SharedDoc>
  <HLinks>
    <vt:vector size="12" baseType="variant">
      <vt:variant>
        <vt:i4>2883625</vt:i4>
      </vt:variant>
      <vt:variant>
        <vt:i4>3</vt:i4>
      </vt:variant>
      <vt:variant>
        <vt:i4>0</vt:i4>
      </vt:variant>
      <vt:variant>
        <vt:i4>5</vt:i4>
      </vt:variant>
      <vt:variant>
        <vt:lpwstr>https://www.nist.gov/osac-application-form</vt:lpwstr>
      </vt:variant>
      <vt:variant>
        <vt:lpwstr/>
      </vt:variant>
      <vt:variant>
        <vt:i4>4849728</vt:i4>
      </vt:variant>
      <vt:variant>
        <vt:i4>0</vt:i4>
      </vt:variant>
      <vt:variant>
        <vt:i4>0</vt:i4>
      </vt:variant>
      <vt:variant>
        <vt:i4>5</vt:i4>
      </vt:variant>
      <vt:variant>
        <vt:lpwstr>https://www.nist.gov/osac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dyonder</dc:creator>
  <cp:keywords/>
  <cp:lastModifiedBy>O'Reilly, Maureen D. (Fed)</cp:lastModifiedBy>
  <cp:revision>3</cp:revision>
  <cp:lastPrinted>2018-01-11T17:21:00Z</cp:lastPrinted>
  <dcterms:created xsi:type="dcterms:W3CDTF">2021-03-29T13:55:00Z</dcterms:created>
  <dcterms:modified xsi:type="dcterms:W3CDTF">2021-03-29T13:55:00Z</dcterms:modified>
</cp:coreProperties>
</file>