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16C0" w:rsidR="00BA1A0C" w:rsidP="00CE5AA9" w:rsidRDefault="009B3794" w14:paraId="22E2A2EE" w14:textId="7DEE43D8">
      <w:pPr>
        <w:tabs>
          <w:tab w:val="center" w:pos="4680"/>
        </w:tabs>
        <w:spacing w:before="120"/>
        <w:jc w:val="center"/>
        <w:rPr>
          <w:b/>
          <w:bCs/>
          <w:sz w:val="24"/>
        </w:rPr>
      </w:pPr>
      <w:r w:rsidRPr="000016C0">
        <w:rPr>
          <w:b/>
          <w:bCs/>
          <w:sz w:val="24"/>
        </w:rPr>
        <w:t xml:space="preserve">Supporting Statement </w:t>
      </w:r>
      <w:r w:rsidRPr="000016C0" w:rsidR="00BA1A0C">
        <w:rPr>
          <w:b/>
          <w:bCs/>
          <w:sz w:val="24"/>
        </w:rPr>
        <w:t>A</w:t>
      </w:r>
    </w:p>
    <w:p w:rsidRPr="000016C0" w:rsidR="00DA02DC" w:rsidP="00CE5AA9" w:rsidRDefault="00DA02DC" w14:paraId="5964B045" w14:textId="478901A0">
      <w:pPr>
        <w:tabs>
          <w:tab w:val="center" w:pos="4680"/>
        </w:tabs>
        <w:spacing w:before="120"/>
        <w:jc w:val="center"/>
        <w:rPr>
          <w:b/>
          <w:bCs/>
          <w:sz w:val="24"/>
        </w:rPr>
      </w:pPr>
      <w:r w:rsidRPr="000016C0">
        <w:rPr>
          <w:b/>
          <w:bCs/>
          <w:sz w:val="24"/>
        </w:rPr>
        <w:t>Radiation Exposure Screening and Education Program</w:t>
      </w:r>
    </w:p>
    <w:p w:rsidR="000016C0" w:rsidP="000016C0" w:rsidRDefault="000016C0" w14:paraId="5D7CF915" w14:textId="77777777">
      <w:pPr>
        <w:tabs>
          <w:tab w:val="center" w:pos="4680"/>
        </w:tabs>
        <w:jc w:val="center"/>
        <w:rPr>
          <w:b/>
          <w:bCs/>
          <w:sz w:val="24"/>
        </w:rPr>
      </w:pPr>
    </w:p>
    <w:p w:rsidR="00BA1A0C" w:rsidP="000016C0" w:rsidRDefault="00BA1A0C" w14:paraId="22E2A2F1" w14:textId="684295E2">
      <w:pPr>
        <w:tabs>
          <w:tab w:val="center" w:pos="4680"/>
        </w:tabs>
        <w:jc w:val="center"/>
        <w:rPr>
          <w:b/>
          <w:bCs/>
          <w:sz w:val="24"/>
        </w:rPr>
      </w:pPr>
      <w:r w:rsidRPr="000016C0">
        <w:rPr>
          <w:b/>
          <w:bCs/>
          <w:sz w:val="24"/>
        </w:rPr>
        <w:t>OMB Control No. 09</w:t>
      </w:r>
      <w:r w:rsidRPr="000016C0" w:rsidR="00DA02DC">
        <w:rPr>
          <w:b/>
          <w:bCs/>
          <w:sz w:val="24"/>
        </w:rPr>
        <w:t>06-</w:t>
      </w:r>
      <w:r w:rsidRPr="000016C0" w:rsidR="002970A9">
        <w:rPr>
          <w:b/>
          <w:bCs/>
          <w:sz w:val="24"/>
        </w:rPr>
        <w:t>0012</w:t>
      </w:r>
    </w:p>
    <w:p w:rsidRPr="000016C0" w:rsidR="000016C0" w:rsidP="000016C0" w:rsidRDefault="000016C0" w14:paraId="018087FF" w14:textId="77777777">
      <w:pPr>
        <w:tabs>
          <w:tab w:val="center" w:pos="4680"/>
        </w:tabs>
        <w:jc w:val="center"/>
        <w:rPr>
          <w:b/>
          <w:bCs/>
          <w:sz w:val="24"/>
        </w:rPr>
      </w:pPr>
    </w:p>
    <w:p w:rsidRPr="000016C0" w:rsidR="00715367" w:rsidP="000016C0" w:rsidRDefault="00715367" w14:paraId="1492315A" w14:textId="315CD699">
      <w:pPr>
        <w:tabs>
          <w:tab w:val="center" w:pos="4680"/>
        </w:tabs>
        <w:jc w:val="center"/>
        <w:rPr>
          <w:b/>
          <w:bCs/>
          <w:sz w:val="24"/>
        </w:rPr>
      </w:pPr>
      <w:r w:rsidRPr="000016C0">
        <w:rPr>
          <w:b/>
          <w:bCs/>
          <w:sz w:val="24"/>
        </w:rPr>
        <w:t>Extension</w:t>
      </w:r>
    </w:p>
    <w:p w:rsidRPr="000016C0" w:rsidR="009B3794" w:rsidP="00CE5AA9" w:rsidRDefault="00DE3A45" w14:paraId="22E2A2F4" w14:textId="4E7711DF">
      <w:pPr>
        <w:spacing w:before="120"/>
        <w:rPr>
          <w:b/>
          <w:sz w:val="24"/>
        </w:rPr>
      </w:pPr>
      <w:r w:rsidRPr="000016C0">
        <w:rPr>
          <w:b/>
          <w:sz w:val="24"/>
        </w:rPr>
        <w:t>Terms of Clearance</w:t>
      </w:r>
      <w:r w:rsidRPr="000016C0" w:rsidR="00BA1A0C">
        <w:rPr>
          <w:b/>
          <w:sz w:val="24"/>
        </w:rPr>
        <w:t>:</w:t>
      </w:r>
      <w:r w:rsidRPr="000016C0" w:rsidR="00BA1A0C">
        <w:rPr>
          <w:sz w:val="24"/>
        </w:rPr>
        <w:t xml:space="preserve">  </w:t>
      </w:r>
      <w:r w:rsidRPr="000016C0" w:rsidR="00E3348F">
        <w:rPr>
          <w:b/>
          <w:sz w:val="24"/>
        </w:rPr>
        <w:t>None</w:t>
      </w:r>
      <w:r w:rsidRPr="000016C0" w:rsidR="00BA1A0C">
        <w:rPr>
          <w:b/>
          <w:sz w:val="24"/>
        </w:rPr>
        <w:t xml:space="preserve"> </w:t>
      </w:r>
    </w:p>
    <w:p w:rsidRPr="000016C0" w:rsidR="009B3794" w:rsidP="00CA3DA6" w:rsidRDefault="009B3794" w14:paraId="22E2A2F5" w14:textId="77777777">
      <w:pPr>
        <w:spacing w:before="120"/>
        <w:rPr>
          <w:b/>
          <w:bCs/>
          <w:sz w:val="24"/>
        </w:rPr>
      </w:pPr>
      <w:r w:rsidRPr="000016C0">
        <w:rPr>
          <w:b/>
          <w:bCs/>
          <w:sz w:val="24"/>
        </w:rPr>
        <w:t>A.</w:t>
      </w:r>
      <w:r w:rsidRPr="000016C0">
        <w:rPr>
          <w:b/>
          <w:bCs/>
          <w:sz w:val="24"/>
        </w:rPr>
        <w:tab/>
        <w:t>Justification</w:t>
      </w:r>
    </w:p>
    <w:p w:rsidRPr="000016C0" w:rsidR="009B3794" w:rsidP="00CA3DA6" w:rsidRDefault="009B3794" w14:paraId="22E2A2F6" w14:textId="77777777">
      <w:pPr>
        <w:numPr>
          <w:ilvl w:val="0"/>
          <w:numId w:val="2"/>
        </w:numPr>
        <w:tabs>
          <w:tab w:val="clear" w:pos="1080"/>
          <w:tab w:val="num" w:pos="360"/>
        </w:tabs>
        <w:spacing w:before="240"/>
        <w:ind w:left="360"/>
        <w:rPr>
          <w:b/>
          <w:sz w:val="24"/>
        </w:rPr>
      </w:pPr>
      <w:r w:rsidRPr="000016C0">
        <w:rPr>
          <w:b/>
          <w:sz w:val="24"/>
          <w:u w:val="single"/>
        </w:rPr>
        <w:t>Circumstances Making the Collection of Information Necessary</w:t>
      </w:r>
    </w:p>
    <w:p w:rsidRPr="000016C0" w:rsidR="00E3348F" w:rsidP="00715367" w:rsidRDefault="00E3348F" w14:paraId="446012DE" w14:textId="092B0025">
      <w:pPr>
        <w:spacing w:before="120"/>
        <w:rPr>
          <w:color w:val="000000"/>
          <w:sz w:val="24"/>
        </w:rPr>
      </w:pPr>
      <w:r w:rsidRPr="000016C0">
        <w:rPr>
          <w:bCs/>
          <w:color w:val="000000"/>
          <w:sz w:val="24"/>
        </w:rPr>
        <w:t>The Health Resources and Services Administration (HRS</w:t>
      </w:r>
      <w:r w:rsidRPr="000016C0" w:rsidR="00715367">
        <w:rPr>
          <w:bCs/>
          <w:color w:val="000000"/>
          <w:sz w:val="24"/>
        </w:rPr>
        <w:t>A) currently has approval for the Radiation Exposure Screening and Education Program</w:t>
      </w:r>
      <w:r w:rsidRPr="000016C0" w:rsidR="00055397">
        <w:rPr>
          <w:bCs/>
          <w:color w:val="000000"/>
          <w:sz w:val="24"/>
        </w:rPr>
        <w:t xml:space="preserve"> (RESEP)</w:t>
      </w:r>
      <w:r w:rsidRPr="000016C0" w:rsidR="00715367">
        <w:rPr>
          <w:bCs/>
          <w:color w:val="000000"/>
          <w:sz w:val="24"/>
        </w:rPr>
        <w:t xml:space="preserve"> information collection under </w:t>
      </w:r>
      <w:r w:rsidRPr="000016C0">
        <w:rPr>
          <w:bCs/>
          <w:color w:val="000000"/>
          <w:sz w:val="24"/>
        </w:rPr>
        <w:t>Office of Management and Budg</w:t>
      </w:r>
      <w:r w:rsidRPr="000016C0" w:rsidR="00197AD2">
        <w:rPr>
          <w:bCs/>
          <w:color w:val="000000"/>
          <w:sz w:val="24"/>
        </w:rPr>
        <w:t>et (OMB) Control No. 09</w:t>
      </w:r>
      <w:r w:rsidR="000016C0">
        <w:rPr>
          <w:bCs/>
          <w:color w:val="000000"/>
          <w:sz w:val="24"/>
        </w:rPr>
        <w:t>06</w:t>
      </w:r>
      <w:r w:rsidRPr="000016C0" w:rsidR="00197AD2">
        <w:rPr>
          <w:bCs/>
          <w:color w:val="000000"/>
          <w:sz w:val="24"/>
        </w:rPr>
        <w:t>-00</w:t>
      </w:r>
      <w:r w:rsidRPr="000016C0" w:rsidR="00715367">
        <w:rPr>
          <w:bCs/>
          <w:color w:val="000000"/>
          <w:sz w:val="24"/>
        </w:rPr>
        <w:t>12 with a curren</w:t>
      </w:r>
      <w:r w:rsidRPr="000016C0" w:rsidR="00055397">
        <w:rPr>
          <w:bCs/>
          <w:color w:val="000000"/>
          <w:sz w:val="24"/>
        </w:rPr>
        <w:t>t expiration date of November 30</w:t>
      </w:r>
      <w:r w:rsidRPr="000016C0" w:rsidR="00715367">
        <w:rPr>
          <w:bCs/>
          <w:color w:val="000000"/>
          <w:sz w:val="24"/>
        </w:rPr>
        <w:t xml:space="preserve">, 2021.  This is an extension request.  </w:t>
      </w:r>
    </w:p>
    <w:p w:rsidRPr="000016C0" w:rsidR="00E3348F" w:rsidP="00E3348F" w:rsidRDefault="00E3348F" w14:paraId="0A17E8A7" w14:textId="76FB6AAD">
      <w:pPr>
        <w:spacing w:before="120"/>
        <w:rPr>
          <w:color w:val="000000"/>
          <w:sz w:val="24"/>
        </w:rPr>
      </w:pPr>
      <w:r w:rsidRPr="000016C0">
        <w:rPr>
          <w:color w:val="000000"/>
          <w:sz w:val="24"/>
        </w:rPr>
        <w:t>For this program, performance measures were drafted to provide data useful to the program and to enable HRSA to provide aggregate program data required by Congress under the Government Performance and Results Act (</w:t>
      </w:r>
      <w:proofErr w:type="spellStart"/>
      <w:r w:rsidRPr="000016C0">
        <w:rPr>
          <w:color w:val="000000"/>
          <w:sz w:val="24"/>
        </w:rPr>
        <w:t>GPRA</w:t>
      </w:r>
      <w:proofErr w:type="spellEnd"/>
      <w:r w:rsidRPr="000016C0">
        <w:rPr>
          <w:color w:val="000000"/>
          <w:sz w:val="24"/>
        </w:rPr>
        <w:t>) of 1993 (</w:t>
      </w:r>
      <w:proofErr w:type="spellStart"/>
      <w:r w:rsidRPr="000016C0">
        <w:rPr>
          <w:color w:val="000000"/>
          <w:sz w:val="24"/>
        </w:rPr>
        <w:t>P.L</w:t>
      </w:r>
      <w:proofErr w:type="spellEnd"/>
      <w:r w:rsidRPr="000016C0">
        <w:rPr>
          <w:color w:val="000000"/>
          <w:sz w:val="24"/>
        </w:rPr>
        <w:t>.</w:t>
      </w:r>
      <w:r w:rsidR="000016C0">
        <w:rPr>
          <w:color w:val="000000"/>
          <w:sz w:val="24"/>
        </w:rPr>
        <w:t xml:space="preserve"> </w:t>
      </w:r>
      <w:r w:rsidRPr="000016C0">
        <w:rPr>
          <w:color w:val="000000"/>
          <w:sz w:val="24"/>
        </w:rPr>
        <w:t>103</w:t>
      </w:r>
      <w:r w:rsidR="000016C0">
        <w:rPr>
          <w:color w:val="000000"/>
          <w:sz w:val="24"/>
        </w:rPr>
        <w:t xml:space="preserve"> - </w:t>
      </w:r>
      <w:r w:rsidRPr="000016C0">
        <w:rPr>
          <w:color w:val="000000"/>
          <w:sz w:val="24"/>
        </w:rPr>
        <w:t xml:space="preserve">62). </w:t>
      </w:r>
    </w:p>
    <w:p w:rsidRPr="000016C0" w:rsidR="009B3794" w:rsidP="00CA3DA6" w:rsidRDefault="009B3794" w14:paraId="22E2A2FB" w14:textId="77777777">
      <w:pPr>
        <w:numPr>
          <w:ilvl w:val="0"/>
          <w:numId w:val="2"/>
        </w:numPr>
        <w:tabs>
          <w:tab w:val="clear" w:pos="1080"/>
          <w:tab w:val="num" w:pos="360"/>
        </w:tabs>
        <w:spacing w:before="240"/>
        <w:ind w:left="360"/>
        <w:rPr>
          <w:b/>
          <w:sz w:val="24"/>
        </w:rPr>
      </w:pPr>
      <w:r w:rsidRPr="000016C0">
        <w:rPr>
          <w:b/>
          <w:sz w:val="24"/>
          <w:u w:val="single"/>
        </w:rPr>
        <w:t>Purpose and Use of Information Collection</w:t>
      </w:r>
    </w:p>
    <w:p w:rsidRPr="000016C0" w:rsidR="00143278" w:rsidP="00143278" w:rsidRDefault="00055397" w14:paraId="6B44F6E5" w14:textId="49B1EBDD">
      <w:pPr>
        <w:widowControl/>
        <w:autoSpaceDE/>
        <w:autoSpaceDN/>
        <w:adjustRightInd/>
        <w:spacing w:before="120"/>
        <w:rPr>
          <w:color w:val="000000"/>
          <w:sz w:val="24"/>
        </w:rPr>
      </w:pPr>
      <w:proofErr w:type="spellStart"/>
      <w:r w:rsidRPr="000016C0">
        <w:rPr>
          <w:color w:val="000000"/>
          <w:sz w:val="24"/>
        </w:rPr>
        <w:t>HRSA’s</w:t>
      </w:r>
      <w:proofErr w:type="spellEnd"/>
      <w:r w:rsidRPr="000016C0">
        <w:rPr>
          <w:color w:val="000000"/>
          <w:sz w:val="24"/>
        </w:rPr>
        <w:t xml:space="preserve"> </w:t>
      </w:r>
      <w:r w:rsidRPr="000016C0" w:rsidR="00143278">
        <w:rPr>
          <w:color w:val="000000"/>
          <w:sz w:val="24"/>
        </w:rPr>
        <w:t>F</w:t>
      </w:r>
      <w:r w:rsidRPr="000016C0">
        <w:rPr>
          <w:color w:val="000000"/>
          <w:sz w:val="24"/>
        </w:rPr>
        <w:t xml:space="preserve">ederal </w:t>
      </w:r>
      <w:r w:rsidRPr="000016C0" w:rsidR="00143278">
        <w:rPr>
          <w:color w:val="000000"/>
          <w:sz w:val="24"/>
        </w:rPr>
        <w:t>O</w:t>
      </w:r>
      <w:r w:rsidRPr="000016C0">
        <w:rPr>
          <w:color w:val="000000"/>
          <w:sz w:val="24"/>
        </w:rPr>
        <w:t xml:space="preserve">ffice of </w:t>
      </w:r>
      <w:r w:rsidRPr="000016C0" w:rsidR="00143278">
        <w:rPr>
          <w:color w:val="000000"/>
          <w:sz w:val="24"/>
        </w:rPr>
        <w:t>R</w:t>
      </w:r>
      <w:r w:rsidRPr="000016C0">
        <w:rPr>
          <w:color w:val="000000"/>
          <w:sz w:val="24"/>
        </w:rPr>
        <w:t xml:space="preserve">ural </w:t>
      </w:r>
      <w:r w:rsidRPr="000016C0" w:rsidR="00143278">
        <w:rPr>
          <w:color w:val="000000"/>
          <w:sz w:val="24"/>
        </w:rPr>
        <w:t>H</w:t>
      </w:r>
      <w:r w:rsidRPr="000016C0">
        <w:rPr>
          <w:color w:val="000000"/>
          <w:sz w:val="24"/>
        </w:rPr>
        <w:t xml:space="preserve">ealth </w:t>
      </w:r>
      <w:r w:rsidRPr="000016C0" w:rsidR="00143278">
        <w:rPr>
          <w:color w:val="000000"/>
          <w:sz w:val="24"/>
        </w:rPr>
        <w:t>P</w:t>
      </w:r>
      <w:r w:rsidRPr="000016C0">
        <w:rPr>
          <w:color w:val="000000"/>
          <w:sz w:val="24"/>
        </w:rPr>
        <w:t>olicy (FORHP)</w:t>
      </w:r>
      <w:r w:rsidRPr="000016C0" w:rsidR="00143278">
        <w:rPr>
          <w:color w:val="000000"/>
          <w:sz w:val="24"/>
        </w:rPr>
        <w:t xml:space="preserve"> conduct</w:t>
      </w:r>
      <w:r w:rsidRPr="000016C0">
        <w:rPr>
          <w:color w:val="000000"/>
          <w:sz w:val="24"/>
        </w:rPr>
        <w:t>s</w:t>
      </w:r>
      <w:r w:rsidRPr="000016C0" w:rsidR="00143278">
        <w:rPr>
          <w:color w:val="000000"/>
          <w:sz w:val="24"/>
        </w:rPr>
        <w:t xml:space="preserve"> an annual data collection of user information for the RESEP Program.  The purpose of this data collection is to provide HRSA with information on how well each grantee is meeting the goals of the grant program. </w:t>
      </w:r>
    </w:p>
    <w:p w:rsidRPr="000016C0" w:rsidR="00143278" w:rsidP="00143278" w:rsidRDefault="00143278" w14:paraId="4FC09FF5" w14:textId="33D707EA">
      <w:pPr>
        <w:widowControl/>
        <w:autoSpaceDE/>
        <w:autoSpaceDN/>
        <w:adjustRightInd/>
        <w:spacing w:before="120"/>
        <w:rPr>
          <w:color w:val="000000"/>
          <w:sz w:val="24"/>
        </w:rPr>
      </w:pPr>
      <w:r w:rsidRPr="000016C0">
        <w:rPr>
          <w:color w:val="000000"/>
          <w:sz w:val="24"/>
        </w:rPr>
        <w:t>These measures cover the principal topic areas of interest to the</w:t>
      </w:r>
      <w:r w:rsidRPr="000016C0" w:rsidR="00055397">
        <w:rPr>
          <w:color w:val="000000"/>
          <w:sz w:val="24"/>
        </w:rPr>
        <w:t xml:space="preserve"> FORHP:</w:t>
      </w:r>
    </w:p>
    <w:p w:rsidRPr="000016C0" w:rsidR="00143278" w:rsidP="00143278" w:rsidRDefault="00143278" w14:paraId="2BC56215" w14:textId="77777777">
      <w:pPr>
        <w:widowControl/>
        <w:numPr>
          <w:ilvl w:val="0"/>
          <w:numId w:val="45"/>
        </w:numPr>
        <w:autoSpaceDE/>
        <w:autoSpaceDN/>
        <w:adjustRightInd/>
        <w:spacing w:before="120"/>
        <w:rPr>
          <w:color w:val="000000"/>
          <w:sz w:val="24"/>
        </w:rPr>
      </w:pPr>
      <w:r w:rsidRPr="000016C0">
        <w:rPr>
          <w:color w:val="000000"/>
          <w:sz w:val="24"/>
        </w:rPr>
        <w:t>Demographics for the RESEP program user population</w:t>
      </w:r>
    </w:p>
    <w:p w:rsidRPr="000016C0" w:rsidR="00143278" w:rsidP="00143278" w:rsidRDefault="00143278" w14:paraId="4E507E91" w14:textId="77777777">
      <w:pPr>
        <w:widowControl/>
        <w:numPr>
          <w:ilvl w:val="0"/>
          <w:numId w:val="45"/>
        </w:numPr>
        <w:autoSpaceDE/>
        <w:autoSpaceDN/>
        <w:adjustRightInd/>
        <w:spacing w:before="120"/>
        <w:rPr>
          <w:color w:val="000000"/>
          <w:sz w:val="24"/>
        </w:rPr>
      </w:pPr>
      <w:r w:rsidRPr="000016C0">
        <w:rPr>
          <w:color w:val="000000"/>
          <w:sz w:val="24"/>
        </w:rPr>
        <w:t>Medical screening activities for cancers and other radiogenic diseases</w:t>
      </w:r>
    </w:p>
    <w:p w:rsidRPr="000016C0" w:rsidR="00143278" w:rsidP="00143278" w:rsidRDefault="00143278" w14:paraId="011470B3" w14:textId="77777777">
      <w:pPr>
        <w:widowControl/>
        <w:numPr>
          <w:ilvl w:val="0"/>
          <w:numId w:val="45"/>
        </w:numPr>
        <w:autoSpaceDE/>
        <w:autoSpaceDN/>
        <w:adjustRightInd/>
        <w:spacing w:before="120"/>
        <w:rPr>
          <w:color w:val="000000"/>
          <w:sz w:val="24"/>
        </w:rPr>
      </w:pPr>
      <w:r w:rsidRPr="000016C0">
        <w:rPr>
          <w:color w:val="000000"/>
          <w:sz w:val="24"/>
        </w:rPr>
        <w:t>Exposure and presentation types for eligible radiogenic malignant and nonmalignant diseases</w:t>
      </w:r>
    </w:p>
    <w:p w:rsidRPr="000016C0" w:rsidR="00143278" w:rsidP="00143278" w:rsidRDefault="00143278" w14:paraId="08342559" w14:textId="77777777">
      <w:pPr>
        <w:widowControl/>
        <w:numPr>
          <w:ilvl w:val="0"/>
          <w:numId w:val="45"/>
        </w:numPr>
        <w:autoSpaceDE/>
        <w:autoSpaceDN/>
        <w:adjustRightInd/>
        <w:spacing w:before="120"/>
        <w:rPr>
          <w:color w:val="000000"/>
          <w:sz w:val="24"/>
        </w:rPr>
      </w:pPr>
      <w:r w:rsidRPr="000016C0">
        <w:rPr>
          <w:color w:val="000000"/>
          <w:sz w:val="24"/>
        </w:rPr>
        <w:t>Referrals for appropriate medical treatment</w:t>
      </w:r>
    </w:p>
    <w:p w:rsidRPr="000016C0" w:rsidR="00143278" w:rsidP="00143278" w:rsidRDefault="00143278" w14:paraId="53898227" w14:textId="3F50F6FF">
      <w:pPr>
        <w:widowControl/>
        <w:numPr>
          <w:ilvl w:val="0"/>
          <w:numId w:val="45"/>
        </w:numPr>
        <w:autoSpaceDE/>
        <w:autoSpaceDN/>
        <w:adjustRightInd/>
        <w:spacing w:before="120"/>
        <w:rPr>
          <w:color w:val="000000"/>
          <w:sz w:val="24"/>
        </w:rPr>
      </w:pPr>
      <w:r w:rsidRPr="000016C0">
        <w:rPr>
          <w:color w:val="000000"/>
          <w:sz w:val="24"/>
        </w:rPr>
        <w:t>Eligibility counseling and referral assistance for the R</w:t>
      </w:r>
      <w:r w:rsidRPr="000016C0" w:rsidR="006063FA">
        <w:rPr>
          <w:color w:val="000000"/>
          <w:sz w:val="24"/>
        </w:rPr>
        <w:t xml:space="preserve">adiation </w:t>
      </w:r>
      <w:r w:rsidRPr="000016C0">
        <w:rPr>
          <w:color w:val="000000"/>
          <w:sz w:val="24"/>
        </w:rPr>
        <w:t>E</w:t>
      </w:r>
      <w:r w:rsidRPr="000016C0" w:rsidR="006063FA">
        <w:rPr>
          <w:color w:val="000000"/>
          <w:sz w:val="24"/>
        </w:rPr>
        <w:t xml:space="preserve">xposure </w:t>
      </w:r>
      <w:r w:rsidRPr="000016C0">
        <w:rPr>
          <w:color w:val="000000"/>
          <w:sz w:val="24"/>
        </w:rPr>
        <w:t>C</w:t>
      </w:r>
      <w:r w:rsidRPr="000016C0" w:rsidR="00A6098E">
        <w:rPr>
          <w:color w:val="000000"/>
          <w:sz w:val="24"/>
        </w:rPr>
        <w:t>ompensation</w:t>
      </w:r>
      <w:r w:rsidRPr="000016C0" w:rsidR="006063FA">
        <w:rPr>
          <w:color w:val="000000"/>
          <w:sz w:val="24"/>
        </w:rPr>
        <w:t xml:space="preserve"> </w:t>
      </w:r>
      <w:r w:rsidRPr="000016C0">
        <w:rPr>
          <w:color w:val="000000"/>
          <w:sz w:val="24"/>
        </w:rPr>
        <w:t>A</w:t>
      </w:r>
      <w:r w:rsidRPr="000016C0" w:rsidR="006063FA">
        <w:rPr>
          <w:color w:val="000000"/>
          <w:sz w:val="24"/>
        </w:rPr>
        <w:t>ct (RECA)</w:t>
      </w:r>
    </w:p>
    <w:p w:rsidRPr="000016C0" w:rsidR="00143278" w:rsidP="00143278" w:rsidRDefault="00143278" w14:paraId="5D52E7B2" w14:textId="77777777">
      <w:pPr>
        <w:widowControl/>
        <w:numPr>
          <w:ilvl w:val="0"/>
          <w:numId w:val="45"/>
        </w:numPr>
        <w:autoSpaceDE/>
        <w:autoSpaceDN/>
        <w:adjustRightInd/>
        <w:spacing w:before="120"/>
        <w:rPr>
          <w:color w:val="000000"/>
          <w:sz w:val="24"/>
        </w:rPr>
      </w:pPr>
      <w:r w:rsidRPr="000016C0">
        <w:rPr>
          <w:color w:val="000000"/>
          <w:sz w:val="24"/>
        </w:rPr>
        <w:t>Program outreach and education activities</w:t>
      </w:r>
    </w:p>
    <w:p w:rsidRPr="000016C0" w:rsidR="00282825" w:rsidP="00282825" w:rsidRDefault="00282825" w14:paraId="630ED065" w14:textId="0982E883">
      <w:pPr>
        <w:widowControl/>
        <w:autoSpaceDE/>
        <w:autoSpaceDN/>
        <w:adjustRightInd/>
        <w:spacing w:before="120"/>
        <w:rPr>
          <w:b/>
          <w:color w:val="000000"/>
          <w:sz w:val="24"/>
        </w:rPr>
      </w:pPr>
      <w:r w:rsidRPr="000016C0">
        <w:rPr>
          <w:color w:val="000000"/>
          <w:sz w:val="24"/>
        </w:rPr>
        <w:t>Without this data collection, there would be no way to evaluate the success of the program and to see trends from year to year.</w:t>
      </w:r>
    </w:p>
    <w:p w:rsidR="000016C0" w:rsidRDefault="000016C0" w14:paraId="345D3E23" w14:textId="77777777">
      <w:pPr>
        <w:widowControl/>
        <w:autoSpaceDE/>
        <w:autoSpaceDN/>
        <w:adjustRightInd/>
        <w:rPr>
          <w:b/>
          <w:sz w:val="24"/>
          <w:u w:val="single"/>
        </w:rPr>
      </w:pPr>
      <w:r>
        <w:rPr>
          <w:b/>
          <w:sz w:val="24"/>
          <w:u w:val="single"/>
        </w:rPr>
        <w:br w:type="page"/>
      </w:r>
    </w:p>
    <w:p w:rsidRPr="000016C0" w:rsidR="00143278" w:rsidP="00143278" w:rsidRDefault="009B3794" w14:paraId="088D73A8" w14:textId="1855F323">
      <w:pPr>
        <w:numPr>
          <w:ilvl w:val="0"/>
          <w:numId w:val="2"/>
        </w:numPr>
        <w:tabs>
          <w:tab w:val="clear" w:pos="1080"/>
          <w:tab w:val="num" w:pos="360"/>
        </w:tabs>
        <w:spacing w:before="240"/>
        <w:ind w:left="360"/>
        <w:rPr>
          <w:sz w:val="24"/>
        </w:rPr>
      </w:pPr>
      <w:r w:rsidRPr="000016C0">
        <w:rPr>
          <w:b/>
          <w:sz w:val="24"/>
          <w:u w:val="single"/>
        </w:rPr>
        <w:lastRenderedPageBreak/>
        <w:t>Use of Improved Information Technology and Burden Reduction</w:t>
      </w:r>
    </w:p>
    <w:p w:rsidRPr="000016C0" w:rsidR="00143278" w:rsidP="00143278" w:rsidRDefault="00143278" w14:paraId="6B4D3E3A" w14:textId="2C5D3053">
      <w:pPr>
        <w:spacing w:before="240"/>
        <w:rPr>
          <w:sz w:val="24"/>
        </w:rPr>
      </w:pPr>
      <w:r w:rsidRPr="000016C0">
        <w:rPr>
          <w:sz w:val="24"/>
        </w:rPr>
        <w:t xml:space="preserve">This activity is fully (100 percent) electronic.  Data </w:t>
      </w:r>
      <w:proofErr w:type="gramStart"/>
      <w:r w:rsidRPr="000016C0" w:rsidR="006063FA">
        <w:rPr>
          <w:sz w:val="24"/>
        </w:rPr>
        <w:t xml:space="preserve">are </w:t>
      </w:r>
      <w:r w:rsidRPr="000016C0">
        <w:rPr>
          <w:sz w:val="24"/>
        </w:rPr>
        <w:t>collected through and maintained in a database in HRSA’s Electronic Handbook (EHB)</w:t>
      </w:r>
      <w:proofErr w:type="gramEnd"/>
      <w:r w:rsidRPr="000016C0">
        <w:rPr>
          <w:sz w:val="24"/>
        </w:rPr>
        <w:t xml:space="preserve">.  The EHB is a website that all HRSA grantees, including those for the program covered in this approval request, are required to use when applying electronically for grants using OMB approved Standard Forms.  The EHB has a helpdesk feature that includes a toll-free number and e-mail address for any technical questions from grantees.  As this database is </w:t>
      </w:r>
      <w:proofErr w:type="gramStart"/>
      <w:r w:rsidRPr="000016C0">
        <w:rPr>
          <w:sz w:val="24"/>
        </w:rPr>
        <w:t>fully electronic</w:t>
      </w:r>
      <w:proofErr w:type="gramEnd"/>
      <w:r w:rsidRPr="000016C0">
        <w:rPr>
          <w:sz w:val="24"/>
        </w:rPr>
        <w:t xml:space="preserve"> and grantees submit the data electronically via a HRSA managed website utilized routinely by the grantee, burden is reduced for the grantee and program staff.  The time burden is minimal since there is no data entry element for program staff due to the electronic transmission from grantee systems to the </w:t>
      </w:r>
      <w:r w:rsidRPr="000016C0" w:rsidR="009270E8">
        <w:rPr>
          <w:sz w:val="24"/>
        </w:rPr>
        <w:t>Performance Improvement Management System (</w:t>
      </w:r>
      <w:r w:rsidRPr="000016C0">
        <w:rPr>
          <w:sz w:val="24"/>
        </w:rPr>
        <w:t>PIMS</w:t>
      </w:r>
      <w:r w:rsidRPr="000016C0" w:rsidR="009270E8">
        <w:rPr>
          <w:sz w:val="24"/>
        </w:rPr>
        <w:t>)</w:t>
      </w:r>
      <w:r w:rsidRPr="000016C0">
        <w:rPr>
          <w:sz w:val="24"/>
        </w:rPr>
        <w:t>; additionally, there is less chance of error in translating data and analysis of the data.</w:t>
      </w:r>
    </w:p>
    <w:p w:rsidRPr="000016C0" w:rsidR="009B3794" w:rsidP="00CA3DA6" w:rsidRDefault="009B3794" w14:paraId="22E2A305" w14:textId="5A40F1EA">
      <w:pPr>
        <w:numPr>
          <w:ilvl w:val="0"/>
          <w:numId w:val="2"/>
        </w:numPr>
        <w:tabs>
          <w:tab w:val="clear" w:pos="1080"/>
          <w:tab w:val="num" w:pos="360"/>
        </w:tabs>
        <w:spacing w:before="240"/>
        <w:ind w:left="360"/>
        <w:rPr>
          <w:b/>
          <w:sz w:val="24"/>
        </w:rPr>
      </w:pPr>
      <w:r w:rsidRPr="000016C0">
        <w:rPr>
          <w:b/>
          <w:sz w:val="24"/>
          <w:u w:val="single"/>
        </w:rPr>
        <w:t>Efforts to  Identify Duplication and Use of Similar Information</w:t>
      </w:r>
    </w:p>
    <w:p w:rsidRPr="000016C0" w:rsidR="009B3794" w:rsidP="00CA3DA6" w:rsidRDefault="00282825" w14:paraId="22E2A306" w14:textId="57F6096F">
      <w:pPr>
        <w:spacing w:before="120"/>
        <w:rPr>
          <w:sz w:val="24"/>
        </w:rPr>
      </w:pPr>
      <w:r w:rsidRPr="000016C0">
        <w:rPr>
          <w:sz w:val="24"/>
        </w:rPr>
        <w:t xml:space="preserve">This is the only data set that collects this level of information from the RESEP awardees. </w:t>
      </w:r>
    </w:p>
    <w:p w:rsidRPr="000016C0" w:rsidR="00193359" w:rsidP="00193359" w:rsidRDefault="009B3794" w14:paraId="15C7510D" w14:textId="6F0B985F">
      <w:pPr>
        <w:numPr>
          <w:ilvl w:val="0"/>
          <w:numId w:val="2"/>
        </w:numPr>
        <w:tabs>
          <w:tab w:val="clear" w:pos="1080"/>
          <w:tab w:val="num" w:pos="360"/>
        </w:tabs>
        <w:spacing w:before="240"/>
        <w:ind w:left="360"/>
        <w:rPr>
          <w:color w:val="000000"/>
          <w:sz w:val="24"/>
        </w:rPr>
      </w:pPr>
      <w:r w:rsidRPr="000016C0">
        <w:rPr>
          <w:b/>
          <w:sz w:val="24"/>
          <w:u w:val="single"/>
        </w:rPr>
        <w:t>Impact on Small Businesses or Other Small Entities</w:t>
      </w:r>
    </w:p>
    <w:p w:rsidRPr="000016C0" w:rsidR="00193359" w:rsidP="00193359" w:rsidRDefault="009B3794" w14:paraId="35DD6E17" w14:textId="125DC499">
      <w:pPr>
        <w:spacing w:before="120"/>
        <w:rPr>
          <w:color w:val="000000"/>
          <w:sz w:val="24"/>
        </w:rPr>
      </w:pPr>
      <w:r w:rsidRPr="000016C0">
        <w:rPr>
          <w:color w:val="000000"/>
          <w:sz w:val="24"/>
        </w:rPr>
        <w:t>No small businesses will be involved in this study.</w:t>
      </w:r>
    </w:p>
    <w:p w:rsidRPr="000016C0" w:rsidR="009B3794" w:rsidP="00CA3DA6" w:rsidRDefault="009B3794" w14:paraId="22E2A30D" w14:textId="77777777">
      <w:pPr>
        <w:numPr>
          <w:ilvl w:val="0"/>
          <w:numId w:val="2"/>
        </w:numPr>
        <w:tabs>
          <w:tab w:val="clear" w:pos="1080"/>
          <w:tab w:val="num" w:pos="360"/>
        </w:tabs>
        <w:spacing w:before="240"/>
        <w:ind w:left="360"/>
        <w:rPr>
          <w:b/>
          <w:sz w:val="24"/>
        </w:rPr>
      </w:pPr>
      <w:r w:rsidRPr="000016C0">
        <w:rPr>
          <w:b/>
          <w:sz w:val="24"/>
          <w:u w:val="single"/>
        </w:rPr>
        <w:t>Consequences of Collecting the Information Less Frequent</w:t>
      </w:r>
      <w:r w:rsidRPr="000016C0" w:rsidR="001325B2">
        <w:rPr>
          <w:b/>
          <w:sz w:val="24"/>
          <w:u w:val="single"/>
        </w:rPr>
        <w:t>ly</w:t>
      </w:r>
    </w:p>
    <w:p w:rsidRPr="000016C0" w:rsidR="006C134B" w:rsidP="006C134B" w:rsidRDefault="006C134B" w14:paraId="418A7628" w14:textId="69D7406A">
      <w:pPr>
        <w:widowControl/>
        <w:autoSpaceDE/>
        <w:autoSpaceDN/>
        <w:adjustRightInd/>
        <w:spacing w:before="120"/>
        <w:rPr>
          <w:color w:val="000000"/>
          <w:sz w:val="24"/>
        </w:rPr>
      </w:pPr>
      <w:r w:rsidRPr="000016C0">
        <w:rPr>
          <w:sz w:val="24"/>
        </w:rPr>
        <w:t xml:space="preserve">The information </w:t>
      </w:r>
      <w:proofErr w:type="gramStart"/>
      <w:r w:rsidRPr="000016C0">
        <w:rPr>
          <w:sz w:val="24"/>
        </w:rPr>
        <w:t>is collec</w:t>
      </w:r>
      <w:r w:rsidRPr="000016C0" w:rsidR="009270E8">
        <w:rPr>
          <w:sz w:val="24"/>
        </w:rPr>
        <w:t>ted</w:t>
      </w:r>
      <w:proofErr w:type="gramEnd"/>
      <w:r w:rsidRPr="000016C0" w:rsidR="009270E8">
        <w:rPr>
          <w:sz w:val="24"/>
        </w:rPr>
        <w:t xml:space="preserve"> on an annual basis.  If the</w:t>
      </w:r>
      <w:r w:rsidRPr="000016C0">
        <w:rPr>
          <w:sz w:val="24"/>
        </w:rPr>
        <w:t xml:space="preserve"> information is collected less frequently, it might </w:t>
      </w:r>
      <w:proofErr w:type="gramStart"/>
      <w:r w:rsidRPr="000016C0">
        <w:rPr>
          <w:sz w:val="24"/>
        </w:rPr>
        <w:t>impact</w:t>
      </w:r>
      <w:proofErr w:type="gramEnd"/>
      <w:r w:rsidRPr="000016C0">
        <w:rPr>
          <w:sz w:val="24"/>
        </w:rPr>
        <w:t xml:space="preserve"> how awardees use the data to make quality improvement efforts.  In addition, the data </w:t>
      </w:r>
      <w:proofErr w:type="gramStart"/>
      <w:r w:rsidRPr="000016C0">
        <w:rPr>
          <w:sz w:val="24"/>
        </w:rPr>
        <w:t>is used</w:t>
      </w:r>
      <w:proofErr w:type="gramEnd"/>
      <w:r w:rsidRPr="000016C0">
        <w:rPr>
          <w:sz w:val="24"/>
        </w:rPr>
        <w:t xml:space="preserve"> annual</w:t>
      </w:r>
      <w:r w:rsidRPr="000016C0" w:rsidR="009270E8">
        <w:rPr>
          <w:sz w:val="24"/>
        </w:rPr>
        <w:t>ly</w:t>
      </w:r>
      <w:r w:rsidRPr="000016C0">
        <w:rPr>
          <w:sz w:val="24"/>
        </w:rPr>
        <w:t xml:space="preserve"> for budget justifications.</w:t>
      </w:r>
    </w:p>
    <w:p w:rsidRPr="000016C0" w:rsidR="009B3794" w:rsidP="006C134B" w:rsidRDefault="009B3794" w14:paraId="22E2A311" w14:textId="70143B3E">
      <w:pPr>
        <w:widowControl/>
        <w:autoSpaceDE/>
        <w:autoSpaceDN/>
        <w:adjustRightInd/>
        <w:spacing w:before="120"/>
        <w:rPr>
          <w:sz w:val="24"/>
        </w:rPr>
      </w:pPr>
      <w:r w:rsidRPr="000016C0">
        <w:rPr>
          <w:color w:val="000000"/>
          <w:sz w:val="24"/>
        </w:rPr>
        <w:t>There are no legal obs</w:t>
      </w:r>
      <w:r w:rsidRPr="000016C0" w:rsidR="006C134B">
        <w:rPr>
          <w:color w:val="000000"/>
          <w:sz w:val="24"/>
        </w:rPr>
        <w:t>tacles to reduce the burden.</w:t>
      </w:r>
      <w:r w:rsidRPr="000016C0">
        <w:rPr>
          <w:sz w:val="24"/>
        </w:rPr>
        <w:tab/>
      </w:r>
    </w:p>
    <w:p w:rsidRPr="000016C0" w:rsidR="009B3794" w:rsidP="00CA3DA6" w:rsidRDefault="009B3794" w14:paraId="22E2A312" w14:textId="77777777">
      <w:pPr>
        <w:numPr>
          <w:ilvl w:val="0"/>
          <w:numId w:val="2"/>
        </w:numPr>
        <w:tabs>
          <w:tab w:val="clear" w:pos="1080"/>
          <w:tab w:val="num" w:pos="360"/>
        </w:tabs>
        <w:spacing w:before="240"/>
        <w:ind w:left="360"/>
        <w:rPr>
          <w:b/>
          <w:sz w:val="24"/>
        </w:rPr>
      </w:pPr>
      <w:r w:rsidRPr="000016C0">
        <w:rPr>
          <w:b/>
          <w:sz w:val="24"/>
          <w:u w:val="single"/>
        </w:rPr>
        <w:t>Special Circumstances Relating to the Guidelines of 5 CFR 1320.5</w:t>
      </w:r>
    </w:p>
    <w:p w:rsidRPr="000016C0" w:rsidR="009B3794" w:rsidP="009E1F52" w:rsidRDefault="00627FFD" w14:paraId="22E2A31B" w14:textId="0DD5ADD5">
      <w:pPr>
        <w:widowControl/>
        <w:spacing w:before="120"/>
        <w:ind w:left="360"/>
        <w:rPr>
          <w:sz w:val="24"/>
        </w:rPr>
      </w:pPr>
      <w:r w:rsidRPr="000016C0">
        <w:rPr>
          <w:sz w:val="24"/>
        </w:rPr>
        <w:t>T</w:t>
      </w:r>
      <w:r w:rsidRPr="000016C0" w:rsidR="009B3794">
        <w:rPr>
          <w:sz w:val="24"/>
        </w:rPr>
        <w:t>he request fully complies with the regulation.</w:t>
      </w:r>
    </w:p>
    <w:p w:rsidRPr="000016C0" w:rsidR="009B3794" w:rsidP="00CA3DA6" w:rsidRDefault="009B3794" w14:paraId="22E2A31C" w14:textId="77777777">
      <w:pPr>
        <w:numPr>
          <w:ilvl w:val="0"/>
          <w:numId w:val="2"/>
        </w:numPr>
        <w:tabs>
          <w:tab w:val="clear" w:pos="1080"/>
          <w:tab w:val="num" w:pos="360"/>
        </w:tabs>
        <w:spacing w:before="240"/>
        <w:ind w:left="360"/>
        <w:rPr>
          <w:b/>
          <w:sz w:val="24"/>
        </w:rPr>
      </w:pPr>
      <w:r w:rsidRPr="000016C0">
        <w:rPr>
          <w:b/>
          <w:iCs/>
          <w:sz w:val="24"/>
          <w:u w:val="single"/>
        </w:rPr>
        <w:t>Comments in Response to the Federal Register</w:t>
      </w:r>
      <w:r w:rsidRPr="000016C0">
        <w:rPr>
          <w:b/>
          <w:sz w:val="24"/>
          <w:u w:val="single"/>
        </w:rPr>
        <w:t xml:space="preserve"> Notice/Outside Consultation</w:t>
      </w:r>
    </w:p>
    <w:p w:rsidRPr="000016C0" w:rsidR="00DE3A45" w:rsidP="00CA3DA6" w:rsidRDefault="00DE3A45" w14:paraId="22E2A31D" w14:textId="77777777">
      <w:pPr>
        <w:spacing w:before="120"/>
        <w:rPr>
          <w:b/>
          <w:sz w:val="24"/>
        </w:rPr>
      </w:pPr>
      <w:r w:rsidRPr="000016C0">
        <w:rPr>
          <w:b/>
          <w:sz w:val="24"/>
        </w:rPr>
        <w:t>Section 8A:</w:t>
      </w:r>
    </w:p>
    <w:p w:rsidRPr="000016C0" w:rsidR="009B3794" w:rsidP="009E1F52" w:rsidRDefault="009B3794" w14:paraId="22E2A320" w14:textId="42182B78">
      <w:pPr>
        <w:spacing w:before="120"/>
        <w:rPr>
          <w:sz w:val="24"/>
        </w:rPr>
      </w:pPr>
      <w:r w:rsidRPr="000016C0">
        <w:rPr>
          <w:sz w:val="24"/>
        </w:rPr>
        <w:t xml:space="preserve">A 60-day Federal Register Notice was published in the </w:t>
      </w:r>
      <w:r w:rsidRPr="000016C0">
        <w:rPr>
          <w:i/>
          <w:iCs/>
          <w:sz w:val="24"/>
        </w:rPr>
        <w:t xml:space="preserve">Federal Register </w:t>
      </w:r>
      <w:r w:rsidRPr="000016C0">
        <w:rPr>
          <w:sz w:val="24"/>
        </w:rPr>
        <w:t xml:space="preserve">on </w:t>
      </w:r>
      <w:r w:rsidRPr="000016C0" w:rsidR="009E1F52">
        <w:rPr>
          <w:sz w:val="24"/>
        </w:rPr>
        <w:t>October</w:t>
      </w:r>
      <w:r w:rsidRPr="000016C0">
        <w:rPr>
          <w:sz w:val="24"/>
        </w:rPr>
        <w:t xml:space="preserve"> </w:t>
      </w:r>
      <w:r w:rsidRPr="000016C0" w:rsidR="009E1F52">
        <w:rPr>
          <w:sz w:val="24"/>
        </w:rPr>
        <w:t>30</w:t>
      </w:r>
      <w:r w:rsidRPr="000016C0">
        <w:rPr>
          <w:sz w:val="24"/>
        </w:rPr>
        <w:t>, 2</w:t>
      </w:r>
      <w:r w:rsidRPr="000016C0" w:rsidR="009E1F52">
        <w:rPr>
          <w:sz w:val="24"/>
        </w:rPr>
        <w:t>020</w:t>
      </w:r>
      <w:r w:rsidRPr="000016C0">
        <w:rPr>
          <w:sz w:val="24"/>
        </w:rPr>
        <w:t xml:space="preserve">, vol. </w:t>
      </w:r>
      <w:r w:rsidRPr="000016C0" w:rsidR="009E1F52">
        <w:rPr>
          <w:sz w:val="24"/>
        </w:rPr>
        <w:t>85</w:t>
      </w:r>
      <w:r w:rsidRPr="000016C0">
        <w:rPr>
          <w:sz w:val="24"/>
        </w:rPr>
        <w:t>, No.</w:t>
      </w:r>
      <w:r w:rsidRPr="000016C0" w:rsidR="009E1F52">
        <w:rPr>
          <w:sz w:val="24"/>
        </w:rPr>
        <w:t xml:space="preserve"> 211</w:t>
      </w:r>
      <w:r w:rsidRPr="000016C0">
        <w:rPr>
          <w:sz w:val="24"/>
        </w:rPr>
        <w:t xml:space="preserve">; pp. </w:t>
      </w:r>
      <w:r w:rsidRPr="000016C0" w:rsidR="009E1F52">
        <w:rPr>
          <w:sz w:val="24"/>
        </w:rPr>
        <w:t>68889</w:t>
      </w:r>
      <w:r w:rsidR="000016C0">
        <w:rPr>
          <w:sz w:val="24"/>
        </w:rPr>
        <w:t>-90</w:t>
      </w:r>
      <w:r w:rsidRPr="000016C0" w:rsidR="00143278">
        <w:rPr>
          <w:sz w:val="24"/>
        </w:rPr>
        <w:t>.</w:t>
      </w:r>
      <w:r w:rsidR="000016C0">
        <w:rPr>
          <w:sz w:val="24"/>
        </w:rPr>
        <w:t xml:space="preserve">  </w:t>
      </w:r>
      <w:r w:rsidRPr="000016C0">
        <w:rPr>
          <w:sz w:val="24"/>
        </w:rPr>
        <w:t>There were no public comments.</w:t>
      </w:r>
    </w:p>
    <w:p w:rsidR="000016C0" w:rsidP="000016C0" w:rsidRDefault="000016C0" w14:paraId="7AF022D1" w14:textId="77777777">
      <w:pPr>
        <w:rPr>
          <w:b/>
          <w:sz w:val="24"/>
        </w:rPr>
      </w:pPr>
    </w:p>
    <w:p w:rsidR="00DE3A45" w:rsidP="000016C0" w:rsidRDefault="00DE3A45" w14:paraId="22E2A321" w14:textId="465D0E08">
      <w:pPr>
        <w:rPr>
          <w:b/>
          <w:sz w:val="24"/>
        </w:rPr>
      </w:pPr>
      <w:r w:rsidRPr="000016C0">
        <w:rPr>
          <w:b/>
          <w:sz w:val="24"/>
        </w:rPr>
        <w:t>Section 8B:</w:t>
      </w:r>
    </w:p>
    <w:p w:rsidRPr="000016C0" w:rsidR="000016C0" w:rsidP="000016C0" w:rsidRDefault="000016C0" w14:paraId="49BB21E4" w14:textId="77777777">
      <w:pPr>
        <w:rPr>
          <w:b/>
          <w:sz w:val="24"/>
        </w:rPr>
      </w:pPr>
    </w:p>
    <w:p w:rsidRPr="000016C0" w:rsidR="00FD7619" w:rsidP="000016C0" w:rsidRDefault="00FD7619" w14:paraId="768BD269" w14:textId="199B3C7D">
      <w:pPr>
        <w:rPr>
          <w:bCs/>
          <w:strike/>
          <w:sz w:val="24"/>
        </w:rPr>
      </w:pPr>
      <w:r w:rsidRPr="000016C0">
        <w:rPr>
          <w:bCs/>
          <w:sz w:val="24"/>
        </w:rPr>
        <w:t xml:space="preserve">Due to high levels of awardee retention in the Radiation Exposure Screening and Education Program, stakeholder consultation </w:t>
      </w:r>
      <w:proofErr w:type="gramStart"/>
      <w:r w:rsidRPr="000016C0">
        <w:rPr>
          <w:bCs/>
          <w:sz w:val="24"/>
        </w:rPr>
        <w:t>was not found</w:t>
      </w:r>
      <w:proofErr w:type="gramEnd"/>
      <w:r w:rsidRPr="000016C0">
        <w:rPr>
          <w:bCs/>
          <w:sz w:val="24"/>
        </w:rPr>
        <w:t xml:space="preserve"> to be n</w:t>
      </w:r>
      <w:r w:rsidRPr="000016C0" w:rsidR="00F27C84">
        <w:rPr>
          <w:bCs/>
          <w:sz w:val="24"/>
        </w:rPr>
        <w:t>ecessary in this instance. Six (6</w:t>
      </w:r>
      <w:r w:rsidRPr="000016C0">
        <w:rPr>
          <w:bCs/>
          <w:sz w:val="24"/>
        </w:rPr>
        <w:t>) of the eight (8) awardees [</w:t>
      </w:r>
      <w:r w:rsidRPr="000016C0" w:rsidR="00F27C84">
        <w:rPr>
          <w:bCs/>
          <w:sz w:val="24"/>
        </w:rPr>
        <w:t>75%]</w:t>
      </w:r>
      <w:r w:rsidRPr="000016C0">
        <w:rPr>
          <w:bCs/>
          <w:sz w:val="24"/>
        </w:rPr>
        <w:t xml:space="preserve"> for the current grant cycle (</w:t>
      </w:r>
      <w:r w:rsidRPr="000016C0" w:rsidR="00F27C84">
        <w:rPr>
          <w:bCs/>
          <w:sz w:val="24"/>
        </w:rPr>
        <w:t>FY20 to FY23</w:t>
      </w:r>
      <w:r w:rsidRPr="000016C0">
        <w:rPr>
          <w:bCs/>
          <w:sz w:val="24"/>
        </w:rPr>
        <w:t>) were also members of the previous two grant cycle</w:t>
      </w:r>
      <w:r w:rsidRPr="000016C0" w:rsidR="00F27C84">
        <w:rPr>
          <w:bCs/>
          <w:sz w:val="24"/>
        </w:rPr>
        <w:t>s</w:t>
      </w:r>
      <w:r w:rsidRPr="000016C0">
        <w:rPr>
          <w:bCs/>
          <w:sz w:val="24"/>
        </w:rPr>
        <w:t xml:space="preserve"> </w:t>
      </w:r>
      <w:r w:rsidRPr="000016C0" w:rsidR="00F27C84">
        <w:rPr>
          <w:bCs/>
          <w:sz w:val="24"/>
        </w:rPr>
        <w:t>(FY14 to FY17 and FY17 to FY20</w:t>
      </w:r>
      <w:r w:rsidRPr="000016C0">
        <w:rPr>
          <w:bCs/>
          <w:sz w:val="24"/>
        </w:rPr>
        <w:t xml:space="preserve">). </w:t>
      </w:r>
    </w:p>
    <w:p w:rsidRPr="000016C0" w:rsidR="009C4C0A" w:rsidP="00F27C84" w:rsidRDefault="009C4C0A" w14:paraId="53AC82FB" w14:textId="617020CD">
      <w:pPr>
        <w:spacing w:before="120"/>
        <w:rPr>
          <w:sz w:val="24"/>
        </w:rPr>
      </w:pPr>
    </w:p>
    <w:p w:rsidRPr="000016C0" w:rsidR="009B3794" w:rsidP="00CA3DA6" w:rsidRDefault="009B3794" w14:paraId="22E2A32A" w14:textId="77777777">
      <w:pPr>
        <w:numPr>
          <w:ilvl w:val="0"/>
          <w:numId w:val="2"/>
        </w:numPr>
        <w:tabs>
          <w:tab w:val="clear" w:pos="1080"/>
          <w:tab w:val="num" w:pos="360"/>
        </w:tabs>
        <w:spacing w:before="240"/>
        <w:ind w:left="360"/>
        <w:rPr>
          <w:b/>
          <w:sz w:val="24"/>
        </w:rPr>
      </w:pPr>
      <w:r w:rsidRPr="000016C0">
        <w:rPr>
          <w:b/>
          <w:sz w:val="24"/>
          <w:u w:val="single"/>
        </w:rPr>
        <w:lastRenderedPageBreak/>
        <w:t>Explanation of any Payment/Gift to Respondents</w:t>
      </w:r>
    </w:p>
    <w:p w:rsidRPr="000016C0" w:rsidR="009C4C0A" w:rsidP="009C4C0A" w:rsidRDefault="00935E77" w14:paraId="4C90008C" w14:textId="26718664">
      <w:pPr>
        <w:spacing w:before="120"/>
        <w:ind w:firstLine="360"/>
        <w:rPr>
          <w:sz w:val="24"/>
        </w:rPr>
      </w:pPr>
      <w:r w:rsidRPr="000016C0">
        <w:rPr>
          <w:sz w:val="24"/>
        </w:rPr>
        <w:t xml:space="preserve">Respondents will not receive </w:t>
      </w:r>
      <w:r w:rsidRPr="000016C0" w:rsidR="008B04CA">
        <w:rPr>
          <w:sz w:val="24"/>
        </w:rPr>
        <w:t xml:space="preserve">any </w:t>
      </w:r>
      <w:r w:rsidRPr="000016C0">
        <w:rPr>
          <w:sz w:val="24"/>
        </w:rPr>
        <w:t>payment</w:t>
      </w:r>
      <w:r w:rsidRPr="000016C0" w:rsidR="008B04CA">
        <w:rPr>
          <w:sz w:val="24"/>
        </w:rPr>
        <w:t>s</w:t>
      </w:r>
      <w:r w:rsidRPr="000016C0" w:rsidR="009C4C0A">
        <w:rPr>
          <w:sz w:val="24"/>
        </w:rPr>
        <w:t xml:space="preserve"> or gifts.</w:t>
      </w:r>
    </w:p>
    <w:p w:rsidRPr="000016C0" w:rsidR="009C4C0A" w:rsidP="009C4C0A" w:rsidRDefault="009B3794" w14:paraId="5841ACB6" w14:textId="77777777">
      <w:pPr>
        <w:numPr>
          <w:ilvl w:val="0"/>
          <w:numId w:val="2"/>
        </w:numPr>
        <w:tabs>
          <w:tab w:val="clear" w:pos="1080"/>
          <w:tab w:val="num" w:pos="360"/>
        </w:tabs>
        <w:spacing w:before="240"/>
        <w:ind w:left="360"/>
        <w:rPr>
          <w:b/>
          <w:sz w:val="24"/>
        </w:rPr>
      </w:pPr>
      <w:r w:rsidRPr="000016C0">
        <w:rPr>
          <w:b/>
          <w:sz w:val="24"/>
          <w:u w:val="single"/>
        </w:rPr>
        <w:t>Assurance of Confidentiality Provided to Respondents</w:t>
      </w:r>
    </w:p>
    <w:p w:rsidRPr="000016C0" w:rsidR="009C4C0A" w:rsidP="009C4C0A" w:rsidRDefault="009C4C0A" w14:paraId="31AB4CDE" w14:textId="31212C55">
      <w:pPr>
        <w:spacing w:before="240"/>
        <w:ind w:left="360"/>
        <w:rPr>
          <w:b/>
          <w:sz w:val="24"/>
        </w:rPr>
      </w:pPr>
      <w:r w:rsidRPr="000016C0">
        <w:rPr>
          <w:sz w:val="24"/>
        </w:rPr>
        <w:t xml:space="preserve">Data </w:t>
      </w:r>
      <w:proofErr w:type="gramStart"/>
      <w:r w:rsidRPr="000016C0">
        <w:rPr>
          <w:sz w:val="24"/>
        </w:rPr>
        <w:t>will be kept</w:t>
      </w:r>
      <w:proofErr w:type="gramEnd"/>
      <w:r w:rsidRPr="000016C0">
        <w:rPr>
          <w:sz w:val="24"/>
        </w:rPr>
        <w:t xml:space="preserve"> private to the extent allowed by law.</w:t>
      </w:r>
      <w:r w:rsidRPr="000016C0" w:rsidR="004B7ECA">
        <w:rPr>
          <w:sz w:val="24"/>
        </w:rPr>
        <w:t xml:space="preserve"> </w:t>
      </w:r>
      <w:r w:rsidR="000016C0">
        <w:rPr>
          <w:sz w:val="24"/>
        </w:rPr>
        <w:t xml:space="preserve"> </w:t>
      </w:r>
      <w:r w:rsidRPr="000016C0" w:rsidR="004B7ECA">
        <w:rPr>
          <w:sz w:val="24"/>
        </w:rPr>
        <w:t xml:space="preserve">The data system does not involve the reporting of information about identifiable individuals; therefore, the Privacy Act is not applicable to this activity.  The proposed performance measures </w:t>
      </w:r>
      <w:proofErr w:type="gramStart"/>
      <w:r w:rsidRPr="000016C0" w:rsidR="004B7ECA">
        <w:rPr>
          <w:sz w:val="24"/>
        </w:rPr>
        <w:t>will be used</w:t>
      </w:r>
      <w:proofErr w:type="gramEnd"/>
      <w:r w:rsidRPr="000016C0" w:rsidR="004B7ECA">
        <w:rPr>
          <w:sz w:val="24"/>
        </w:rPr>
        <w:t xml:space="preserve"> only in aggregate data for program activities.</w:t>
      </w:r>
    </w:p>
    <w:p w:rsidRPr="000016C0" w:rsidR="009B3794" w:rsidP="00CA3DA6" w:rsidRDefault="009B3794" w14:paraId="22E2A336" w14:textId="77777777">
      <w:pPr>
        <w:numPr>
          <w:ilvl w:val="0"/>
          <w:numId w:val="2"/>
        </w:numPr>
        <w:tabs>
          <w:tab w:val="clear" w:pos="1080"/>
          <w:tab w:val="num" w:pos="360"/>
        </w:tabs>
        <w:spacing w:before="240"/>
        <w:ind w:left="360"/>
        <w:rPr>
          <w:b/>
          <w:sz w:val="24"/>
        </w:rPr>
      </w:pPr>
      <w:r w:rsidRPr="000016C0">
        <w:rPr>
          <w:b/>
          <w:sz w:val="24"/>
          <w:u w:val="single"/>
        </w:rPr>
        <w:t>Justification for Sensitive Questions</w:t>
      </w:r>
    </w:p>
    <w:p w:rsidRPr="000016C0" w:rsidR="009C4C0A" w:rsidP="009C4C0A" w:rsidRDefault="009C4C0A" w14:paraId="4E9410F7" w14:textId="48592C9D">
      <w:pPr>
        <w:widowControl/>
        <w:spacing w:before="120"/>
        <w:rPr>
          <w:sz w:val="24"/>
        </w:rPr>
      </w:pPr>
      <w:r w:rsidRPr="000016C0">
        <w:rPr>
          <w:sz w:val="24"/>
        </w:rPr>
        <w:t xml:space="preserve">All data </w:t>
      </w:r>
      <w:proofErr w:type="gramStart"/>
      <w:r w:rsidRPr="000016C0">
        <w:rPr>
          <w:sz w:val="24"/>
        </w:rPr>
        <w:t>is collected</w:t>
      </w:r>
      <w:proofErr w:type="gramEnd"/>
      <w:r w:rsidRPr="000016C0">
        <w:rPr>
          <w:sz w:val="24"/>
        </w:rPr>
        <w:t xml:space="preserve"> at the aggregated level (not by individual).  Race, ethnicity, and gender information </w:t>
      </w:r>
      <w:proofErr w:type="gramStart"/>
      <w:r w:rsidRPr="000016C0">
        <w:rPr>
          <w:sz w:val="24"/>
        </w:rPr>
        <w:t>is collected at an aggregated level and submitted as a rolled up number</w:t>
      </w:r>
      <w:proofErr w:type="gramEnd"/>
      <w:r w:rsidRPr="000016C0">
        <w:rPr>
          <w:sz w:val="24"/>
        </w:rPr>
        <w:t>.</w:t>
      </w:r>
    </w:p>
    <w:p w:rsidRPr="000016C0" w:rsidR="009B3794" w:rsidP="009C4C0A" w:rsidRDefault="009B3794" w14:paraId="22E2A33C" w14:textId="77777777">
      <w:pPr>
        <w:spacing w:before="240"/>
        <w:ind w:left="360"/>
        <w:rPr>
          <w:sz w:val="24"/>
        </w:rPr>
      </w:pPr>
      <w:r w:rsidRPr="000016C0">
        <w:rPr>
          <w:b/>
          <w:sz w:val="24"/>
          <w:u w:val="single"/>
        </w:rPr>
        <w:t xml:space="preserve">Estimates of Annualized Hour and Cost Burden  </w:t>
      </w:r>
    </w:p>
    <w:p w:rsidR="009B3794" w:rsidP="00CA3DA6" w:rsidRDefault="009B3794" w14:paraId="22E2A33F" w14:textId="38B0CD6B">
      <w:pPr>
        <w:widowControl/>
        <w:tabs>
          <w:tab w:val="num" w:pos="720"/>
        </w:tabs>
        <w:spacing w:before="120"/>
        <w:rPr>
          <w:b/>
          <w:sz w:val="24"/>
        </w:rPr>
      </w:pPr>
      <w:r w:rsidRPr="000016C0">
        <w:rPr>
          <w:b/>
          <w:sz w:val="24"/>
        </w:rPr>
        <w:t>12A.</w:t>
      </w:r>
      <w:r w:rsidRPr="000016C0">
        <w:rPr>
          <w:sz w:val="24"/>
        </w:rPr>
        <w:t xml:space="preserve">        </w:t>
      </w:r>
      <w:r w:rsidRPr="000016C0">
        <w:rPr>
          <w:b/>
          <w:sz w:val="24"/>
        </w:rPr>
        <w:t>Estimated Annualized Burden Hours</w:t>
      </w:r>
    </w:p>
    <w:p w:rsidRPr="000016C0" w:rsidR="000016C0" w:rsidP="00CA3DA6" w:rsidRDefault="000016C0" w14:paraId="71C5588F" w14:textId="77777777">
      <w:pPr>
        <w:widowControl/>
        <w:tabs>
          <w:tab w:val="num" w:pos="720"/>
        </w:tabs>
        <w:spacing w:before="120"/>
        <w:rPr>
          <w:sz w:val="24"/>
        </w:rPr>
      </w:pPr>
    </w:p>
    <w:tbl>
      <w:tblPr>
        <w:tblpPr w:leftFromText="180" w:rightFromText="180" w:vertAnchor="text" w:horzAnchor="margin" w:tblpXSpec="center" w:tblpY="3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092"/>
        <w:gridCol w:w="1582"/>
        <w:gridCol w:w="1603"/>
        <w:gridCol w:w="1364"/>
        <w:gridCol w:w="1061"/>
      </w:tblGrid>
      <w:tr w:rsidRPr="000016C0" w:rsidR="00CA3DA6" w:rsidTr="000016C0" w14:paraId="22E2A351" w14:textId="77777777">
        <w:trPr>
          <w:trHeight w:val="170"/>
        </w:trPr>
        <w:tc>
          <w:tcPr>
            <w:tcW w:w="1603" w:type="dxa"/>
            <w:vAlign w:val="bottom"/>
          </w:tcPr>
          <w:p w:rsidRPr="000016C0" w:rsidR="00CA3DA6" w:rsidP="000016C0" w:rsidRDefault="00CA3DA6" w14:paraId="22E2A340" w14:textId="77777777">
            <w:pPr>
              <w:widowControl/>
              <w:tabs>
                <w:tab w:val="num" w:pos="1080"/>
              </w:tabs>
              <w:jc w:val="center"/>
              <w:rPr>
                <w:b/>
                <w:bCs/>
                <w:sz w:val="24"/>
              </w:rPr>
            </w:pPr>
            <w:r w:rsidRPr="000016C0">
              <w:rPr>
                <w:b/>
                <w:bCs/>
                <w:sz w:val="24"/>
              </w:rPr>
              <w:t>Type of</w:t>
            </w:r>
          </w:p>
          <w:p w:rsidRPr="000016C0" w:rsidR="00CA3DA6" w:rsidP="000016C0" w:rsidRDefault="00CA3DA6" w14:paraId="22E2A341" w14:textId="77777777">
            <w:pPr>
              <w:widowControl/>
              <w:tabs>
                <w:tab w:val="num" w:pos="1080"/>
              </w:tabs>
              <w:jc w:val="center"/>
              <w:rPr>
                <w:b/>
                <w:bCs/>
                <w:sz w:val="24"/>
              </w:rPr>
            </w:pPr>
            <w:r w:rsidRPr="000016C0">
              <w:rPr>
                <w:b/>
                <w:bCs/>
                <w:sz w:val="24"/>
              </w:rPr>
              <w:t>Respondent</w:t>
            </w:r>
          </w:p>
          <w:p w:rsidRPr="000016C0" w:rsidR="00CA3DA6" w:rsidP="000016C0" w:rsidRDefault="00CA3DA6" w14:paraId="22E2A342" w14:textId="77777777">
            <w:pPr>
              <w:widowControl/>
              <w:tabs>
                <w:tab w:val="num" w:pos="1080"/>
              </w:tabs>
              <w:jc w:val="center"/>
              <w:rPr>
                <w:b/>
                <w:bCs/>
                <w:sz w:val="24"/>
              </w:rPr>
            </w:pPr>
          </w:p>
        </w:tc>
        <w:tc>
          <w:tcPr>
            <w:tcW w:w="1092" w:type="dxa"/>
            <w:vAlign w:val="bottom"/>
          </w:tcPr>
          <w:p w:rsidRPr="000016C0" w:rsidR="00CA3DA6" w:rsidP="000016C0" w:rsidRDefault="00CA3DA6" w14:paraId="22E2A343" w14:textId="77777777">
            <w:pPr>
              <w:widowControl/>
              <w:tabs>
                <w:tab w:val="num" w:pos="1080"/>
              </w:tabs>
              <w:jc w:val="center"/>
              <w:rPr>
                <w:b/>
                <w:bCs/>
                <w:sz w:val="24"/>
              </w:rPr>
            </w:pPr>
            <w:r w:rsidRPr="000016C0">
              <w:rPr>
                <w:b/>
                <w:bCs/>
                <w:sz w:val="24"/>
              </w:rPr>
              <w:t>Form</w:t>
            </w:r>
          </w:p>
          <w:p w:rsidRPr="000016C0" w:rsidR="00CA3DA6" w:rsidP="000016C0" w:rsidRDefault="00CA3DA6" w14:paraId="22E2A344" w14:textId="77777777">
            <w:pPr>
              <w:widowControl/>
              <w:tabs>
                <w:tab w:val="num" w:pos="1080"/>
              </w:tabs>
              <w:jc w:val="center"/>
              <w:rPr>
                <w:b/>
                <w:bCs/>
                <w:sz w:val="24"/>
              </w:rPr>
            </w:pPr>
            <w:r w:rsidRPr="000016C0">
              <w:rPr>
                <w:b/>
                <w:bCs/>
                <w:sz w:val="24"/>
              </w:rPr>
              <w:t>Name</w:t>
            </w:r>
          </w:p>
          <w:p w:rsidRPr="000016C0" w:rsidR="00CA3DA6" w:rsidP="000016C0" w:rsidRDefault="00CA3DA6" w14:paraId="22E2A345" w14:textId="77777777">
            <w:pPr>
              <w:widowControl/>
              <w:tabs>
                <w:tab w:val="num" w:pos="1080"/>
              </w:tabs>
              <w:jc w:val="center"/>
              <w:rPr>
                <w:b/>
                <w:bCs/>
                <w:sz w:val="24"/>
              </w:rPr>
            </w:pPr>
          </w:p>
        </w:tc>
        <w:tc>
          <w:tcPr>
            <w:tcW w:w="1582" w:type="dxa"/>
            <w:vAlign w:val="bottom"/>
          </w:tcPr>
          <w:p w:rsidRPr="000016C0" w:rsidR="00CA3DA6" w:rsidP="000016C0" w:rsidRDefault="00CA3DA6" w14:paraId="22E2A346" w14:textId="77777777">
            <w:pPr>
              <w:widowControl/>
              <w:tabs>
                <w:tab w:val="num" w:pos="1080"/>
              </w:tabs>
              <w:jc w:val="center"/>
              <w:rPr>
                <w:b/>
                <w:bCs/>
                <w:sz w:val="24"/>
              </w:rPr>
            </w:pPr>
            <w:r w:rsidRPr="000016C0">
              <w:rPr>
                <w:b/>
                <w:bCs/>
                <w:sz w:val="24"/>
              </w:rPr>
              <w:t>No. of</w:t>
            </w:r>
          </w:p>
          <w:p w:rsidRPr="000016C0" w:rsidR="00CA3DA6" w:rsidP="000016C0" w:rsidRDefault="00CA3DA6" w14:paraId="22E2A347" w14:textId="77777777">
            <w:pPr>
              <w:widowControl/>
              <w:tabs>
                <w:tab w:val="num" w:pos="1080"/>
              </w:tabs>
              <w:jc w:val="center"/>
              <w:rPr>
                <w:b/>
                <w:bCs/>
                <w:sz w:val="24"/>
              </w:rPr>
            </w:pPr>
            <w:r w:rsidRPr="000016C0">
              <w:rPr>
                <w:b/>
                <w:bCs/>
                <w:sz w:val="24"/>
              </w:rPr>
              <w:t>Respondents</w:t>
            </w:r>
          </w:p>
        </w:tc>
        <w:tc>
          <w:tcPr>
            <w:tcW w:w="1603" w:type="dxa"/>
            <w:vAlign w:val="bottom"/>
          </w:tcPr>
          <w:p w:rsidRPr="000016C0" w:rsidR="00CA3DA6" w:rsidP="000016C0" w:rsidRDefault="00CA3DA6" w14:paraId="22E2A348" w14:textId="77777777">
            <w:pPr>
              <w:widowControl/>
              <w:tabs>
                <w:tab w:val="num" w:pos="1080"/>
              </w:tabs>
              <w:jc w:val="center"/>
              <w:rPr>
                <w:b/>
                <w:bCs/>
                <w:sz w:val="24"/>
              </w:rPr>
            </w:pPr>
            <w:r w:rsidRPr="000016C0">
              <w:rPr>
                <w:b/>
                <w:bCs/>
                <w:sz w:val="24"/>
              </w:rPr>
              <w:t>No.</w:t>
            </w:r>
          </w:p>
          <w:p w:rsidRPr="000016C0" w:rsidR="00CA3DA6" w:rsidP="000016C0" w:rsidRDefault="00CA3DA6" w14:paraId="22E2A349" w14:textId="77777777">
            <w:pPr>
              <w:widowControl/>
              <w:tabs>
                <w:tab w:val="num" w:pos="1080"/>
              </w:tabs>
              <w:jc w:val="center"/>
              <w:rPr>
                <w:b/>
                <w:bCs/>
                <w:sz w:val="24"/>
              </w:rPr>
            </w:pPr>
            <w:r w:rsidRPr="000016C0">
              <w:rPr>
                <w:b/>
                <w:bCs/>
                <w:sz w:val="24"/>
              </w:rPr>
              <w:t>Responses</w:t>
            </w:r>
          </w:p>
          <w:p w:rsidRPr="000016C0" w:rsidR="00CA3DA6" w:rsidP="000016C0" w:rsidRDefault="00CA3DA6" w14:paraId="22E2A34A" w14:textId="77777777">
            <w:pPr>
              <w:widowControl/>
              <w:tabs>
                <w:tab w:val="num" w:pos="1080"/>
              </w:tabs>
              <w:jc w:val="center"/>
              <w:rPr>
                <w:b/>
                <w:bCs/>
                <w:sz w:val="24"/>
              </w:rPr>
            </w:pPr>
            <w:r w:rsidRPr="000016C0">
              <w:rPr>
                <w:b/>
                <w:bCs/>
                <w:sz w:val="24"/>
              </w:rPr>
              <w:t>per</w:t>
            </w:r>
          </w:p>
          <w:p w:rsidRPr="000016C0" w:rsidR="00CA3DA6" w:rsidP="000016C0" w:rsidRDefault="00CA3DA6" w14:paraId="22E2A34B" w14:textId="77777777">
            <w:pPr>
              <w:widowControl/>
              <w:tabs>
                <w:tab w:val="num" w:pos="1080"/>
              </w:tabs>
              <w:jc w:val="center"/>
              <w:rPr>
                <w:b/>
                <w:bCs/>
                <w:sz w:val="24"/>
              </w:rPr>
            </w:pPr>
            <w:r w:rsidRPr="000016C0">
              <w:rPr>
                <w:b/>
                <w:bCs/>
                <w:sz w:val="24"/>
              </w:rPr>
              <w:t>Respondent</w:t>
            </w:r>
          </w:p>
        </w:tc>
        <w:tc>
          <w:tcPr>
            <w:tcW w:w="1364" w:type="dxa"/>
            <w:vAlign w:val="bottom"/>
          </w:tcPr>
          <w:p w:rsidRPr="000016C0" w:rsidR="00CA3DA6" w:rsidP="000016C0" w:rsidRDefault="00CA3DA6" w14:paraId="22E2A34C" w14:textId="77777777">
            <w:pPr>
              <w:widowControl/>
              <w:tabs>
                <w:tab w:val="num" w:pos="1080"/>
              </w:tabs>
              <w:jc w:val="center"/>
              <w:rPr>
                <w:b/>
                <w:bCs/>
                <w:sz w:val="24"/>
              </w:rPr>
            </w:pPr>
            <w:r w:rsidRPr="000016C0">
              <w:rPr>
                <w:b/>
                <w:bCs/>
                <w:sz w:val="24"/>
              </w:rPr>
              <w:t>Average</w:t>
            </w:r>
          </w:p>
          <w:p w:rsidRPr="000016C0" w:rsidR="00CA3DA6" w:rsidP="000016C0" w:rsidRDefault="00CA3DA6" w14:paraId="22E2A34D" w14:textId="77777777">
            <w:pPr>
              <w:widowControl/>
              <w:tabs>
                <w:tab w:val="num" w:pos="1080"/>
              </w:tabs>
              <w:jc w:val="center"/>
              <w:rPr>
                <w:b/>
                <w:bCs/>
                <w:sz w:val="24"/>
              </w:rPr>
            </w:pPr>
            <w:r w:rsidRPr="000016C0">
              <w:rPr>
                <w:b/>
                <w:bCs/>
                <w:sz w:val="24"/>
              </w:rPr>
              <w:t>Burden per</w:t>
            </w:r>
          </w:p>
          <w:p w:rsidRPr="000016C0" w:rsidR="00CA3DA6" w:rsidP="000016C0" w:rsidRDefault="00CA3DA6" w14:paraId="22E2A34E" w14:textId="77777777">
            <w:pPr>
              <w:widowControl/>
              <w:tabs>
                <w:tab w:val="num" w:pos="1080"/>
              </w:tabs>
              <w:jc w:val="center"/>
              <w:rPr>
                <w:b/>
                <w:bCs/>
                <w:sz w:val="24"/>
              </w:rPr>
            </w:pPr>
            <w:r w:rsidRPr="000016C0">
              <w:rPr>
                <w:b/>
                <w:bCs/>
                <w:sz w:val="24"/>
              </w:rPr>
              <w:t>Response</w:t>
            </w:r>
          </w:p>
          <w:p w:rsidRPr="000016C0" w:rsidR="00CA3DA6" w:rsidP="000016C0" w:rsidRDefault="00CA3DA6" w14:paraId="22E2A34F" w14:textId="77777777">
            <w:pPr>
              <w:widowControl/>
              <w:tabs>
                <w:tab w:val="num" w:pos="1080"/>
              </w:tabs>
              <w:jc w:val="center"/>
              <w:rPr>
                <w:b/>
                <w:bCs/>
                <w:sz w:val="24"/>
              </w:rPr>
            </w:pPr>
            <w:r w:rsidRPr="000016C0">
              <w:rPr>
                <w:b/>
                <w:bCs/>
                <w:sz w:val="24"/>
              </w:rPr>
              <w:t>(in hours)</w:t>
            </w:r>
          </w:p>
        </w:tc>
        <w:tc>
          <w:tcPr>
            <w:tcW w:w="1061" w:type="dxa"/>
            <w:vAlign w:val="bottom"/>
          </w:tcPr>
          <w:p w:rsidRPr="000016C0" w:rsidR="00CA3DA6" w:rsidP="000016C0" w:rsidRDefault="00CA3DA6" w14:paraId="22E2A350" w14:textId="77777777">
            <w:pPr>
              <w:widowControl/>
              <w:tabs>
                <w:tab w:val="num" w:pos="1080"/>
              </w:tabs>
              <w:jc w:val="center"/>
              <w:rPr>
                <w:b/>
                <w:bCs/>
                <w:sz w:val="24"/>
              </w:rPr>
            </w:pPr>
            <w:r w:rsidRPr="000016C0">
              <w:rPr>
                <w:b/>
                <w:bCs/>
                <w:sz w:val="24"/>
              </w:rPr>
              <w:t>Total Burden Hours</w:t>
            </w:r>
          </w:p>
        </w:tc>
      </w:tr>
      <w:tr w:rsidRPr="000016C0" w:rsidR="00CA3DA6" w:rsidTr="000016C0" w14:paraId="22E2A358" w14:textId="77777777">
        <w:trPr>
          <w:trHeight w:val="679"/>
        </w:trPr>
        <w:tc>
          <w:tcPr>
            <w:tcW w:w="1603" w:type="dxa"/>
          </w:tcPr>
          <w:p w:rsidRPr="000016C0" w:rsidR="00CA3DA6" w:rsidP="00CA3DA6" w:rsidRDefault="002B1690" w14:paraId="22E2A352" w14:textId="44D87552">
            <w:pPr>
              <w:widowControl/>
              <w:tabs>
                <w:tab w:val="num" w:pos="1080"/>
              </w:tabs>
              <w:spacing w:before="120"/>
              <w:rPr>
                <w:b/>
                <w:bCs/>
                <w:sz w:val="24"/>
              </w:rPr>
            </w:pPr>
            <w:r w:rsidRPr="000016C0">
              <w:rPr>
                <w:b/>
                <w:bCs/>
                <w:sz w:val="24"/>
              </w:rPr>
              <w:t>Project Director(s)</w:t>
            </w:r>
          </w:p>
        </w:tc>
        <w:tc>
          <w:tcPr>
            <w:tcW w:w="1092" w:type="dxa"/>
          </w:tcPr>
          <w:p w:rsidRPr="000016C0" w:rsidR="00CA3DA6" w:rsidP="00CA3DA6" w:rsidRDefault="00CA3DA6" w14:paraId="22E2A353" w14:textId="6CF471CD">
            <w:pPr>
              <w:widowControl/>
              <w:tabs>
                <w:tab w:val="num" w:pos="1080"/>
              </w:tabs>
              <w:spacing w:before="120"/>
              <w:rPr>
                <w:b/>
                <w:bCs/>
                <w:sz w:val="24"/>
              </w:rPr>
            </w:pPr>
            <w:r w:rsidRPr="000016C0">
              <w:rPr>
                <w:sz w:val="24"/>
              </w:rPr>
              <w:t>Form A</w:t>
            </w:r>
            <w:r w:rsidRPr="000016C0" w:rsidR="002B1690">
              <w:rPr>
                <w:sz w:val="24"/>
              </w:rPr>
              <w:t xml:space="preserve"> (PIMS)</w:t>
            </w:r>
          </w:p>
        </w:tc>
        <w:tc>
          <w:tcPr>
            <w:tcW w:w="1582" w:type="dxa"/>
            <w:vAlign w:val="center"/>
          </w:tcPr>
          <w:p w:rsidRPr="000016C0" w:rsidR="00CA3DA6" w:rsidP="000016C0" w:rsidRDefault="002B1690" w14:paraId="22E2A354" w14:textId="11C026F4">
            <w:pPr>
              <w:widowControl/>
              <w:tabs>
                <w:tab w:val="num" w:pos="1080"/>
              </w:tabs>
              <w:spacing w:before="120"/>
              <w:jc w:val="right"/>
              <w:rPr>
                <w:b/>
                <w:bCs/>
                <w:sz w:val="24"/>
              </w:rPr>
            </w:pPr>
            <w:r w:rsidRPr="000016C0">
              <w:rPr>
                <w:sz w:val="24"/>
              </w:rPr>
              <w:t>8</w:t>
            </w:r>
          </w:p>
        </w:tc>
        <w:tc>
          <w:tcPr>
            <w:tcW w:w="1603" w:type="dxa"/>
            <w:vAlign w:val="center"/>
          </w:tcPr>
          <w:p w:rsidRPr="000016C0" w:rsidR="00CA3DA6" w:rsidP="000016C0" w:rsidRDefault="002B1690" w14:paraId="22E2A355" w14:textId="5E547794">
            <w:pPr>
              <w:widowControl/>
              <w:tabs>
                <w:tab w:val="num" w:pos="1080"/>
              </w:tabs>
              <w:spacing w:before="120"/>
              <w:jc w:val="right"/>
              <w:rPr>
                <w:bCs/>
                <w:sz w:val="24"/>
              </w:rPr>
            </w:pPr>
            <w:r w:rsidRPr="000016C0">
              <w:rPr>
                <w:bCs/>
                <w:sz w:val="24"/>
              </w:rPr>
              <w:t>1</w:t>
            </w:r>
          </w:p>
        </w:tc>
        <w:tc>
          <w:tcPr>
            <w:tcW w:w="1364" w:type="dxa"/>
            <w:vAlign w:val="center"/>
          </w:tcPr>
          <w:p w:rsidRPr="000016C0" w:rsidR="00CA3DA6" w:rsidP="000016C0" w:rsidRDefault="002B1690" w14:paraId="22E2A356" w14:textId="66F8EB70">
            <w:pPr>
              <w:widowControl/>
              <w:tabs>
                <w:tab w:val="num" w:pos="1080"/>
              </w:tabs>
              <w:spacing w:before="120"/>
              <w:jc w:val="right"/>
              <w:rPr>
                <w:b/>
                <w:bCs/>
                <w:sz w:val="24"/>
              </w:rPr>
            </w:pPr>
            <w:r w:rsidRPr="000016C0">
              <w:rPr>
                <w:sz w:val="24"/>
              </w:rPr>
              <w:t>12</w:t>
            </w:r>
          </w:p>
        </w:tc>
        <w:tc>
          <w:tcPr>
            <w:tcW w:w="1061" w:type="dxa"/>
            <w:vAlign w:val="center"/>
          </w:tcPr>
          <w:p w:rsidRPr="000016C0" w:rsidR="00CA3DA6" w:rsidP="000016C0" w:rsidRDefault="002B1690" w14:paraId="22E2A357" w14:textId="3D2C3BBD">
            <w:pPr>
              <w:widowControl/>
              <w:tabs>
                <w:tab w:val="num" w:pos="1080"/>
              </w:tabs>
              <w:spacing w:before="120"/>
              <w:jc w:val="right"/>
              <w:rPr>
                <w:b/>
                <w:bCs/>
                <w:sz w:val="24"/>
              </w:rPr>
            </w:pPr>
            <w:r w:rsidRPr="000016C0">
              <w:rPr>
                <w:sz w:val="24"/>
              </w:rPr>
              <w:t>96</w:t>
            </w:r>
          </w:p>
        </w:tc>
      </w:tr>
      <w:tr w:rsidRPr="000016C0" w:rsidR="00CA3DA6" w:rsidTr="000016C0" w14:paraId="22E2A368" w14:textId="77777777">
        <w:trPr>
          <w:trHeight w:val="70"/>
        </w:trPr>
        <w:tc>
          <w:tcPr>
            <w:tcW w:w="1603" w:type="dxa"/>
          </w:tcPr>
          <w:p w:rsidRPr="000016C0" w:rsidR="00CA3DA6" w:rsidP="00CA3DA6" w:rsidRDefault="00CA3DA6" w14:paraId="22E2A361" w14:textId="77777777">
            <w:pPr>
              <w:widowControl/>
              <w:tabs>
                <w:tab w:val="num" w:pos="1080"/>
              </w:tabs>
              <w:spacing w:before="120"/>
              <w:rPr>
                <w:b/>
                <w:bCs/>
                <w:sz w:val="24"/>
              </w:rPr>
            </w:pPr>
            <w:r w:rsidRPr="000016C0">
              <w:rPr>
                <w:b/>
                <w:bCs/>
                <w:sz w:val="24"/>
              </w:rPr>
              <w:t>Total</w:t>
            </w:r>
          </w:p>
        </w:tc>
        <w:tc>
          <w:tcPr>
            <w:tcW w:w="1092" w:type="dxa"/>
          </w:tcPr>
          <w:p w:rsidRPr="000016C0" w:rsidR="00CA3DA6" w:rsidP="00CA3DA6" w:rsidRDefault="00CA3DA6" w14:paraId="22E2A362" w14:textId="77777777">
            <w:pPr>
              <w:widowControl/>
              <w:tabs>
                <w:tab w:val="num" w:pos="1080"/>
              </w:tabs>
              <w:spacing w:before="120"/>
              <w:rPr>
                <w:sz w:val="24"/>
              </w:rPr>
            </w:pPr>
          </w:p>
        </w:tc>
        <w:tc>
          <w:tcPr>
            <w:tcW w:w="1582" w:type="dxa"/>
            <w:vAlign w:val="center"/>
          </w:tcPr>
          <w:p w:rsidRPr="000016C0" w:rsidR="00CA3DA6" w:rsidP="000016C0" w:rsidRDefault="00C25881" w14:paraId="22E2A363" w14:textId="13ACC09D">
            <w:pPr>
              <w:widowControl/>
              <w:tabs>
                <w:tab w:val="num" w:pos="1080"/>
              </w:tabs>
              <w:spacing w:before="120"/>
              <w:jc w:val="right"/>
              <w:rPr>
                <w:sz w:val="24"/>
              </w:rPr>
            </w:pPr>
            <w:r w:rsidRPr="000016C0">
              <w:rPr>
                <w:sz w:val="24"/>
              </w:rPr>
              <w:t>8</w:t>
            </w:r>
          </w:p>
        </w:tc>
        <w:tc>
          <w:tcPr>
            <w:tcW w:w="1603" w:type="dxa"/>
            <w:vAlign w:val="center"/>
          </w:tcPr>
          <w:p w:rsidRPr="000016C0" w:rsidR="00CA3DA6" w:rsidP="000016C0" w:rsidRDefault="00CA3DA6" w14:paraId="22E2A364" w14:textId="77777777">
            <w:pPr>
              <w:widowControl/>
              <w:tabs>
                <w:tab w:val="num" w:pos="1080"/>
              </w:tabs>
              <w:spacing w:before="120"/>
              <w:jc w:val="right"/>
              <w:rPr>
                <w:sz w:val="24"/>
              </w:rPr>
            </w:pPr>
          </w:p>
        </w:tc>
        <w:tc>
          <w:tcPr>
            <w:tcW w:w="1364" w:type="dxa"/>
            <w:vAlign w:val="center"/>
          </w:tcPr>
          <w:p w:rsidRPr="000016C0" w:rsidR="00CA3DA6" w:rsidP="000016C0" w:rsidRDefault="00CA3DA6" w14:paraId="22E2A365" w14:textId="77777777">
            <w:pPr>
              <w:widowControl/>
              <w:tabs>
                <w:tab w:val="num" w:pos="1080"/>
              </w:tabs>
              <w:spacing w:before="120"/>
              <w:jc w:val="right"/>
              <w:rPr>
                <w:sz w:val="24"/>
              </w:rPr>
            </w:pPr>
          </w:p>
        </w:tc>
        <w:tc>
          <w:tcPr>
            <w:tcW w:w="1061" w:type="dxa"/>
            <w:vAlign w:val="center"/>
          </w:tcPr>
          <w:p w:rsidRPr="000016C0" w:rsidR="00CA3DA6" w:rsidP="000016C0" w:rsidRDefault="00CA3DA6" w14:paraId="22E2A367" w14:textId="0266ACF4">
            <w:pPr>
              <w:widowControl/>
              <w:tabs>
                <w:tab w:val="num" w:pos="1080"/>
              </w:tabs>
              <w:spacing w:before="120"/>
              <w:jc w:val="right"/>
              <w:rPr>
                <w:sz w:val="24"/>
              </w:rPr>
            </w:pPr>
            <w:r w:rsidRPr="000016C0">
              <w:rPr>
                <w:b/>
                <w:bCs/>
                <w:sz w:val="24"/>
              </w:rPr>
              <w:t>9</w:t>
            </w:r>
            <w:r w:rsidRPr="000016C0" w:rsidR="002B1690">
              <w:rPr>
                <w:b/>
                <w:bCs/>
                <w:sz w:val="24"/>
              </w:rPr>
              <w:t>6</w:t>
            </w:r>
          </w:p>
        </w:tc>
      </w:tr>
    </w:tbl>
    <w:p w:rsidRPr="000016C0" w:rsidR="00D92E1D" w:rsidP="00CA3DA6" w:rsidRDefault="009B3794" w14:paraId="22E2A372" w14:textId="77777777">
      <w:pPr>
        <w:widowControl/>
        <w:spacing w:before="120"/>
        <w:rPr>
          <w:sz w:val="24"/>
        </w:rPr>
      </w:pPr>
      <w:r w:rsidRPr="000016C0">
        <w:rPr>
          <w:b/>
          <w:sz w:val="24"/>
        </w:rPr>
        <w:t>12B</w:t>
      </w:r>
      <w:r w:rsidRPr="000016C0">
        <w:rPr>
          <w:sz w:val="24"/>
        </w:rPr>
        <w:t xml:space="preserve">.  </w:t>
      </w:r>
    </w:p>
    <w:p w:rsidR="009B3794" w:rsidP="00CA3DA6" w:rsidRDefault="009B3794" w14:paraId="22E2A373" w14:textId="7F706651">
      <w:pPr>
        <w:widowControl/>
        <w:spacing w:before="120"/>
        <w:ind w:left="270"/>
        <w:rPr>
          <w:sz w:val="24"/>
        </w:rPr>
      </w:pPr>
      <w:r w:rsidRPr="000016C0">
        <w:rPr>
          <w:sz w:val="24"/>
        </w:rPr>
        <w:t xml:space="preserve">Provide estimates of annualized cost to respondents for the hour burdens for collections of information, identifying and using appropriate wage rate categories. </w:t>
      </w:r>
      <w:r w:rsidRPr="000016C0" w:rsidR="00D11CA3">
        <w:rPr>
          <w:sz w:val="24"/>
        </w:rPr>
        <w:t xml:space="preserve">  This is the cost for respondents’ time.  </w:t>
      </w:r>
      <w:r w:rsidRPr="000016C0">
        <w:rPr>
          <w:sz w:val="24"/>
        </w:rPr>
        <w:t xml:space="preserve">The Department of Labor website </w:t>
      </w:r>
      <w:proofErr w:type="gramStart"/>
      <w:r w:rsidRPr="000016C0">
        <w:rPr>
          <w:sz w:val="24"/>
        </w:rPr>
        <w:t>can be used</w:t>
      </w:r>
      <w:proofErr w:type="gramEnd"/>
      <w:r w:rsidRPr="000016C0">
        <w:rPr>
          <w:sz w:val="24"/>
        </w:rPr>
        <w:t xml:space="preserve"> to determine appropriate wage rates for respondents</w:t>
      </w:r>
      <w:r w:rsidRPr="000016C0" w:rsidR="00EE529C">
        <w:rPr>
          <w:sz w:val="24"/>
        </w:rPr>
        <w:t xml:space="preserve"> (</w:t>
      </w:r>
      <w:hyperlink w:history="1" r:id="rId12">
        <w:r w:rsidRPr="000016C0" w:rsidR="00EE529C">
          <w:rPr>
            <w:rStyle w:val="Hyperlink"/>
            <w:sz w:val="24"/>
          </w:rPr>
          <w:t>http://www.bls.gov/bls/blswage.htm</w:t>
        </w:r>
      </w:hyperlink>
      <w:r w:rsidRPr="000016C0" w:rsidR="00EE529C">
        <w:rPr>
          <w:sz w:val="24"/>
        </w:rPr>
        <w:t>).</w:t>
      </w:r>
      <w:r w:rsidRPr="000016C0" w:rsidR="005D7625">
        <w:rPr>
          <w:sz w:val="24"/>
        </w:rPr>
        <w:t xml:space="preserve">  In the text, document the source for estimating respondent’s hourly wage rate.</w:t>
      </w:r>
    </w:p>
    <w:p w:rsidRPr="000016C0" w:rsidR="000016C0" w:rsidP="00CA3DA6" w:rsidRDefault="000016C0" w14:paraId="16123E72" w14:textId="77777777">
      <w:pPr>
        <w:widowControl/>
        <w:spacing w:before="120"/>
        <w:ind w:left="270"/>
        <w:rPr>
          <w:sz w:val="24"/>
        </w:rPr>
      </w:pPr>
    </w:p>
    <w:p w:rsidR="000016C0" w:rsidRDefault="000016C0" w14:paraId="3C5FBABC" w14:textId="77777777">
      <w:pPr>
        <w:widowControl/>
        <w:autoSpaceDE/>
        <w:autoSpaceDN/>
        <w:adjustRightInd/>
        <w:rPr>
          <w:b/>
          <w:sz w:val="24"/>
        </w:rPr>
      </w:pPr>
      <w:r>
        <w:rPr>
          <w:b/>
          <w:sz w:val="24"/>
        </w:rPr>
        <w:br w:type="page"/>
      </w:r>
    </w:p>
    <w:p w:rsidR="009B3794" w:rsidP="00CA3DA6" w:rsidRDefault="009B3794" w14:paraId="22E2A374" w14:textId="20537296">
      <w:pPr>
        <w:widowControl/>
        <w:spacing w:before="120"/>
        <w:ind w:left="270"/>
        <w:rPr>
          <w:b/>
          <w:sz w:val="24"/>
        </w:rPr>
      </w:pPr>
      <w:r w:rsidRPr="000016C0">
        <w:rPr>
          <w:b/>
          <w:sz w:val="24"/>
        </w:rPr>
        <w:lastRenderedPageBreak/>
        <w:t>Estimated Annualized Burden Costs</w:t>
      </w:r>
    </w:p>
    <w:p w:rsidRPr="000016C0" w:rsidR="000016C0" w:rsidP="00CA3DA6" w:rsidRDefault="000016C0" w14:paraId="603A43CE" w14:textId="77777777">
      <w:pPr>
        <w:widowControl/>
        <w:spacing w:before="120"/>
        <w:ind w:left="270"/>
        <w:rPr>
          <w:b/>
          <w:sz w:val="24"/>
        </w:rPr>
      </w:pP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277"/>
        <w:gridCol w:w="1342"/>
        <w:gridCol w:w="1743"/>
      </w:tblGrid>
      <w:tr w:rsidRPr="000016C0" w:rsidR="009B3794" w:rsidTr="000016C0" w14:paraId="22E2A380" w14:textId="77777777">
        <w:tc>
          <w:tcPr>
            <w:tcW w:w="1603" w:type="dxa"/>
            <w:vAlign w:val="bottom"/>
          </w:tcPr>
          <w:p w:rsidRPr="000016C0" w:rsidR="009B3794" w:rsidP="000016C0" w:rsidRDefault="009B3794" w14:paraId="22E2A375" w14:textId="77777777">
            <w:pPr>
              <w:widowControl/>
              <w:jc w:val="center"/>
              <w:rPr>
                <w:b/>
                <w:bCs/>
                <w:sz w:val="24"/>
              </w:rPr>
            </w:pPr>
            <w:r w:rsidRPr="000016C0">
              <w:rPr>
                <w:b/>
                <w:bCs/>
                <w:sz w:val="24"/>
              </w:rPr>
              <w:t>Type of</w:t>
            </w:r>
          </w:p>
          <w:p w:rsidRPr="000016C0" w:rsidR="009B3794" w:rsidP="000016C0" w:rsidRDefault="009B3794" w14:paraId="22E2A377" w14:textId="4D6064B2">
            <w:pPr>
              <w:widowControl/>
              <w:jc w:val="center"/>
              <w:rPr>
                <w:b/>
                <w:bCs/>
                <w:sz w:val="24"/>
              </w:rPr>
            </w:pPr>
            <w:r w:rsidRPr="000016C0">
              <w:rPr>
                <w:b/>
                <w:bCs/>
                <w:sz w:val="24"/>
              </w:rPr>
              <w:t>Respondent</w:t>
            </w:r>
          </w:p>
        </w:tc>
        <w:tc>
          <w:tcPr>
            <w:tcW w:w="1277" w:type="dxa"/>
            <w:vAlign w:val="bottom"/>
          </w:tcPr>
          <w:p w:rsidRPr="000016C0" w:rsidR="009B3794" w:rsidP="000016C0" w:rsidRDefault="009B3794" w14:paraId="22E2A378" w14:textId="77777777">
            <w:pPr>
              <w:widowControl/>
              <w:jc w:val="center"/>
              <w:rPr>
                <w:b/>
                <w:bCs/>
                <w:sz w:val="24"/>
              </w:rPr>
            </w:pPr>
            <w:r w:rsidRPr="000016C0">
              <w:rPr>
                <w:b/>
                <w:bCs/>
                <w:sz w:val="24"/>
              </w:rPr>
              <w:t>Total Burden</w:t>
            </w:r>
          </w:p>
          <w:p w:rsidRPr="000016C0" w:rsidR="009B3794" w:rsidP="000016C0" w:rsidRDefault="009B3794" w14:paraId="22E2A37A" w14:textId="19DCB58A">
            <w:pPr>
              <w:widowControl/>
              <w:jc w:val="center"/>
              <w:rPr>
                <w:b/>
                <w:bCs/>
                <w:sz w:val="24"/>
              </w:rPr>
            </w:pPr>
            <w:r w:rsidRPr="000016C0">
              <w:rPr>
                <w:b/>
                <w:bCs/>
                <w:sz w:val="24"/>
              </w:rPr>
              <w:t>Hours</w:t>
            </w:r>
          </w:p>
        </w:tc>
        <w:tc>
          <w:tcPr>
            <w:tcW w:w="1342" w:type="dxa"/>
            <w:vAlign w:val="bottom"/>
          </w:tcPr>
          <w:p w:rsidRPr="000016C0" w:rsidR="009B3794" w:rsidP="000016C0" w:rsidRDefault="009B3794" w14:paraId="22E2A37B" w14:textId="77777777">
            <w:pPr>
              <w:widowControl/>
              <w:jc w:val="center"/>
              <w:rPr>
                <w:b/>
                <w:bCs/>
                <w:sz w:val="24"/>
              </w:rPr>
            </w:pPr>
            <w:r w:rsidRPr="000016C0">
              <w:rPr>
                <w:b/>
                <w:bCs/>
                <w:sz w:val="24"/>
              </w:rPr>
              <w:t>Hourly</w:t>
            </w:r>
          </w:p>
          <w:p w:rsidRPr="000016C0" w:rsidR="009B3794" w:rsidP="000016C0" w:rsidRDefault="009B3794" w14:paraId="22E2A37D" w14:textId="6A43EB57">
            <w:pPr>
              <w:widowControl/>
              <w:jc w:val="center"/>
              <w:rPr>
                <w:b/>
                <w:bCs/>
                <w:sz w:val="24"/>
              </w:rPr>
            </w:pPr>
            <w:r w:rsidRPr="000016C0">
              <w:rPr>
                <w:b/>
                <w:bCs/>
                <w:sz w:val="24"/>
              </w:rPr>
              <w:t>Wage Rate</w:t>
            </w:r>
          </w:p>
        </w:tc>
        <w:tc>
          <w:tcPr>
            <w:tcW w:w="1743" w:type="dxa"/>
            <w:vAlign w:val="bottom"/>
          </w:tcPr>
          <w:p w:rsidRPr="000016C0" w:rsidR="009B3794" w:rsidP="000016C0" w:rsidRDefault="009B3794" w14:paraId="22E2A37F" w14:textId="04DA1577">
            <w:pPr>
              <w:widowControl/>
              <w:jc w:val="center"/>
              <w:rPr>
                <w:b/>
                <w:bCs/>
                <w:sz w:val="24"/>
              </w:rPr>
            </w:pPr>
            <w:r w:rsidRPr="000016C0">
              <w:rPr>
                <w:b/>
                <w:bCs/>
                <w:sz w:val="24"/>
              </w:rPr>
              <w:t>Total Respondent Costs</w:t>
            </w:r>
          </w:p>
        </w:tc>
      </w:tr>
      <w:tr w:rsidRPr="000016C0" w:rsidR="009B3794" w:rsidTr="007B0067" w14:paraId="22E2A385" w14:textId="77777777">
        <w:tc>
          <w:tcPr>
            <w:tcW w:w="1603" w:type="dxa"/>
          </w:tcPr>
          <w:p w:rsidRPr="000016C0" w:rsidR="009B3794" w:rsidP="00CE5AA9" w:rsidRDefault="007B0067" w14:paraId="22E2A381" w14:textId="5C9CA43B">
            <w:pPr>
              <w:spacing w:before="120"/>
              <w:rPr>
                <w:sz w:val="24"/>
              </w:rPr>
            </w:pPr>
            <w:r w:rsidRPr="000016C0">
              <w:rPr>
                <w:sz w:val="24"/>
              </w:rPr>
              <w:t>Project Director(s)</w:t>
            </w:r>
            <w:r w:rsidRPr="000016C0" w:rsidR="009B3794">
              <w:rPr>
                <w:sz w:val="24"/>
              </w:rPr>
              <w:t xml:space="preserve"> </w:t>
            </w:r>
          </w:p>
        </w:tc>
        <w:tc>
          <w:tcPr>
            <w:tcW w:w="1277" w:type="dxa"/>
          </w:tcPr>
          <w:p w:rsidRPr="000016C0" w:rsidR="009B3794" w:rsidP="00CE5AA9" w:rsidRDefault="000F4C75" w14:paraId="22E2A382" w14:textId="4FCC4110">
            <w:pPr>
              <w:spacing w:before="120"/>
              <w:rPr>
                <w:sz w:val="24"/>
              </w:rPr>
            </w:pPr>
            <w:r w:rsidRPr="000016C0">
              <w:rPr>
                <w:sz w:val="24"/>
              </w:rPr>
              <w:t>96</w:t>
            </w:r>
          </w:p>
        </w:tc>
        <w:tc>
          <w:tcPr>
            <w:tcW w:w="1342" w:type="dxa"/>
          </w:tcPr>
          <w:p w:rsidRPr="000016C0" w:rsidR="009B3794" w:rsidP="00CE5AA9" w:rsidRDefault="007B0067" w14:paraId="22E2A383" w14:textId="403DE65F">
            <w:pPr>
              <w:spacing w:before="120"/>
              <w:jc w:val="right"/>
              <w:rPr>
                <w:sz w:val="24"/>
              </w:rPr>
            </w:pPr>
            <w:r w:rsidRPr="000016C0">
              <w:rPr>
                <w:sz w:val="24"/>
              </w:rPr>
              <w:t xml:space="preserve"> $30</w:t>
            </w:r>
            <w:r w:rsidRPr="000016C0" w:rsidR="009B3794">
              <w:rPr>
                <w:sz w:val="24"/>
              </w:rPr>
              <w:t xml:space="preserve">.00 </w:t>
            </w:r>
          </w:p>
        </w:tc>
        <w:tc>
          <w:tcPr>
            <w:tcW w:w="1743" w:type="dxa"/>
          </w:tcPr>
          <w:p w:rsidRPr="000016C0" w:rsidR="009B3794" w:rsidP="00CE5AA9" w:rsidRDefault="000F4C75" w14:paraId="22E2A384" w14:textId="1F1BA57F">
            <w:pPr>
              <w:spacing w:before="120"/>
              <w:jc w:val="right"/>
              <w:rPr>
                <w:sz w:val="24"/>
              </w:rPr>
            </w:pPr>
            <w:r w:rsidRPr="000016C0">
              <w:rPr>
                <w:sz w:val="24"/>
              </w:rPr>
              <w:t xml:space="preserve"> $2880</w:t>
            </w:r>
            <w:r w:rsidRPr="000016C0" w:rsidR="009B3794">
              <w:rPr>
                <w:sz w:val="24"/>
              </w:rPr>
              <w:t>.00</w:t>
            </w:r>
          </w:p>
        </w:tc>
      </w:tr>
      <w:tr w:rsidRPr="000016C0" w:rsidR="009B3794" w:rsidTr="007B0067" w14:paraId="22E2A38F" w14:textId="77777777">
        <w:trPr>
          <w:trHeight w:val="440"/>
        </w:trPr>
        <w:tc>
          <w:tcPr>
            <w:tcW w:w="1603" w:type="dxa"/>
          </w:tcPr>
          <w:p w:rsidRPr="000016C0" w:rsidR="009B3794" w:rsidP="00CE5AA9" w:rsidRDefault="009B3794" w14:paraId="22E2A38B" w14:textId="77777777">
            <w:pPr>
              <w:widowControl/>
              <w:spacing w:before="120"/>
              <w:rPr>
                <w:sz w:val="24"/>
              </w:rPr>
            </w:pPr>
            <w:r w:rsidRPr="000016C0">
              <w:rPr>
                <w:sz w:val="24"/>
              </w:rPr>
              <w:t>Total</w:t>
            </w:r>
          </w:p>
        </w:tc>
        <w:tc>
          <w:tcPr>
            <w:tcW w:w="1277" w:type="dxa"/>
          </w:tcPr>
          <w:p w:rsidRPr="000016C0" w:rsidR="009B3794" w:rsidP="00CE5AA9" w:rsidRDefault="000F4C75" w14:paraId="22E2A38C" w14:textId="49E5CFBB">
            <w:pPr>
              <w:widowControl/>
              <w:spacing w:before="120"/>
              <w:rPr>
                <w:sz w:val="24"/>
              </w:rPr>
            </w:pPr>
            <w:r w:rsidRPr="000016C0">
              <w:rPr>
                <w:sz w:val="24"/>
              </w:rPr>
              <w:t>96</w:t>
            </w:r>
          </w:p>
        </w:tc>
        <w:tc>
          <w:tcPr>
            <w:tcW w:w="1342" w:type="dxa"/>
          </w:tcPr>
          <w:p w:rsidRPr="000016C0" w:rsidR="009B3794" w:rsidP="00CE5AA9" w:rsidRDefault="009B3794" w14:paraId="22E2A38D" w14:textId="77777777">
            <w:pPr>
              <w:widowControl/>
              <w:spacing w:before="120"/>
              <w:jc w:val="right"/>
              <w:rPr>
                <w:sz w:val="24"/>
              </w:rPr>
            </w:pPr>
          </w:p>
        </w:tc>
        <w:tc>
          <w:tcPr>
            <w:tcW w:w="1743" w:type="dxa"/>
          </w:tcPr>
          <w:p w:rsidRPr="000016C0" w:rsidR="009B3794" w:rsidP="00CE5AA9" w:rsidRDefault="000F4C75" w14:paraId="22E2A38E" w14:textId="4CB5BB3F">
            <w:pPr>
              <w:widowControl/>
              <w:spacing w:before="120"/>
              <w:jc w:val="right"/>
              <w:rPr>
                <w:sz w:val="24"/>
              </w:rPr>
            </w:pPr>
            <w:r w:rsidRPr="000016C0">
              <w:rPr>
                <w:sz w:val="24"/>
              </w:rPr>
              <w:t>$2880</w:t>
            </w:r>
            <w:r w:rsidRPr="000016C0" w:rsidR="009B3794">
              <w:rPr>
                <w:sz w:val="24"/>
              </w:rPr>
              <w:t>.00</w:t>
            </w:r>
          </w:p>
        </w:tc>
      </w:tr>
    </w:tbl>
    <w:p w:rsidRPr="000016C0" w:rsidR="009B3794" w:rsidP="000016C0" w:rsidRDefault="000016C0" w14:paraId="22E2A391" w14:textId="6D8F3986">
      <w:pPr>
        <w:spacing w:before="240"/>
        <w:ind w:left="360" w:hanging="360"/>
        <w:rPr>
          <w:b/>
          <w:sz w:val="24"/>
        </w:rPr>
      </w:pPr>
      <w:r>
        <w:rPr>
          <w:b/>
          <w:sz w:val="24"/>
        </w:rPr>
        <w:t xml:space="preserve">13.  </w:t>
      </w:r>
      <w:r w:rsidRPr="000016C0" w:rsidR="009B3794">
        <w:rPr>
          <w:b/>
          <w:sz w:val="24"/>
          <w:u w:val="single"/>
        </w:rPr>
        <w:t>Estimates of o</w:t>
      </w:r>
      <w:bookmarkStart w:name="_GoBack" w:id="0"/>
      <w:bookmarkEnd w:id="0"/>
      <w:r w:rsidRPr="000016C0" w:rsidR="009B3794">
        <w:rPr>
          <w:b/>
          <w:sz w:val="24"/>
          <w:u w:val="single"/>
        </w:rPr>
        <w:t xml:space="preserve">ther Total Annual Cost Burden to Respondents or </w:t>
      </w:r>
      <w:proofErr w:type="spellStart"/>
      <w:r w:rsidRPr="000016C0" w:rsidR="009B3794">
        <w:rPr>
          <w:b/>
          <w:sz w:val="24"/>
          <w:u w:val="single"/>
        </w:rPr>
        <w:t>Recordkeepers</w:t>
      </w:r>
      <w:proofErr w:type="spellEnd"/>
      <w:r w:rsidRPr="000016C0" w:rsidR="009B3794">
        <w:rPr>
          <w:b/>
          <w:sz w:val="24"/>
          <w:u w:val="single"/>
        </w:rPr>
        <w:t>/Capital Costs</w:t>
      </w:r>
    </w:p>
    <w:p w:rsidR="000016C0" w:rsidP="00C22804" w:rsidRDefault="00D11CA3" w14:paraId="12203BA3" w14:textId="77777777">
      <w:pPr>
        <w:pStyle w:val="BodyTextIndent"/>
        <w:spacing w:before="120" w:after="240"/>
        <w:ind w:left="0"/>
        <w:rPr>
          <w:rFonts w:ascii="Times New Roman" w:hAnsi="Times New Roman"/>
        </w:rPr>
      </w:pPr>
      <w:r w:rsidRPr="000016C0">
        <w:rPr>
          <w:rFonts w:ascii="Times New Roman" w:hAnsi="Times New Roman"/>
        </w:rPr>
        <w:t>Other than their time, t</w:t>
      </w:r>
      <w:r w:rsidRPr="000016C0" w:rsidR="00A27EF4">
        <w:rPr>
          <w:rFonts w:ascii="Times New Roman" w:hAnsi="Times New Roman"/>
        </w:rPr>
        <w:t>here is no cost to respondents.</w:t>
      </w:r>
    </w:p>
    <w:p w:rsidRPr="000016C0" w:rsidR="009B3794" w:rsidP="00C22804" w:rsidRDefault="000016C0" w14:paraId="22E2A395" w14:textId="10E8F88F">
      <w:pPr>
        <w:pStyle w:val="BodyTextIndent"/>
        <w:spacing w:after="240"/>
        <w:ind w:left="0"/>
        <w:rPr>
          <w:rFonts w:ascii="Times New Roman" w:hAnsi="Times New Roman"/>
        </w:rPr>
      </w:pPr>
      <w:r w:rsidRPr="000016C0">
        <w:rPr>
          <w:rFonts w:ascii="Times New Roman" w:hAnsi="Times New Roman"/>
          <w:b/>
        </w:rPr>
        <w:t>14.</w:t>
      </w:r>
      <w:r>
        <w:rPr>
          <w:rFonts w:ascii="Times New Roman" w:hAnsi="Times New Roman"/>
        </w:rPr>
        <w:t xml:space="preserve">  </w:t>
      </w:r>
      <w:r w:rsidRPr="000016C0" w:rsidR="009B3794">
        <w:rPr>
          <w:rFonts w:ascii="Times New Roman" w:hAnsi="Times New Roman"/>
          <w:b/>
          <w:u w:val="single"/>
        </w:rPr>
        <w:t>Annualized Cost to Federal Government</w:t>
      </w:r>
    </w:p>
    <w:p w:rsidR="000016C0" w:rsidP="00C22804" w:rsidRDefault="00620C22" w14:paraId="454185D4" w14:textId="77777777">
      <w:pPr>
        <w:pStyle w:val="BodyTextIndent"/>
        <w:spacing w:after="240"/>
        <w:ind w:left="0"/>
        <w:rPr>
          <w:rFonts w:ascii="Times New Roman" w:hAnsi="Times New Roman"/>
        </w:rPr>
      </w:pPr>
      <w:r w:rsidRPr="000016C0">
        <w:rPr>
          <w:rFonts w:ascii="Times New Roman" w:hAnsi="Times New Roman"/>
        </w:rPr>
        <w:t xml:space="preserve">Annual data collection for this program </w:t>
      </w:r>
      <w:proofErr w:type="gramStart"/>
      <w:r w:rsidRPr="000016C0">
        <w:rPr>
          <w:rFonts w:ascii="Times New Roman" w:hAnsi="Times New Roman"/>
        </w:rPr>
        <w:t>is expected</w:t>
      </w:r>
      <w:proofErr w:type="gramEnd"/>
      <w:r w:rsidRPr="000016C0">
        <w:rPr>
          <w:rFonts w:ascii="Times New Roman" w:hAnsi="Times New Roman"/>
        </w:rPr>
        <w:t xml:space="preserve"> to be carried out at a cost to the Federal Government of $1,273.98.  Staff at FORHP monitor the contracts and provide guidance to grantee project staff at a cost of $1,273.98 per year (25.5 hours </w:t>
      </w:r>
      <w:proofErr w:type="gramStart"/>
      <w:r w:rsidRPr="000016C0">
        <w:rPr>
          <w:rFonts w:ascii="Times New Roman" w:hAnsi="Times New Roman"/>
        </w:rPr>
        <w:t>per year at $49.96 per hour at a GS-13, Step 4 salary level</w:t>
      </w:r>
      <w:proofErr w:type="gramEnd"/>
      <w:r w:rsidRPr="000016C0">
        <w:rPr>
          <w:rFonts w:ascii="Times New Roman" w:hAnsi="Times New Roman"/>
        </w:rPr>
        <w:t xml:space="preserve">).  </w:t>
      </w:r>
    </w:p>
    <w:p w:rsidR="00C22804" w:rsidP="00C22804" w:rsidRDefault="000016C0" w14:paraId="644B8D0C" w14:textId="77777777">
      <w:pPr>
        <w:pStyle w:val="BodyTextIndent"/>
        <w:spacing w:after="240"/>
        <w:ind w:left="0"/>
        <w:rPr>
          <w:rFonts w:ascii="Times New Roman" w:hAnsi="Times New Roman"/>
        </w:rPr>
      </w:pPr>
      <w:r w:rsidRPr="000016C0">
        <w:rPr>
          <w:rFonts w:ascii="Times New Roman" w:hAnsi="Times New Roman"/>
          <w:b/>
        </w:rPr>
        <w:t>15.</w:t>
      </w:r>
      <w:r>
        <w:rPr>
          <w:rFonts w:ascii="Times New Roman" w:hAnsi="Times New Roman"/>
        </w:rPr>
        <w:t xml:space="preserve">  </w:t>
      </w:r>
      <w:r w:rsidRPr="000016C0" w:rsidR="009B3794">
        <w:rPr>
          <w:rFonts w:ascii="Times New Roman" w:hAnsi="Times New Roman"/>
          <w:b/>
          <w:u w:val="single"/>
        </w:rPr>
        <w:t>Explanation for Program Changes or Adjustments</w:t>
      </w:r>
    </w:p>
    <w:p w:rsidR="000016C0" w:rsidP="00C22804" w:rsidRDefault="00351D5C" w14:paraId="4A7C95FE" w14:textId="65AE2197">
      <w:pPr>
        <w:pStyle w:val="BodyTextIndent"/>
        <w:spacing w:after="240"/>
        <w:ind w:left="0"/>
        <w:rPr>
          <w:rFonts w:ascii="Times New Roman" w:hAnsi="Times New Roman"/>
        </w:rPr>
      </w:pPr>
      <w:r w:rsidRPr="000016C0">
        <w:rPr>
          <w:rFonts w:ascii="Times New Roman" w:hAnsi="Times New Roman"/>
        </w:rPr>
        <w:t>The</w:t>
      </w:r>
      <w:r w:rsidRPr="000016C0" w:rsidR="009B3794">
        <w:rPr>
          <w:rFonts w:ascii="Times New Roman" w:hAnsi="Times New Roman"/>
        </w:rPr>
        <w:t xml:space="preserve"> burden has not changed from the burden shown in the current inventory.</w:t>
      </w:r>
    </w:p>
    <w:p w:rsidR="00C22804" w:rsidP="00C22804" w:rsidRDefault="000016C0" w14:paraId="6D043905" w14:textId="77777777">
      <w:pPr>
        <w:pStyle w:val="BodyTextIndent"/>
        <w:spacing w:before="120" w:after="240"/>
        <w:ind w:left="0"/>
        <w:rPr>
          <w:rFonts w:ascii="Times New Roman" w:hAnsi="Times New Roman"/>
          <w:b/>
          <w:u w:val="single"/>
        </w:rPr>
      </w:pPr>
      <w:r w:rsidRPr="000016C0">
        <w:rPr>
          <w:rFonts w:ascii="Times New Roman" w:hAnsi="Times New Roman"/>
          <w:b/>
        </w:rPr>
        <w:t>16.</w:t>
      </w:r>
      <w:r>
        <w:rPr>
          <w:rFonts w:ascii="Times New Roman" w:hAnsi="Times New Roman"/>
        </w:rPr>
        <w:t xml:space="preserve">  </w:t>
      </w:r>
      <w:r w:rsidRPr="000016C0" w:rsidR="009B3794">
        <w:rPr>
          <w:rFonts w:ascii="Times New Roman" w:hAnsi="Times New Roman"/>
          <w:b/>
          <w:u w:val="single"/>
        </w:rPr>
        <w:t>Plans for Tabulation</w:t>
      </w:r>
      <w:r w:rsidRPr="000016C0" w:rsidR="002118B4">
        <w:rPr>
          <w:rFonts w:ascii="Times New Roman" w:hAnsi="Times New Roman"/>
          <w:b/>
          <w:u w:val="single"/>
        </w:rPr>
        <w:t xml:space="preserve">, </w:t>
      </w:r>
      <w:r w:rsidRPr="000016C0" w:rsidR="009B3794">
        <w:rPr>
          <w:rFonts w:ascii="Times New Roman" w:hAnsi="Times New Roman"/>
          <w:b/>
          <w:u w:val="single"/>
        </w:rPr>
        <w:t>Publication</w:t>
      </w:r>
      <w:r w:rsidRPr="000016C0" w:rsidR="002118B4">
        <w:rPr>
          <w:rFonts w:ascii="Times New Roman" w:hAnsi="Times New Roman"/>
          <w:b/>
          <w:u w:val="single"/>
        </w:rPr>
        <w:t>,</w:t>
      </w:r>
      <w:r w:rsidRPr="000016C0" w:rsidR="009B3794">
        <w:rPr>
          <w:rFonts w:ascii="Times New Roman" w:hAnsi="Times New Roman"/>
          <w:b/>
          <w:u w:val="single"/>
        </w:rPr>
        <w:t xml:space="preserve"> and Project Time Schedule</w:t>
      </w:r>
    </w:p>
    <w:p w:rsidR="000016C0" w:rsidP="00C22804" w:rsidRDefault="00AC3F8A" w14:paraId="63254C5B" w14:textId="4F40337E">
      <w:pPr>
        <w:pStyle w:val="BodyTextIndent"/>
        <w:spacing w:before="120" w:after="240"/>
        <w:ind w:left="0"/>
      </w:pPr>
      <w:r w:rsidRPr="000016C0">
        <w:rPr>
          <w:rFonts w:ascii="Times New Roman" w:hAnsi="Times New Roman"/>
        </w:rPr>
        <w:t xml:space="preserve">The data </w:t>
      </w:r>
      <w:proofErr w:type="gramStart"/>
      <w:r w:rsidRPr="000016C0">
        <w:rPr>
          <w:rFonts w:ascii="Times New Roman" w:hAnsi="Times New Roman"/>
        </w:rPr>
        <w:t>will be collected annually and used on an aggregate program level to document the impact and success of program</w:t>
      </w:r>
      <w:proofErr w:type="gramEnd"/>
      <w:r w:rsidRPr="000016C0">
        <w:rPr>
          <w:rFonts w:ascii="Times New Roman" w:hAnsi="Times New Roman"/>
        </w:rPr>
        <w:t xml:space="preserve">. This information </w:t>
      </w:r>
      <w:proofErr w:type="gramStart"/>
      <w:r w:rsidRPr="000016C0">
        <w:rPr>
          <w:rFonts w:ascii="Times New Roman" w:hAnsi="Times New Roman"/>
        </w:rPr>
        <w:t>might be used</w:t>
      </w:r>
      <w:proofErr w:type="gramEnd"/>
      <w:r w:rsidRPr="000016C0">
        <w:rPr>
          <w:rFonts w:ascii="Times New Roman" w:hAnsi="Times New Roman"/>
        </w:rPr>
        <w:t xml:space="preserve"> in the FORHP Annual Report produced internally for the agency.</w:t>
      </w:r>
    </w:p>
    <w:p w:rsidR="00C22804" w:rsidP="00C22804" w:rsidRDefault="000016C0" w14:paraId="20A572C1" w14:textId="77777777">
      <w:pPr>
        <w:spacing w:before="240" w:after="240"/>
        <w:rPr>
          <w:b/>
          <w:sz w:val="24"/>
          <w:u w:val="single"/>
        </w:rPr>
      </w:pPr>
      <w:r w:rsidRPr="000016C0">
        <w:rPr>
          <w:b/>
          <w:sz w:val="24"/>
        </w:rPr>
        <w:t>17.</w:t>
      </w:r>
      <w:r>
        <w:rPr>
          <w:sz w:val="24"/>
        </w:rPr>
        <w:t xml:space="preserve">  </w:t>
      </w:r>
      <w:r w:rsidRPr="000016C0" w:rsidR="009B3794">
        <w:rPr>
          <w:b/>
          <w:sz w:val="24"/>
          <w:u w:val="single"/>
        </w:rPr>
        <w:t>Reason(s) Display of OMB Expiration Date is Inappropriate</w:t>
      </w:r>
    </w:p>
    <w:p w:rsidRPr="00C22804" w:rsidR="000016C0" w:rsidP="00C22804" w:rsidRDefault="00D11CA3" w14:paraId="67395B93" w14:textId="00ADA527">
      <w:pPr>
        <w:spacing w:after="240"/>
        <w:rPr>
          <w:sz w:val="24"/>
        </w:rPr>
      </w:pPr>
      <w:r w:rsidRPr="000016C0">
        <w:rPr>
          <w:sz w:val="24"/>
        </w:rPr>
        <w:t xml:space="preserve">The OMB number and Expiration date </w:t>
      </w:r>
      <w:proofErr w:type="gramStart"/>
      <w:r w:rsidRPr="000016C0">
        <w:rPr>
          <w:sz w:val="24"/>
        </w:rPr>
        <w:t>will be displayed</w:t>
      </w:r>
      <w:proofErr w:type="gramEnd"/>
      <w:r w:rsidRPr="000016C0">
        <w:rPr>
          <w:sz w:val="24"/>
        </w:rPr>
        <w:t xml:space="preserve"> on every page of every form/i</w:t>
      </w:r>
      <w:r w:rsidRPr="000016C0" w:rsidR="008067C3">
        <w:rPr>
          <w:sz w:val="24"/>
        </w:rPr>
        <w:t>nstrument.</w:t>
      </w:r>
    </w:p>
    <w:p w:rsidR="00C22804" w:rsidP="00C22804" w:rsidRDefault="000016C0" w14:paraId="4711F04F" w14:textId="77777777">
      <w:pPr>
        <w:pStyle w:val="BodyTextIndent"/>
        <w:ind w:left="0"/>
        <w:rPr>
          <w:rFonts w:ascii="Times New Roman" w:hAnsi="Times New Roman"/>
        </w:rPr>
      </w:pPr>
      <w:r w:rsidRPr="000016C0">
        <w:rPr>
          <w:rFonts w:ascii="Times New Roman" w:hAnsi="Times New Roman"/>
          <w:b/>
        </w:rPr>
        <w:t>18.</w:t>
      </w:r>
      <w:r>
        <w:rPr>
          <w:rFonts w:ascii="Times New Roman" w:hAnsi="Times New Roman"/>
          <w:b/>
        </w:rPr>
        <w:t xml:space="preserve">  </w:t>
      </w:r>
      <w:r w:rsidRPr="000016C0" w:rsidR="009B3794">
        <w:rPr>
          <w:rFonts w:ascii="Times New Roman" w:hAnsi="Times New Roman"/>
          <w:b/>
          <w:u w:val="single"/>
        </w:rPr>
        <w:t>Exceptions to Certification for Paperwork Reduction Act Submissions</w:t>
      </w:r>
    </w:p>
    <w:p w:rsidR="00C22804" w:rsidP="00C22804" w:rsidRDefault="00C22804" w14:paraId="3C35210E" w14:textId="77777777">
      <w:pPr>
        <w:pStyle w:val="BodyTextIndent"/>
        <w:ind w:left="0"/>
        <w:rPr>
          <w:rFonts w:ascii="Times New Roman" w:hAnsi="Times New Roman"/>
        </w:rPr>
      </w:pPr>
    </w:p>
    <w:p w:rsidRPr="000016C0" w:rsidR="009B3794" w:rsidP="00C22804" w:rsidRDefault="009B3794" w14:paraId="22E2A3A6" w14:textId="229B55BE">
      <w:pPr>
        <w:pStyle w:val="BodyTextIndent"/>
        <w:ind w:left="0"/>
        <w:rPr>
          <w:rFonts w:ascii="Times New Roman" w:hAnsi="Times New Roman"/>
        </w:rPr>
      </w:pPr>
      <w:r w:rsidRPr="000016C0">
        <w:rPr>
          <w:rFonts w:ascii="Times New Roman" w:hAnsi="Times New Roman"/>
        </w:rPr>
        <w:t>There are no exceptions to the certification.</w:t>
      </w:r>
    </w:p>
    <w:sectPr w:rsidRPr="000016C0" w:rsidR="009B3794" w:rsidSect="001D4856">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69575" w14:textId="77777777" w:rsidR="009566BE" w:rsidRDefault="009566BE">
      <w:r>
        <w:separator/>
      </w:r>
    </w:p>
  </w:endnote>
  <w:endnote w:type="continuationSeparator" w:id="0">
    <w:p w14:paraId="0FB0958A" w14:textId="77777777" w:rsidR="009566BE" w:rsidRDefault="0095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2A3AB" w14:textId="77777777" w:rsidR="00D92E1D" w:rsidRDefault="00D92E1D">
    <w:pPr>
      <w:spacing w:line="240" w:lineRule="exact"/>
    </w:pPr>
  </w:p>
  <w:p w14:paraId="22E2A3AC" w14:textId="7BEF2903"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C22804">
      <w:rPr>
        <w:noProof/>
        <w:sz w:val="24"/>
      </w:rPr>
      <w:t>3</w:t>
    </w:r>
    <w:r>
      <w:rPr>
        <w:sz w:val="24"/>
      </w:rPr>
      <w:fldChar w:fldCharType="end"/>
    </w:r>
  </w:p>
  <w:p w14:paraId="22E2A3AD"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F3A50" w14:textId="77777777" w:rsidR="009566BE" w:rsidRDefault="009566BE">
      <w:r>
        <w:separator/>
      </w:r>
    </w:p>
  </w:footnote>
  <w:footnote w:type="continuationSeparator" w:id="0">
    <w:p w14:paraId="17DD541A" w14:textId="77777777" w:rsidR="009566BE" w:rsidRDefault="00956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EEF"/>
    <w:multiLevelType w:val="hybridMultilevel"/>
    <w:tmpl w:val="8166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A1D7109"/>
    <w:multiLevelType w:val="hybridMultilevel"/>
    <w:tmpl w:val="E1481EB2"/>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3"/>
  </w:num>
  <w:num w:numId="3">
    <w:abstractNumId w:val="15"/>
  </w:num>
  <w:num w:numId="4">
    <w:abstractNumId w:val="40"/>
  </w:num>
  <w:num w:numId="5">
    <w:abstractNumId w:val="43"/>
  </w:num>
  <w:num w:numId="6">
    <w:abstractNumId w:val="10"/>
  </w:num>
  <w:num w:numId="7">
    <w:abstractNumId w:val="36"/>
  </w:num>
  <w:num w:numId="8">
    <w:abstractNumId w:val="18"/>
  </w:num>
  <w:num w:numId="9">
    <w:abstractNumId w:val="27"/>
  </w:num>
  <w:num w:numId="10">
    <w:abstractNumId w:val="20"/>
  </w:num>
  <w:num w:numId="11">
    <w:abstractNumId w:val="9"/>
  </w:num>
  <w:num w:numId="12">
    <w:abstractNumId w:val="26"/>
  </w:num>
  <w:num w:numId="13">
    <w:abstractNumId w:val="21"/>
  </w:num>
  <w:num w:numId="14">
    <w:abstractNumId w:val="24"/>
  </w:num>
  <w:num w:numId="15">
    <w:abstractNumId w:val="8"/>
  </w:num>
  <w:num w:numId="16">
    <w:abstractNumId w:val="1"/>
  </w:num>
  <w:num w:numId="17">
    <w:abstractNumId w:val="2"/>
  </w:num>
  <w:num w:numId="18">
    <w:abstractNumId w:val="16"/>
  </w:num>
  <w:num w:numId="19">
    <w:abstractNumId w:val="35"/>
  </w:num>
  <w:num w:numId="20">
    <w:abstractNumId w:val="33"/>
  </w:num>
  <w:num w:numId="21">
    <w:abstractNumId w:val="19"/>
  </w:num>
  <w:num w:numId="22">
    <w:abstractNumId w:val="39"/>
  </w:num>
  <w:num w:numId="23">
    <w:abstractNumId w:val="31"/>
  </w:num>
  <w:num w:numId="24">
    <w:abstractNumId w:val="32"/>
  </w:num>
  <w:num w:numId="25">
    <w:abstractNumId w:val="42"/>
  </w:num>
  <w:num w:numId="26">
    <w:abstractNumId w:val="38"/>
  </w:num>
  <w:num w:numId="27">
    <w:abstractNumId w:val="4"/>
  </w:num>
  <w:num w:numId="28">
    <w:abstractNumId w:val="17"/>
  </w:num>
  <w:num w:numId="29">
    <w:abstractNumId w:val="41"/>
  </w:num>
  <w:num w:numId="30">
    <w:abstractNumId w:val="37"/>
  </w:num>
  <w:num w:numId="31">
    <w:abstractNumId w:val="34"/>
  </w:num>
  <w:num w:numId="32">
    <w:abstractNumId w:val="11"/>
  </w:num>
  <w:num w:numId="33">
    <w:abstractNumId w:val="3"/>
  </w:num>
  <w:num w:numId="34">
    <w:abstractNumId w:val="28"/>
  </w:num>
  <w:num w:numId="35">
    <w:abstractNumId w:val="13"/>
  </w:num>
  <w:num w:numId="36">
    <w:abstractNumId w:val="12"/>
  </w:num>
  <w:num w:numId="37">
    <w:abstractNumId w:val="14"/>
  </w:num>
  <w:num w:numId="38">
    <w:abstractNumId w:val="5"/>
  </w:num>
  <w:num w:numId="39">
    <w:abstractNumId w:val="30"/>
  </w:num>
  <w:num w:numId="40">
    <w:abstractNumId w:val="7"/>
  </w:num>
  <w:num w:numId="41">
    <w:abstractNumId w:val="29"/>
  </w:num>
  <w:num w:numId="42">
    <w:abstractNumId w:val="25"/>
  </w:num>
  <w:num w:numId="43">
    <w:abstractNumId w:val="6"/>
  </w:num>
  <w:num w:numId="44">
    <w:abstractNumId w:val="2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16C0"/>
    <w:rsid w:val="00015505"/>
    <w:rsid w:val="00055397"/>
    <w:rsid w:val="0007589B"/>
    <w:rsid w:val="00077229"/>
    <w:rsid w:val="000F4C75"/>
    <w:rsid w:val="001325B2"/>
    <w:rsid w:val="00143278"/>
    <w:rsid w:val="00173832"/>
    <w:rsid w:val="001920C3"/>
    <w:rsid w:val="00193359"/>
    <w:rsid w:val="00194D08"/>
    <w:rsid w:val="00197AD2"/>
    <w:rsid w:val="001A1E38"/>
    <w:rsid w:val="001B0544"/>
    <w:rsid w:val="001D4856"/>
    <w:rsid w:val="002027E3"/>
    <w:rsid w:val="002118B4"/>
    <w:rsid w:val="002640E7"/>
    <w:rsid w:val="00281924"/>
    <w:rsid w:val="00282825"/>
    <w:rsid w:val="002970A9"/>
    <w:rsid w:val="002B1690"/>
    <w:rsid w:val="002E0F61"/>
    <w:rsid w:val="00322313"/>
    <w:rsid w:val="00340463"/>
    <w:rsid w:val="00351D5C"/>
    <w:rsid w:val="00357AAD"/>
    <w:rsid w:val="00365470"/>
    <w:rsid w:val="00391E16"/>
    <w:rsid w:val="003948E2"/>
    <w:rsid w:val="003A1EE6"/>
    <w:rsid w:val="003A5C21"/>
    <w:rsid w:val="003D23B1"/>
    <w:rsid w:val="004563EF"/>
    <w:rsid w:val="00472847"/>
    <w:rsid w:val="004746CA"/>
    <w:rsid w:val="00476482"/>
    <w:rsid w:val="00490720"/>
    <w:rsid w:val="004A0B51"/>
    <w:rsid w:val="004B7ECA"/>
    <w:rsid w:val="004E687D"/>
    <w:rsid w:val="00503BAB"/>
    <w:rsid w:val="00521B23"/>
    <w:rsid w:val="005D7625"/>
    <w:rsid w:val="005E1765"/>
    <w:rsid w:val="006063FA"/>
    <w:rsid w:val="00620C22"/>
    <w:rsid w:val="00624019"/>
    <w:rsid w:val="00627FFD"/>
    <w:rsid w:val="00680D76"/>
    <w:rsid w:val="006940DA"/>
    <w:rsid w:val="006C134B"/>
    <w:rsid w:val="006F1B0F"/>
    <w:rsid w:val="00715367"/>
    <w:rsid w:val="0073114C"/>
    <w:rsid w:val="007326B6"/>
    <w:rsid w:val="007638AF"/>
    <w:rsid w:val="007A3B3C"/>
    <w:rsid w:val="007B0067"/>
    <w:rsid w:val="007C22E4"/>
    <w:rsid w:val="007E0A2A"/>
    <w:rsid w:val="007F047A"/>
    <w:rsid w:val="008002AB"/>
    <w:rsid w:val="008067C3"/>
    <w:rsid w:val="00875B2D"/>
    <w:rsid w:val="008B04CA"/>
    <w:rsid w:val="008B76B3"/>
    <w:rsid w:val="008C21D0"/>
    <w:rsid w:val="008D2D67"/>
    <w:rsid w:val="009270E8"/>
    <w:rsid w:val="00932A73"/>
    <w:rsid w:val="00935E77"/>
    <w:rsid w:val="009566BE"/>
    <w:rsid w:val="0096385E"/>
    <w:rsid w:val="009B3794"/>
    <w:rsid w:val="009B7E4D"/>
    <w:rsid w:val="009C4C0A"/>
    <w:rsid w:val="009E1311"/>
    <w:rsid w:val="009E1F52"/>
    <w:rsid w:val="00A05470"/>
    <w:rsid w:val="00A1688A"/>
    <w:rsid w:val="00A27EF4"/>
    <w:rsid w:val="00A6098E"/>
    <w:rsid w:val="00A92CAB"/>
    <w:rsid w:val="00AC3F8A"/>
    <w:rsid w:val="00AC4B8A"/>
    <w:rsid w:val="00AE7154"/>
    <w:rsid w:val="00B110E8"/>
    <w:rsid w:val="00B655C6"/>
    <w:rsid w:val="00B91159"/>
    <w:rsid w:val="00BA1A0C"/>
    <w:rsid w:val="00BC0A9D"/>
    <w:rsid w:val="00BF2F34"/>
    <w:rsid w:val="00C22804"/>
    <w:rsid w:val="00C25881"/>
    <w:rsid w:val="00C45431"/>
    <w:rsid w:val="00C74B86"/>
    <w:rsid w:val="00CA3DA6"/>
    <w:rsid w:val="00CA45E7"/>
    <w:rsid w:val="00CD36E7"/>
    <w:rsid w:val="00CE5AA9"/>
    <w:rsid w:val="00D11CA3"/>
    <w:rsid w:val="00D46313"/>
    <w:rsid w:val="00D56CC2"/>
    <w:rsid w:val="00D66AC7"/>
    <w:rsid w:val="00D74B86"/>
    <w:rsid w:val="00D90043"/>
    <w:rsid w:val="00D92E1D"/>
    <w:rsid w:val="00DA02DC"/>
    <w:rsid w:val="00DD7C4E"/>
    <w:rsid w:val="00DE3A45"/>
    <w:rsid w:val="00DE7995"/>
    <w:rsid w:val="00E00CEE"/>
    <w:rsid w:val="00E203FA"/>
    <w:rsid w:val="00E3348F"/>
    <w:rsid w:val="00E34A1F"/>
    <w:rsid w:val="00E87554"/>
    <w:rsid w:val="00E962DB"/>
    <w:rsid w:val="00EC38CD"/>
    <w:rsid w:val="00ED18EA"/>
    <w:rsid w:val="00EE529C"/>
    <w:rsid w:val="00F15388"/>
    <w:rsid w:val="00F27C84"/>
    <w:rsid w:val="00F4221E"/>
    <w:rsid w:val="00FD7619"/>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E3348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NormalWeb">
    <w:name w:val="Normal (Web)"/>
    <w:basedOn w:val="Normal"/>
    <w:rsid w:val="00282825"/>
    <w:pPr>
      <w:widowControl/>
      <w:autoSpaceDE/>
      <w:autoSpaceDN/>
      <w:adjustRightInd/>
      <w:spacing w:before="100" w:beforeAutospacing="1" w:after="100" w:afterAutospacing="1"/>
    </w:pPr>
    <w:rPr>
      <w:color w:val="000000"/>
      <w:sz w:val="24"/>
    </w:rPr>
  </w:style>
  <w:style w:type="character" w:customStyle="1" w:styleId="bodytext1">
    <w:name w:val="bodytext1"/>
    <w:rsid w:val="00282825"/>
    <w:rPr>
      <w:rFonts w:ascii="Arial" w:hAnsi="Arial" w:cs="Arial" w:hint="default"/>
      <w:sz w:val="20"/>
      <w:szCs w:val="20"/>
    </w:rPr>
  </w:style>
  <w:style w:type="character" w:styleId="FollowedHyperlink">
    <w:name w:val="FollowedHyperlink"/>
    <w:basedOn w:val="DefaultParagraphFont"/>
    <w:semiHidden/>
    <w:unhideWhenUsed/>
    <w:rsid w:val="00282825"/>
    <w:rPr>
      <w:color w:val="800080" w:themeColor="followedHyperlink"/>
      <w:u w:val="single"/>
    </w:rPr>
  </w:style>
  <w:style w:type="character" w:styleId="CommentReference">
    <w:name w:val="annotation reference"/>
    <w:basedOn w:val="DefaultParagraphFont"/>
    <w:semiHidden/>
    <w:unhideWhenUsed/>
    <w:rsid w:val="00282825"/>
    <w:rPr>
      <w:sz w:val="16"/>
      <w:szCs w:val="16"/>
    </w:rPr>
  </w:style>
  <w:style w:type="paragraph" w:styleId="CommentText">
    <w:name w:val="annotation text"/>
    <w:basedOn w:val="Normal"/>
    <w:link w:val="CommentTextChar"/>
    <w:semiHidden/>
    <w:unhideWhenUsed/>
    <w:rsid w:val="00282825"/>
    <w:rPr>
      <w:szCs w:val="20"/>
    </w:rPr>
  </w:style>
  <w:style w:type="character" w:customStyle="1" w:styleId="CommentTextChar">
    <w:name w:val="Comment Text Char"/>
    <w:basedOn w:val="DefaultParagraphFont"/>
    <w:link w:val="CommentText"/>
    <w:semiHidden/>
    <w:rsid w:val="00282825"/>
  </w:style>
  <w:style w:type="paragraph" w:styleId="CommentSubject">
    <w:name w:val="annotation subject"/>
    <w:basedOn w:val="CommentText"/>
    <w:next w:val="CommentText"/>
    <w:link w:val="CommentSubjectChar"/>
    <w:semiHidden/>
    <w:unhideWhenUsed/>
    <w:rsid w:val="00282825"/>
    <w:rPr>
      <w:b/>
      <w:bCs/>
    </w:rPr>
  </w:style>
  <w:style w:type="character" w:customStyle="1" w:styleId="CommentSubjectChar">
    <w:name w:val="Comment Subject Char"/>
    <w:basedOn w:val="CommentTextChar"/>
    <w:link w:val="CommentSubject"/>
    <w:semiHidden/>
    <w:rsid w:val="00282825"/>
    <w:rPr>
      <w:b/>
      <w:bCs/>
    </w:rPr>
  </w:style>
  <w:style w:type="character" w:customStyle="1" w:styleId="Heading2Char">
    <w:name w:val="Heading 2 Char"/>
    <w:basedOn w:val="DefaultParagraphFont"/>
    <w:link w:val="Heading2"/>
    <w:semiHidden/>
    <w:rsid w:val="00E3348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0016C0"/>
    <w:pPr>
      <w:tabs>
        <w:tab w:val="center" w:pos="4680"/>
        <w:tab w:val="right" w:pos="9360"/>
      </w:tabs>
    </w:pPr>
  </w:style>
  <w:style w:type="character" w:customStyle="1" w:styleId="HeaderChar">
    <w:name w:val="Header Char"/>
    <w:basedOn w:val="DefaultParagraphFont"/>
    <w:link w:val="Header"/>
    <w:rsid w:val="000016C0"/>
    <w:rPr>
      <w:szCs w:val="24"/>
    </w:rPr>
  </w:style>
  <w:style w:type="paragraph" w:styleId="Footer">
    <w:name w:val="footer"/>
    <w:basedOn w:val="Normal"/>
    <w:link w:val="FooterChar"/>
    <w:unhideWhenUsed/>
    <w:rsid w:val="000016C0"/>
    <w:pPr>
      <w:tabs>
        <w:tab w:val="center" w:pos="4680"/>
        <w:tab w:val="right" w:pos="9360"/>
      </w:tabs>
    </w:pPr>
  </w:style>
  <w:style w:type="character" w:customStyle="1" w:styleId="FooterChar">
    <w:name w:val="Footer Char"/>
    <w:basedOn w:val="DefaultParagraphFont"/>
    <w:link w:val="Footer"/>
    <w:rsid w:val="000016C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4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bls/blswage.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417E7F34D074CAD7F9576E8071F19" ma:contentTypeVersion="12" ma:contentTypeDescription="Create a new document." ma:contentTypeScope="" ma:versionID="eace34f50290f832647167836377549e">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78510e1900bead76336725bca04fd895"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DZXA3YQD6WY2-5833-232</_dlc_DocId>
    <_dlc_DocIdUrl xmlns="053a5afd-1424-405b-82d9-63deec7446f8">
      <Url>https://sharepoint.hrsa.gov/teams/forhp/cbd/_layouts/15/DocIdRedir.aspx?ID=DZXA3YQD6WY2-5833-232</Url>
      <Description>DZXA3YQD6WY2-5833-232</Description>
    </_dlc_DocIdUrl>
    <TaxCatchAll xmlns="c7d0ed18-d4ec-4450-b043-97ba750af715"/>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84C83-2CD3-4D91-B766-7D1E4DDF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B6409447-424B-46F1-97B6-0598EFE31B15}">
  <ds:schemaRefs>
    <ds:schemaRef ds:uri="http://schemas.microsoft.com/office/infopath/2007/PartnerControls"/>
    <ds:schemaRef ds:uri="c7d0ed18-d4ec-4450-b043-97ba750af715"/>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053a5afd-1424-405b-82d9-63deec7446f8"/>
    <ds:schemaRef ds:uri="http://www.w3.org/XML/1998/namespace"/>
  </ds:schemaRefs>
</ds:datastoreItem>
</file>

<file path=customXml/itemProps4.xml><?xml version="1.0" encoding="utf-8"?>
<ds:datastoreItem xmlns:ds="http://schemas.openxmlformats.org/officeDocument/2006/customXml" ds:itemID="{FF8E49D2-A1CD-4F41-BFF3-B815222EAAEE}">
  <ds:schemaRefs>
    <ds:schemaRef ds:uri="http://schemas.microsoft.com/sharepoint/events"/>
  </ds:schemaRefs>
</ds:datastoreItem>
</file>

<file path=customXml/itemProps5.xml><?xml version="1.0" encoding="utf-8"?>
<ds:datastoreItem xmlns:ds="http://schemas.openxmlformats.org/officeDocument/2006/customXml" ds:itemID="{EEEFA155-A3BC-4C05-8214-2F16DCFB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1045</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6851</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Elyana N.  Bowman</cp:lastModifiedBy>
  <cp:revision>25</cp:revision>
  <cp:lastPrinted>2010-10-14T13:41:00Z</cp:lastPrinted>
  <dcterms:created xsi:type="dcterms:W3CDTF">2021-03-09T16:29:00Z</dcterms:created>
  <dcterms:modified xsi:type="dcterms:W3CDTF">2021-03-12T17:03:00Z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0x01010059C417E7F34D074CAD7F9576E8071F19</vt:lpwstr>
  </property>
  <property fmtid="{D5CDD505-2E9C-101B-9397-08002B2CF9AE}" pid="3" name="_dlc_DocIdItemGuid">
    <vt:lpwstr>27adf530-e68a-4290-a4a4-8b30fb18d34a</vt:lpwstr>
  </property>
</Properties>
</file>