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6C5899" w:rsidRDefault="006C5899" w14:paraId="56A68FF7" w14:textId="77777777">
      <w:pPr>
        <w:jc w:val="center"/>
        <w:rPr>
          <w:rFonts w:eastAsia="Calibri"/>
        </w:rPr>
      </w:pPr>
      <w:r w:rsidRPr="00357C8A">
        <w:rPr>
          <w:rFonts w:eastAsia="Calibri"/>
        </w:rPr>
        <w:t>UNITED STATES FOOD AND DRUG ADMINISTRATION</w:t>
      </w:r>
    </w:p>
    <w:p w:rsidR="00357C8A" w:rsidP="006C5899" w:rsidRDefault="00357C8A" w14:paraId="4EEDD3A4" w14:textId="77777777">
      <w:pPr>
        <w:jc w:val="center"/>
        <w:rPr>
          <w:rFonts w:eastAsia="Calibri"/>
        </w:rPr>
      </w:pPr>
    </w:p>
    <w:p w:rsidRPr="00405926" w:rsidR="00174F6F" w:rsidP="006C5899" w:rsidRDefault="00FF2931" w14:paraId="14DD1D69" w14:textId="77777777">
      <w:pPr>
        <w:contextualSpacing/>
        <w:jc w:val="center"/>
      </w:pPr>
      <w:r>
        <w:t>Regulations for In Vivo Radiopharmaceuticals Used for Diagnosis</w:t>
      </w:r>
    </w:p>
    <w:p w:rsidR="00352640" w:rsidP="006C5899" w:rsidRDefault="00352640" w14:paraId="01BE0F07" w14:textId="77777777">
      <w:pPr>
        <w:jc w:val="center"/>
        <w:rPr>
          <w:rFonts w:eastAsia="Calibri"/>
        </w:rPr>
      </w:pPr>
    </w:p>
    <w:p w:rsidRPr="006C5899" w:rsidR="00357C8A" w:rsidP="006C5899" w:rsidRDefault="00357C8A" w14:paraId="735336C3" w14:textId="77777777">
      <w:pPr>
        <w:jc w:val="center"/>
        <w:rPr>
          <w:rFonts w:eastAsia="Calibri"/>
          <w:u w:val="single"/>
        </w:rPr>
      </w:pPr>
      <w:r w:rsidRPr="006C5899">
        <w:rPr>
          <w:rFonts w:eastAsia="Calibri"/>
          <w:u w:val="single"/>
        </w:rPr>
        <w:t>OMB Control No. 0910-</w:t>
      </w:r>
      <w:r w:rsidRPr="006C5899" w:rsidR="00352640">
        <w:rPr>
          <w:rFonts w:eastAsia="Calibri"/>
          <w:u w:val="single"/>
        </w:rPr>
        <w:t>0</w:t>
      </w:r>
      <w:r w:rsidRPr="006C5899" w:rsidR="00FF2931">
        <w:rPr>
          <w:rFonts w:eastAsia="Calibri"/>
          <w:u w:val="single"/>
        </w:rPr>
        <w:t>409</w:t>
      </w:r>
    </w:p>
    <w:p w:rsidR="00DB0F42" w:rsidP="006C5899" w:rsidRDefault="00DB0F42" w14:paraId="5A68D206" w14:textId="77777777">
      <w:pPr>
        <w:jc w:val="center"/>
        <w:rPr>
          <w:rFonts w:eastAsia="Calibri"/>
        </w:rPr>
      </w:pPr>
    </w:p>
    <w:p w:rsidR="00357C8A" w:rsidP="006C5899" w:rsidRDefault="00357C8A" w14:paraId="024E126A" w14:textId="77777777">
      <w:pPr>
        <w:jc w:val="center"/>
        <w:rPr>
          <w:rFonts w:eastAsia="Calibri"/>
        </w:rPr>
      </w:pPr>
      <w:r w:rsidRPr="00357C8A">
        <w:rPr>
          <w:rFonts w:eastAsia="Calibri"/>
        </w:rPr>
        <w:t>SUPPORTING STATEMENT</w:t>
      </w:r>
    </w:p>
    <w:p w:rsidR="009B4DF2" w:rsidP="006C5899" w:rsidRDefault="009B4DF2" w14:paraId="08252502" w14:textId="77777777">
      <w:pPr>
        <w:jc w:val="center"/>
        <w:rPr>
          <w:rFonts w:eastAsia="Calibri"/>
        </w:rPr>
      </w:pPr>
    </w:p>
    <w:p w:rsidR="00357C8A" w:rsidP="006C5899" w:rsidRDefault="00357C8A" w14:paraId="14096F8F" w14:textId="77777777">
      <w:pPr>
        <w:rPr>
          <w:rFonts w:eastAsia="Calibri"/>
        </w:rPr>
      </w:pPr>
      <w:r w:rsidRPr="00357C8A">
        <w:rPr>
          <w:rFonts w:eastAsia="Calibri"/>
          <w:b/>
        </w:rPr>
        <w:t>Part A:  Justification</w:t>
      </w:r>
      <w:r w:rsidRPr="00357C8A">
        <w:rPr>
          <w:rFonts w:eastAsia="Calibri"/>
        </w:rPr>
        <w:t>:</w:t>
      </w:r>
    </w:p>
    <w:p w:rsidRPr="00357C8A" w:rsidR="000D79CC" w:rsidP="006C5899" w:rsidRDefault="000D79CC" w14:paraId="49098367" w14:textId="77777777">
      <w:pPr>
        <w:rPr>
          <w:rFonts w:eastAsia="Calibri"/>
        </w:rPr>
      </w:pPr>
    </w:p>
    <w:p w:rsidRPr="008567D9" w:rsidR="00357C8A" w:rsidP="006C5899" w:rsidRDefault="00357C8A" w14:paraId="0D02D56F" w14:textId="77777777">
      <w:pPr>
        <w:numPr>
          <w:ilvl w:val="0"/>
          <w:numId w:val="6"/>
        </w:numPr>
        <w:spacing w:after="200" w:line="276" w:lineRule="auto"/>
        <w:rPr>
          <w:rFonts w:eastAsia="Calibri"/>
        </w:rPr>
      </w:pPr>
      <w:r w:rsidRPr="008567D9">
        <w:rPr>
          <w:rFonts w:eastAsia="Calibri"/>
          <w:u w:val="single"/>
        </w:rPr>
        <w:t>Circumstances Making the Collection of Information Necessary</w:t>
      </w:r>
    </w:p>
    <w:p w:rsidRPr="00FF2931" w:rsidR="00FF2931" w:rsidP="006C5899" w:rsidRDefault="00FF2931" w14:paraId="40C2B860" w14:textId="77777777">
      <w:pPr>
        <w:pStyle w:val="BodyText"/>
        <w:spacing w:after="0"/>
      </w:pPr>
      <w:r w:rsidRPr="00FF2931">
        <w:t xml:space="preserve">This information collection supports Food and Drug Administration (FDA or we) regulations regarding diagnostic radiopharmaceuticals intended for </w:t>
      </w:r>
      <w:r w:rsidRPr="00FF2931">
        <w:rPr>
          <w:i/>
        </w:rPr>
        <w:t xml:space="preserve">in vivo </w:t>
      </w:r>
      <w:r w:rsidRPr="00FF2931">
        <w:t xml:space="preserve">administration for diagnostic and monitoring use. </w:t>
      </w:r>
      <w:r>
        <w:t xml:space="preserve"> </w:t>
      </w:r>
      <w:r w:rsidRPr="00FF2931">
        <w:t xml:space="preserve">Under the Federal Food, Drug, and Cosmetic Act (the FD&amp;C Act), as amended, FDA is responsible for ensuring the safety and efficacy of drug products including radiopharmaceuticals. </w:t>
      </w:r>
      <w:r>
        <w:t xml:space="preserve"> </w:t>
      </w:r>
      <w:r w:rsidRPr="00FF2931">
        <w:t>Applicable regulations have been promulgated and</w:t>
      </w:r>
      <w:r w:rsidRPr="00FF2931">
        <w:rPr>
          <w:w w:val="99"/>
        </w:rPr>
        <w:t xml:space="preserve"> </w:t>
      </w:r>
      <w:r w:rsidRPr="00FF2931">
        <w:t xml:space="preserve">codified under 21 CFR </w:t>
      </w:r>
      <w:r>
        <w:t>p</w:t>
      </w:r>
      <w:r w:rsidRPr="00FF2931">
        <w:t>art 315 setting forth criteria used to evaluate the safety and</w:t>
      </w:r>
      <w:r w:rsidRPr="00FF2931">
        <w:rPr>
          <w:w w:val="99"/>
        </w:rPr>
        <w:t xml:space="preserve"> </w:t>
      </w:r>
      <w:r w:rsidRPr="00FF2931">
        <w:t xml:space="preserve">effectiveness of diagnostic radiopharmaceuticals. </w:t>
      </w:r>
      <w:r>
        <w:t xml:space="preserve"> </w:t>
      </w:r>
      <w:r w:rsidRPr="00FF2931">
        <w:t xml:space="preserve">The regulations supplement other CFR provisions regarding information that must be submitted to FDA for the evaluation and  approval of drug and biological product applications. </w:t>
      </w:r>
      <w:r>
        <w:t xml:space="preserve"> </w:t>
      </w:r>
      <w:r w:rsidRPr="00FF2931">
        <w:t xml:space="preserve">When these products are intended for use as described under 21 </w:t>
      </w:r>
      <w:r>
        <w:t>p</w:t>
      </w:r>
      <w:r w:rsidRPr="00FF2931">
        <w:t xml:space="preserve">art 315, additional information is needed. </w:t>
      </w:r>
      <w:r>
        <w:t xml:space="preserve"> Although</w:t>
      </w:r>
      <w:r w:rsidRPr="00FF2931">
        <w:t xml:space="preserve"> information</w:t>
      </w:r>
      <w:r w:rsidRPr="00FF2931">
        <w:rPr>
          <w:w w:val="99"/>
        </w:rPr>
        <w:t xml:space="preserve"> </w:t>
      </w:r>
      <w:r w:rsidRPr="00FF2931">
        <w:t>submitted as part of a new drug application (NDA) or biologics license application (BLA), or as a supplement to an approved application typically includes nonclinical and clinical data on the pharmacology, toxicology, adverse events, radiation safety assessments, chemistry, and</w:t>
      </w:r>
      <w:r w:rsidRPr="00FF2931">
        <w:rPr>
          <w:w w:val="99"/>
        </w:rPr>
        <w:t xml:space="preserve"> </w:t>
      </w:r>
      <w:r w:rsidRPr="00FF2931">
        <w:t>manufacturing controls</w:t>
      </w:r>
      <w:r>
        <w:t xml:space="preserve"> ,p</w:t>
      </w:r>
      <w:r w:rsidRPr="00FF2931">
        <w:t>art 315 discusses additional factors relevant to safety and the</w:t>
      </w:r>
      <w:r w:rsidRPr="00FF2931">
        <w:rPr>
          <w:w w:val="99"/>
        </w:rPr>
        <w:t xml:space="preserve"> </w:t>
      </w:r>
      <w:r w:rsidRPr="00FF2931">
        <w:t>evaluation of effectiveness unique to these products.</w:t>
      </w:r>
    </w:p>
    <w:p w:rsidR="00FF2931" w:rsidP="006C5899" w:rsidRDefault="00FF2931" w14:paraId="0928056F" w14:textId="77777777"/>
    <w:p w:rsidRPr="00FF2931" w:rsidR="00FF2931" w:rsidP="006C5899" w:rsidRDefault="00FF2931" w14:paraId="5F651C88" w14:textId="631BEC1D">
      <w:r w:rsidRPr="00FF2931">
        <w:t>We therefore request extension of OMB approval for the information collection requirements</w:t>
      </w:r>
      <w:r w:rsidRPr="00FF2931">
        <w:rPr>
          <w:w w:val="99"/>
        </w:rPr>
        <w:t xml:space="preserve"> </w:t>
      </w:r>
      <w:r w:rsidRPr="00FF2931">
        <w:t xml:space="preserve">found </w:t>
      </w:r>
      <w:r w:rsidR="006C5899">
        <w:t xml:space="preserve">in </w:t>
      </w:r>
      <w:r w:rsidRPr="00FF2931">
        <w:t xml:space="preserve">21 CFR part 315: </w:t>
      </w:r>
      <w:r>
        <w:t xml:space="preserve"> </w:t>
      </w:r>
      <w:r w:rsidRPr="006C5899">
        <w:rPr>
          <w:i/>
          <w:iCs/>
        </w:rPr>
        <w:t>Diagnostic Radiopharmaceuticals</w:t>
      </w:r>
      <w:r w:rsidRPr="00FF2931">
        <w:t>.</w:t>
      </w:r>
    </w:p>
    <w:p w:rsidRPr="00FF2931" w:rsidR="00E7475A" w:rsidP="006C5899" w:rsidRDefault="00E7475A" w14:paraId="450489DD" w14:textId="77777777">
      <w:pPr>
        <w:rPr>
          <w:rFonts w:eastAsia="Calibri"/>
        </w:rPr>
      </w:pPr>
    </w:p>
    <w:p w:rsidRPr="00357C8A" w:rsidR="00357C8A" w:rsidP="006C5899" w:rsidRDefault="00357C8A" w14:paraId="5A29B1CF"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F2931" w:rsidP="006C5899" w:rsidRDefault="00FF2931" w14:paraId="0C9739D4" w14:textId="77777777">
      <w:pPr>
        <w:spacing w:after="200"/>
        <w:rPr>
          <w:rFonts w:eastAsia="Calibri"/>
        </w:rPr>
      </w:pPr>
      <w:r>
        <w:rPr>
          <w:rFonts w:eastAsia="Calibri"/>
        </w:rPr>
        <w:t>We use t</w:t>
      </w:r>
      <w:r w:rsidRPr="00FF2931">
        <w:rPr>
          <w:rFonts w:eastAsia="Calibri"/>
        </w:rPr>
        <w:t xml:space="preserve">he information collection to evaluate the safety and efficacy of radiopharmaceuticals intended for a specific use. </w:t>
      </w:r>
      <w:r>
        <w:rPr>
          <w:rFonts w:eastAsia="Calibri"/>
        </w:rPr>
        <w:t xml:space="preserve"> </w:t>
      </w:r>
      <w:r w:rsidRPr="00FF2931">
        <w:rPr>
          <w:rFonts w:eastAsia="Calibri"/>
        </w:rPr>
        <w:t xml:space="preserve">Respondents to the information collection are applicants or sponsors of these products who must demonstrate compliance with the applicable regulations. </w:t>
      </w:r>
      <w:r>
        <w:rPr>
          <w:rFonts w:eastAsia="Calibri"/>
        </w:rPr>
        <w:t xml:space="preserve"> </w:t>
      </w:r>
      <w:r w:rsidRPr="00FF2931">
        <w:rPr>
          <w:rFonts w:eastAsia="Calibri"/>
        </w:rPr>
        <w:t>In addition, establishment and enforcement of the underlying regulatory provisions serves to implement</w:t>
      </w:r>
      <w:r w:rsidR="006C5899">
        <w:rPr>
          <w:rFonts w:eastAsia="Calibri"/>
        </w:rPr>
        <w:t xml:space="preserve"> our</w:t>
      </w:r>
      <w:r w:rsidRPr="00FF2931">
        <w:rPr>
          <w:rFonts w:eastAsia="Calibri"/>
        </w:rPr>
        <w:t xml:space="preserve"> public health protection responsibilities under the </w:t>
      </w:r>
      <w:r>
        <w:rPr>
          <w:rFonts w:eastAsia="Calibri"/>
        </w:rPr>
        <w:t>FD&amp;C Act</w:t>
      </w:r>
      <w:r w:rsidRPr="00FF2931">
        <w:rPr>
          <w:rFonts w:eastAsia="Calibri"/>
        </w:rPr>
        <w:t>.</w:t>
      </w:r>
    </w:p>
    <w:p w:rsidRPr="00357C8A" w:rsidR="00357C8A" w:rsidP="006C5899" w:rsidRDefault="00357C8A" w14:paraId="2092358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723FCA" w:rsidP="006C5899" w:rsidRDefault="00FF2931" w14:paraId="241B9E9C" w14:textId="77777777">
      <w:pPr>
        <w:spacing w:after="200"/>
      </w:pPr>
      <w:r w:rsidRPr="00FF2931">
        <w:t xml:space="preserve">The regulation does not specifically prescribe the use of automated, electronic, mechanical or other technological techniques or other forms of information technology to fulfill the information collection requirements. </w:t>
      </w:r>
      <w:r>
        <w:t xml:space="preserve"> </w:t>
      </w:r>
      <w:r w:rsidRPr="00FF2931">
        <w:t>Respondents may utilize information technology as desired</w:t>
      </w:r>
      <w:r>
        <w:t>,</w:t>
      </w:r>
      <w:r w:rsidRPr="00FF2931">
        <w:t xml:space="preserve"> and we estimate </w:t>
      </w:r>
      <w:r>
        <w:t xml:space="preserve">that </w:t>
      </w:r>
      <w:r w:rsidRPr="00FF2931">
        <w:t>nearly all (95%) will use electronic means to fulfill the information collection.</w:t>
      </w:r>
    </w:p>
    <w:p w:rsidRPr="00357C8A" w:rsidR="00357C8A" w:rsidP="006C5899" w:rsidRDefault="00357C8A" w14:paraId="52A08D1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FF2931" w:rsidP="006C5899" w:rsidRDefault="00FF2931" w14:paraId="745214C1" w14:textId="77777777">
      <w:pPr>
        <w:contextualSpacing/>
      </w:pPr>
      <w:r w:rsidRPr="00FF2931">
        <w:t xml:space="preserve">We are unaware of duplicative information collection. </w:t>
      </w:r>
      <w:r>
        <w:t xml:space="preserve"> </w:t>
      </w:r>
      <w:r w:rsidRPr="00FF2931">
        <w:t>Other information collections have been established to support regulatory requirements associated with new drug or biologic applications (</w:t>
      </w:r>
      <w:r>
        <w:t>for example, O</w:t>
      </w:r>
      <w:r w:rsidRPr="00FF2931">
        <w:t xml:space="preserve">MB </w:t>
      </w:r>
      <w:r>
        <w:t>control numbers</w:t>
      </w:r>
      <w:r w:rsidRPr="00FF2931">
        <w:t xml:space="preserve"> 0910-0001 and 0910-0338). </w:t>
      </w:r>
      <w:r>
        <w:t xml:space="preserve"> </w:t>
      </w:r>
      <w:r w:rsidRPr="00FF2931">
        <w:t xml:space="preserve">However, this information </w:t>
      </w:r>
      <w:r w:rsidRPr="00FF2931">
        <w:lastRenderedPageBreak/>
        <w:t xml:space="preserve">collection covers only those requirements described in </w:t>
      </w:r>
      <w:r>
        <w:t>p</w:t>
      </w:r>
      <w:r w:rsidRPr="00FF2931">
        <w:t>art 315 regarding radiopharmaceuticals intended for in vivo administration for diagnostic and monitoring use.</w:t>
      </w:r>
      <w:r>
        <w:t xml:space="preserve"> </w:t>
      </w:r>
    </w:p>
    <w:p w:rsidR="00FF2931" w:rsidP="006C5899" w:rsidRDefault="00FF2931" w14:paraId="0BF3290D" w14:textId="77777777">
      <w:pPr>
        <w:contextualSpacing/>
      </w:pPr>
    </w:p>
    <w:p w:rsidR="00357C8A" w:rsidP="006C5899" w:rsidRDefault="00357C8A" w14:paraId="0A7A91CC" w14:textId="77777777">
      <w:pPr>
        <w:numPr>
          <w:ilvl w:val="0"/>
          <w:numId w:val="6"/>
        </w:numPr>
        <w:spacing w:after="200" w:line="276" w:lineRule="auto"/>
        <w:rPr>
          <w:rFonts w:eastAsia="Calibri"/>
          <w:u w:val="single"/>
        </w:rPr>
      </w:pPr>
      <w:r w:rsidRPr="00357C8A">
        <w:rPr>
          <w:rFonts w:eastAsia="Calibri"/>
          <w:u w:val="single"/>
        </w:rPr>
        <w:t>Impact on Small Businesses or Other Small Entities</w:t>
      </w:r>
    </w:p>
    <w:p w:rsidR="00F73713" w:rsidP="006C5899" w:rsidRDefault="00FF2931" w14:paraId="1B37E9D2" w14:textId="77777777">
      <w:pPr>
        <w:pStyle w:val="Default"/>
        <w:rPr>
          <w:rFonts w:eastAsia="Calibri"/>
          <w:color w:val="auto"/>
        </w:rPr>
      </w:pPr>
      <w:r w:rsidRPr="00FF2931">
        <w:rPr>
          <w:rFonts w:eastAsia="Calibri"/>
          <w:color w:val="auto"/>
        </w:rPr>
        <w:t xml:space="preserve">We believe the information collection poses no undue burden on small entities. At the same time, we assist small businesses in complying with our requirements through our Regional Small Business Representatives and through the scientific and administrative staffs within the agency. We also provide a Small Business Guide on our website at:  </w:t>
      </w:r>
      <w:hyperlink w:history="1" r:id="rId7">
        <w:r w:rsidRPr="009D1526" w:rsidR="00BE174E">
          <w:rPr>
            <w:rStyle w:val="Hyperlink"/>
            <w:rFonts w:eastAsia="Calibri"/>
          </w:rPr>
          <w:t>http://www.fda.gov/ForIndustry/SmallBusinessAssistance/default.htm</w:t>
        </w:r>
      </w:hyperlink>
      <w:r w:rsidRPr="00FF2931">
        <w:rPr>
          <w:rFonts w:eastAsia="Calibri"/>
          <w:color w:val="auto"/>
        </w:rPr>
        <w:t>.</w:t>
      </w:r>
    </w:p>
    <w:p w:rsidR="00FF2931" w:rsidP="006C5899" w:rsidRDefault="00FF2931" w14:paraId="4B11E54B" w14:textId="77777777">
      <w:pPr>
        <w:pStyle w:val="Default"/>
      </w:pPr>
    </w:p>
    <w:p w:rsidRPr="00357C8A" w:rsidR="00357C8A" w:rsidP="006C5899" w:rsidRDefault="00357C8A" w14:paraId="08965D7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5F31EA" w:rsidP="006C5899" w:rsidRDefault="005F31EA" w14:paraId="0B8B80CF" w14:textId="77777777">
      <w:pPr>
        <w:pStyle w:val="BodyText"/>
        <w:spacing w:after="0"/>
      </w:pPr>
      <w:r>
        <w:t>This information collection schedule is consistent with statutory provisions and applicable regulations.</w:t>
      </w:r>
    </w:p>
    <w:p w:rsidR="00F73713" w:rsidP="006C5899" w:rsidRDefault="00F73713" w14:paraId="01D946FE" w14:textId="77777777">
      <w:pPr>
        <w:autoSpaceDE w:val="0"/>
        <w:autoSpaceDN w:val="0"/>
        <w:adjustRightInd w:val="0"/>
      </w:pPr>
    </w:p>
    <w:p w:rsidRPr="00357C8A" w:rsidR="00357C8A" w:rsidP="006C5899" w:rsidRDefault="00357C8A" w14:paraId="07851DD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0635F6" w:rsidP="006C5899" w:rsidRDefault="000635F6" w14:paraId="18D5C6D4" w14:textId="77777777">
      <w:pPr>
        <w:pStyle w:val="BodyText"/>
        <w:spacing w:before="69"/>
        <w:rPr>
          <w:spacing w:val="-1"/>
        </w:rPr>
      </w:pPr>
      <w:r>
        <w:t xml:space="preserve">There are no special </w:t>
      </w:r>
      <w:r>
        <w:rPr>
          <w:spacing w:val="-1"/>
        </w:rPr>
        <w:t>circumstances</w:t>
      </w:r>
      <w:r>
        <w:rPr>
          <w:spacing w:val="-2"/>
        </w:rPr>
        <w:t xml:space="preserve"> </w:t>
      </w:r>
      <w:r>
        <w:t xml:space="preserve">for the collection of </w:t>
      </w:r>
      <w:r>
        <w:rPr>
          <w:spacing w:val="-1"/>
        </w:rPr>
        <w:t>information.</w:t>
      </w:r>
    </w:p>
    <w:p w:rsidRPr="0031550C" w:rsidR="00357C8A" w:rsidP="006C5899" w:rsidRDefault="00357C8A" w14:paraId="5C396CB3" w14:textId="77777777">
      <w:pPr>
        <w:numPr>
          <w:ilvl w:val="0"/>
          <w:numId w:val="6"/>
        </w:numPr>
        <w:spacing w:after="200" w:line="276" w:lineRule="auto"/>
        <w:rPr>
          <w:rFonts w:eastAsia="Calibri"/>
        </w:rPr>
      </w:pPr>
      <w:r w:rsidRPr="0031550C">
        <w:rPr>
          <w:rFonts w:eastAsia="Calibri"/>
          <w:u w:val="single"/>
        </w:rPr>
        <w:t>Comments in Response to the Federal Register Notice and Efforts to Consult Outside the Agency</w:t>
      </w:r>
    </w:p>
    <w:p w:rsidRPr="007C7BDF" w:rsidR="00792947" w:rsidP="006C5899" w:rsidRDefault="00792947" w14:paraId="220BFABD" w14:textId="46622429">
      <w:pPr>
        <w:spacing w:after="200"/>
        <w:rPr>
          <w:rFonts w:eastAsia="Calibri"/>
        </w:rPr>
      </w:pPr>
      <w:r w:rsidRPr="007C7BDF">
        <w:rPr>
          <w:rFonts w:eastAsia="Calibri"/>
        </w:rPr>
        <w:t xml:space="preserve">FDA published a 60-day notice for public comment in the </w:t>
      </w:r>
      <w:r w:rsidRPr="007C7BDF">
        <w:rPr>
          <w:rFonts w:eastAsia="Calibri"/>
          <w:i/>
        </w:rPr>
        <w:t>Federal Register</w:t>
      </w:r>
      <w:r w:rsidRPr="007C7BDF">
        <w:rPr>
          <w:rFonts w:eastAsia="Calibri"/>
        </w:rPr>
        <w:t xml:space="preserve"> of</w:t>
      </w:r>
      <w:r w:rsidR="004C0D88">
        <w:rPr>
          <w:rFonts w:eastAsia="Calibri"/>
        </w:rPr>
        <w:t xml:space="preserve"> November </w:t>
      </w:r>
      <w:r w:rsidRPr="007C7BDF" w:rsidR="007C7BDF">
        <w:rPr>
          <w:rFonts w:eastAsia="Calibri"/>
        </w:rPr>
        <w:t>1</w:t>
      </w:r>
      <w:r w:rsidR="004C0D88">
        <w:rPr>
          <w:rFonts w:eastAsia="Calibri"/>
        </w:rPr>
        <w:t>2</w:t>
      </w:r>
      <w:bookmarkStart w:name="_GoBack" w:id="0"/>
      <w:bookmarkEnd w:id="0"/>
      <w:r w:rsidRPr="007C7BDF" w:rsidR="007C7BDF">
        <w:rPr>
          <w:rFonts w:eastAsia="Calibri"/>
        </w:rPr>
        <w:t>, 2020</w:t>
      </w:r>
      <w:r w:rsidRPr="007C7BDF" w:rsidR="009009E7">
        <w:rPr>
          <w:rFonts w:eastAsia="Calibri"/>
        </w:rPr>
        <w:t xml:space="preserve"> (</w:t>
      </w:r>
      <w:r w:rsidRPr="007C7BDF" w:rsidR="007C7BDF">
        <w:rPr>
          <w:rFonts w:eastAsia="Calibri"/>
        </w:rPr>
        <w:t>85</w:t>
      </w:r>
      <w:r w:rsidRPr="007C7BDF" w:rsidR="0098172D">
        <w:rPr>
          <w:rFonts w:eastAsia="Calibri"/>
        </w:rPr>
        <w:t xml:space="preserve"> FR </w:t>
      </w:r>
      <w:r w:rsidRPr="007C7BDF" w:rsidR="007C7BDF">
        <w:rPr>
          <w:bCs/>
        </w:rPr>
        <w:t>71923)</w:t>
      </w:r>
      <w:r w:rsidRPr="007C7BDF" w:rsidR="0098172D">
        <w:rPr>
          <w:rFonts w:eastAsia="Calibri"/>
        </w:rPr>
        <w:t>.</w:t>
      </w:r>
      <w:r w:rsidR="00684C5B">
        <w:rPr>
          <w:rFonts w:eastAsia="Calibri"/>
        </w:rPr>
        <w:t xml:space="preserve">  No comments were received. </w:t>
      </w:r>
    </w:p>
    <w:p w:rsidRPr="00357C8A" w:rsidR="00357C8A" w:rsidP="006C5899" w:rsidRDefault="00357C8A" w14:paraId="409EEF7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29020C" w:rsidR="00357C8A" w:rsidP="006C5899" w:rsidRDefault="00792947" w14:paraId="2C54802B" w14:textId="77777777">
      <w:pPr>
        <w:spacing w:after="200"/>
        <w:rPr>
          <w:rFonts w:eastAsia="Calibri"/>
        </w:rPr>
      </w:pPr>
      <w:r w:rsidRPr="002074FE">
        <w:rPr>
          <w:rFonts w:eastAsia="Calibri"/>
        </w:rPr>
        <w:t>There are no incentives, payments</w:t>
      </w:r>
      <w:r w:rsidR="00684C5B">
        <w:rPr>
          <w:rFonts w:eastAsia="Calibri"/>
        </w:rPr>
        <w:t>,</w:t>
      </w:r>
      <w:r w:rsidRPr="002074FE">
        <w:rPr>
          <w:rFonts w:eastAsia="Calibri"/>
        </w:rPr>
        <w:t xml:space="preserve"> or gifts associated with this information collection.</w:t>
      </w:r>
    </w:p>
    <w:p w:rsidRPr="004D4C23" w:rsidR="00357C8A" w:rsidP="006C5899" w:rsidRDefault="00357C8A" w14:paraId="40C5BB5A" w14:textId="77777777">
      <w:pPr>
        <w:numPr>
          <w:ilvl w:val="0"/>
          <w:numId w:val="6"/>
        </w:numPr>
        <w:spacing w:after="200" w:line="276" w:lineRule="auto"/>
        <w:rPr>
          <w:rFonts w:eastAsia="Calibri"/>
        </w:rPr>
      </w:pPr>
      <w:r w:rsidRPr="004D4C23">
        <w:rPr>
          <w:rFonts w:eastAsia="Calibri"/>
          <w:u w:val="single"/>
        </w:rPr>
        <w:t>Assurance of Confidentiality Provided to Respondents</w:t>
      </w:r>
    </w:p>
    <w:p w:rsidRPr="004648A9" w:rsidR="0037324B" w:rsidP="006C5899" w:rsidRDefault="0037324B" w14:paraId="7CB13B57" w14:textId="77777777">
      <w:r w:rsidRPr="004648A9">
        <w:t>In preparing this Supporting Statement, we consulted with our Privacy Office to ensure appropriate handling of information collected.</w:t>
      </w:r>
    </w:p>
    <w:p w:rsidRPr="004648A9" w:rsidR="0037324B" w:rsidP="006C5899" w:rsidRDefault="0037324B" w14:paraId="363E7C08" w14:textId="77777777"/>
    <w:p w:rsidR="0037324B" w:rsidP="006C5899" w:rsidRDefault="0037324B" w14:paraId="16290976" w14:textId="77777777">
      <w:r w:rsidRPr="00260C69">
        <w:t xml:space="preserve">This ICR does not collect personally identifiable information (PII) or information of a personal nature. </w:t>
      </w:r>
      <w:r w:rsidRPr="004648A9">
        <w:t>This information collection supports a Food and Drug Administration’s Biosimilars Patient Study.</w:t>
      </w:r>
    </w:p>
    <w:p w:rsidR="0037324B" w:rsidP="006C5899" w:rsidRDefault="0037324B" w14:paraId="3F5CC371" w14:textId="77777777"/>
    <w:p w:rsidRPr="00A30296" w:rsidR="0037324B" w:rsidP="006C5899" w:rsidRDefault="0037324B" w14:paraId="64C29C24" w14:textId="77777777">
      <w:r>
        <w:rPr>
          <w:rFonts w:ascii="TimesNewRomanPSMT" w:hAnsi="TimesNewRomanPSMT" w:cs="TimesNewRomanPSMT"/>
        </w:rPr>
        <w:t>This ICR supports our regulations regarding diagnostic radiopharmaceuticals intended for in vivo administration for diagnostic and monitoring use. The ICR contains estimates of the annual reporting burden for preparation of the safety and effectiveness information covered by the applicable regulations.</w:t>
      </w:r>
    </w:p>
    <w:p w:rsidRPr="004648A9" w:rsidR="0037324B" w:rsidP="006C5899" w:rsidRDefault="0037324B" w14:paraId="18ED05F8" w14:textId="77777777"/>
    <w:p w:rsidRPr="004648A9" w:rsidR="0037324B" w:rsidP="006C5899" w:rsidRDefault="0037324B" w14:paraId="580ABC5B" w14:textId="77777777">
      <w:pPr>
        <w:pStyle w:val="ListParagraph"/>
        <w:ind w:left="0"/>
      </w:pPr>
      <w:r w:rsidRPr="004648A9">
        <w:t>FDA further determined that this collection is not subject to the Privacy Act of 1974 and the particular notice and other requirements of the Act do not apply. Specifically, FDA (including vendors or service providers acting on behalf of FDA) does  not use name or any other personal identifier to retrieve records from the information collected</w:t>
      </w:r>
    </w:p>
    <w:p w:rsidRPr="004648A9" w:rsidR="0037324B" w:rsidP="006C5899" w:rsidRDefault="0037324B" w14:paraId="2EE8D0EB" w14:textId="77777777">
      <w:pPr>
        <w:pStyle w:val="ListParagraph"/>
        <w:ind w:left="0"/>
      </w:pPr>
    </w:p>
    <w:p w:rsidRPr="004648A9" w:rsidR="0037324B" w:rsidP="006C5899" w:rsidRDefault="0037324B" w14:paraId="34A38364" w14:textId="77777777">
      <w:pPr>
        <w:pStyle w:val="ListParagraph"/>
        <w:ind w:left="0"/>
      </w:pPr>
      <w:r w:rsidRPr="004648A9">
        <w:lastRenderedPageBreak/>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4648A9" w:rsidR="0037324B" w:rsidP="006C5899" w:rsidRDefault="0037324B" w14:paraId="7FF459C2" w14:textId="77777777">
      <w:pPr>
        <w:spacing w:after="200"/>
        <w:rPr>
          <w:rFonts w:eastAsia="Calibri"/>
        </w:rPr>
      </w:pPr>
    </w:p>
    <w:p w:rsidR="0037324B" w:rsidP="006C5899" w:rsidRDefault="0037324B" w14:paraId="5C245DC9" w14:textId="77777777">
      <w:pPr>
        <w:pStyle w:val="BodyText"/>
        <w:ind w:right="101"/>
      </w:pPr>
      <w:r>
        <w:t>The</w:t>
      </w:r>
      <w:r>
        <w:rPr>
          <w:spacing w:val="-6"/>
        </w:rPr>
        <w:t xml:space="preserve"> </w:t>
      </w:r>
      <w:r>
        <w:rPr>
          <w:spacing w:val="-1"/>
        </w:rPr>
        <w:t>confidentiality</w:t>
      </w:r>
      <w:r>
        <w:rPr>
          <w:spacing w:val="-5"/>
        </w:rPr>
        <w:t xml:space="preserve"> </w:t>
      </w:r>
      <w:r>
        <w:t>of</w:t>
      </w:r>
      <w:r>
        <w:rPr>
          <w:spacing w:val="-6"/>
        </w:rPr>
        <w:t xml:space="preserve"> </w:t>
      </w:r>
      <w:r>
        <w:rPr>
          <w:spacing w:val="-1"/>
        </w:rPr>
        <w:t>the</w:t>
      </w:r>
      <w:r>
        <w:rPr>
          <w:spacing w:val="-5"/>
        </w:rPr>
        <w:t xml:space="preserve"> </w:t>
      </w:r>
      <w:r>
        <w:rPr>
          <w:spacing w:val="-1"/>
        </w:rPr>
        <w:t>information</w:t>
      </w:r>
      <w:r>
        <w:rPr>
          <w:spacing w:val="-5"/>
        </w:rPr>
        <w:t xml:space="preserve"> </w:t>
      </w:r>
      <w:r>
        <w:rPr>
          <w:spacing w:val="-1"/>
        </w:rPr>
        <w:t>received</w:t>
      </w:r>
      <w:r>
        <w:rPr>
          <w:spacing w:val="-5"/>
        </w:rPr>
        <w:t xml:space="preserve"> </w:t>
      </w:r>
      <w:r>
        <w:rPr>
          <w:spacing w:val="-1"/>
        </w:rPr>
        <w:t>by</w:t>
      </w:r>
      <w:r>
        <w:rPr>
          <w:spacing w:val="-5"/>
        </w:rPr>
        <w:t xml:space="preserve"> </w:t>
      </w:r>
      <w:r>
        <w:t>FDA</w:t>
      </w:r>
      <w:r>
        <w:rPr>
          <w:spacing w:val="-5"/>
        </w:rPr>
        <w:t xml:space="preserve"> </w:t>
      </w:r>
      <w:r>
        <w:t>is</w:t>
      </w:r>
      <w:r>
        <w:rPr>
          <w:spacing w:val="-5"/>
        </w:rPr>
        <w:t xml:space="preserve"> </w:t>
      </w:r>
      <w:r>
        <w:rPr>
          <w:spacing w:val="-1"/>
        </w:rPr>
        <w:t>consistent</w:t>
      </w:r>
      <w:r>
        <w:rPr>
          <w:spacing w:val="-5"/>
        </w:rPr>
        <w:t xml:space="preserve"> </w:t>
      </w:r>
      <w:r>
        <w:t>with</w:t>
      </w:r>
      <w:r>
        <w:rPr>
          <w:spacing w:val="-7"/>
        </w:rPr>
        <w:t xml:space="preserve"> </w:t>
      </w:r>
      <w:r>
        <w:t>the</w:t>
      </w:r>
      <w:r>
        <w:rPr>
          <w:spacing w:val="-5"/>
        </w:rPr>
        <w:t xml:space="preserve"> </w:t>
      </w:r>
      <w:r>
        <w:rPr>
          <w:spacing w:val="-1"/>
        </w:rPr>
        <w:t>Freedom</w:t>
      </w:r>
      <w:r>
        <w:rPr>
          <w:spacing w:val="-5"/>
        </w:rPr>
        <w:t xml:space="preserve"> </w:t>
      </w:r>
      <w:r>
        <w:t>of</w:t>
      </w:r>
      <w:r>
        <w:rPr>
          <w:spacing w:val="87"/>
        </w:rPr>
        <w:t xml:space="preserve"> </w:t>
      </w:r>
      <w:r>
        <w:rPr>
          <w:spacing w:val="-1"/>
        </w:rPr>
        <w:t>Information</w:t>
      </w:r>
      <w:r>
        <w:rPr>
          <w:spacing w:val="-6"/>
        </w:rPr>
        <w:t xml:space="preserve"> </w:t>
      </w:r>
      <w:r>
        <w:t>Act</w:t>
      </w:r>
      <w:r>
        <w:rPr>
          <w:spacing w:val="-5"/>
        </w:rPr>
        <w:t xml:space="preserve"> </w:t>
      </w:r>
      <w:r>
        <w:t>and</w:t>
      </w:r>
      <w:r>
        <w:rPr>
          <w:spacing w:val="-6"/>
        </w:rPr>
        <w:t xml:space="preserve"> </w:t>
      </w:r>
      <w:r>
        <w:t>regulations</w:t>
      </w:r>
      <w:r>
        <w:rPr>
          <w:spacing w:val="-4"/>
        </w:rPr>
        <w:t xml:space="preserve"> </w:t>
      </w:r>
      <w:r>
        <w:t>under</w:t>
      </w:r>
      <w:r>
        <w:rPr>
          <w:spacing w:val="-5"/>
        </w:rPr>
        <w:t xml:space="preserve"> </w:t>
      </w:r>
      <w:r>
        <w:t>21</w:t>
      </w:r>
      <w:r>
        <w:rPr>
          <w:spacing w:val="-5"/>
        </w:rPr>
        <w:t xml:space="preserve"> </w:t>
      </w:r>
      <w:r>
        <w:t>CFR</w:t>
      </w:r>
      <w:r>
        <w:rPr>
          <w:spacing w:val="-5"/>
        </w:rPr>
        <w:t xml:space="preserve"> </w:t>
      </w:r>
      <w:r>
        <w:rPr>
          <w:spacing w:val="-1"/>
        </w:rPr>
        <w:t>Part</w:t>
      </w:r>
      <w:r>
        <w:rPr>
          <w:spacing w:val="-5"/>
        </w:rPr>
        <w:t xml:space="preserve"> </w:t>
      </w:r>
      <w:r>
        <w:t>20.</w:t>
      </w:r>
      <w:r>
        <w:rPr>
          <w:spacing w:val="51"/>
        </w:rPr>
        <w:t xml:space="preserve"> </w:t>
      </w:r>
      <w:r>
        <w:t>Manufacturers</w:t>
      </w:r>
      <w:r>
        <w:rPr>
          <w:spacing w:val="-4"/>
        </w:rPr>
        <w:t xml:space="preserve"> </w:t>
      </w:r>
      <w:r>
        <w:t>seeking</w:t>
      </w:r>
      <w:r>
        <w:rPr>
          <w:spacing w:val="-5"/>
        </w:rPr>
        <w:t xml:space="preserve"> </w:t>
      </w:r>
      <w:r>
        <w:t>to</w:t>
      </w:r>
      <w:r>
        <w:rPr>
          <w:spacing w:val="-5"/>
        </w:rPr>
        <w:t xml:space="preserve"> </w:t>
      </w:r>
      <w:r>
        <w:rPr>
          <w:spacing w:val="-1"/>
        </w:rPr>
        <w:t>market</w:t>
      </w:r>
      <w:r>
        <w:rPr>
          <w:spacing w:val="-4"/>
        </w:rPr>
        <w:t xml:space="preserve"> </w:t>
      </w:r>
      <w:r>
        <w:t>a</w:t>
      </w:r>
      <w:r>
        <w:rPr>
          <w:spacing w:val="31"/>
          <w:w w:val="99"/>
        </w:rPr>
        <w:t xml:space="preserve"> </w:t>
      </w:r>
      <w:r>
        <w:t>diagnostic</w:t>
      </w:r>
      <w:r>
        <w:rPr>
          <w:spacing w:val="-6"/>
        </w:rPr>
        <w:t xml:space="preserve"> </w:t>
      </w:r>
      <w:r>
        <w:rPr>
          <w:spacing w:val="-1"/>
        </w:rPr>
        <w:t>radiopharmaceutical</w:t>
      </w:r>
      <w:r>
        <w:rPr>
          <w:spacing w:val="-7"/>
        </w:rPr>
        <w:t xml:space="preserve"> </w:t>
      </w:r>
      <w:r>
        <w:rPr>
          <w:spacing w:val="-1"/>
        </w:rPr>
        <w:t>or</w:t>
      </w:r>
      <w:r>
        <w:rPr>
          <w:spacing w:val="-5"/>
        </w:rPr>
        <w:t xml:space="preserve"> </w:t>
      </w:r>
      <w:r>
        <w:t>a</w:t>
      </w:r>
      <w:r>
        <w:rPr>
          <w:spacing w:val="-6"/>
        </w:rPr>
        <w:t xml:space="preserve"> </w:t>
      </w:r>
      <w:r>
        <w:t>new</w:t>
      </w:r>
      <w:r>
        <w:rPr>
          <w:spacing w:val="-5"/>
        </w:rPr>
        <w:t xml:space="preserve"> </w:t>
      </w:r>
      <w:r>
        <w:rPr>
          <w:spacing w:val="-1"/>
        </w:rPr>
        <w:t>indication</w:t>
      </w:r>
      <w:r>
        <w:rPr>
          <w:spacing w:val="-7"/>
        </w:rPr>
        <w:t xml:space="preserve"> </w:t>
      </w:r>
      <w:r>
        <w:t>for</w:t>
      </w:r>
      <w:r>
        <w:rPr>
          <w:spacing w:val="-5"/>
        </w:rPr>
        <w:t xml:space="preserve"> </w:t>
      </w:r>
      <w:r>
        <w:t>use</w:t>
      </w:r>
      <w:r>
        <w:rPr>
          <w:spacing w:val="-6"/>
        </w:rPr>
        <w:t xml:space="preserve"> </w:t>
      </w:r>
      <w:r>
        <w:t>for</w:t>
      </w:r>
      <w:r>
        <w:rPr>
          <w:spacing w:val="-6"/>
        </w:rPr>
        <w:t xml:space="preserve"> </w:t>
      </w:r>
      <w:r>
        <w:t>an</w:t>
      </w:r>
      <w:r>
        <w:rPr>
          <w:spacing w:val="-5"/>
        </w:rPr>
        <w:t xml:space="preserve"> </w:t>
      </w:r>
      <w:r>
        <w:rPr>
          <w:spacing w:val="-1"/>
        </w:rPr>
        <w:t>approved</w:t>
      </w:r>
      <w:r>
        <w:rPr>
          <w:spacing w:val="-6"/>
        </w:rPr>
        <w:t xml:space="preserve"> </w:t>
      </w:r>
      <w:r>
        <w:t>diagnostic</w:t>
      </w:r>
      <w:r>
        <w:rPr>
          <w:spacing w:val="65"/>
          <w:w w:val="99"/>
        </w:rPr>
        <w:t xml:space="preserve"> </w:t>
      </w:r>
      <w:r>
        <w:rPr>
          <w:spacing w:val="-1"/>
        </w:rPr>
        <w:t>radiopharmaceutical</w:t>
      </w:r>
      <w:r>
        <w:rPr>
          <w:spacing w:val="-8"/>
        </w:rPr>
        <w:t xml:space="preserve"> </w:t>
      </w:r>
      <w:r>
        <w:rPr>
          <w:spacing w:val="-1"/>
        </w:rPr>
        <w:t>may</w:t>
      </w:r>
      <w:r>
        <w:rPr>
          <w:spacing w:val="-7"/>
        </w:rPr>
        <w:t xml:space="preserve"> </w:t>
      </w:r>
      <w:r>
        <w:t>be</w:t>
      </w:r>
      <w:r>
        <w:rPr>
          <w:spacing w:val="-7"/>
        </w:rPr>
        <w:t xml:space="preserve"> </w:t>
      </w:r>
      <w:r>
        <w:t>required</w:t>
      </w:r>
      <w:r>
        <w:rPr>
          <w:spacing w:val="-7"/>
        </w:rPr>
        <w:t xml:space="preserve"> </w:t>
      </w:r>
      <w:r>
        <w:t>to</w:t>
      </w:r>
      <w:r>
        <w:rPr>
          <w:spacing w:val="-7"/>
        </w:rPr>
        <w:t xml:space="preserve"> </w:t>
      </w:r>
      <w:r>
        <w:t>reveal</w:t>
      </w:r>
      <w:r>
        <w:rPr>
          <w:spacing w:val="-6"/>
        </w:rPr>
        <w:t xml:space="preserve"> </w:t>
      </w:r>
      <w:r>
        <w:t>proprietary</w:t>
      </w:r>
      <w:r>
        <w:rPr>
          <w:spacing w:val="-8"/>
        </w:rPr>
        <w:t xml:space="preserve"> </w:t>
      </w:r>
      <w:r>
        <w:rPr>
          <w:spacing w:val="-1"/>
        </w:rPr>
        <w:t>information</w:t>
      </w:r>
      <w:r>
        <w:rPr>
          <w:spacing w:val="-7"/>
        </w:rPr>
        <w:t xml:space="preserve"> </w:t>
      </w:r>
      <w:r>
        <w:t>or</w:t>
      </w:r>
      <w:r>
        <w:rPr>
          <w:spacing w:val="-7"/>
        </w:rPr>
        <w:t xml:space="preserve"> </w:t>
      </w:r>
      <w:r>
        <w:t>trade</w:t>
      </w:r>
      <w:r>
        <w:rPr>
          <w:spacing w:val="-7"/>
        </w:rPr>
        <w:t xml:space="preserve"> </w:t>
      </w:r>
      <w:r>
        <w:t>secrets</w:t>
      </w:r>
      <w:r>
        <w:rPr>
          <w:spacing w:val="-7"/>
        </w:rPr>
        <w:t xml:space="preserve"> </w:t>
      </w:r>
      <w:r>
        <w:t>to</w:t>
      </w:r>
      <w:r>
        <w:rPr>
          <w:spacing w:val="-7"/>
        </w:rPr>
        <w:t xml:space="preserve"> </w:t>
      </w:r>
      <w:r>
        <w:t>gain</w:t>
      </w:r>
      <w:r>
        <w:rPr>
          <w:spacing w:val="57"/>
          <w:w w:val="99"/>
        </w:rPr>
        <w:t xml:space="preserve"> </w:t>
      </w:r>
      <w:r>
        <w:rPr>
          <w:spacing w:val="-1"/>
        </w:rPr>
        <w:t>FDA</w:t>
      </w:r>
      <w:r>
        <w:rPr>
          <w:spacing w:val="-4"/>
        </w:rPr>
        <w:t xml:space="preserve"> </w:t>
      </w:r>
      <w:r>
        <w:t>approval</w:t>
      </w:r>
      <w:r>
        <w:rPr>
          <w:spacing w:val="-5"/>
        </w:rPr>
        <w:t xml:space="preserve"> </w:t>
      </w:r>
      <w:r>
        <w:t>of</w:t>
      </w:r>
      <w:r>
        <w:rPr>
          <w:spacing w:val="-4"/>
        </w:rPr>
        <w:t xml:space="preserve"> </w:t>
      </w:r>
      <w:r>
        <w:t>the</w:t>
      </w:r>
      <w:r>
        <w:rPr>
          <w:spacing w:val="-5"/>
        </w:rPr>
        <w:t xml:space="preserve"> </w:t>
      </w:r>
      <w:r>
        <w:t>product</w:t>
      </w:r>
      <w:r>
        <w:rPr>
          <w:spacing w:val="-4"/>
        </w:rPr>
        <w:t xml:space="preserve"> </w:t>
      </w:r>
      <w:r>
        <w:t>or</w:t>
      </w:r>
      <w:r>
        <w:rPr>
          <w:spacing w:val="-4"/>
        </w:rPr>
        <w:t xml:space="preserve"> </w:t>
      </w:r>
      <w:r>
        <w:rPr>
          <w:spacing w:val="-1"/>
        </w:rPr>
        <w:t>new</w:t>
      </w:r>
      <w:r>
        <w:rPr>
          <w:spacing w:val="-5"/>
        </w:rPr>
        <w:t xml:space="preserve"> </w:t>
      </w:r>
      <w:r>
        <w:t>indication.</w:t>
      </w:r>
      <w:r>
        <w:rPr>
          <w:spacing w:val="50"/>
        </w:rPr>
        <w:t xml:space="preserve"> </w:t>
      </w:r>
      <w:r>
        <w:rPr>
          <w:spacing w:val="-1"/>
        </w:rPr>
        <w:t>However,</w:t>
      </w:r>
      <w:r>
        <w:rPr>
          <w:spacing w:val="-4"/>
        </w:rPr>
        <w:t xml:space="preserve"> </w:t>
      </w:r>
      <w:r>
        <w:rPr>
          <w:spacing w:val="-1"/>
        </w:rPr>
        <w:t>such</w:t>
      </w:r>
      <w:r>
        <w:rPr>
          <w:spacing w:val="-4"/>
        </w:rPr>
        <w:t xml:space="preserve"> </w:t>
      </w:r>
      <w:r>
        <w:rPr>
          <w:spacing w:val="-1"/>
        </w:rPr>
        <w:t>information</w:t>
      </w:r>
      <w:r>
        <w:rPr>
          <w:spacing w:val="-5"/>
        </w:rPr>
        <w:t xml:space="preserve"> </w:t>
      </w:r>
      <w:r>
        <w:t>is</w:t>
      </w:r>
      <w:r>
        <w:rPr>
          <w:spacing w:val="-4"/>
        </w:rPr>
        <w:t xml:space="preserve"> </w:t>
      </w:r>
      <w:r>
        <w:t>deleted</w:t>
      </w:r>
      <w:r>
        <w:rPr>
          <w:spacing w:val="-4"/>
        </w:rPr>
        <w:t xml:space="preserve"> </w:t>
      </w:r>
      <w:r>
        <w:t>from</w:t>
      </w:r>
      <w:r>
        <w:rPr>
          <w:spacing w:val="-6"/>
        </w:rPr>
        <w:t xml:space="preserve"> </w:t>
      </w:r>
      <w:r>
        <w:t>the</w:t>
      </w:r>
      <w:r>
        <w:rPr>
          <w:spacing w:val="31"/>
          <w:w w:val="99"/>
        </w:rPr>
        <w:t xml:space="preserve"> </w:t>
      </w:r>
      <w:r>
        <w:rPr>
          <w:spacing w:val="-1"/>
        </w:rPr>
        <w:t>application</w:t>
      </w:r>
      <w:r>
        <w:rPr>
          <w:spacing w:val="-7"/>
        </w:rPr>
        <w:t xml:space="preserve"> </w:t>
      </w:r>
      <w:r>
        <w:rPr>
          <w:spacing w:val="-1"/>
        </w:rPr>
        <w:t>before</w:t>
      </w:r>
      <w:r>
        <w:rPr>
          <w:spacing w:val="-6"/>
        </w:rPr>
        <w:t xml:space="preserve"> </w:t>
      </w:r>
      <w:r>
        <w:t>it</w:t>
      </w:r>
      <w:r>
        <w:rPr>
          <w:spacing w:val="-6"/>
        </w:rPr>
        <w:t xml:space="preserve"> </w:t>
      </w:r>
      <w:r>
        <w:t>is</w:t>
      </w:r>
      <w:r>
        <w:rPr>
          <w:spacing w:val="-6"/>
        </w:rPr>
        <w:t xml:space="preserve"> </w:t>
      </w:r>
      <w:r>
        <w:rPr>
          <w:spacing w:val="-1"/>
        </w:rPr>
        <w:t>released</w:t>
      </w:r>
      <w:r>
        <w:rPr>
          <w:spacing w:val="-6"/>
        </w:rPr>
        <w:t xml:space="preserve"> </w:t>
      </w:r>
      <w:r>
        <w:t>under</w:t>
      </w:r>
      <w:r>
        <w:rPr>
          <w:spacing w:val="-6"/>
        </w:rPr>
        <w:t xml:space="preserve"> </w:t>
      </w:r>
      <w:r>
        <w:t>the</w:t>
      </w:r>
      <w:r>
        <w:rPr>
          <w:spacing w:val="-6"/>
        </w:rPr>
        <w:t xml:space="preserve"> </w:t>
      </w:r>
      <w:r>
        <w:rPr>
          <w:spacing w:val="-1"/>
        </w:rPr>
        <w:t>Freedom</w:t>
      </w:r>
      <w:r>
        <w:rPr>
          <w:spacing w:val="-7"/>
        </w:rPr>
        <w:t xml:space="preserve"> </w:t>
      </w:r>
      <w:r>
        <w:t>of</w:t>
      </w:r>
      <w:r>
        <w:rPr>
          <w:spacing w:val="-5"/>
        </w:rPr>
        <w:t xml:space="preserve"> </w:t>
      </w:r>
      <w:r>
        <w:rPr>
          <w:spacing w:val="-1"/>
        </w:rPr>
        <w:t>Information</w:t>
      </w:r>
      <w:r>
        <w:rPr>
          <w:spacing w:val="-6"/>
        </w:rPr>
        <w:t xml:space="preserve"> </w:t>
      </w:r>
      <w:r>
        <w:rPr>
          <w:spacing w:val="-1"/>
        </w:rPr>
        <w:t>Act</w:t>
      </w:r>
      <w:r>
        <w:rPr>
          <w:spacing w:val="-5"/>
        </w:rPr>
        <w:t xml:space="preserve"> </w:t>
      </w:r>
      <w:r>
        <w:t>and</w:t>
      </w:r>
      <w:r>
        <w:rPr>
          <w:spacing w:val="-7"/>
        </w:rPr>
        <w:t xml:space="preserve"> </w:t>
      </w:r>
      <w:r>
        <w:rPr>
          <w:spacing w:val="-1"/>
        </w:rPr>
        <w:t>FDA</w:t>
      </w:r>
      <w:r>
        <w:rPr>
          <w:spacing w:val="-5"/>
        </w:rPr>
        <w:t xml:space="preserve"> </w:t>
      </w:r>
      <w:r>
        <w:t>regulations.</w:t>
      </w:r>
    </w:p>
    <w:p w:rsidRPr="00357C8A" w:rsidR="00357C8A" w:rsidP="006C5899" w:rsidRDefault="00357C8A" w14:paraId="7A2EE107" w14:textId="77777777">
      <w:pPr>
        <w:numPr>
          <w:ilvl w:val="0"/>
          <w:numId w:val="6"/>
        </w:numPr>
        <w:spacing w:after="200" w:line="276" w:lineRule="auto"/>
        <w:rPr>
          <w:rFonts w:eastAsia="Calibri"/>
        </w:rPr>
      </w:pPr>
      <w:r w:rsidRPr="00357C8A">
        <w:rPr>
          <w:rFonts w:eastAsia="Calibri"/>
          <w:u w:val="single"/>
        </w:rPr>
        <w:t>Justification for Sensitive Questions</w:t>
      </w:r>
    </w:p>
    <w:p w:rsidRPr="00CE12A9" w:rsidR="00357C8A" w:rsidP="006C5899" w:rsidRDefault="00357C8A" w14:paraId="737BB0CB" w14:textId="77777777">
      <w:pPr>
        <w:spacing w:after="200"/>
        <w:rPr>
          <w:rFonts w:eastAsia="Calibri"/>
        </w:rPr>
      </w:pPr>
      <w:r w:rsidRPr="00CE12A9">
        <w:rPr>
          <w:rFonts w:eastAsia="Calibri"/>
        </w:rPr>
        <w:t>The collection of information does not involve sensitive questions.</w:t>
      </w:r>
    </w:p>
    <w:p w:rsidRPr="00BE174E" w:rsidR="00357C8A" w:rsidP="006C5899" w:rsidRDefault="00357C8A" w14:paraId="6B3A4146" w14:textId="77777777">
      <w:pPr>
        <w:numPr>
          <w:ilvl w:val="0"/>
          <w:numId w:val="6"/>
        </w:numPr>
        <w:spacing w:after="200" w:line="276" w:lineRule="auto"/>
        <w:rPr>
          <w:rFonts w:eastAsia="Calibri"/>
          <w:u w:val="single"/>
        </w:rPr>
      </w:pPr>
      <w:r w:rsidRPr="00BE174E">
        <w:rPr>
          <w:rFonts w:eastAsia="Calibri"/>
          <w:u w:val="single"/>
        </w:rPr>
        <w:t>Estimates of Annualized Burden Hours and Cost</w:t>
      </w:r>
    </w:p>
    <w:p w:rsidRPr="00A27213" w:rsidR="005C6B2D" w:rsidP="006C5899" w:rsidRDefault="005C6B2D" w14:paraId="34E6F911" w14:textId="77777777">
      <w:pPr>
        <w:spacing w:after="200"/>
      </w:pPr>
      <w:r w:rsidRPr="005C6B2D">
        <w:rPr>
          <w:rFonts w:eastAsia="Calibri"/>
        </w:rPr>
        <w:t>In</w:t>
      </w:r>
      <w:r>
        <w:t xml:space="preserve"> table 1, row 1, we </w:t>
      </w:r>
      <w:r w:rsidRPr="00A27213">
        <w:t>estimate the</w:t>
      </w:r>
      <w:r>
        <w:t xml:space="preserve"> </w:t>
      </w:r>
      <w:r w:rsidRPr="00A27213">
        <w:t>annual reporting burden for</w:t>
      </w:r>
      <w:r>
        <w:t xml:space="preserve"> preparing </w:t>
      </w:r>
      <w:r w:rsidRPr="00A27213">
        <w:t>the safety and</w:t>
      </w:r>
      <w:r>
        <w:t xml:space="preserve"> </w:t>
      </w:r>
      <w:r w:rsidRPr="00A27213">
        <w:t xml:space="preserve">effectiveness sections of an application. </w:t>
      </w:r>
      <w:r>
        <w:t xml:space="preserve"> </w:t>
      </w:r>
      <w:r w:rsidRPr="00A27213">
        <w:t>This estimate does not</w:t>
      </w:r>
      <w:r>
        <w:t xml:space="preserve"> </w:t>
      </w:r>
      <w:r w:rsidRPr="00A27213">
        <w:t xml:space="preserve">include </w:t>
      </w:r>
      <w:r>
        <w:t xml:space="preserve">the </w:t>
      </w:r>
      <w:r w:rsidRPr="00A27213">
        <w:t>time needed to conduct studies</w:t>
      </w:r>
      <w:r>
        <w:t xml:space="preserve"> </w:t>
      </w:r>
      <w:r w:rsidRPr="00A27213">
        <w:t>and clinical trials or other research from</w:t>
      </w:r>
      <w:r>
        <w:t xml:space="preserve"> </w:t>
      </w:r>
      <w:r w:rsidRPr="00A27213">
        <w:t>which the reported information is</w:t>
      </w:r>
      <w:r>
        <w:t xml:space="preserve"> </w:t>
      </w:r>
      <w:r w:rsidRPr="00A27213">
        <w:t>obtained.</w:t>
      </w:r>
    </w:p>
    <w:p w:rsidR="005C6B2D" w:rsidP="006C5899" w:rsidRDefault="005C6B2D" w14:paraId="1BEDC48A" w14:textId="77777777">
      <w:pPr>
        <w:spacing w:after="200"/>
      </w:pPr>
      <w:r w:rsidRPr="005C6B2D">
        <w:rPr>
          <w:rFonts w:eastAsia="Calibri"/>
        </w:rPr>
        <w:t>Based</w:t>
      </w:r>
      <w:r w:rsidRPr="0099582E">
        <w:t xml:space="preserve"> on past submissions </w:t>
      </w:r>
      <w:r>
        <w:t xml:space="preserve">of </w:t>
      </w:r>
      <w:r w:rsidRPr="0099582E">
        <w:t>human</w:t>
      </w:r>
      <w:r>
        <w:t xml:space="preserve"> </w:t>
      </w:r>
      <w:r w:rsidRPr="0099582E">
        <w:t>drug applications</w:t>
      </w:r>
      <w:r>
        <w:t>,</w:t>
      </w:r>
      <w:r w:rsidRPr="0099582E">
        <w:t xml:space="preserve"> new indication</w:t>
      </w:r>
      <w:r>
        <w:t xml:space="preserve"> </w:t>
      </w:r>
      <w:r w:rsidRPr="0099582E">
        <w:t>supplements for diagnostic</w:t>
      </w:r>
      <w:r>
        <w:t xml:space="preserve"> </w:t>
      </w:r>
      <w:r w:rsidRPr="0099582E">
        <w:t>radiopharmaceuticals</w:t>
      </w:r>
      <w:r>
        <w:t>, or both</w:t>
      </w:r>
      <w:r w:rsidRPr="0099582E">
        <w:t xml:space="preserve">, we estimate </w:t>
      </w:r>
      <w:r>
        <w:t xml:space="preserve">that six </w:t>
      </w:r>
      <w:r w:rsidRPr="0099582E">
        <w:t>submissions will be received annually</w:t>
      </w:r>
      <w:r>
        <w:t xml:space="preserve"> and that </w:t>
      </w:r>
      <w:r w:rsidRPr="0099582E">
        <w:t xml:space="preserve">2,000 hours </w:t>
      </w:r>
      <w:r>
        <w:t xml:space="preserve">would be </w:t>
      </w:r>
      <w:r w:rsidRPr="0099582E">
        <w:t>spent preparing the</w:t>
      </w:r>
      <w:r>
        <w:t xml:space="preserve"> </w:t>
      </w:r>
      <w:r w:rsidRPr="0099582E">
        <w:t>portions of the application that would</w:t>
      </w:r>
      <w:r>
        <w:t xml:space="preserve"> </w:t>
      </w:r>
      <w:r w:rsidRPr="0099582E">
        <w:t>be affected by th</w:t>
      </w:r>
      <w:r>
        <w:t>is information collection</w:t>
      </w:r>
      <w:r w:rsidRPr="0099582E">
        <w:t>.</w:t>
      </w:r>
      <w:r>
        <w:t xml:space="preserve">  </w:t>
      </w:r>
      <w:r w:rsidRPr="0099582E">
        <w:t xml:space="preserve">We </w:t>
      </w:r>
      <w:r>
        <w:t xml:space="preserve">further </w:t>
      </w:r>
      <w:r w:rsidRPr="0099582E">
        <w:t xml:space="preserve">estimate the </w:t>
      </w:r>
      <w:r>
        <w:t xml:space="preserve">total </w:t>
      </w:r>
      <w:r w:rsidRPr="0099582E">
        <w:t>time needed to prepare</w:t>
      </w:r>
      <w:r>
        <w:t xml:space="preserve"> </w:t>
      </w:r>
      <w:r w:rsidRPr="0099582E">
        <w:t>complete application</w:t>
      </w:r>
      <w:r>
        <w:t>s</w:t>
      </w:r>
      <w:r w:rsidRPr="0099582E">
        <w:t xml:space="preserve"> for diagnostic</w:t>
      </w:r>
      <w:r>
        <w:t xml:space="preserve"> </w:t>
      </w:r>
      <w:r w:rsidRPr="0099582E">
        <w:t>radiopharmaceutical</w:t>
      </w:r>
      <w:r>
        <w:t>s</w:t>
      </w:r>
      <w:r w:rsidRPr="0099582E">
        <w:t xml:space="preserve"> </w:t>
      </w:r>
      <w:r>
        <w:t xml:space="preserve">as </w:t>
      </w:r>
      <w:r w:rsidRPr="0099582E">
        <w:t>approximately 1</w:t>
      </w:r>
      <w:r>
        <w:t>2</w:t>
      </w:r>
      <w:r w:rsidRPr="0099582E">
        <w:t>,000 hours</w:t>
      </w:r>
      <w:r>
        <w:t>.</w:t>
      </w:r>
      <w:r w:rsidRPr="0099582E">
        <w:t xml:space="preserve"> </w:t>
      </w:r>
      <w:r>
        <w:t xml:space="preserve"> </w:t>
      </w:r>
      <w:r w:rsidRPr="0099582E">
        <w:t>Th</w:t>
      </w:r>
      <w:r>
        <w:t>is information collection</w:t>
      </w:r>
      <w:r w:rsidRPr="0099582E">
        <w:t xml:space="preserve"> do</w:t>
      </w:r>
      <w:r>
        <w:t>es</w:t>
      </w:r>
      <w:r w:rsidRPr="0099582E">
        <w:t xml:space="preserve"> not impose any</w:t>
      </w:r>
      <w:r>
        <w:t xml:space="preserve"> </w:t>
      </w:r>
      <w:r w:rsidRPr="0099582E">
        <w:t>additional reporting burden for safety</w:t>
      </w:r>
      <w:r>
        <w:t xml:space="preserve"> </w:t>
      </w:r>
      <w:r w:rsidRPr="0099582E">
        <w:t>and effectiveness information on</w:t>
      </w:r>
      <w:r>
        <w:t xml:space="preserve"> </w:t>
      </w:r>
      <w:r w:rsidRPr="0099582E">
        <w:t>diagnostic radiopharmaceuticals beyond</w:t>
      </w:r>
      <w:r>
        <w:t xml:space="preserve"> </w:t>
      </w:r>
      <w:r w:rsidRPr="0099582E">
        <w:t>the estimated burden of 2,000 hours</w:t>
      </w:r>
      <w:r>
        <w:t xml:space="preserve">, </w:t>
      </w:r>
      <w:r w:rsidRPr="0099582E">
        <w:t>because safety and effectiveness</w:t>
      </w:r>
      <w:r>
        <w:t xml:space="preserve"> </w:t>
      </w:r>
      <w:r w:rsidRPr="0099582E">
        <w:t xml:space="preserve">information is already required </w:t>
      </w:r>
      <w:r>
        <w:t xml:space="preserve">in </w:t>
      </w:r>
      <w:r w:rsidRPr="0099582E">
        <w:t>§ 314.50</w:t>
      </w:r>
      <w:r>
        <w:t xml:space="preserve"> and has been </w:t>
      </w:r>
      <w:r w:rsidRPr="0099582E">
        <w:t>approved under OMB control number</w:t>
      </w:r>
      <w:r>
        <w:t xml:space="preserve"> </w:t>
      </w:r>
      <w:r w:rsidRPr="0099582E">
        <w:t>0910</w:t>
      </w:r>
      <w:r>
        <w:t>-</w:t>
      </w:r>
      <w:r w:rsidRPr="0099582E">
        <w:t xml:space="preserve">0001. </w:t>
      </w:r>
      <w:r>
        <w:t xml:space="preserve"> </w:t>
      </w:r>
      <w:r w:rsidRPr="0099582E">
        <w:t xml:space="preserve">In fact, clarification of </w:t>
      </w:r>
      <w:r>
        <w:t>our</w:t>
      </w:r>
      <w:r w:rsidRPr="0099582E">
        <w:t xml:space="preserve"> criteria for</w:t>
      </w:r>
      <w:r>
        <w:t xml:space="preserve"> the </w:t>
      </w:r>
      <w:r w:rsidRPr="0099582E">
        <w:t>evaluation of diagnostic</w:t>
      </w:r>
      <w:r>
        <w:t xml:space="preserve"> </w:t>
      </w:r>
      <w:r w:rsidRPr="0099582E">
        <w:t>radiopharmaceuticals in</w:t>
      </w:r>
      <w:r>
        <w:t xml:space="preserve"> </w:t>
      </w:r>
      <w:r w:rsidRPr="0099582E">
        <w:t>th</w:t>
      </w:r>
      <w:r>
        <w:t>is</w:t>
      </w:r>
      <w:r w:rsidRPr="0099582E">
        <w:t xml:space="preserve"> </w:t>
      </w:r>
      <w:r>
        <w:t xml:space="preserve">information collection </w:t>
      </w:r>
      <w:r w:rsidRPr="0099582E">
        <w:t>is intended to</w:t>
      </w:r>
      <w:r>
        <w:t xml:space="preserve"> </w:t>
      </w:r>
      <w:r w:rsidRPr="0099582E">
        <w:t>streamline overall information</w:t>
      </w:r>
      <w:r>
        <w:t xml:space="preserve"> </w:t>
      </w:r>
      <w:r w:rsidRPr="0099582E">
        <w:t>collection burdens, particularly for</w:t>
      </w:r>
      <w:r>
        <w:t xml:space="preserve"> </w:t>
      </w:r>
      <w:r w:rsidRPr="0099582E">
        <w:t>diagnostic radiopharmaceuticals that</w:t>
      </w:r>
      <w:r>
        <w:t xml:space="preserve"> </w:t>
      </w:r>
      <w:r w:rsidRPr="0099582E">
        <w:t>may have well-established, low-risk</w:t>
      </w:r>
      <w:r>
        <w:t xml:space="preserve"> </w:t>
      </w:r>
      <w:r w:rsidRPr="0099582E">
        <w:t>safety profiles by enabling</w:t>
      </w:r>
      <w:r>
        <w:t xml:space="preserve"> </w:t>
      </w:r>
      <w:r w:rsidRPr="0099582E">
        <w:t>manufacturers to tailor information</w:t>
      </w:r>
      <w:r>
        <w:t xml:space="preserve"> </w:t>
      </w:r>
      <w:r w:rsidRPr="0099582E">
        <w:t>submissions and avoid unnecessary</w:t>
      </w:r>
      <w:r>
        <w:t xml:space="preserve"> </w:t>
      </w:r>
      <w:r w:rsidRPr="0099582E">
        <w:t>clinical studies.</w:t>
      </w:r>
    </w:p>
    <w:p w:rsidR="005C6B2D" w:rsidP="006C5899" w:rsidRDefault="005C6B2D" w14:paraId="0B99A0ED" w14:textId="77777777">
      <w:pPr>
        <w:spacing w:after="200"/>
      </w:pPr>
      <w:r>
        <w:t xml:space="preserve">In </w:t>
      </w:r>
      <w:r w:rsidRPr="005C6B2D">
        <w:rPr>
          <w:rFonts w:eastAsia="Calibri"/>
        </w:rPr>
        <w:t>table</w:t>
      </w:r>
      <w:r>
        <w:t xml:space="preserve"> 1, row 2, we </w:t>
      </w:r>
      <w:r w:rsidRPr="00A27213">
        <w:t>estimate the</w:t>
      </w:r>
      <w:r>
        <w:t xml:space="preserve"> </w:t>
      </w:r>
      <w:r w:rsidRPr="00A27213">
        <w:t>annual reporting burden for</w:t>
      </w:r>
      <w:r>
        <w:t xml:space="preserve"> preparing </w:t>
      </w:r>
      <w:r w:rsidRPr="00A27213">
        <w:t>the safety and</w:t>
      </w:r>
      <w:r>
        <w:t xml:space="preserve"> </w:t>
      </w:r>
      <w:r w:rsidRPr="00A27213">
        <w:t>effectiveness sections of a</w:t>
      </w:r>
      <w:r>
        <w:t xml:space="preserve"> supplement to a</w:t>
      </w:r>
      <w:r w:rsidRPr="00A27213">
        <w:t xml:space="preserve">n </w:t>
      </w:r>
      <w:r>
        <w:t xml:space="preserve">approved </w:t>
      </w:r>
      <w:r w:rsidRPr="00A27213">
        <w:t xml:space="preserve">application. </w:t>
      </w:r>
      <w:r>
        <w:t xml:space="preserve"> </w:t>
      </w:r>
      <w:r w:rsidRPr="00A27213">
        <w:t>This estimate does not</w:t>
      </w:r>
      <w:r>
        <w:t xml:space="preserve"> </w:t>
      </w:r>
      <w:r w:rsidRPr="00A27213">
        <w:t xml:space="preserve">include </w:t>
      </w:r>
      <w:r>
        <w:t xml:space="preserve">the </w:t>
      </w:r>
      <w:r w:rsidRPr="00A27213">
        <w:t>time needed to conduct studies</w:t>
      </w:r>
      <w:r>
        <w:t xml:space="preserve"> </w:t>
      </w:r>
      <w:r w:rsidRPr="00A27213">
        <w:t>and clinical trials or other research from</w:t>
      </w:r>
      <w:r>
        <w:t xml:space="preserve"> </w:t>
      </w:r>
      <w:r w:rsidRPr="00A27213">
        <w:t>which the reported information is</w:t>
      </w:r>
      <w:r>
        <w:t xml:space="preserve"> </w:t>
      </w:r>
      <w:r w:rsidRPr="00A27213">
        <w:t>obtained.</w:t>
      </w:r>
    </w:p>
    <w:p w:rsidR="005C6B2D" w:rsidP="006C5899" w:rsidRDefault="005C6B2D" w14:paraId="1FBF5FD1" w14:textId="77777777">
      <w:pPr>
        <w:spacing w:after="200"/>
      </w:pPr>
      <w:r w:rsidRPr="0099582E">
        <w:t xml:space="preserve">Based on past submissions </w:t>
      </w:r>
      <w:r>
        <w:t xml:space="preserve">of </w:t>
      </w:r>
      <w:r w:rsidRPr="0099582E">
        <w:t>human</w:t>
      </w:r>
      <w:r>
        <w:t xml:space="preserve"> </w:t>
      </w:r>
      <w:r w:rsidRPr="0099582E">
        <w:t>drug applications</w:t>
      </w:r>
      <w:r>
        <w:t>,</w:t>
      </w:r>
      <w:r w:rsidRPr="0099582E">
        <w:t xml:space="preserve"> new indication</w:t>
      </w:r>
      <w:r>
        <w:t xml:space="preserve"> </w:t>
      </w:r>
      <w:r w:rsidRPr="0099582E">
        <w:t>supplements for diagnostic</w:t>
      </w:r>
      <w:r>
        <w:t xml:space="preserve"> </w:t>
      </w:r>
      <w:r w:rsidRPr="0099582E">
        <w:t>radiopharmaceuticals</w:t>
      </w:r>
      <w:r>
        <w:t>, or both</w:t>
      </w:r>
      <w:r w:rsidRPr="0099582E">
        <w:t xml:space="preserve">, we estimate </w:t>
      </w:r>
      <w:r>
        <w:t xml:space="preserve">that nine </w:t>
      </w:r>
      <w:r w:rsidRPr="0099582E">
        <w:t>submissions will be received annually.</w:t>
      </w:r>
      <w:r>
        <w:t xml:space="preserve">  </w:t>
      </w:r>
      <w:r w:rsidRPr="0099582E">
        <w:t xml:space="preserve">We estimate the </w:t>
      </w:r>
      <w:r>
        <w:t xml:space="preserve">total </w:t>
      </w:r>
      <w:r w:rsidRPr="0099582E">
        <w:t>time needed to prepare</w:t>
      </w:r>
      <w:r>
        <w:t xml:space="preserve"> </w:t>
      </w:r>
      <w:r w:rsidRPr="0099582E">
        <w:t>complete application</w:t>
      </w:r>
      <w:r>
        <w:t>s</w:t>
      </w:r>
      <w:r w:rsidRPr="0099582E">
        <w:t xml:space="preserve"> for </w:t>
      </w:r>
      <w:r>
        <w:t xml:space="preserve">supplements to new applications for </w:t>
      </w:r>
      <w:r w:rsidRPr="0099582E">
        <w:t>diagnostic</w:t>
      </w:r>
      <w:r>
        <w:t xml:space="preserve"> </w:t>
      </w:r>
      <w:r w:rsidRPr="0099582E">
        <w:t>radiopharmaceutical</w:t>
      </w:r>
      <w:r>
        <w:t>s</w:t>
      </w:r>
      <w:r w:rsidRPr="0099582E">
        <w:t xml:space="preserve"> </w:t>
      </w:r>
      <w:r>
        <w:t xml:space="preserve">as </w:t>
      </w:r>
      <w:r w:rsidRPr="0099582E">
        <w:t xml:space="preserve">approximately </w:t>
      </w:r>
      <w:r>
        <w:t>between 500 and 1,000</w:t>
      </w:r>
      <w:r w:rsidRPr="0099582E">
        <w:t xml:space="preserve"> hours</w:t>
      </w:r>
      <w:r>
        <w:t>.  We calculated the median of this estimate to arrive at approximately 750 hours.  We further estimate that the total time needed to prepare the portions of the application that would be affected by this information collection as 6,750.   As stated above, t</w:t>
      </w:r>
      <w:r w:rsidRPr="0099582E">
        <w:t>h</w:t>
      </w:r>
      <w:r>
        <w:t>is information collection</w:t>
      </w:r>
      <w:r w:rsidRPr="0099582E">
        <w:t xml:space="preserve"> do</w:t>
      </w:r>
      <w:r>
        <w:t>es</w:t>
      </w:r>
      <w:r w:rsidRPr="0099582E">
        <w:t xml:space="preserve"> not </w:t>
      </w:r>
      <w:r w:rsidRPr="0099582E">
        <w:lastRenderedPageBreak/>
        <w:t>impose any</w:t>
      </w:r>
      <w:r>
        <w:t xml:space="preserve"> </w:t>
      </w:r>
      <w:r w:rsidRPr="0099582E">
        <w:t>additional reporting burden for safety</w:t>
      </w:r>
      <w:r>
        <w:t xml:space="preserve"> </w:t>
      </w:r>
      <w:r w:rsidRPr="0099582E">
        <w:t>and effectiveness information on</w:t>
      </w:r>
      <w:r>
        <w:t xml:space="preserve"> </w:t>
      </w:r>
      <w:r w:rsidRPr="0099582E">
        <w:t>diagnostic radiopharmaceuticals beyond</w:t>
      </w:r>
      <w:r>
        <w:t xml:space="preserve"> </w:t>
      </w:r>
      <w:r w:rsidRPr="0099582E">
        <w:t xml:space="preserve">the estimated burden of </w:t>
      </w:r>
      <w:r>
        <w:t>750</w:t>
      </w:r>
      <w:r w:rsidRPr="0099582E">
        <w:t xml:space="preserve"> hours</w:t>
      </w:r>
      <w:r>
        <w:t xml:space="preserve">, </w:t>
      </w:r>
      <w:r w:rsidRPr="0099582E">
        <w:t>because safety and effectiveness</w:t>
      </w:r>
      <w:r>
        <w:t xml:space="preserve"> </w:t>
      </w:r>
      <w:r w:rsidRPr="0099582E">
        <w:t xml:space="preserve">information is already required </w:t>
      </w:r>
      <w:r>
        <w:t xml:space="preserve">in </w:t>
      </w:r>
      <w:r w:rsidRPr="0099582E">
        <w:t>§ 314.50</w:t>
      </w:r>
      <w:r>
        <w:t xml:space="preserve"> and has been </w:t>
      </w:r>
      <w:r w:rsidRPr="0099582E">
        <w:t>approved under OMB control number</w:t>
      </w:r>
      <w:r>
        <w:t xml:space="preserve"> </w:t>
      </w:r>
      <w:r w:rsidRPr="0099582E">
        <w:t>0910</w:t>
      </w:r>
      <w:r>
        <w:t>-</w:t>
      </w:r>
      <w:r w:rsidRPr="0099582E">
        <w:t xml:space="preserve">0001. </w:t>
      </w:r>
      <w:r>
        <w:t xml:space="preserve"> </w:t>
      </w:r>
    </w:p>
    <w:p w:rsidR="005C6B2D" w:rsidP="006C5899" w:rsidRDefault="005C6B2D" w14:paraId="0BCBA5DA" w14:textId="77777777">
      <w:pPr>
        <w:ind w:firstLine="720"/>
        <w:contextualSpacing/>
      </w:pPr>
      <w:r>
        <w:t>We estimate the burden of this collection of information as follows:</w:t>
      </w:r>
    </w:p>
    <w:p w:rsidRPr="005C6B2D" w:rsidR="005C6B2D" w:rsidP="006C5899" w:rsidRDefault="005C6B2D" w14:paraId="1EA65644" w14:textId="77777777">
      <w:pPr>
        <w:ind w:firstLine="720"/>
        <w:contextualSpacing/>
        <w:rPr>
          <w:sz w:val="20"/>
          <w:szCs w:val="20"/>
        </w:rPr>
      </w:pPr>
    </w:p>
    <w:p w:rsidRPr="005C6B2D" w:rsidR="005C6B2D" w:rsidP="006C5899" w:rsidRDefault="005C6B2D" w14:paraId="6E483FC6" w14:textId="77777777">
      <w:pPr>
        <w:contextualSpacing/>
        <w:jc w:val="center"/>
        <w:rPr>
          <w:sz w:val="20"/>
          <w:szCs w:val="20"/>
        </w:rPr>
      </w:pPr>
      <w:r w:rsidRPr="005C6B2D">
        <w:rPr>
          <w:sz w:val="20"/>
          <w:szCs w:val="20"/>
        </w:rPr>
        <w:t>Table 1.--Estimated Annual Reporting Burden for NDAs and Supplements to Approved NDAs for Diagnostic Radiopharmaceuticals</w:t>
      </w:r>
    </w:p>
    <w:tbl>
      <w:tblPr>
        <w:tblW w:w="5000" w:type="pct"/>
        <w:tblCellMar>
          <w:left w:w="0" w:type="dxa"/>
          <w:right w:w="0" w:type="dxa"/>
        </w:tblCellMar>
        <w:tblLook w:val="0000" w:firstRow="0" w:lastRow="0" w:firstColumn="0" w:lastColumn="0" w:noHBand="0" w:noVBand="0"/>
      </w:tblPr>
      <w:tblGrid>
        <w:gridCol w:w="2190"/>
        <w:gridCol w:w="1305"/>
        <w:gridCol w:w="1652"/>
        <w:gridCol w:w="1473"/>
        <w:gridCol w:w="1391"/>
        <w:gridCol w:w="1503"/>
      </w:tblGrid>
      <w:tr w:rsidRPr="005C6B2D" w:rsidR="005C6B2D" w:rsidTr="00C63B21" w14:paraId="36FD40B6" w14:textId="77777777">
        <w:trPr>
          <w:trHeight w:val="487" w:hRule="exact"/>
        </w:trPr>
        <w:tc>
          <w:tcPr>
            <w:tcW w:w="1151"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64C37D4C" w14:textId="77777777">
            <w:pPr>
              <w:contextualSpacing/>
              <w:rPr>
                <w:sz w:val="20"/>
                <w:szCs w:val="20"/>
              </w:rPr>
            </w:pPr>
            <w:r w:rsidRPr="005C6B2D">
              <w:rPr>
                <w:sz w:val="20"/>
                <w:szCs w:val="20"/>
              </w:rPr>
              <w:t>Manufacturers’ Activity (21 CFR Section)</w:t>
            </w:r>
          </w:p>
        </w:tc>
        <w:tc>
          <w:tcPr>
            <w:tcW w:w="686"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3AAABBE1" w14:textId="77777777">
            <w:pPr>
              <w:contextualSpacing/>
              <w:jc w:val="center"/>
              <w:rPr>
                <w:sz w:val="20"/>
                <w:szCs w:val="20"/>
              </w:rPr>
            </w:pPr>
            <w:r w:rsidRPr="005C6B2D">
              <w:rPr>
                <w:sz w:val="20"/>
                <w:szCs w:val="20"/>
              </w:rPr>
              <w:t>No. of Respondents</w:t>
            </w:r>
          </w:p>
        </w:tc>
        <w:tc>
          <w:tcPr>
            <w:tcW w:w="868"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42F67676" w14:textId="77777777">
            <w:pPr>
              <w:contextualSpacing/>
              <w:jc w:val="center"/>
              <w:rPr>
                <w:sz w:val="20"/>
                <w:szCs w:val="20"/>
              </w:rPr>
            </w:pPr>
            <w:r w:rsidRPr="005C6B2D">
              <w:rPr>
                <w:sz w:val="20"/>
                <w:szCs w:val="20"/>
              </w:rPr>
              <w:t>No. of Responses per Respondent</w:t>
            </w: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042B70E7" w14:textId="77777777">
            <w:pPr>
              <w:contextualSpacing/>
              <w:jc w:val="center"/>
              <w:rPr>
                <w:sz w:val="20"/>
                <w:szCs w:val="20"/>
              </w:rPr>
            </w:pPr>
            <w:r w:rsidRPr="005C6B2D">
              <w:rPr>
                <w:sz w:val="20"/>
                <w:szCs w:val="20"/>
              </w:rPr>
              <w:t>Total Annual Responses</w:t>
            </w:r>
          </w:p>
        </w:tc>
        <w:tc>
          <w:tcPr>
            <w:tcW w:w="731"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1196EDD7" w14:textId="77777777">
            <w:pPr>
              <w:contextualSpacing/>
              <w:jc w:val="center"/>
              <w:rPr>
                <w:sz w:val="20"/>
                <w:szCs w:val="20"/>
              </w:rPr>
            </w:pPr>
            <w:r w:rsidRPr="005C6B2D">
              <w:rPr>
                <w:sz w:val="20"/>
                <w:szCs w:val="20"/>
              </w:rPr>
              <w:t>Average Burden per Response</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662F131E" w14:textId="77777777">
            <w:pPr>
              <w:contextualSpacing/>
              <w:jc w:val="center"/>
              <w:rPr>
                <w:sz w:val="20"/>
                <w:szCs w:val="20"/>
              </w:rPr>
            </w:pPr>
            <w:r w:rsidRPr="005C6B2D">
              <w:rPr>
                <w:sz w:val="20"/>
                <w:szCs w:val="20"/>
              </w:rPr>
              <w:t>Total Hours</w:t>
            </w:r>
          </w:p>
        </w:tc>
      </w:tr>
      <w:tr w:rsidRPr="005C6B2D" w:rsidR="005C6B2D" w:rsidTr="00C63B21" w14:paraId="7983FDA8" w14:textId="77777777">
        <w:trPr>
          <w:trHeight w:val="712" w:hRule="exact"/>
        </w:trPr>
        <w:tc>
          <w:tcPr>
            <w:tcW w:w="1151"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2CA865A7" w14:textId="77777777">
            <w:pPr>
              <w:contextualSpacing/>
              <w:rPr>
                <w:sz w:val="20"/>
                <w:szCs w:val="20"/>
              </w:rPr>
            </w:pPr>
            <w:r w:rsidRPr="005C6B2D">
              <w:rPr>
                <w:sz w:val="20"/>
                <w:szCs w:val="20"/>
              </w:rPr>
              <w:t>NDAs</w:t>
            </w:r>
          </w:p>
          <w:p w:rsidRPr="005C6B2D" w:rsidR="005C6B2D" w:rsidP="006C5899" w:rsidRDefault="005C6B2D" w14:paraId="535081D9" w14:textId="77777777">
            <w:pPr>
              <w:contextualSpacing/>
              <w:rPr>
                <w:sz w:val="20"/>
                <w:szCs w:val="20"/>
              </w:rPr>
            </w:pPr>
            <w:r w:rsidRPr="005C6B2D">
              <w:rPr>
                <w:sz w:val="20"/>
                <w:szCs w:val="20"/>
              </w:rPr>
              <w:t>(§§ 315.4, 315.5, and 315.6)</w:t>
            </w:r>
          </w:p>
        </w:tc>
        <w:tc>
          <w:tcPr>
            <w:tcW w:w="686"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529234ED" w14:textId="77777777">
            <w:pPr>
              <w:contextualSpacing/>
              <w:jc w:val="right"/>
              <w:rPr>
                <w:sz w:val="20"/>
                <w:szCs w:val="20"/>
              </w:rPr>
            </w:pPr>
            <w:r w:rsidRPr="005C6B2D">
              <w:rPr>
                <w:sz w:val="20"/>
                <w:szCs w:val="20"/>
              </w:rPr>
              <w:t>6</w:t>
            </w:r>
          </w:p>
        </w:tc>
        <w:tc>
          <w:tcPr>
            <w:tcW w:w="868"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4E0552CC" w14:textId="77777777">
            <w:pPr>
              <w:contextualSpacing/>
              <w:jc w:val="right"/>
              <w:rPr>
                <w:sz w:val="20"/>
                <w:szCs w:val="20"/>
              </w:rPr>
            </w:pPr>
            <w:r w:rsidRPr="005C6B2D">
              <w:rPr>
                <w:sz w:val="20"/>
                <w:szCs w:val="20"/>
              </w:rPr>
              <w:t>1</w:t>
            </w:r>
          </w:p>
        </w:tc>
        <w:tc>
          <w:tcPr>
            <w:tcW w:w="774"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3D4628C3" w14:textId="77777777">
            <w:pPr>
              <w:contextualSpacing/>
              <w:jc w:val="right"/>
              <w:rPr>
                <w:sz w:val="20"/>
                <w:szCs w:val="20"/>
              </w:rPr>
            </w:pPr>
            <w:r w:rsidRPr="005C6B2D">
              <w:rPr>
                <w:sz w:val="20"/>
                <w:szCs w:val="20"/>
              </w:rPr>
              <w:t>6</w:t>
            </w:r>
          </w:p>
        </w:tc>
        <w:tc>
          <w:tcPr>
            <w:tcW w:w="731"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479693B6" w14:textId="77777777">
            <w:pPr>
              <w:contextualSpacing/>
              <w:jc w:val="right"/>
              <w:rPr>
                <w:sz w:val="20"/>
                <w:szCs w:val="20"/>
              </w:rPr>
            </w:pPr>
            <w:r w:rsidRPr="005C6B2D">
              <w:rPr>
                <w:sz w:val="20"/>
                <w:szCs w:val="20"/>
              </w:rPr>
              <w:t>2,000</w:t>
            </w:r>
          </w:p>
        </w:tc>
        <w:tc>
          <w:tcPr>
            <w:tcW w:w="790"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76AD82E8" w14:textId="77777777">
            <w:pPr>
              <w:contextualSpacing/>
              <w:jc w:val="right"/>
              <w:rPr>
                <w:sz w:val="20"/>
                <w:szCs w:val="20"/>
              </w:rPr>
            </w:pPr>
            <w:r w:rsidRPr="005C6B2D">
              <w:rPr>
                <w:sz w:val="20"/>
                <w:szCs w:val="20"/>
              </w:rPr>
              <w:t>12,000</w:t>
            </w:r>
          </w:p>
        </w:tc>
      </w:tr>
      <w:tr w:rsidRPr="005C6B2D" w:rsidR="005C6B2D" w:rsidTr="00C63B21" w14:paraId="24F950CA" w14:textId="77777777">
        <w:trPr>
          <w:trHeight w:val="991" w:hRule="exact"/>
        </w:trPr>
        <w:tc>
          <w:tcPr>
            <w:tcW w:w="1151"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57A70E24" w14:textId="77777777">
            <w:pPr>
              <w:contextualSpacing/>
              <w:rPr>
                <w:sz w:val="20"/>
                <w:szCs w:val="20"/>
              </w:rPr>
            </w:pPr>
            <w:r w:rsidRPr="005C6B2D">
              <w:rPr>
                <w:sz w:val="20"/>
                <w:szCs w:val="20"/>
              </w:rPr>
              <w:t>Supplements to Approved NDAs</w:t>
            </w:r>
          </w:p>
          <w:p w:rsidRPr="005C6B2D" w:rsidR="005C6B2D" w:rsidP="006C5899" w:rsidRDefault="005C6B2D" w14:paraId="3ED65B83" w14:textId="77777777">
            <w:pPr>
              <w:contextualSpacing/>
              <w:rPr>
                <w:sz w:val="20"/>
                <w:szCs w:val="20"/>
              </w:rPr>
            </w:pPr>
            <w:r w:rsidRPr="005C6B2D">
              <w:rPr>
                <w:sz w:val="20"/>
                <w:szCs w:val="20"/>
              </w:rPr>
              <w:t>(§§ 315.4, 315.5, and 315.6)</w:t>
            </w:r>
          </w:p>
        </w:tc>
        <w:tc>
          <w:tcPr>
            <w:tcW w:w="686"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408181AA" w14:textId="77777777">
            <w:pPr>
              <w:contextualSpacing/>
              <w:jc w:val="right"/>
              <w:rPr>
                <w:sz w:val="20"/>
                <w:szCs w:val="20"/>
              </w:rPr>
            </w:pPr>
            <w:r w:rsidRPr="005C6B2D">
              <w:rPr>
                <w:sz w:val="20"/>
                <w:szCs w:val="20"/>
              </w:rPr>
              <w:t>9</w:t>
            </w:r>
          </w:p>
        </w:tc>
        <w:tc>
          <w:tcPr>
            <w:tcW w:w="868"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43581EC4" w14:textId="77777777">
            <w:pPr>
              <w:contextualSpacing/>
              <w:jc w:val="right"/>
              <w:rPr>
                <w:sz w:val="20"/>
                <w:szCs w:val="20"/>
              </w:rPr>
            </w:pPr>
            <w:r w:rsidRPr="005C6B2D">
              <w:rPr>
                <w:sz w:val="20"/>
                <w:szCs w:val="20"/>
              </w:rPr>
              <w:t>1</w:t>
            </w:r>
          </w:p>
        </w:tc>
        <w:tc>
          <w:tcPr>
            <w:tcW w:w="774"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26A10E09" w14:textId="77777777">
            <w:pPr>
              <w:contextualSpacing/>
              <w:jc w:val="right"/>
              <w:rPr>
                <w:sz w:val="20"/>
                <w:szCs w:val="20"/>
              </w:rPr>
            </w:pPr>
            <w:r w:rsidRPr="005C6B2D">
              <w:rPr>
                <w:sz w:val="20"/>
                <w:szCs w:val="20"/>
              </w:rPr>
              <w:t>9</w:t>
            </w:r>
          </w:p>
        </w:tc>
        <w:tc>
          <w:tcPr>
            <w:tcW w:w="731"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0BA43807" w14:textId="77777777">
            <w:pPr>
              <w:contextualSpacing/>
              <w:jc w:val="right"/>
              <w:rPr>
                <w:sz w:val="20"/>
                <w:szCs w:val="20"/>
              </w:rPr>
            </w:pPr>
            <w:r w:rsidRPr="005C6B2D">
              <w:rPr>
                <w:sz w:val="20"/>
                <w:szCs w:val="20"/>
              </w:rPr>
              <w:t>750</w:t>
            </w:r>
          </w:p>
        </w:tc>
        <w:tc>
          <w:tcPr>
            <w:tcW w:w="790" w:type="pct"/>
            <w:tcBorders>
              <w:top w:val="single" w:color="000000" w:sz="4" w:space="0"/>
              <w:left w:val="single" w:color="000000" w:sz="4" w:space="0"/>
              <w:bottom w:val="single" w:color="000000" w:sz="4" w:space="0"/>
              <w:right w:val="single" w:color="000000" w:sz="4" w:space="0"/>
            </w:tcBorders>
          </w:tcPr>
          <w:p w:rsidRPr="005C6B2D" w:rsidR="005C6B2D" w:rsidP="006C5899" w:rsidRDefault="005C6B2D" w14:paraId="36062655" w14:textId="77777777">
            <w:pPr>
              <w:contextualSpacing/>
              <w:jc w:val="right"/>
              <w:rPr>
                <w:sz w:val="20"/>
                <w:szCs w:val="20"/>
              </w:rPr>
            </w:pPr>
            <w:r w:rsidRPr="005C6B2D">
              <w:rPr>
                <w:sz w:val="20"/>
                <w:szCs w:val="20"/>
              </w:rPr>
              <w:t>6,750</w:t>
            </w:r>
          </w:p>
        </w:tc>
      </w:tr>
      <w:tr w:rsidRPr="005C6B2D" w:rsidR="005C6B2D" w:rsidTr="00C63B21" w14:paraId="2E308AF5" w14:textId="77777777">
        <w:trPr>
          <w:trHeight w:val="280" w:hRule="exact"/>
        </w:trPr>
        <w:tc>
          <w:tcPr>
            <w:tcW w:w="1151"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0B9D1AEB" w14:textId="77777777">
            <w:pPr>
              <w:contextualSpacing/>
              <w:rPr>
                <w:sz w:val="20"/>
                <w:szCs w:val="20"/>
              </w:rPr>
            </w:pPr>
            <w:r w:rsidRPr="005C6B2D">
              <w:rPr>
                <w:sz w:val="20"/>
                <w:szCs w:val="20"/>
              </w:rPr>
              <w:t>Total</w:t>
            </w:r>
          </w:p>
        </w:tc>
        <w:tc>
          <w:tcPr>
            <w:tcW w:w="686"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251E726E" w14:textId="77777777">
            <w:pPr>
              <w:contextualSpacing/>
              <w:jc w:val="right"/>
              <w:rPr>
                <w:sz w:val="20"/>
                <w:szCs w:val="20"/>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1C189D43" w14:textId="77777777">
            <w:pPr>
              <w:contextualSpacing/>
              <w:jc w:val="right"/>
              <w:rPr>
                <w:sz w:val="20"/>
                <w:szCs w:val="20"/>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7755C8C3" w14:textId="77777777">
            <w:pPr>
              <w:contextualSpacing/>
              <w:jc w:val="right"/>
              <w:rPr>
                <w:sz w:val="20"/>
                <w:szCs w:val="20"/>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3103CE3D" w14:textId="77777777">
            <w:pPr>
              <w:contextualSpacing/>
              <w:jc w:val="right"/>
              <w:rPr>
                <w:sz w:val="20"/>
                <w:szCs w:val="20"/>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rsidRPr="005C6B2D" w:rsidR="005C6B2D" w:rsidP="006C5899" w:rsidRDefault="005C6B2D" w14:paraId="7A0BB520" w14:textId="77777777">
            <w:pPr>
              <w:contextualSpacing/>
              <w:jc w:val="right"/>
              <w:rPr>
                <w:sz w:val="20"/>
                <w:szCs w:val="20"/>
              </w:rPr>
            </w:pPr>
            <w:r w:rsidRPr="005C6B2D">
              <w:rPr>
                <w:sz w:val="20"/>
                <w:szCs w:val="20"/>
              </w:rPr>
              <w:t>18,750</w:t>
            </w:r>
          </w:p>
        </w:tc>
      </w:tr>
    </w:tbl>
    <w:p w:rsidR="005C6B2D" w:rsidP="006C5899" w:rsidRDefault="005C6B2D" w14:paraId="174F9613" w14:textId="77777777">
      <w:pPr>
        <w:spacing w:after="200"/>
        <w:rPr>
          <w:rFonts w:eastAsia="Calibri"/>
        </w:rPr>
      </w:pPr>
    </w:p>
    <w:p w:rsidRPr="008567D9" w:rsidR="00357C8A" w:rsidP="006C5899" w:rsidRDefault="00357C8A" w14:paraId="633D0BCD" w14:textId="77777777">
      <w:pPr>
        <w:spacing w:after="200"/>
        <w:rPr>
          <w:rFonts w:eastAsia="Calibri"/>
          <w:u w:val="single"/>
        </w:rPr>
      </w:pPr>
      <w:r w:rsidRPr="005C71CA">
        <w:rPr>
          <w:rFonts w:eastAsia="Calibri"/>
        </w:rPr>
        <w:t xml:space="preserve">12b.  </w:t>
      </w:r>
      <w:r w:rsidRPr="008567D9">
        <w:rPr>
          <w:rFonts w:eastAsia="Calibri"/>
          <w:u w:val="single"/>
        </w:rPr>
        <w:t>Annualized Cost Burden Estimate</w:t>
      </w:r>
    </w:p>
    <w:p w:rsidR="005D51E2" w:rsidP="006C5899" w:rsidRDefault="005C6B2D" w14:paraId="37FA9A74" w14:textId="77777777">
      <w:pPr>
        <w:pStyle w:val="BodyText"/>
        <w:spacing w:after="0"/>
        <w:ind w:right="194"/>
      </w:pPr>
      <w:r>
        <w:rPr>
          <w:spacing w:val="-1"/>
        </w:rPr>
        <w:t>Using</w:t>
      </w:r>
      <w:r>
        <w:rPr>
          <w:spacing w:val="-4"/>
        </w:rPr>
        <w:t xml:space="preserve"> </w:t>
      </w:r>
      <w:r>
        <w:t>the</w:t>
      </w:r>
      <w:r>
        <w:rPr>
          <w:spacing w:val="-5"/>
        </w:rPr>
        <w:t xml:space="preserve"> </w:t>
      </w:r>
      <w:r>
        <w:t>total</w:t>
      </w:r>
      <w:r>
        <w:rPr>
          <w:spacing w:val="-5"/>
        </w:rPr>
        <w:t xml:space="preserve"> </w:t>
      </w:r>
      <w:r>
        <w:t>annual</w:t>
      </w:r>
      <w:r>
        <w:rPr>
          <w:spacing w:val="-5"/>
        </w:rPr>
        <w:t xml:space="preserve"> </w:t>
      </w:r>
      <w:r>
        <w:rPr>
          <w:spacing w:val="-1"/>
        </w:rPr>
        <w:t>reporting</w:t>
      </w:r>
      <w:r>
        <w:rPr>
          <w:spacing w:val="-4"/>
        </w:rPr>
        <w:t xml:space="preserve"> </w:t>
      </w:r>
      <w:r>
        <w:t>burden</w:t>
      </w:r>
      <w:r>
        <w:rPr>
          <w:spacing w:val="-3"/>
        </w:rPr>
        <w:t xml:space="preserve"> </w:t>
      </w:r>
      <w:r>
        <w:t>of</w:t>
      </w:r>
      <w:r>
        <w:rPr>
          <w:spacing w:val="-4"/>
        </w:rPr>
        <w:t xml:space="preserve"> 18,750 </w:t>
      </w:r>
      <w:r>
        <w:t>hours,</w:t>
      </w:r>
      <w:r>
        <w:rPr>
          <w:spacing w:val="-4"/>
        </w:rPr>
        <w:t xml:space="preserve"> </w:t>
      </w:r>
      <w:r>
        <w:t>and</w:t>
      </w:r>
      <w:r>
        <w:rPr>
          <w:spacing w:val="-5"/>
        </w:rPr>
        <w:t xml:space="preserve"> </w:t>
      </w:r>
      <w:r>
        <w:rPr>
          <w:spacing w:val="-1"/>
        </w:rPr>
        <w:t>assuming</w:t>
      </w:r>
      <w:r>
        <w:rPr>
          <w:spacing w:val="-4"/>
        </w:rPr>
        <w:t xml:space="preserve"> </w:t>
      </w:r>
      <w:r>
        <w:t>a</w:t>
      </w:r>
      <w:r>
        <w:rPr>
          <w:spacing w:val="-3"/>
        </w:rPr>
        <w:t xml:space="preserve"> </w:t>
      </w:r>
      <w:r>
        <w:t>fully-loaded</w:t>
      </w:r>
      <w:r>
        <w:rPr>
          <w:spacing w:val="29"/>
          <w:w w:val="99"/>
        </w:rPr>
        <w:t xml:space="preserve"> </w:t>
      </w:r>
      <w:r>
        <w:t>wage</w:t>
      </w:r>
      <w:r>
        <w:rPr>
          <w:spacing w:val="-6"/>
        </w:rPr>
        <w:t xml:space="preserve"> </w:t>
      </w:r>
      <w:r>
        <w:t>rate</w:t>
      </w:r>
      <w:r>
        <w:rPr>
          <w:spacing w:val="-5"/>
        </w:rPr>
        <w:t xml:space="preserve"> </w:t>
      </w:r>
      <w:r>
        <w:t>of</w:t>
      </w:r>
      <w:r>
        <w:rPr>
          <w:spacing w:val="-7"/>
        </w:rPr>
        <w:t xml:space="preserve"> </w:t>
      </w:r>
      <w:r>
        <w:t>$85.00/hour</w:t>
      </w:r>
      <w:r>
        <w:rPr>
          <w:spacing w:val="-5"/>
        </w:rPr>
        <w:t xml:space="preserve"> </w:t>
      </w:r>
      <w:r>
        <w:t>for</w:t>
      </w:r>
      <w:r>
        <w:rPr>
          <w:spacing w:val="-6"/>
        </w:rPr>
        <w:t xml:space="preserve"> </w:t>
      </w:r>
      <w:r>
        <w:rPr>
          <w:spacing w:val="-1"/>
        </w:rPr>
        <w:t>compiling</w:t>
      </w:r>
      <w:r>
        <w:rPr>
          <w:spacing w:val="-6"/>
        </w:rPr>
        <w:t xml:space="preserve"> </w:t>
      </w:r>
      <w:r>
        <w:t>the</w:t>
      </w:r>
      <w:r>
        <w:rPr>
          <w:spacing w:val="-5"/>
        </w:rPr>
        <w:t xml:space="preserve"> </w:t>
      </w:r>
      <w:r>
        <w:rPr>
          <w:spacing w:val="-1"/>
        </w:rPr>
        <w:t>information,</w:t>
      </w:r>
      <w:r>
        <w:rPr>
          <w:spacing w:val="-6"/>
        </w:rPr>
        <w:t xml:space="preserve"> </w:t>
      </w:r>
      <w:r>
        <w:t>we</w:t>
      </w:r>
      <w:r>
        <w:rPr>
          <w:spacing w:val="-5"/>
        </w:rPr>
        <w:t xml:space="preserve"> </w:t>
      </w:r>
      <w:r>
        <w:t>calculate</w:t>
      </w:r>
      <w:r>
        <w:rPr>
          <w:spacing w:val="-7"/>
        </w:rPr>
        <w:t xml:space="preserve"> </w:t>
      </w:r>
      <w:r>
        <w:t>a</w:t>
      </w:r>
      <w:r>
        <w:rPr>
          <w:spacing w:val="-5"/>
        </w:rPr>
        <w:t xml:space="preserve"> </w:t>
      </w:r>
      <w:r>
        <w:t>respondent</w:t>
      </w:r>
      <w:r>
        <w:rPr>
          <w:spacing w:val="-5"/>
        </w:rPr>
        <w:t xml:space="preserve"> </w:t>
      </w:r>
      <w:r>
        <w:t>cost</w:t>
      </w:r>
      <w:r>
        <w:rPr>
          <w:spacing w:val="-6"/>
        </w:rPr>
        <w:t xml:space="preserve"> </w:t>
      </w:r>
      <w:r>
        <w:t xml:space="preserve">of $1,593,750. </w:t>
      </w:r>
    </w:p>
    <w:p w:rsidRPr="005C6B2D" w:rsidR="005C6B2D" w:rsidP="006C5899" w:rsidRDefault="005C6B2D" w14:paraId="24042BF5" w14:textId="77777777">
      <w:pPr>
        <w:pStyle w:val="BodyText"/>
        <w:spacing w:after="0"/>
        <w:ind w:right="194"/>
      </w:pPr>
    </w:p>
    <w:p w:rsidRPr="00357C8A" w:rsidR="00357C8A" w:rsidP="006C5899" w:rsidRDefault="00357C8A" w14:paraId="4F172B5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6C5899" w:rsidRDefault="00CE12A9" w14:paraId="46E6CAE6" w14:textId="77777777">
      <w:pPr>
        <w:spacing w:after="200" w:line="276" w:lineRule="auto"/>
        <w:rPr>
          <w:rFonts w:eastAsia="Calibri"/>
          <w:u w:val="single"/>
        </w:rPr>
      </w:pPr>
      <w:r w:rsidRPr="00CE12A9">
        <w:rPr>
          <w:rFonts w:eastAsia="Calibri"/>
        </w:rPr>
        <w:t>There are no capital, start-up, operating, or maintenance costs associated with this information collection.</w:t>
      </w:r>
    </w:p>
    <w:p w:rsidRPr="005C6B2D" w:rsidR="00357C8A" w:rsidP="006C5899" w:rsidRDefault="00357C8A" w14:paraId="1F02C408" w14:textId="77777777">
      <w:pPr>
        <w:numPr>
          <w:ilvl w:val="0"/>
          <w:numId w:val="6"/>
        </w:numPr>
        <w:spacing w:after="200" w:line="276" w:lineRule="auto"/>
        <w:rPr>
          <w:rFonts w:eastAsia="Calibri"/>
          <w:u w:val="single"/>
        </w:rPr>
      </w:pPr>
      <w:r w:rsidRPr="005C6B2D">
        <w:rPr>
          <w:rFonts w:eastAsia="Calibri"/>
          <w:u w:val="single"/>
        </w:rPr>
        <w:t>Annualized Cost to the Federal Government</w:t>
      </w:r>
    </w:p>
    <w:p w:rsidR="00CA24C2" w:rsidP="006C5899" w:rsidRDefault="005C6B2D" w14:paraId="48271EA7" w14:textId="77777777">
      <w:r>
        <w:t xml:space="preserve">We </w:t>
      </w:r>
      <w:r w:rsidRPr="005C6B2D">
        <w:t>allocate</w:t>
      </w:r>
      <w:r>
        <w:t xml:space="preserve"> </w:t>
      </w:r>
      <w:r w:rsidRPr="005C6B2D">
        <w:t xml:space="preserve">22 FTEs to the review of NDAs and supplements received under §§ 315.4, 315.5, and 315.6. </w:t>
      </w:r>
      <w:r w:rsidR="00CE0EC9">
        <w:t xml:space="preserve"> </w:t>
      </w:r>
      <w:r w:rsidRPr="005C6B2D">
        <w:t>Based on an average FTE cost of $250,000, the total cost to the Federal government is $5,500,000.</w:t>
      </w:r>
    </w:p>
    <w:p w:rsidR="005C6B2D" w:rsidP="006C5899" w:rsidRDefault="005C6B2D" w14:paraId="1FCFCBE7" w14:textId="77777777"/>
    <w:p w:rsidRPr="004D4C23" w:rsidR="00357C8A" w:rsidP="006C5899" w:rsidRDefault="00357C8A" w14:paraId="01CE3197" w14:textId="77777777">
      <w:pPr>
        <w:numPr>
          <w:ilvl w:val="0"/>
          <w:numId w:val="6"/>
        </w:numPr>
        <w:spacing w:after="200" w:line="276" w:lineRule="auto"/>
        <w:rPr>
          <w:rFonts w:eastAsia="Calibri"/>
          <w:u w:val="single"/>
        </w:rPr>
      </w:pPr>
      <w:r w:rsidRPr="004D4C23">
        <w:rPr>
          <w:rFonts w:eastAsia="Calibri"/>
          <w:u w:val="single"/>
        </w:rPr>
        <w:t>Explanation for Program Changes or Adjustments*</w:t>
      </w:r>
    </w:p>
    <w:p w:rsidR="00BE174E" w:rsidP="006C5899" w:rsidRDefault="00BE174E" w14:paraId="5E512B12" w14:textId="77777777">
      <w:r w:rsidRPr="00E62349">
        <w:t xml:space="preserve">Our estimated burden for the information collection reflects an overall increase of </w:t>
      </w:r>
      <w:r>
        <w:t>14,750</w:t>
      </w:r>
      <w:r w:rsidRPr="00E62349">
        <w:t xml:space="preserve"> hours and a corresponding increase of </w:t>
      </w:r>
      <w:r>
        <w:t>13</w:t>
      </w:r>
      <w:r w:rsidRPr="00E62349">
        <w:t xml:space="preserve"> responses</w:t>
      </w:r>
      <w:r>
        <w:t>, including submissions involving NDAs, which we mentioned in our last information collection and supplement to approved NDAs, which we are now mentioning in this information collection</w:t>
      </w:r>
      <w:r w:rsidRPr="00E62349">
        <w:t xml:space="preserve">.  We attribute this adjustment to an increase in the number of submissions </w:t>
      </w:r>
      <w:r>
        <w:t>for NDAs for diagnostic radiopharmaceuticals we received over the past few years and because we are now capturing supplements to approved NDA for diagnostic radiopharmaceuticals.</w:t>
      </w:r>
    </w:p>
    <w:p w:rsidR="004D4C23" w:rsidP="006C5899" w:rsidRDefault="004D4C23" w14:paraId="6AEE3ABD" w14:textId="77777777"/>
    <w:p w:rsidRPr="00357C8A" w:rsidR="00357C8A" w:rsidP="006C5899" w:rsidRDefault="00357C8A" w14:paraId="5050566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CE12A9" w:rsidR="00357C8A" w:rsidP="006C5899" w:rsidRDefault="00357C8A" w14:paraId="350F7D11" w14:textId="77777777">
      <w:pPr>
        <w:spacing w:after="200"/>
        <w:rPr>
          <w:rFonts w:eastAsia="Calibri"/>
        </w:rPr>
      </w:pPr>
      <w:r w:rsidRPr="005C71CA">
        <w:rPr>
          <w:rFonts w:eastAsia="Calibri"/>
        </w:rPr>
        <w:t>This information collected will not be published or tabulated.</w:t>
      </w:r>
    </w:p>
    <w:p w:rsidRPr="00357C8A" w:rsidR="00357C8A" w:rsidP="006C5899" w:rsidRDefault="00357C8A" w14:paraId="2E3DD23D" w14:textId="77777777">
      <w:pPr>
        <w:numPr>
          <w:ilvl w:val="0"/>
          <w:numId w:val="6"/>
        </w:numPr>
        <w:spacing w:after="200" w:line="276" w:lineRule="auto"/>
        <w:rPr>
          <w:rFonts w:eastAsia="Calibri"/>
          <w:u w:val="single"/>
        </w:rPr>
      </w:pPr>
      <w:r w:rsidRPr="00357C8A">
        <w:rPr>
          <w:rFonts w:eastAsia="Calibri"/>
          <w:u w:val="single"/>
        </w:rPr>
        <w:lastRenderedPageBreak/>
        <w:t>Reason(s) Display of OMB Expiration Date is Inappropriate</w:t>
      </w:r>
    </w:p>
    <w:p w:rsidRPr="00400031" w:rsidR="00400031" w:rsidP="006C5899" w:rsidRDefault="00400031" w14:paraId="14B73891" w14:textId="77777777">
      <w:pPr>
        <w:spacing w:after="200" w:line="276" w:lineRule="auto"/>
        <w:rPr>
          <w:rFonts w:eastAsia="Calibri"/>
          <w:u w:val="single"/>
        </w:rPr>
      </w:pPr>
      <w:r w:rsidRPr="00400031">
        <w:rPr>
          <w:rFonts w:eastAsia="Calibri"/>
        </w:rPr>
        <w:t xml:space="preserve">The OMB expiration data will be displayed where required. </w:t>
      </w:r>
    </w:p>
    <w:p w:rsidRPr="00CE12A9" w:rsidR="00CE12A9" w:rsidP="006C5899" w:rsidRDefault="00357C8A" w14:paraId="5401D45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6C5899" w:rsidRDefault="007E59A8" w14:paraId="653ADF65" w14:textId="77777777">
      <w:pPr>
        <w:spacing w:after="200"/>
        <w:rPr>
          <w:rFonts w:eastAsia="Calibri"/>
        </w:rPr>
      </w:pPr>
      <w:r w:rsidRPr="007E59A8">
        <w:rPr>
          <w:rFonts w:eastAsia="Calibri"/>
        </w:rPr>
        <w:t>There are no exceptions to the certification</w:t>
      </w:r>
      <w:r>
        <w:rPr>
          <w:rFonts w:eastAsia="Calibri"/>
        </w:rPr>
        <w:t>.</w:t>
      </w:r>
    </w:p>
    <w:sectPr w:rsidRPr="00C20690" w:rsidR="00544138" w:rsidSect="006C5899">
      <w:footerReference w:type="even" r:id="rId8"/>
      <w:footerReference w:type="default" r:id="rId9"/>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5AB9" w14:textId="77777777" w:rsidR="00864525" w:rsidRDefault="00864525">
      <w:r>
        <w:separator/>
      </w:r>
    </w:p>
  </w:endnote>
  <w:endnote w:type="continuationSeparator" w:id="0">
    <w:p w14:paraId="51DE54CB" w14:textId="77777777" w:rsidR="00864525" w:rsidRDefault="0086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EAFD"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8B0B1"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5559" w14:textId="77777777" w:rsidR="00E63DE5" w:rsidRDefault="00E63DE5" w:rsidP="006C5899">
    <w:pPr>
      <w:pStyle w:val="Footer"/>
      <w:framePr w:wrap="around" w:vAnchor="text" w:hAnchor="page" w:x="6121" w:y="617"/>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D730F5F" w14:textId="77777777" w:rsidR="006C5899" w:rsidRDefault="006C5899">
    <w:pPr>
      <w:pStyle w:val="Footer"/>
    </w:pPr>
  </w:p>
  <w:p w14:paraId="722199C2" w14:textId="77777777" w:rsidR="006C5899" w:rsidRDefault="006C5899">
    <w:pPr>
      <w:pStyle w:val="Footer"/>
    </w:pPr>
  </w:p>
  <w:p w14:paraId="0E149733" w14:textId="77777777" w:rsidR="006C5899" w:rsidRDefault="006C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F01AE" w14:textId="77777777" w:rsidR="00864525" w:rsidRDefault="00864525">
      <w:r>
        <w:separator/>
      </w:r>
    </w:p>
  </w:footnote>
  <w:footnote w:type="continuationSeparator" w:id="0">
    <w:p w14:paraId="5DDAA34A" w14:textId="77777777" w:rsidR="00864525" w:rsidRDefault="00864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8A8EDE4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561967"/>
    <w:multiLevelType w:val="hybridMultilevel"/>
    <w:tmpl w:val="E15AC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D0FAC"/>
    <w:multiLevelType w:val="hybridMultilevel"/>
    <w:tmpl w:val="C914BC06"/>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0"/>
  </w:num>
  <w:num w:numId="7">
    <w:abstractNumId w:val="3"/>
    <w:lvlOverride w:ilvl="0"/>
    <w:lvlOverride w:ilvl="1"/>
    <w:lvlOverride w:ilvl="2"/>
    <w:lvlOverride w:ilvl="3"/>
    <w:lvlOverride w:ilvl="4"/>
    <w:lvlOverride w:ilvl="5"/>
    <w:lvlOverride w:ilvl="6"/>
    <w:lvlOverride w:ilvl="7"/>
    <w:lvlOverride w:ilvl="8"/>
  </w:num>
  <w:num w:numId="8">
    <w:abstractNumId w:val="5"/>
  </w:num>
  <w:num w:numId="9">
    <w:abstractNumId w:val="6"/>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26444"/>
    <w:rsid w:val="00031A2C"/>
    <w:rsid w:val="00042B93"/>
    <w:rsid w:val="00043C7F"/>
    <w:rsid w:val="000467A8"/>
    <w:rsid w:val="000635F6"/>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15893"/>
    <w:rsid w:val="0012329C"/>
    <w:rsid w:val="0013160F"/>
    <w:rsid w:val="00134FA7"/>
    <w:rsid w:val="00137950"/>
    <w:rsid w:val="00152F29"/>
    <w:rsid w:val="00174D54"/>
    <w:rsid w:val="00174F6F"/>
    <w:rsid w:val="0017702C"/>
    <w:rsid w:val="00185270"/>
    <w:rsid w:val="001868DD"/>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A59"/>
    <w:rsid w:val="00282F09"/>
    <w:rsid w:val="0029020C"/>
    <w:rsid w:val="00291810"/>
    <w:rsid w:val="00294D62"/>
    <w:rsid w:val="00297532"/>
    <w:rsid w:val="00297FFD"/>
    <w:rsid w:val="002A1210"/>
    <w:rsid w:val="002A47D2"/>
    <w:rsid w:val="002A7FB5"/>
    <w:rsid w:val="002B2074"/>
    <w:rsid w:val="002C0F48"/>
    <w:rsid w:val="002D14D8"/>
    <w:rsid w:val="002D4799"/>
    <w:rsid w:val="002E3FA4"/>
    <w:rsid w:val="002E53A5"/>
    <w:rsid w:val="002E64B8"/>
    <w:rsid w:val="002E6834"/>
    <w:rsid w:val="003113FF"/>
    <w:rsid w:val="00312622"/>
    <w:rsid w:val="0031550C"/>
    <w:rsid w:val="0032277F"/>
    <w:rsid w:val="00336B69"/>
    <w:rsid w:val="0034302B"/>
    <w:rsid w:val="00350523"/>
    <w:rsid w:val="0035189D"/>
    <w:rsid w:val="00352640"/>
    <w:rsid w:val="00355B62"/>
    <w:rsid w:val="00357C8A"/>
    <w:rsid w:val="0036480B"/>
    <w:rsid w:val="0037324B"/>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0031"/>
    <w:rsid w:val="0040297E"/>
    <w:rsid w:val="00411D11"/>
    <w:rsid w:val="00414494"/>
    <w:rsid w:val="00415E23"/>
    <w:rsid w:val="0041670D"/>
    <w:rsid w:val="00423272"/>
    <w:rsid w:val="00424061"/>
    <w:rsid w:val="0042587A"/>
    <w:rsid w:val="00442A3C"/>
    <w:rsid w:val="00443969"/>
    <w:rsid w:val="00447D74"/>
    <w:rsid w:val="00450A74"/>
    <w:rsid w:val="004546BF"/>
    <w:rsid w:val="00465350"/>
    <w:rsid w:val="00476B91"/>
    <w:rsid w:val="004846BF"/>
    <w:rsid w:val="00487DF8"/>
    <w:rsid w:val="00494912"/>
    <w:rsid w:val="004A5323"/>
    <w:rsid w:val="004A5A99"/>
    <w:rsid w:val="004C0D88"/>
    <w:rsid w:val="004C6979"/>
    <w:rsid w:val="004D13A2"/>
    <w:rsid w:val="004D3E7A"/>
    <w:rsid w:val="004D4C23"/>
    <w:rsid w:val="004F594B"/>
    <w:rsid w:val="004F61E1"/>
    <w:rsid w:val="0053380B"/>
    <w:rsid w:val="00543194"/>
    <w:rsid w:val="00544138"/>
    <w:rsid w:val="00554E34"/>
    <w:rsid w:val="00584583"/>
    <w:rsid w:val="00590E90"/>
    <w:rsid w:val="00590EEB"/>
    <w:rsid w:val="005A4099"/>
    <w:rsid w:val="005C38B2"/>
    <w:rsid w:val="005C5029"/>
    <w:rsid w:val="005C55C2"/>
    <w:rsid w:val="005C6B2D"/>
    <w:rsid w:val="005C71CA"/>
    <w:rsid w:val="005C745C"/>
    <w:rsid w:val="005D4DF5"/>
    <w:rsid w:val="005D51E2"/>
    <w:rsid w:val="005E42BA"/>
    <w:rsid w:val="005F31EA"/>
    <w:rsid w:val="00611D6B"/>
    <w:rsid w:val="00625CFD"/>
    <w:rsid w:val="006326EC"/>
    <w:rsid w:val="006403E6"/>
    <w:rsid w:val="00650BF7"/>
    <w:rsid w:val="00663A42"/>
    <w:rsid w:val="006641C7"/>
    <w:rsid w:val="006705EA"/>
    <w:rsid w:val="00670BE2"/>
    <w:rsid w:val="00684C5B"/>
    <w:rsid w:val="006916D9"/>
    <w:rsid w:val="006A0E05"/>
    <w:rsid w:val="006A26C6"/>
    <w:rsid w:val="006A465A"/>
    <w:rsid w:val="006A7D5D"/>
    <w:rsid w:val="006C5899"/>
    <w:rsid w:val="006D0C12"/>
    <w:rsid w:val="006D5D57"/>
    <w:rsid w:val="006E2538"/>
    <w:rsid w:val="006E302F"/>
    <w:rsid w:val="006E3B66"/>
    <w:rsid w:val="006F4D6D"/>
    <w:rsid w:val="00705086"/>
    <w:rsid w:val="00722001"/>
    <w:rsid w:val="00723FCA"/>
    <w:rsid w:val="00734DDD"/>
    <w:rsid w:val="00751E66"/>
    <w:rsid w:val="00754497"/>
    <w:rsid w:val="00784A75"/>
    <w:rsid w:val="00787C39"/>
    <w:rsid w:val="00792947"/>
    <w:rsid w:val="00795DF3"/>
    <w:rsid w:val="007A373C"/>
    <w:rsid w:val="007B225C"/>
    <w:rsid w:val="007C75B1"/>
    <w:rsid w:val="007C7BDF"/>
    <w:rsid w:val="007D3DFC"/>
    <w:rsid w:val="007E2F07"/>
    <w:rsid w:val="007E59A8"/>
    <w:rsid w:val="0080776D"/>
    <w:rsid w:val="00810145"/>
    <w:rsid w:val="008108FA"/>
    <w:rsid w:val="00810FF1"/>
    <w:rsid w:val="00822336"/>
    <w:rsid w:val="00823DFA"/>
    <w:rsid w:val="00842DB7"/>
    <w:rsid w:val="00843752"/>
    <w:rsid w:val="0084479F"/>
    <w:rsid w:val="008567D9"/>
    <w:rsid w:val="0085725E"/>
    <w:rsid w:val="00864525"/>
    <w:rsid w:val="00873D4F"/>
    <w:rsid w:val="0087509F"/>
    <w:rsid w:val="0088228C"/>
    <w:rsid w:val="00885B09"/>
    <w:rsid w:val="00892400"/>
    <w:rsid w:val="008A209D"/>
    <w:rsid w:val="008A22BB"/>
    <w:rsid w:val="008B035D"/>
    <w:rsid w:val="008B0E29"/>
    <w:rsid w:val="008B0EFA"/>
    <w:rsid w:val="008B30AB"/>
    <w:rsid w:val="008C3BB8"/>
    <w:rsid w:val="008C4B65"/>
    <w:rsid w:val="008E5F55"/>
    <w:rsid w:val="008E7C6A"/>
    <w:rsid w:val="009009E7"/>
    <w:rsid w:val="00905DEF"/>
    <w:rsid w:val="00906056"/>
    <w:rsid w:val="009122AE"/>
    <w:rsid w:val="00913B43"/>
    <w:rsid w:val="00930203"/>
    <w:rsid w:val="009311D2"/>
    <w:rsid w:val="009311E6"/>
    <w:rsid w:val="00931275"/>
    <w:rsid w:val="00936AC7"/>
    <w:rsid w:val="00953B64"/>
    <w:rsid w:val="009646A7"/>
    <w:rsid w:val="00970A88"/>
    <w:rsid w:val="0098172D"/>
    <w:rsid w:val="009818A1"/>
    <w:rsid w:val="009A1674"/>
    <w:rsid w:val="009B38BE"/>
    <w:rsid w:val="009B4DF2"/>
    <w:rsid w:val="009C684F"/>
    <w:rsid w:val="009D074C"/>
    <w:rsid w:val="009D6E73"/>
    <w:rsid w:val="009F1F1D"/>
    <w:rsid w:val="009F2B4F"/>
    <w:rsid w:val="009F3C63"/>
    <w:rsid w:val="009F66B5"/>
    <w:rsid w:val="00A00D30"/>
    <w:rsid w:val="00A02F10"/>
    <w:rsid w:val="00A10495"/>
    <w:rsid w:val="00A1060C"/>
    <w:rsid w:val="00A16221"/>
    <w:rsid w:val="00A20A7D"/>
    <w:rsid w:val="00A26F74"/>
    <w:rsid w:val="00A35D42"/>
    <w:rsid w:val="00A37A31"/>
    <w:rsid w:val="00A46CCF"/>
    <w:rsid w:val="00A506DE"/>
    <w:rsid w:val="00A53451"/>
    <w:rsid w:val="00A70426"/>
    <w:rsid w:val="00A707CC"/>
    <w:rsid w:val="00A71410"/>
    <w:rsid w:val="00A91E9A"/>
    <w:rsid w:val="00A93ED9"/>
    <w:rsid w:val="00A96221"/>
    <w:rsid w:val="00AA4907"/>
    <w:rsid w:val="00AC2DBB"/>
    <w:rsid w:val="00AC6A99"/>
    <w:rsid w:val="00AD6048"/>
    <w:rsid w:val="00AF3CD7"/>
    <w:rsid w:val="00B044AC"/>
    <w:rsid w:val="00B055EF"/>
    <w:rsid w:val="00B06B5B"/>
    <w:rsid w:val="00B23769"/>
    <w:rsid w:val="00B41789"/>
    <w:rsid w:val="00B81808"/>
    <w:rsid w:val="00B86DFA"/>
    <w:rsid w:val="00B936D0"/>
    <w:rsid w:val="00BB15FB"/>
    <w:rsid w:val="00BB2FD5"/>
    <w:rsid w:val="00BD3D5B"/>
    <w:rsid w:val="00BE174E"/>
    <w:rsid w:val="00BE3600"/>
    <w:rsid w:val="00C01F6F"/>
    <w:rsid w:val="00C041EA"/>
    <w:rsid w:val="00C13BBD"/>
    <w:rsid w:val="00C149AB"/>
    <w:rsid w:val="00C16929"/>
    <w:rsid w:val="00C20690"/>
    <w:rsid w:val="00C36020"/>
    <w:rsid w:val="00C40694"/>
    <w:rsid w:val="00C479BF"/>
    <w:rsid w:val="00C5124B"/>
    <w:rsid w:val="00C63B21"/>
    <w:rsid w:val="00C70542"/>
    <w:rsid w:val="00C75CBF"/>
    <w:rsid w:val="00C82C29"/>
    <w:rsid w:val="00CA24C2"/>
    <w:rsid w:val="00CA4252"/>
    <w:rsid w:val="00CC2894"/>
    <w:rsid w:val="00CD77C3"/>
    <w:rsid w:val="00CE0EC9"/>
    <w:rsid w:val="00CE112C"/>
    <w:rsid w:val="00CE12A9"/>
    <w:rsid w:val="00CE6042"/>
    <w:rsid w:val="00CF55D4"/>
    <w:rsid w:val="00D26009"/>
    <w:rsid w:val="00D608DA"/>
    <w:rsid w:val="00D730BF"/>
    <w:rsid w:val="00D852F4"/>
    <w:rsid w:val="00DB0F42"/>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0F14"/>
    <w:rsid w:val="00E7475A"/>
    <w:rsid w:val="00E77B48"/>
    <w:rsid w:val="00E857FB"/>
    <w:rsid w:val="00E91799"/>
    <w:rsid w:val="00E9723F"/>
    <w:rsid w:val="00E97DF8"/>
    <w:rsid w:val="00EA21FE"/>
    <w:rsid w:val="00EA34E3"/>
    <w:rsid w:val="00EB7538"/>
    <w:rsid w:val="00EC1868"/>
    <w:rsid w:val="00ED10BD"/>
    <w:rsid w:val="00EE6468"/>
    <w:rsid w:val="00F1299B"/>
    <w:rsid w:val="00F207A4"/>
    <w:rsid w:val="00F25173"/>
    <w:rsid w:val="00F355AC"/>
    <w:rsid w:val="00F40CF7"/>
    <w:rsid w:val="00F44194"/>
    <w:rsid w:val="00F71A5A"/>
    <w:rsid w:val="00F73713"/>
    <w:rsid w:val="00F73A1A"/>
    <w:rsid w:val="00F769E0"/>
    <w:rsid w:val="00FA4A46"/>
    <w:rsid w:val="00FA663E"/>
    <w:rsid w:val="00FA75FE"/>
    <w:rsid w:val="00FB1032"/>
    <w:rsid w:val="00FB39BC"/>
    <w:rsid w:val="00FB6A53"/>
    <w:rsid w:val="00FC11CA"/>
    <w:rsid w:val="00FC6BDE"/>
    <w:rsid w:val="00FF2931"/>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B9E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uiPriority w:val="99"/>
    <w:rsid w:val="00CE12A9"/>
    <w:rPr>
      <w:sz w:val="16"/>
      <w:szCs w:val="16"/>
    </w:rPr>
  </w:style>
  <w:style w:type="paragraph" w:styleId="CommentText">
    <w:name w:val="annotation text"/>
    <w:basedOn w:val="Normal"/>
    <w:link w:val="CommentTextChar"/>
    <w:uiPriority w:val="99"/>
    <w:rsid w:val="00CE12A9"/>
    <w:rPr>
      <w:sz w:val="20"/>
      <w:szCs w:val="20"/>
    </w:rPr>
  </w:style>
  <w:style w:type="character" w:customStyle="1" w:styleId="CommentTextChar">
    <w:name w:val="Comment Text Char"/>
    <w:basedOn w:val="DefaultParagraphFont"/>
    <w:link w:val="CommentText"/>
    <w:uiPriority w:val="99"/>
    <w:rsid w:val="00CE12A9"/>
  </w:style>
  <w:style w:type="paragraph" w:styleId="CommentSubject">
    <w:name w:val="annotation subject"/>
    <w:basedOn w:val="CommentText"/>
    <w:next w:val="CommentText"/>
    <w:link w:val="CommentSubjectChar"/>
    <w:rsid w:val="00CE12A9"/>
    <w:rPr>
      <w:b/>
      <w:bCs/>
    </w:rPr>
  </w:style>
  <w:style w:type="character" w:customStyle="1" w:styleId="CommentSubjectChar">
    <w:name w:val="Comment Subject Char"/>
    <w:link w:val="CommentSubject"/>
    <w:rsid w:val="00CE12A9"/>
    <w:rPr>
      <w:b/>
      <w:bCs/>
    </w:rPr>
  </w:style>
  <w:style w:type="paragraph" w:styleId="FootnoteText">
    <w:name w:val="footnote text"/>
    <w:basedOn w:val="Normal"/>
    <w:link w:val="FootnoteTextChar"/>
    <w:rsid w:val="00174F6F"/>
    <w:rPr>
      <w:sz w:val="20"/>
      <w:szCs w:val="20"/>
    </w:rPr>
  </w:style>
  <w:style w:type="character" w:customStyle="1" w:styleId="FootnoteTextChar">
    <w:name w:val="Footnote Text Char"/>
    <w:basedOn w:val="DefaultParagraphFont"/>
    <w:link w:val="FootnoteText"/>
    <w:rsid w:val="00174F6F"/>
  </w:style>
  <w:style w:type="character" w:styleId="FootnoteReference">
    <w:name w:val="footnote reference"/>
    <w:rsid w:val="00174F6F"/>
    <w:rPr>
      <w:vertAlign w:val="superscript"/>
    </w:rPr>
  </w:style>
  <w:style w:type="paragraph" w:styleId="BodyText">
    <w:name w:val="Body Text"/>
    <w:basedOn w:val="Normal"/>
    <w:link w:val="BodyTextChar"/>
    <w:rsid w:val="00723FCA"/>
    <w:pPr>
      <w:spacing w:after="120"/>
    </w:pPr>
  </w:style>
  <w:style w:type="character" w:customStyle="1" w:styleId="BodyTextChar">
    <w:name w:val="Body Text Char"/>
    <w:link w:val="BodyText"/>
    <w:rsid w:val="00723FCA"/>
    <w:rPr>
      <w:sz w:val="24"/>
      <w:szCs w:val="24"/>
    </w:rPr>
  </w:style>
  <w:style w:type="paragraph" w:customStyle="1" w:styleId="TableParagraph">
    <w:name w:val="Table Paragraph"/>
    <w:basedOn w:val="Normal"/>
    <w:uiPriority w:val="1"/>
    <w:qFormat/>
    <w:rsid w:val="005D51E2"/>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3932">
      <w:bodyDiv w:val="1"/>
      <w:marLeft w:val="0"/>
      <w:marRight w:val="0"/>
      <w:marTop w:val="0"/>
      <w:marBottom w:val="0"/>
      <w:divBdr>
        <w:top w:val="none" w:sz="0" w:space="0" w:color="auto"/>
        <w:left w:val="none" w:sz="0" w:space="0" w:color="auto"/>
        <w:bottom w:val="none" w:sz="0" w:space="0" w:color="auto"/>
        <w:right w:val="none" w:sz="0" w:space="0" w:color="auto"/>
      </w:divBdr>
    </w:div>
    <w:div w:id="93870052">
      <w:bodyDiv w:val="1"/>
      <w:marLeft w:val="0"/>
      <w:marRight w:val="0"/>
      <w:marTop w:val="0"/>
      <w:marBottom w:val="0"/>
      <w:divBdr>
        <w:top w:val="none" w:sz="0" w:space="0" w:color="auto"/>
        <w:left w:val="none" w:sz="0" w:space="0" w:color="auto"/>
        <w:bottom w:val="none" w:sz="0" w:space="0" w:color="auto"/>
        <w:right w:val="none" w:sz="0" w:space="0" w:color="auto"/>
      </w:divBdr>
    </w:div>
    <w:div w:id="427043978">
      <w:bodyDiv w:val="1"/>
      <w:marLeft w:val="0"/>
      <w:marRight w:val="0"/>
      <w:marTop w:val="0"/>
      <w:marBottom w:val="0"/>
      <w:divBdr>
        <w:top w:val="none" w:sz="0" w:space="0" w:color="auto"/>
        <w:left w:val="none" w:sz="0" w:space="0" w:color="auto"/>
        <w:bottom w:val="none" w:sz="0" w:space="0" w:color="auto"/>
        <w:right w:val="none" w:sz="0" w:space="0" w:color="auto"/>
      </w:divBdr>
    </w:div>
    <w:div w:id="523130676">
      <w:bodyDiv w:val="1"/>
      <w:marLeft w:val="0"/>
      <w:marRight w:val="0"/>
      <w:marTop w:val="0"/>
      <w:marBottom w:val="0"/>
      <w:divBdr>
        <w:top w:val="none" w:sz="0" w:space="0" w:color="auto"/>
        <w:left w:val="none" w:sz="0" w:space="0" w:color="auto"/>
        <w:bottom w:val="none" w:sz="0" w:space="0" w:color="auto"/>
        <w:right w:val="none" w:sz="0" w:space="0" w:color="auto"/>
      </w:divBdr>
    </w:div>
    <w:div w:id="599945280">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944845269">
      <w:bodyDiv w:val="1"/>
      <w:marLeft w:val="0"/>
      <w:marRight w:val="0"/>
      <w:marTop w:val="0"/>
      <w:marBottom w:val="0"/>
      <w:divBdr>
        <w:top w:val="none" w:sz="0" w:space="0" w:color="auto"/>
        <w:left w:val="none" w:sz="0" w:space="0" w:color="auto"/>
        <w:bottom w:val="none" w:sz="0" w:space="0" w:color="auto"/>
        <w:right w:val="none" w:sz="0" w:space="0" w:color="auto"/>
      </w:divBdr>
    </w:div>
    <w:div w:id="115572984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296981471">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593734365">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58361605">
      <w:bodyDiv w:val="1"/>
      <w:marLeft w:val="0"/>
      <w:marRight w:val="0"/>
      <w:marTop w:val="0"/>
      <w:marBottom w:val="0"/>
      <w:divBdr>
        <w:top w:val="none" w:sz="0" w:space="0" w:color="auto"/>
        <w:left w:val="none" w:sz="0" w:space="0" w:color="auto"/>
        <w:bottom w:val="none" w:sz="0" w:space="0" w:color="auto"/>
        <w:right w:val="none" w:sz="0" w:space="0" w:color="auto"/>
      </w:divBdr>
    </w:div>
    <w:div w:id="1862089510">
      <w:bodyDiv w:val="1"/>
      <w:marLeft w:val="0"/>
      <w:marRight w:val="0"/>
      <w:marTop w:val="0"/>
      <w:marBottom w:val="0"/>
      <w:divBdr>
        <w:top w:val="none" w:sz="0" w:space="0" w:color="auto"/>
        <w:left w:val="none" w:sz="0" w:space="0" w:color="auto"/>
        <w:bottom w:val="none" w:sz="0" w:space="0" w:color="auto"/>
        <w:right w:val="none" w:sz="0" w:space="0" w:color="auto"/>
      </w:divBdr>
    </w:div>
    <w:div w:id="20922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da.gov/ForIndustry/SmallBusinessAssistance/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Links>
    <vt:vector size="6" baseType="variant">
      <vt:variant>
        <vt:i4>2621541</vt:i4>
      </vt:variant>
      <vt:variant>
        <vt:i4>0</vt:i4>
      </vt:variant>
      <vt:variant>
        <vt:i4>0</vt:i4>
      </vt:variant>
      <vt:variant>
        <vt:i4>5</vt:i4>
      </vt:variant>
      <vt:variant>
        <vt:lpwstr>http://www.fda.gov/ForIndustry/SmallBusinessAssistance/default.htm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2021-04-13T21:35:00Z</dcterms:created>
  <dcterms:modified xsi:type="dcterms:W3CDTF">2021-04-13T21:38:00Z</dcterms:modified>
</cp:coreProperties>
</file>