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65A" w:rsidP="006A465A" w:rsidRDefault="006A465A" w14:paraId="561B927C" w14:textId="77777777">
      <w:pPr>
        <w:ind w:left="720"/>
        <w:rPr>
          <w:sz w:val="48"/>
          <w:szCs w:val="48"/>
        </w:rPr>
      </w:pPr>
    </w:p>
    <w:p w:rsidR="00357C8A" w:rsidP="00357C8A" w:rsidRDefault="00357C8A" w14:paraId="7ACF73B7" w14:textId="77777777">
      <w:pPr>
        <w:jc w:val="center"/>
        <w:rPr>
          <w:rFonts w:eastAsia="Calibri"/>
        </w:rPr>
      </w:pPr>
      <w:r w:rsidRPr="00357C8A">
        <w:rPr>
          <w:rFonts w:eastAsia="Calibri"/>
        </w:rPr>
        <w:t>United States Food and Drug Administration</w:t>
      </w:r>
    </w:p>
    <w:p w:rsidR="00357C8A" w:rsidP="00357C8A" w:rsidRDefault="00357C8A" w14:paraId="03972287" w14:textId="77777777">
      <w:pPr>
        <w:jc w:val="center"/>
        <w:rPr>
          <w:rFonts w:eastAsia="Calibri"/>
        </w:rPr>
      </w:pPr>
    </w:p>
    <w:p w:rsidR="00357C8A" w:rsidP="00357C8A" w:rsidRDefault="00A807B1" w14:paraId="58145003" w14:textId="13F75974">
      <w:pPr>
        <w:jc w:val="center"/>
        <w:rPr>
          <w:rFonts w:eastAsia="Calibri"/>
        </w:rPr>
      </w:pPr>
      <w:r>
        <w:rPr>
          <w:rFonts w:eastAsia="Calibri"/>
        </w:rPr>
        <w:t xml:space="preserve">Substances Prohibited </w:t>
      </w:r>
      <w:r w:rsidR="00E30F4B">
        <w:rPr>
          <w:rFonts w:eastAsia="Calibri"/>
        </w:rPr>
        <w:t>from</w:t>
      </w:r>
      <w:r>
        <w:rPr>
          <w:rFonts w:eastAsia="Calibri"/>
        </w:rPr>
        <w:t xml:space="preserve"> Use in Animal Food or Feed</w:t>
      </w:r>
    </w:p>
    <w:p w:rsidR="00357C8A" w:rsidP="00357C8A" w:rsidRDefault="00357C8A" w14:paraId="1E4E5B0F" w14:textId="77777777">
      <w:pPr>
        <w:jc w:val="center"/>
        <w:rPr>
          <w:rFonts w:eastAsia="Calibri"/>
        </w:rPr>
      </w:pPr>
    </w:p>
    <w:p w:rsidR="00357C8A" w:rsidP="00357C8A" w:rsidRDefault="00357C8A" w14:paraId="3F080B5E" w14:textId="77777777">
      <w:pPr>
        <w:jc w:val="center"/>
        <w:rPr>
          <w:rFonts w:eastAsia="Calibri"/>
        </w:rPr>
      </w:pPr>
      <w:r w:rsidRPr="00357C8A">
        <w:rPr>
          <w:rFonts w:eastAsia="Calibri"/>
        </w:rPr>
        <w:t>OMB Control No. 0910-</w:t>
      </w:r>
      <w:r w:rsidR="00A807B1">
        <w:rPr>
          <w:rFonts w:eastAsia="Calibri"/>
        </w:rPr>
        <w:t>0627</w:t>
      </w:r>
    </w:p>
    <w:p w:rsidR="00357C8A" w:rsidP="00357C8A" w:rsidRDefault="00357C8A" w14:paraId="32A8E27A" w14:textId="77777777">
      <w:pPr>
        <w:jc w:val="center"/>
        <w:rPr>
          <w:rFonts w:eastAsia="Calibri"/>
        </w:rPr>
      </w:pPr>
    </w:p>
    <w:p w:rsidR="00357C8A" w:rsidP="00357C8A" w:rsidRDefault="00357C8A" w14:paraId="1405272F" w14:textId="77777777">
      <w:pPr>
        <w:jc w:val="center"/>
        <w:rPr>
          <w:rFonts w:eastAsia="Calibri"/>
        </w:rPr>
      </w:pPr>
      <w:r w:rsidRPr="00357C8A">
        <w:rPr>
          <w:rFonts w:eastAsia="Calibri"/>
        </w:rPr>
        <w:t>SUPPORTING STATEMENT</w:t>
      </w:r>
    </w:p>
    <w:p w:rsidR="00045306" w:rsidP="00357C8A" w:rsidRDefault="00045306" w14:paraId="24BCE6C8" w14:textId="77777777">
      <w:pPr>
        <w:jc w:val="center"/>
        <w:rPr>
          <w:rFonts w:eastAsia="Calibri"/>
        </w:rPr>
      </w:pPr>
    </w:p>
    <w:p w:rsidRPr="00045306" w:rsidR="00045306" w:rsidP="00E30F4B" w:rsidRDefault="00045306" w14:paraId="7DEE3CAD" w14:textId="77777777">
      <w:pPr>
        <w:rPr>
          <w:rFonts w:eastAsia="Calibri"/>
        </w:rPr>
      </w:pPr>
      <w:r>
        <w:rPr>
          <w:rFonts w:eastAsia="Calibri"/>
          <w:u w:val="single"/>
        </w:rPr>
        <w:t>Terms of Clearance:</w:t>
      </w:r>
      <w:r>
        <w:rPr>
          <w:rFonts w:eastAsia="Calibri"/>
        </w:rPr>
        <w:t xml:space="preserve">  None</w:t>
      </w:r>
    </w:p>
    <w:p w:rsidR="009B4DF2" w:rsidP="00357C8A" w:rsidRDefault="009B4DF2" w14:paraId="379AB7A1" w14:textId="77777777">
      <w:pPr>
        <w:jc w:val="center"/>
        <w:rPr>
          <w:rFonts w:eastAsia="Calibri"/>
        </w:rPr>
      </w:pPr>
    </w:p>
    <w:p w:rsidR="00357C8A" w:rsidP="000D79CC" w:rsidRDefault="00357C8A" w14:paraId="45835BDA" w14:textId="77777777">
      <w:pPr>
        <w:rPr>
          <w:rFonts w:eastAsia="Calibri"/>
        </w:rPr>
      </w:pPr>
      <w:r w:rsidRPr="00357C8A">
        <w:rPr>
          <w:rFonts w:eastAsia="Calibri"/>
          <w:b/>
        </w:rPr>
        <w:t>Part A:  Justification</w:t>
      </w:r>
      <w:r w:rsidRPr="00357C8A">
        <w:rPr>
          <w:rFonts w:eastAsia="Calibri"/>
        </w:rPr>
        <w:t>:</w:t>
      </w:r>
    </w:p>
    <w:p w:rsidRPr="00357C8A" w:rsidR="000D79CC" w:rsidP="000D79CC" w:rsidRDefault="000D79CC" w14:paraId="5B679528" w14:textId="77777777">
      <w:pPr>
        <w:rPr>
          <w:rFonts w:eastAsia="Calibri"/>
        </w:rPr>
      </w:pPr>
    </w:p>
    <w:p w:rsidRPr="00357C8A" w:rsidR="00357C8A" w:rsidP="006705EA" w:rsidRDefault="00357C8A" w14:paraId="2FD20D01"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F10A9E" w:rsidP="00A807B1" w:rsidRDefault="00A807B1" w14:paraId="2849A14D" w14:textId="7E048012">
      <w:pPr>
        <w:rPr>
          <w:rFonts w:eastAsia="Calibri"/>
        </w:rPr>
      </w:pPr>
      <w:r w:rsidRPr="00A807B1">
        <w:rPr>
          <w:rFonts w:eastAsia="Calibri"/>
        </w:rPr>
        <w:t xml:space="preserve">This information collection supports </w:t>
      </w:r>
      <w:r w:rsidR="00045306">
        <w:rPr>
          <w:rFonts w:eastAsia="Calibri"/>
        </w:rPr>
        <w:t xml:space="preserve">Food and Drug Administration </w:t>
      </w:r>
      <w:r w:rsidRPr="00A807B1">
        <w:rPr>
          <w:rFonts w:eastAsia="Calibri"/>
        </w:rPr>
        <w:t>regulations regarding substances prohibited from use in animal food or feed.  Bovine spongiform encephalopathy (BSE) is a progressive and fatal neurological disorder of cattle that results from an unconventional transmissible agent.  BSE belongs to the family of diseases known as transmissible spongiform encephalopathies (TSEs).  All TSEs affect the central nervous system of infected animals.  Our regulation at § 589.2001 (21 CFR 589.2001) entitled, "Cattle materials prohibited in animal food or feed to prevent the transmission of bovine spongiform encephalopathy," is designed to further strengthen existing safeguards against the establishment and amplification of BSE in the United States through animal feed.  The regulation prohibits the use of certain cattle origin materials in the food or feed of all animals.  These materials are referred to as "cattle materials prohibited in animal feed" or CMPAF.  Under § 589.2001, no animal feed or feed ingredient can contain CMPAF.  As a result, we impose requirements on renderers of specifically defined cattle materials, including reporting and recordkeeping requirements.  For purposes of the regulation, we define a renderer as any firm or individual that processes slaughter byproducts, animals unfit for human consumption, including carcasses of dead cattle, or meat scraps.</w:t>
      </w:r>
    </w:p>
    <w:p w:rsidRPr="005C71CA" w:rsidR="00A807B1" w:rsidP="00A807B1" w:rsidRDefault="00A807B1" w14:paraId="2BBDDAD2" w14:textId="77777777">
      <w:pPr>
        <w:rPr>
          <w:rFonts w:eastAsia="Calibri"/>
        </w:rPr>
      </w:pPr>
      <w:r w:rsidRPr="00A807B1">
        <w:rPr>
          <w:rFonts w:eastAsia="Calibri"/>
        </w:rPr>
        <w:t xml:space="preserve">  </w:t>
      </w:r>
    </w:p>
    <w:p w:rsidRPr="00423272" w:rsidR="00423272" w:rsidP="00423272" w:rsidRDefault="00423272" w14:paraId="2D806795" w14:textId="2CC9F9A6">
      <w:pPr>
        <w:rPr>
          <w:rFonts w:eastAsia="Calibri"/>
          <w:i/>
        </w:rPr>
      </w:pPr>
      <w:r w:rsidRPr="005C71CA">
        <w:rPr>
          <w:rFonts w:eastAsia="Calibri"/>
        </w:rPr>
        <w:t xml:space="preserve">We therefore request OMB extension of OMB approval of </w:t>
      </w:r>
      <w:r w:rsidR="006B547C">
        <w:rPr>
          <w:rFonts w:eastAsia="Calibri"/>
        </w:rPr>
        <w:t>the information requirements</w:t>
      </w:r>
      <w:r w:rsidR="007057D3">
        <w:rPr>
          <w:rFonts w:eastAsia="Calibri"/>
        </w:rPr>
        <w:t xml:space="preserve"> </w:t>
      </w:r>
      <w:r w:rsidRPr="005C71CA">
        <w:rPr>
          <w:rFonts w:eastAsia="Calibri"/>
        </w:rPr>
        <w:t xml:space="preserve">found in 21 CFR </w:t>
      </w:r>
      <w:r w:rsidR="00F10A9E">
        <w:rPr>
          <w:rFonts w:eastAsia="Calibri"/>
        </w:rPr>
        <w:t>589</w:t>
      </w:r>
      <w:r w:rsidR="006B547C">
        <w:rPr>
          <w:rFonts w:eastAsia="Calibri"/>
        </w:rPr>
        <w:t>.2001</w:t>
      </w:r>
      <w:r w:rsidR="00F10A9E">
        <w:rPr>
          <w:rFonts w:eastAsia="Calibri"/>
        </w:rPr>
        <w:t xml:space="preserve"> </w:t>
      </w:r>
      <w:r w:rsidRPr="005C71CA">
        <w:rPr>
          <w:rFonts w:eastAsia="Calibri"/>
        </w:rPr>
        <w:t>as discussed in this supporting statement.</w:t>
      </w:r>
    </w:p>
    <w:p w:rsidRPr="00357C8A" w:rsidR="00357C8A" w:rsidP="0022425B" w:rsidRDefault="00357C8A" w14:paraId="321288EF" w14:textId="77777777">
      <w:pPr>
        <w:spacing w:after="200"/>
        <w:rPr>
          <w:rFonts w:eastAsia="Calibri"/>
          <w:color w:val="FF0000"/>
        </w:rPr>
      </w:pPr>
    </w:p>
    <w:p w:rsidRPr="00357C8A" w:rsidR="00357C8A" w:rsidP="006705EA" w:rsidRDefault="00357C8A" w14:paraId="0C1C0F72"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357C8A" w:rsidR="00357C8A" w:rsidP="0022425B" w:rsidRDefault="007057D3" w14:paraId="2B893AFE" w14:textId="77777777">
      <w:pPr>
        <w:spacing w:after="200"/>
        <w:rPr>
          <w:rFonts w:eastAsia="Calibri"/>
          <w:color w:val="FF0000"/>
        </w:rPr>
      </w:pPr>
      <w:r w:rsidRPr="0088191F">
        <w:t xml:space="preserve">Under our regulations, we may designate a country from which cattle materials are not considered CMPAF. </w:t>
      </w:r>
      <w:r>
        <w:t xml:space="preserve"> </w:t>
      </w:r>
      <w:r w:rsidRPr="0088191F">
        <w:t xml:space="preserve">Section 589.2001(f) provides that a country seeking to be so designated must send a written request to the Director of the Center for Veterinary Medicine. </w:t>
      </w:r>
      <w:r>
        <w:t xml:space="preserve"> </w:t>
      </w:r>
      <w:r w:rsidRPr="0088191F">
        <w:t xml:space="preserve">The information the country is required to submit includes information about that country's BSE case history, risk factors, measures to prevent the introduction and transmission of BSE, and any other information relevant to determining whether the cattle materials from the requesting country do or do not meet the definitions set forth in § 589.2001(b)(1). </w:t>
      </w:r>
      <w:r>
        <w:t xml:space="preserve"> </w:t>
      </w:r>
      <w:r w:rsidRPr="0088191F">
        <w:t xml:space="preserve">We use the information to determine whether to grant a request for designation and to impose conditions if a request is granted. </w:t>
      </w:r>
      <w:r>
        <w:t xml:space="preserve"> </w:t>
      </w:r>
      <w:r w:rsidRPr="0088191F">
        <w:t xml:space="preserve">Section 589.2001(f) further states that countries designated under that section will be subject to our future review to determine whether their designations remain appropriate. </w:t>
      </w:r>
      <w:r>
        <w:t xml:space="preserve"> </w:t>
      </w:r>
      <w:r w:rsidRPr="0088191F">
        <w:t xml:space="preserve">As part of this process, we may ask designated countries from time to time to confirm that their BSE situation and the information submitted by them in support of their original application remains unchanged. </w:t>
      </w:r>
      <w:r>
        <w:t xml:space="preserve"> </w:t>
      </w:r>
      <w:r w:rsidRPr="0088191F">
        <w:t xml:space="preserve">We may revoke a </w:t>
      </w:r>
      <w:r w:rsidRPr="0088191F">
        <w:lastRenderedPageBreak/>
        <w:t xml:space="preserve">country's designation if we determine that it is no longer appropriate. </w:t>
      </w:r>
      <w:r>
        <w:t xml:space="preserve"> </w:t>
      </w:r>
      <w:r w:rsidRPr="0088191F">
        <w:t xml:space="preserve">Therefore, designated countries may respond to our periodic requests by submitting information to confirm their designations remain appropriate. </w:t>
      </w:r>
      <w:r>
        <w:t xml:space="preserve"> </w:t>
      </w:r>
      <w:r w:rsidRPr="0088191F">
        <w:t>We use the information to ensure their designations remain appropriate</w:t>
      </w:r>
      <w:r>
        <w:t>.</w:t>
      </w:r>
    </w:p>
    <w:p w:rsidRPr="00357C8A" w:rsidR="00357C8A" w:rsidP="006705EA" w:rsidRDefault="00357C8A" w14:paraId="4AA8ED0D"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357C8A" w:rsidR="00357C8A" w:rsidP="0022425B" w:rsidRDefault="006B547C" w14:paraId="4D9AF033" w14:textId="77777777">
      <w:pPr>
        <w:spacing w:after="200"/>
        <w:rPr>
          <w:rFonts w:eastAsia="Calibri"/>
        </w:rPr>
      </w:pPr>
      <w:r>
        <w:t>The regulation does not specifically prescribe the use of automated, electronic, mechanical or other technological techniques or other forms of information technology to fulfill the information collection requirements. Respondents may utilize information technology as desired and we estimate fifty percent (50%) will use electronic means to keep the required records.</w:t>
      </w:r>
    </w:p>
    <w:p w:rsidRPr="00357C8A" w:rsidR="00357C8A" w:rsidP="006705EA" w:rsidRDefault="00357C8A" w14:paraId="616CD769"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730E70" w:rsidR="000C1260" w:rsidP="0053380B" w:rsidRDefault="0053380B" w14:paraId="2790B435" w14:textId="77777777">
      <w:pPr>
        <w:spacing w:after="200"/>
      </w:pPr>
      <w:r w:rsidRPr="005C71CA">
        <w:t>We are unaware of duplicative information collection.</w:t>
      </w:r>
    </w:p>
    <w:p w:rsidRPr="00357C8A" w:rsidR="00357C8A" w:rsidP="006705EA" w:rsidRDefault="00357C8A" w14:paraId="755E1FA8"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P="00357C8A" w:rsidRDefault="00730E70" w14:paraId="36F15808" w14:textId="77777777">
      <w:pPr>
        <w:spacing w:after="200"/>
      </w:pPr>
      <w:r>
        <w:t xml:space="preserve">We believe approximately thirty to fifty percent (30-50%) of respondents are small businesses; </w:t>
      </w:r>
      <w:r w:rsidR="00DE5CB3">
        <w:t>however,</w:t>
      </w:r>
      <w:r>
        <w:t xml:space="preserve"> we believe the information collection poses no undue burden on small entities. At the same time, FDA aids small businesses in complying with its requirements through our Regional Small Business Representatives and through the scientific and administrative staffs within the agency. We also provide a Small Business Guide on our website at: </w:t>
      </w:r>
      <w:hyperlink w:history="1" r:id="rId7">
        <w:r w:rsidRPr="00805EE6">
          <w:rPr>
            <w:rStyle w:val="Hyperlink"/>
          </w:rPr>
          <w:t>https://www.fda.gov/industry/small-business-assistance</w:t>
        </w:r>
      </w:hyperlink>
    </w:p>
    <w:p w:rsidRPr="00357C8A" w:rsidR="00357C8A" w:rsidP="006705EA" w:rsidRDefault="00357C8A" w14:paraId="63CB093D"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357C8A" w:rsidR="00357C8A" w:rsidP="0022425B" w:rsidRDefault="00730E70" w14:paraId="7F2E5D4C" w14:textId="77777777">
      <w:pPr>
        <w:spacing w:after="200"/>
        <w:rPr>
          <w:rFonts w:eastAsia="Calibri"/>
        </w:rPr>
      </w:pPr>
      <w:r>
        <w:t>The information collection schedule is consistent with statutory requirements and applicable regulations</w:t>
      </w:r>
      <w:r w:rsidR="0010493E">
        <w:rPr>
          <w:rFonts w:eastAsia="Calibri"/>
        </w:rPr>
        <w:t>.</w:t>
      </w:r>
    </w:p>
    <w:p w:rsidRPr="00357C8A" w:rsidR="00357C8A" w:rsidP="006705EA" w:rsidRDefault="00357C8A" w14:paraId="30BE1B48"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730E70" w14:paraId="08295793" w14:textId="77777777">
      <w:pPr>
        <w:spacing w:after="200"/>
        <w:rPr>
          <w:rFonts w:eastAsia="Calibri"/>
        </w:rPr>
      </w:pPr>
      <w:r>
        <w:rPr>
          <w:rFonts w:eastAsia="Calibri"/>
        </w:rPr>
        <w:t>There are no special circumstances for this collection of information.</w:t>
      </w:r>
    </w:p>
    <w:p w:rsidRPr="00357C8A" w:rsidR="00357C8A" w:rsidP="006705EA" w:rsidRDefault="00357C8A" w14:paraId="351161A5"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357C8A" w:rsidR="00792947" w:rsidP="00357C8A" w:rsidRDefault="00792947" w14:paraId="76DBB61A" w14:textId="77777777">
      <w:pPr>
        <w:spacing w:after="200"/>
        <w:rPr>
          <w:rFonts w:eastAsia="Calibri"/>
        </w:rPr>
      </w:pPr>
      <w:r>
        <w:rPr>
          <w:rFonts w:eastAsia="Calibri"/>
        </w:rPr>
        <w:t xml:space="preserve">FDA published a 60-day notice for public comment in the </w:t>
      </w:r>
      <w:r w:rsidRPr="009009E7">
        <w:rPr>
          <w:rFonts w:eastAsia="Calibri"/>
          <w:i/>
        </w:rPr>
        <w:t>Federal Register</w:t>
      </w:r>
      <w:r>
        <w:rPr>
          <w:rFonts w:eastAsia="Calibri"/>
        </w:rPr>
        <w:t xml:space="preserve"> of </w:t>
      </w:r>
      <w:r w:rsidR="00730E70">
        <w:rPr>
          <w:rFonts w:eastAsia="Calibri"/>
        </w:rPr>
        <w:t>December 17, 2020</w:t>
      </w:r>
      <w:r w:rsidR="009009E7">
        <w:rPr>
          <w:rFonts w:eastAsia="Calibri"/>
        </w:rPr>
        <w:t xml:space="preserve"> </w:t>
      </w:r>
      <w:r w:rsidR="00201B7B">
        <w:rPr>
          <w:rFonts w:eastAsia="Calibri"/>
        </w:rPr>
        <w:t>(</w:t>
      </w:r>
      <w:r w:rsidR="00730E70">
        <w:rPr>
          <w:rFonts w:eastAsia="Calibri"/>
        </w:rPr>
        <w:t>85</w:t>
      </w:r>
      <w:r w:rsidR="009009E7">
        <w:rPr>
          <w:rFonts w:eastAsia="Calibri"/>
        </w:rPr>
        <w:t xml:space="preserve"> FR </w:t>
      </w:r>
      <w:r w:rsidR="00730E70">
        <w:rPr>
          <w:rFonts w:eastAsia="Calibri"/>
        </w:rPr>
        <w:t>81930</w:t>
      </w:r>
      <w:r w:rsidR="00201B7B">
        <w:rPr>
          <w:rFonts w:eastAsia="Calibri"/>
        </w:rPr>
        <w:t>)</w:t>
      </w:r>
      <w:r w:rsidR="00730E70">
        <w:rPr>
          <w:rFonts w:eastAsia="Calibri"/>
        </w:rPr>
        <w:t>.  No comments were received.</w:t>
      </w:r>
    </w:p>
    <w:p w:rsidRPr="00357C8A" w:rsidR="00357C8A" w:rsidP="006705EA" w:rsidRDefault="00357C8A" w14:paraId="65E6085E"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730E70" w:rsidR="00357C8A" w:rsidP="00357C8A" w:rsidRDefault="00792947" w14:paraId="44DBE0FB" w14:textId="77777777">
      <w:pPr>
        <w:spacing w:after="200"/>
        <w:rPr>
          <w:rFonts w:eastAsia="Calibri"/>
          <w:i/>
        </w:rPr>
      </w:pPr>
      <w:r w:rsidRPr="002074FE">
        <w:rPr>
          <w:rFonts w:eastAsia="Calibri"/>
        </w:rPr>
        <w:t>There are no incentives, payments or gifts associated with this information collection.</w:t>
      </w:r>
    </w:p>
    <w:p w:rsidRPr="00357C8A" w:rsidR="00357C8A" w:rsidP="006705EA" w:rsidRDefault="00357C8A" w14:paraId="4252C710"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077FFB" w:rsidP="00077FFB" w:rsidRDefault="00077FFB" w14:paraId="7CAB8E65" w14:textId="77777777">
      <w:r w:rsidRPr="00C33858">
        <w:t xml:space="preserve">In preparing this Supporting Statement, </w:t>
      </w:r>
      <w:r>
        <w:t xml:space="preserve">we </w:t>
      </w:r>
      <w:r w:rsidRPr="00C33858">
        <w:t xml:space="preserve">consulted </w:t>
      </w:r>
      <w:r>
        <w:t xml:space="preserve">our </w:t>
      </w:r>
      <w:r w:rsidRPr="00C33858">
        <w:t xml:space="preserve">Privacy Office to ensure appropriate </w:t>
      </w:r>
      <w:r>
        <w:t xml:space="preserve">identification and </w:t>
      </w:r>
      <w:r w:rsidRPr="00C33858">
        <w:t>handling of information collected.</w:t>
      </w:r>
    </w:p>
    <w:p w:rsidR="00077FFB" w:rsidP="00077FFB" w:rsidRDefault="00077FFB" w14:paraId="5C82B3DF" w14:textId="77777777">
      <w:pPr>
        <w:ind w:left="360"/>
      </w:pPr>
    </w:p>
    <w:p w:rsidR="00077FFB" w:rsidP="00077FFB" w:rsidRDefault="00077FFB" w14:paraId="1D3B6388" w14:textId="77777777">
      <w:r>
        <w:t xml:space="preserve">This ICR collects personally identifiable information (PII).  </w:t>
      </w:r>
      <w:r w:rsidRPr="00D66147">
        <w:t xml:space="preserve">PII is collected in the context of the subject individuals’ professional capacity and the FDA-related work they perform for their employer (e.g., point of contact at a regulated entity). </w:t>
      </w:r>
      <w:r>
        <w:t xml:space="preserve"> The PII submitted is name, telephone number, and email address.  The information collected allows foreign countries to request an </w:t>
      </w:r>
      <w:r>
        <w:lastRenderedPageBreak/>
        <w:t xml:space="preserve">exemption from 21 CFR 589.2001 and domestic firms who need to demonstrate compliance when someone (FDA or state) comes to do an inspection.  Through appropriate information collection, </w:t>
      </w:r>
      <w:r w:rsidRPr="00D66147">
        <w:t xml:space="preserve">FDA </w:t>
      </w:r>
      <w:r>
        <w:t xml:space="preserve">limited submission fields and </w:t>
      </w:r>
      <w:r w:rsidRPr="00D66147">
        <w:t>minimized the PII collected to protect the privacy of the individuals.</w:t>
      </w:r>
    </w:p>
    <w:p w:rsidR="00077FFB" w:rsidP="00077FFB" w:rsidRDefault="00077FFB" w14:paraId="0A661301" w14:textId="77777777">
      <w:pPr>
        <w:ind w:left="360"/>
      </w:pPr>
    </w:p>
    <w:p w:rsidR="00357C8A" w:rsidP="00077FFB" w:rsidRDefault="00077FFB" w14:paraId="08F3C27E" w14:textId="77777777">
      <w:pPr>
        <w:rPr>
          <w:rFonts w:eastAsia="Calibri"/>
          <w:color w:val="FF0000"/>
        </w:rPr>
      </w:pPr>
      <w:r w:rsidRPr="00C61647">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Pr="001075D3" w:rsidR="001075D3" w:rsidP="001075D3" w:rsidRDefault="001075D3" w14:paraId="0A7906F0" w14:textId="77777777">
      <w:pPr>
        <w:ind w:left="720"/>
      </w:pPr>
    </w:p>
    <w:p w:rsidRPr="00357C8A" w:rsidR="00357C8A" w:rsidP="006705EA" w:rsidRDefault="00357C8A" w14:paraId="600BCA46" w14:textId="77777777">
      <w:pPr>
        <w:numPr>
          <w:ilvl w:val="0"/>
          <w:numId w:val="6"/>
        </w:numPr>
        <w:spacing w:after="200" w:line="276" w:lineRule="auto"/>
        <w:rPr>
          <w:rFonts w:eastAsia="Calibri"/>
        </w:rPr>
      </w:pPr>
      <w:r w:rsidRPr="00357C8A">
        <w:rPr>
          <w:rFonts w:eastAsia="Calibri"/>
          <w:u w:val="single"/>
        </w:rPr>
        <w:t>Justification for Sensitive Questions</w:t>
      </w:r>
    </w:p>
    <w:p w:rsidRPr="00730E70" w:rsidR="00357C8A" w:rsidP="00DD0E02" w:rsidRDefault="00357C8A" w14:paraId="3F5BDC43" w14:textId="77777777">
      <w:pPr>
        <w:spacing w:after="200"/>
        <w:rPr>
          <w:rFonts w:eastAsia="Calibri"/>
        </w:rPr>
      </w:pPr>
      <w:r w:rsidRPr="00730E70">
        <w:rPr>
          <w:rFonts w:eastAsia="Calibri"/>
        </w:rPr>
        <w:t>The collection of information does not involve sensitive questions.</w:t>
      </w:r>
    </w:p>
    <w:p w:rsidRPr="00357C8A" w:rsidR="00357C8A" w:rsidP="006705EA" w:rsidRDefault="00357C8A" w14:paraId="421DC158"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5C71CA" w:rsidR="00357C8A" w:rsidP="0022425B" w:rsidRDefault="00357C8A" w14:paraId="0A8F1FFE" w14:textId="77777777">
      <w:pPr>
        <w:spacing w:after="200"/>
        <w:ind w:left="360"/>
        <w:rPr>
          <w:rFonts w:eastAsia="Calibri"/>
        </w:rPr>
      </w:pPr>
      <w:r w:rsidRPr="005C71CA">
        <w:rPr>
          <w:rFonts w:eastAsia="Calibri"/>
        </w:rPr>
        <w:t>12a.  Annualized Hour Burden Estimate</w:t>
      </w:r>
    </w:p>
    <w:p w:rsidRPr="006D6BC9" w:rsidR="00142FB1" w:rsidP="00142FB1" w:rsidRDefault="00142FB1" w14:paraId="2FCB10A4" w14:textId="77777777">
      <w:pPr>
        <w:ind w:firstLine="720"/>
        <w:contextualSpacing/>
        <w:rPr>
          <w:vertAlign w:val="superscript"/>
        </w:rPr>
      </w:pPr>
      <w:r>
        <w:t xml:space="preserve">                        </w:t>
      </w:r>
      <w:r w:rsidRPr="006D6BC9">
        <w:t>Table 1 – Estimated Annual Reporting Burden</w:t>
      </w:r>
      <w:r w:rsidRPr="006D6BC9">
        <w:rPr>
          <w:vertAlign w:val="superscript"/>
        </w:rPr>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22"/>
        <w:gridCol w:w="1239"/>
        <w:gridCol w:w="1340"/>
        <w:gridCol w:w="1165"/>
        <w:gridCol w:w="1446"/>
        <w:gridCol w:w="982"/>
      </w:tblGrid>
      <w:tr w:rsidRPr="00142FB1" w:rsidR="00142FB1" w:rsidTr="00142FB1" w14:paraId="40C7E4BF" w14:textId="77777777">
        <w:trPr>
          <w:cantSplit/>
          <w:trHeight w:val="20"/>
        </w:trPr>
        <w:tc>
          <w:tcPr>
            <w:tcW w:w="1769" w:type="pct"/>
            <w:shd w:val="clear" w:color="auto" w:fill="auto"/>
          </w:tcPr>
          <w:p w:rsidRPr="00142FB1" w:rsidR="00142FB1" w:rsidP="00142FB1" w:rsidRDefault="00142FB1" w14:paraId="1C4A345A" w14:textId="77777777">
            <w:pPr>
              <w:jc w:val="center"/>
              <w:rPr>
                <w:sz w:val="20"/>
                <w:szCs w:val="20"/>
              </w:rPr>
            </w:pPr>
            <w:r w:rsidRPr="00142FB1">
              <w:rPr>
                <w:sz w:val="20"/>
                <w:szCs w:val="20"/>
              </w:rPr>
              <w:t xml:space="preserve">21 CFR Part </w:t>
            </w:r>
          </w:p>
        </w:tc>
        <w:tc>
          <w:tcPr>
            <w:tcW w:w="556" w:type="pct"/>
            <w:shd w:val="clear" w:color="auto" w:fill="auto"/>
          </w:tcPr>
          <w:p w:rsidRPr="00142FB1" w:rsidR="00142FB1" w:rsidP="00142FB1" w:rsidRDefault="00142FB1" w14:paraId="65C73330" w14:textId="77777777">
            <w:pPr>
              <w:jc w:val="center"/>
              <w:rPr>
                <w:sz w:val="20"/>
                <w:szCs w:val="20"/>
              </w:rPr>
            </w:pPr>
            <w:r w:rsidRPr="00142FB1">
              <w:rPr>
                <w:sz w:val="20"/>
                <w:szCs w:val="20"/>
              </w:rPr>
              <w:t>No. of Respondents</w:t>
            </w:r>
          </w:p>
        </w:tc>
        <w:tc>
          <w:tcPr>
            <w:tcW w:w="725" w:type="pct"/>
            <w:shd w:val="clear" w:color="auto" w:fill="auto"/>
          </w:tcPr>
          <w:p w:rsidRPr="00142FB1" w:rsidR="00142FB1" w:rsidP="00142FB1" w:rsidRDefault="00142FB1" w14:paraId="2603B81E" w14:textId="77777777">
            <w:pPr>
              <w:jc w:val="center"/>
              <w:rPr>
                <w:sz w:val="20"/>
                <w:szCs w:val="20"/>
              </w:rPr>
            </w:pPr>
            <w:r w:rsidRPr="00142FB1">
              <w:rPr>
                <w:bCs/>
                <w:sz w:val="20"/>
                <w:szCs w:val="20"/>
              </w:rPr>
              <w:t>No. of Responses per Respondent</w:t>
            </w:r>
          </w:p>
        </w:tc>
        <w:tc>
          <w:tcPr>
            <w:tcW w:w="633" w:type="pct"/>
            <w:shd w:val="clear" w:color="auto" w:fill="auto"/>
          </w:tcPr>
          <w:p w:rsidRPr="00142FB1" w:rsidR="00142FB1" w:rsidP="00142FB1" w:rsidRDefault="00142FB1" w14:paraId="77BB1E27" w14:textId="77777777">
            <w:pPr>
              <w:jc w:val="center"/>
              <w:rPr>
                <w:sz w:val="20"/>
                <w:szCs w:val="20"/>
              </w:rPr>
            </w:pPr>
            <w:r w:rsidRPr="00142FB1">
              <w:rPr>
                <w:sz w:val="20"/>
                <w:szCs w:val="20"/>
              </w:rPr>
              <w:t>Total Annual Responses</w:t>
            </w:r>
          </w:p>
        </w:tc>
        <w:tc>
          <w:tcPr>
            <w:tcW w:w="781" w:type="pct"/>
            <w:shd w:val="clear" w:color="auto" w:fill="auto"/>
          </w:tcPr>
          <w:p w:rsidRPr="00142FB1" w:rsidR="00142FB1" w:rsidP="00142FB1" w:rsidRDefault="00142FB1" w14:paraId="6080B467" w14:textId="77777777">
            <w:pPr>
              <w:jc w:val="center"/>
              <w:rPr>
                <w:sz w:val="20"/>
                <w:szCs w:val="20"/>
              </w:rPr>
            </w:pPr>
            <w:r w:rsidRPr="00142FB1">
              <w:rPr>
                <w:bCs/>
                <w:sz w:val="20"/>
                <w:szCs w:val="20"/>
              </w:rPr>
              <w:t>Average Burden per Response</w:t>
            </w:r>
          </w:p>
        </w:tc>
        <w:tc>
          <w:tcPr>
            <w:tcW w:w="537" w:type="pct"/>
            <w:shd w:val="clear" w:color="auto" w:fill="auto"/>
          </w:tcPr>
          <w:p w:rsidRPr="00142FB1" w:rsidR="00142FB1" w:rsidP="00142FB1" w:rsidRDefault="00142FB1" w14:paraId="4495C589" w14:textId="77777777">
            <w:pPr>
              <w:jc w:val="center"/>
              <w:rPr>
                <w:sz w:val="20"/>
                <w:szCs w:val="20"/>
              </w:rPr>
            </w:pPr>
            <w:r w:rsidRPr="00142FB1">
              <w:rPr>
                <w:sz w:val="20"/>
                <w:szCs w:val="20"/>
              </w:rPr>
              <w:t>Total Hours</w:t>
            </w:r>
          </w:p>
        </w:tc>
      </w:tr>
      <w:tr w:rsidRPr="00142FB1" w:rsidR="00142FB1" w:rsidTr="00142FB1" w14:paraId="69E4214C" w14:textId="77777777">
        <w:trPr>
          <w:cantSplit/>
          <w:trHeight w:val="20"/>
        </w:trPr>
        <w:tc>
          <w:tcPr>
            <w:tcW w:w="1769" w:type="pct"/>
            <w:shd w:val="clear" w:color="auto" w:fill="auto"/>
          </w:tcPr>
          <w:p w:rsidRPr="00142FB1" w:rsidR="00142FB1" w:rsidP="00142FB1" w:rsidRDefault="00142FB1" w14:paraId="4F9F5445" w14:textId="77777777">
            <w:pPr>
              <w:rPr>
                <w:sz w:val="20"/>
                <w:szCs w:val="20"/>
              </w:rPr>
            </w:pPr>
            <w:r w:rsidRPr="00142FB1">
              <w:rPr>
                <w:sz w:val="20"/>
                <w:szCs w:val="20"/>
              </w:rPr>
              <w:t>589.2001(f); request for designation</w:t>
            </w:r>
          </w:p>
        </w:tc>
        <w:tc>
          <w:tcPr>
            <w:tcW w:w="556" w:type="pct"/>
            <w:shd w:val="clear" w:color="auto" w:fill="auto"/>
          </w:tcPr>
          <w:p w:rsidRPr="00142FB1" w:rsidR="00142FB1" w:rsidP="00142FB1" w:rsidRDefault="00142FB1" w14:paraId="2E70AF96" w14:textId="77777777">
            <w:pPr>
              <w:jc w:val="right"/>
              <w:rPr>
                <w:sz w:val="20"/>
                <w:szCs w:val="20"/>
              </w:rPr>
            </w:pPr>
            <w:r w:rsidRPr="00142FB1">
              <w:rPr>
                <w:sz w:val="20"/>
                <w:szCs w:val="20"/>
              </w:rPr>
              <w:t>1</w:t>
            </w:r>
          </w:p>
        </w:tc>
        <w:tc>
          <w:tcPr>
            <w:tcW w:w="725" w:type="pct"/>
            <w:shd w:val="clear" w:color="auto" w:fill="auto"/>
          </w:tcPr>
          <w:p w:rsidRPr="00142FB1" w:rsidR="00142FB1" w:rsidP="00142FB1" w:rsidRDefault="00142FB1" w14:paraId="340CE323" w14:textId="77777777">
            <w:pPr>
              <w:jc w:val="right"/>
              <w:rPr>
                <w:sz w:val="20"/>
                <w:szCs w:val="20"/>
              </w:rPr>
            </w:pPr>
            <w:r w:rsidRPr="00142FB1">
              <w:rPr>
                <w:sz w:val="20"/>
                <w:szCs w:val="20"/>
              </w:rPr>
              <w:t>1</w:t>
            </w:r>
          </w:p>
        </w:tc>
        <w:tc>
          <w:tcPr>
            <w:tcW w:w="633" w:type="pct"/>
            <w:shd w:val="clear" w:color="auto" w:fill="auto"/>
          </w:tcPr>
          <w:p w:rsidRPr="00142FB1" w:rsidR="00142FB1" w:rsidP="00142FB1" w:rsidRDefault="00142FB1" w14:paraId="6D7280CA" w14:textId="77777777">
            <w:pPr>
              <w:jc w:val="right"/>
              <w:rPr>
                <w:sz w:val="20"/>
                <w:szCs w:val="20"/>
              </w:rPr>
            </w:pPr>
            <w:r w:rsidRPr="00142FB1">
              <w:rPr>
                <w:sz w:val="20"/>
                <w:szCs w:val="20"/>
              </w:rPr>
              <w:t>1</w:t>
            </w:r>
          </w:p>
        </w:tc>
        <w:tc>
          <w:tcPr>
            <w:tcW w:w="781" w:type="pct"/>
            <w:shd w:val="clear" w:color="auto" w:fill="auto"/>
          </w:tcPr>
          <w:p w:rsidRPr="00142FB1" w:rsidR="00142FB1" w:rsidP="00142FB1" w:rsidRDefault="00142FB1" w14:paraId="5CC3C5BC" w14:textId="77777777">
            <w:pPr>
              <w:jc w:val="right"/>
              <w:rPr>
                <w:sz w:val="20"/>
                <w:szCs w:val="20"/>
              </w:rPr>
            </w:pPr>
            <w:r w:rsidRPr="00142FB1">
              <w:rPr>
                <w:sz w:val="20"/>
                <w:szCs w:val="20"/>
              </w:rPr>
              <w:t>80</w:t>
            </w:r>
          </w:p>
        </w:tc>
        <w:tc>
          <w:tcPr>
            <w:tcW w:w="537" w:type="pct"/>
            <w:shd w:val="clear" w:color="auto" w:fill="auto"/>
          </w:tcPr>
          <w:p w:rsidRPr="00142FB1" w:rsidR="00142FB1" w:rsidP="00142FB1" w:rsidRDefault="00142FB1" w14:paraId="5D859CFB" w14:textId="77777777">
            <w:pPr>
              <w:jc w:val="right"/>
              <w:rPr>
                <w:sz w:val="20"/>
                <w:szCs w:val="20"/>
              </w:rPr>
            </w:pPr>
            <w:r w:rsidRPr="00142FB1">
              <w:rPr>
                <w:sz w:val="20"/>
                <w:szCs w:val="20"/>
              </w:rPr>
              <w:t>80</w:t>
            </w:r>
          </w:p>
        </w:tc>
      </w:tr>
      <w:tr w:rsidRPr="00142FB1" w:rsidR="00142FB1" w:rsidTr="00142FB1" w14:paraId="14DBE030" w14:textId="77777777">
        <w:trPr>
          <w:cantSplit/>
          <w:trHeight w:val="20"/>
        </w:trPr>
        <w:tc>
          <w:tcPr>
            <w:tcW w:w="1769" w:type="pct"/>
            <w:shd w:val="clear" w:color="auto" w:fill="auto"/>
          </w:tcPr>
          <w:p w:rsidRPr="00142FB1" w:rsidR="00142FB1" w:rsidP="00142FB1" w:rsidRDefault="00142FB1" w14:paraId="6FDE51D3" w14:textId="77777777">
            <w:pPr>
              <w:rPr>
                <w:sz w:val="20"/>
                <w:szCs w:val="20"/>
              </w:rPr>
            </w:pPr>
            <w:r w:rsidRPr="00142FB1">
              <w:rPr>
                <w:sz w:val="20"/>
                <w:szCs w:val="20"/>
              </w:rPr>
              <w:t>589.2001(f); response to request for review by FDA</w:t>
            </w:r>
          </w:p>
        </w:tc>
        <w:tc>
          <w:tcPr>
            <w:tcW w:w="556" w:type="pct"/>
            <w:shd w:val="clear" w:color="auto" w:fill="auto"/>
          </w:tcPr>
          <w:p w:rsidRPr="00142FB1" w:rsidR="00142FB1" w:rsidDel="0088191F" w:rsidP="00142FB1" w:rsidRDefault="00142FB1" w14:paraId="3EF5F71A" w14:textId="77777777">
            <w:pPr>
              <w:jc w:val="right"/>
              <w:rPr>
                <w:sz w:val="20"/>
                <w:szCs w:val="20"/>
              </w:rPr>
            </w:pPr>
            <w:r w:rsidRPr="00142FB1">
              <w:rPr>
                <w:sz w:val="20"/>
                <w:szCs w:val="20"/>
              </w:rPr>
              <w:t>1</w:t>
            </w:r>
          </w:p>
        </w:tc>
        <w:tc>
          <w:tcPr>
            <w:tcW w:w="725" w:type="pct"/>
            <w:shd w:val="clear" w:color="auto" w:fill="auto"/>
          </w:tcPr>
          <w:p w:rsidRPr="00142FB1" w:rsidR="00142FB1" w:rsidDel="0088191F" w:rsidP="00142FB1" w:rsidRDefault="00142FB1" w14:paraId="7D156633" w14:textId="77777777">
            <w:pPr>
              <w:jc w:val="right"/>
              <w:rPr>
                <w:sz w:val="20"/>
                <w:szCs w:val="20"/>
              </w:rPr>
            </w:pPr>
            <w:r w:rsidRPr="00142FB1">
              <w:rPr>
                <w:sz w:val="20"/>
                <w:szCs w:val="20"/>
              </w:rPr>
              <w:t>1</w:t>
            </w:r>
          </w:p>
        </w:tc>
        <w:tc>
          <w:tcPr>
            <w:tcW w:w="633" w:type="pct"/>
            <w:shd w:val="clear" w:color="auto" w:fill="auto"/>
          </w:tcPr>
          <w:p w:rsidRPr="00142FB1" w:rsidR="00142FB1" w:rsidDel="0088191F" w:rsidP="00142FB1" w:rsidRDefault="00142FB1" w14:paraId="38FEB6DA" w14:textId="77777777">
            <w:pPr>
              <w:jc w:val="right"/>
              <w:rPr>
                <w:sz w:val="20"/>
                <w:szCs w:val="20"/>
              </w:rPr>
            </w:pPr>
            <w:r w:rsidRPr="00142FB1">
              <w:rPr>
                <w:sz w:val="20"/>
                <w:szCs w:val="20"/>
              </w:rPr>
              <w:t>1</w:t>
            </w:r>
          </w:p>
        </w:tc>
        <w:tc>
          <w:tcPr>
            <w:tcW w:w="781" w:type="pct"/>
            <w:shd w:val="clear" w:color="auto" w:fill="auto"/>
          </w:tcPr>
          <w:p w:rsidRPr="00142FB1" w:rsidR="00142FB1" w:rsidDel="0088191F" w:rsidP="00142FB1" w:rsidRDefault="00142FB1" w14:paraId="1EB99AA5" w14:textId="77777777">
            <w:pPr>
              <w:jc w:val="right"/>
              <w:rPr>
                <w:sz w:val="20"/>
                <w:szCs w:val="20"/>
              </w:rPr>
            </w:pPr>
            <w:r w:rsidRPr="00142FB1">
              <w:rPr>
                <w:sz w:val="20"/>
                <w:szCs w:val="20"/>
              </w:rPr>
              <w:t>26</w:t>
            </w:r>
          </w:p>
        </w:tc>
        <w:tc>
          <w:tcPr>
            <w:tcW w:w="537" w:type="pct"/>
            <w:shd w:val="clear" w:color="auto" w:fill="auto"/>
          </w:tcPr>
          <w:p w:rsidRPr="00142FB1" w:rsidR="00142FB1" w:rsidDel="0088191F" w:rsidP="00142FB1" w:rsidRDefault="00142FB1" w14:paraId="516E706D" w14:textId="77777777">
            <w:pPr>
              <w:jc w:val="right"/>
              <w:rPr>
                <w:sz w:val="20"/>
                <w:szCs w:val="20"/>
              </w:rPr>
            </w:pPr>
            <w:r w:rsidRPr="00142FB1">
              <w:rPr>
                <w:sz w:val="20"/>
                <w:szCs w:val="20"/>
              </w:rPr>
              <w:t>26</w:t>
            </w:r>
          </w:p>
        </w:tc>
      </w:tr>
      <w:tr w:rsidRPr="00142FB1" w:rsidR="00142FB1" w:rsidTr="00142FB1" w14:paraId="0F533AD2" w14:textId="77777777">
        <w:trPr>
          <w:cantSplit/>
          <w:trHeight w:val="20"/>
        </w:trPr>
        <w:tc>
          <w:tcPr>
            <w:tcW w:w="4463" w:type="pct"/>
            <w:gridSpan w:val="5"/>
            <w:shd w:val="clear" w:color="auto" w:fill="auto"/>
          </w:tcPr>
          <w:p w:rsidRPr="00142FB1" w:rsidR="00142FB1" w:rsidP="00142FB1" w:rsidRDefault="00142FB1" w14:paraId="52345C11" w14:textId="77777777">
            <w:pPr>
              <w:rPr>
                <w:sz w:val="20"/>
                <w:szCs w:val="20"/>
              </w:rPr>
            </w:pPr>
            <w:r w:rsidRPr="00142FB1">
              <w:rPr>
                <w:sz w:val="20"/>
                <w:szCs w:val="20"/>
              </w:rPr>
              <w:t>Total</w:t>
            </w:r>
          </w:p>
        </w:tc>
        <w:tc>
          <w:tcPr>
            <w:tcW w:w="537" w:type="pct"/>
            <w:shd w:val="clear" w:color="auto" w:fill="auto"/>
          </w:tcPr>
          <w:p w:rsidRPr="00142FB1" w:rsidR="00142FB1" w:rsidP="00142FB1" w:rsidRDefault="00142FB1" w14:paraId="3DBCCEB8" w14:textId="77777777">
            <w:pPr>
              <w:jc w:val="right"/>
              <w:rPr>
                <w:sz w:val="20"/>
                <w:szCs w:val="20"/>
              </w:rPr>
            </w:pPr>
            <w:r w:rsidRPr="00142FB1">
              <w:rPr>
                <w:sz w:val="20"/>
                <w:szCs w:val="20"/>
              </w:rPr>
              <w:t>106</w:t>
            </w:r>
          </w:p>
        </w:tc>
      </w:tr>
    </w:tbl>
    <w:p w:rsidRPr="00142FB1" w:rsidR="00142FB1" w:rsidP="00142FB1" w:rsidRDefault="00142FB1" w14:paraId="070432D4" w14:textId="081DB71A">
      <w:pPr>
        <w:rPr>
          <w:sz w:val="20"/>
          <w:szCs w:val="20"/>
        </w:rPr>
      </w:pPr>
      <w:r w:rsidRPr="00142FB1">
        <w:rPr>
          <w:sz w:val="20"/>
          <w:szCs w:val="20"/>
          <w:vertAlign w:val="superscript"/>
        </w:rPr>
        <w:t>1</w:t>
      </w:r>
      <w:r w:rsidRPr="00142FB1">
        <w:rPr>
          <w:sz w:val="20"/>
          <w:szCs w:val="20"/>
        </w:rPr>
        <w:t>There are no capital costs or operating and maintenance costs associated with this collection of information.</w:t>
      </w:r>
    </w:p>
    <w:p w:rsidR="0022584D" w:rsidP="0022584D" w:rsidRDefault="0022584D" w14:paraId="471EACC2" w14:textId="77777777"/>
    <w:p w:rsidR="0022584D" w:rsidP="0022584D" w:rsidRDefault="0022584D" w14:paraId="7ED65BB9" w14:textId="77777777">
      <w:r>
        <w:t xml:space="preserve">Our estimate of the reporting burden for designation under § 589.2001(f) is based on estimates found in our final rule. Since the rule’s effective date in 2009, only two requests for designation have been received; </w:t>
      </w:r>
      <w:r w:rsidR="00077FFB">
        <w:t>however,</w:t>
      </w:r>
      <w:r>
        <w:t xml:space="preserve"> we retain our current estimate of 1 to permit such requests for designation by respondents.</w:t>
      </w:r>
    </w:p>
    <w:p w:rsidR="00077FFB" w:rsidP="00142FB1" w:rsidRDefault="00142FB1" w14:paraId="4269C3FD" w14:textId="65E59AEB">
      <w:r>
        <w:t xml:space="preserve">                                   </w:t>
      </w:r>
    </w:p>
    <w:p w:rsidRPr="006D6BC9" w:rsidR="00142FB1" w:rsidP="00077FFB" w:rsidRDefault="00142FB1" w14:paraId="7F6E7712" w14:textId="77777777">
      <w:pPr>
        <w:jc w:val="center"/>
        <w:rPr>
          <w:vertAlign w:val="superscript"/>
        </w:rPr>
      </w:pPr>
      <w:r w:rsidRPr="006D6BC9">
        <w:t>Table 2 – Estimated Annual Recordkeeping Burden</w:t>
      </w:r>
      <w:r w:rsidRPr="006D6BC9">
        <w:rPr>
          <w:vertAlign w:val="superscript"/>
        </w:rPr>
        <w:t>1</w:t>
      </w:r>
    </w:p>
    <w:tbl>
      <w:tblPr>
        <w:tblW w:w="542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87"/>
        <w:gridCol w:w="1580"/>
        <w:gridCol w:w="1407"/>
        <w:gridCol w:w="1055"/>
        <w:gridCol w:w="1412"/>
        <w:gridCol w:w="962"/>
      </w:tblGrid>
      <w:tr w:rsidR="00142FB1" w:rsidTr="00142FB1" w14:paraId="327B0203" w14:textId="77777777">
        <w:trPr>
          <w:trHeight w:val="881"/>
          <w:tblHeader/>
        </w:trPr>
        <w:tc>
          <w:tcPr>
            <w:tcW w:w="1886" w:type="pct"/>
            <w:shd w:val="clear" w:color="auto" w:fill="auto"/>
          </w:tcPr>
          <w:p w:rsidRPr="00142FB1" w:rsidR="00142FB1" w:rsidP="00142FB1" w:rsidRDefault="00142FB1" w14:paraId="4BDADE02" w14:textId="77777777">
            <w:pPr>
              <w:keepNext/>
              <w:jc w:val="center"/>
              <w:rPr>
                <w:sz w:val="20"/>
                <w:szCs w:val="20"/>
              </w:rPr>
            </w:pPr>
            <w:r w:rsidRPr="00142FB1">
              <w:rPr>
                <w:sz w:val="20"/>
                <w:szCs w:val="20"/>
              </w:rPr>
              <w:t xml:space="preserve">21 CFR Part </w:t>
            </w:r>
          </w:p>
        </w:tc>
        <w:tc>
          <w:tcPr>
            <w:tcW w:w="767" w:type="pct"/>
            <w:shd w:val="clear" w:color="auto" w:fill="auto"/>
          </w:tcPr>
          <w:p w:rsidRPr="00142FB1" w:rsidR="00142FB1" w:rsidP="00142FB1" w:rsidRDefault="00142FB1" w14:paraId="2683BEEE" w14:textId="77777777">
            <w:pPr>
              <w:keepNext/>
              <w:jc w:val="center"/>
              <w:rPr>
                <w:sz w:val="20"/>
                <w:szCs w:val="20"/>
              </w:rPr>
            </w:pPr>
            <w:r w:rsidRPr="00142FB1">
              <w:rPr>
                <w:sz w:val="20"/>
                <w:szCs w:val="20"/>
              </w:rPr>
              <w:t>No. of Recordkeepers</w:t>
            </w:r>
          </w:p>
        </w:tc>
        <w:tc>
          <w:tcPr>
            <w:tcW w:w="683" w:type="pct"/>
            <w:shd w:val="clear" w:color="auto" w:fill="auto"/>
          </w:tcPr>
          <w:p w:rsidRPr="00142FB1" w:rsidR="00142FB1" w:rsidP="00142FB1" w:rsidRDefault="00142FB1" w14:paraId="27407FE3" w14:textId="77777777">
            <w:pPr>
              <w:keepNext/>
              <w:jc w:val="center"/>
              <w:rPr>
                <w:sz w:val="20"/>
                <w:szCs w:val="20"/>
              </w:rPr>
            </w:pPr>
            <w:r w:rsidRPr="00142FB1">
              <w:rPr>
                <w:bCs/>
                <w:sz w:val="20"/>
                <w:szCs w:val="20"/>
              </w:rPr>
              <w:t>No. of Records per Recordkeeper</w:t>
            </w:r>
          </w:p>
        </w:tc>
        <w:tc>
          <w:tcPr>
            <w:tcW w:w="512" w:type="pct"/>
            <w:shd w:val="clear" w:color="auto" w:fill="auto"/>
          </w:tcPr>
          <w:p w:rsidRPr="00142FB1" w:rsidR="00142FB1" w:rsidP="00142FB1" w:rsidRDefault="00142FB1" w14:paraId="7076EF9E" w14:textId="77777777">
            <w:pPr>
              <w:keepNext/>
              <w:jc w:val="center"/>
              <w:rPr>
                <w:sz w:val="20"/>
                <w:szCs w:val="20"/>
              </w:rPr>
            </w:pPr>
            <w:r w:rsidRPr="00142FB1">
              <w:rPr>
                <w:sz w:val="20"/>
                <w:szCs w:val="20"/>
              </w:rPr>
              <w:t>Total Annual Records</w:t>
            </w:r>
          </w:p>
        </w:tc>
        <w:tc>
          <w:tcPr>
            <w:tcW w:w="685" w:type="pct"/>
            <w:shd w:val="clear" w:color="auto" w:fill="auto"/>
          </w:tcPr>
          <w:p w:rsidRPr="00142FB1" w:rsidR="00142FB1" w:rsidP="00142FB1" w:rsidRDefault="00142FB1" w14:paraId="1DD37D88" w14:textId="77777777">
            <w:pPr>
              <w:keepNext/>
              <w:jc w:val="center"/>
              <w:rPr>
                <w:sz w:val="20"/>
                <w:szCs w:val="20"/>
              </w:rPr>
            </w:pPr>
            <w:r w:rsidRPr="00142FB1">
              <w:rPr>
                <w:bCs/>
                <w:sz w:val="20"/>
                <w:szCs w:val="20"/>
              </w:rPr>
              <w:t xml:space="preserve">Average Burden per Recordkeeping </w:t>
            </w:r>
          </w:p>
        </w:tc>
        <w:tc>
          <w:tcPr>
            <w:tcW w:w="467" w:type="pct"/>
            <w:shd w:val="clear" w:color="auto" w:fill="auto"/>
          </w:tcPr>
          <w:p w:rsidRPr="00142FB1" w:rsidR="00142FB1" w:rsidP="00142FB1" w:rsidRDefault="00142FB1" w14:paraId="55838B12" w14:textId="77777777">
            <w:pPr>
              <w:keepNext/>
              <w:jc w:val="center"/>
              <w:rPr>
                <w:sz w:val="20"/>
                <w:szCs w:val="20"/>
              </w:rPr>
            </w:pPr>
            <w:r w:rsidRPr="00142FB1">
              <w:rPr>
                <w:sz w:val="20"/>
                <w:szCs w:val="20"/>
              </w:rPr>
              <w:t>Total Hours</w:t>
            </w:r>
          </w:p>
        </w:tc>
      </w:tr>
      <w:tr w:rsidR="00142FB1" w:rsidTr="0022584D" w14:paraId="09639BFB" w14:textId="77777777">
        <w:trPr>
          <w:trHeight w:val="665"/>
        </w:trPr>
        <w:tc>
          <w:tcPr>
            <w:tcW w:w="1886" w:type="pct"/>
            <w:shd w:val="clear" w:color="auto" w:fill="auto"/>
          </w:tcPr>
          <w:p w:rsidRPr="00142FB1" w:rsidR="00142FB1" w:rsidP="00142FB1" w:rsidRDefault="00142FB1" w14:paraId="34090A14" w14:textId="77777777">
            <w:pPr>
              <w:keepNext/>
              <w:rPr>
                <w:sz w:val="20"/>
                <w:szCs w:val="20"/>
              </w:rPr>
            </w:pPr>
            <w:r w:rsidRPr="00142FB1">
              <w:rPr>
                <w:sz w:val="20"/>
                <w:szCs w:val="20"/>
              </w:rPr>
              <w:t>589.2001(c)(2)(ii); maintain written procedures</w:t>
            </w:r>
          </w:p>
        </w:tc>
        <w:tc>
          <w:tcPr>
            <w:tcW w:w="767" w:type="pct"/>
            <w:shd w:val="clear" w:color="auto" w:fill="auto"/>
          </w:tcPr>
          <w:p w:rsidRPr="00142FB1" w:rsidR="00142FB1" w:rsidP="00142FB1" w:rsidRDefault="00142FB1" w14:paraId="59D464B3" w14:textId="77777777">
            <w:pPr>
              <w:keepNext/>
              <w:jc w:val="right"/>
              <w:rPr>
                <w:sz w:val="20"/>
                <w:szCs w:val="20"/>
              </w:rPr>
            </w:pPr>
            <w:r w:rsidRPr="00142FB1">
              <w:rPr>
                <w:sz w:val="20"/>
                <w:szCs w:val="20"/>
              </w:rPr>
              <w:t>50</w:t>
            </w:r>
          </w:p>
        </w:tc>
        <w:tc>
          <w:tcPr>
            <w:tcW w:w="683" w:type="pct"/>
            <w:shd w:val="clear" w:color="auto" w:fill="auto"/>
          </w:tcPr>
          <w:p w:rsidRPr="00142FB1" w:rsidR="00142FB1" w:rsidP="00142FB1" w:rsidRDefault="00142FB1" w14:paraId="44281326" w14:textId="77777777">
            <w:pPr>
              <w:keepNext/>
              <w:jc w:val="right"/>
              <w:rPr>
                <w:sz w:val="20"/>
                <w:szCs w:val="20"/>
              </w:rPr>
            </w:pPr>
            <w:r w:rsidRPr="00142FB1">
              <w:rPr>
                <w:sz w:val="20"/>
                <w:szCs w:val="20"/>
              </w:rPr>
              <w:t>1</w:t>
            </w:r>
          </w:p>
        </w:tc>
        <w:tc>
          <w:tcPr>
            <w:tcW w:w="512" w:type="pct"/>
            <w:shd w:val="clear" w:color="auto" w:fill="auto"/>
          </w:tcPr>
          <w:p w:rsidRPr="00142FB1" w:rsidR="00142FB1" w:rsidP="00142FB1" w:rsidRDefault="00142FB1" w14:paraId="507376C4" w14:textId="77777777">
            <w:pPr>
              <w:keepNext/>
              <w:jc w:val="right"/>
              <w:rPr>
                <w:sz w:val="20"/>
                <w:szCs w:val="20"/>
              </w:rPr>
            </w:pPr>
            <w:r w:rsidRPr="00142FB1">
              <w:rPr>
                <w:sz w:val="20"/>
                <w:szCs w:val="20"/>
              </w:rPr>
              <w:t>50</w:t>
            </w:r>
          </w:p>
        </w:tc>
        <w:tc>
          <w:tcPr>
            <w:tcW w:w="685" w:type="pct"/>
            <w:shd w:val="clear" w:color="auto" w:fill="auto"/>
          </w:tcPr>
          <w:p w:rsidRPr="00142FB1" w:rsidR="00142FB1" w:rsidP="00142FB1" w:rsidRDefault="00142FB1" w14:paraId="78A00E7F" w14:textId="77777777">
            <w:pPr>
              <w:keepNext/>
              <w:jc w:val="right"/>
              <w:rPr>
                <w:sz w:val="20"/>
                <w:szCs w:val="20"/>
              </w:rPr>
            </w:pPr>
            <w:r w:rsidRPr="00142FB1">
              <w:rPr>
                <w:sz w:val="20"/>
                <w:szCs w:val="20"/>
              </w:rPr>
              <w:t>20</w:t>
            </w:r>
          </w:p>
        </w:tc>
        <w:tc>
          <w:tcPr>
            <w:tcW w:w="467" w:type="pct"/>
            <w:shd w:val="clear" w:color="auto" w:fill="auto"/>
          </w:tcPr>
          <w:p w:rsidRPr="00142FB1" w:rsidR="00142FB1" w:rsidP="00142FB1" w:rsidRDefault="00142FB1" w14:paraId="2F59216A" w14:textId="77777777">
            <w:pPr>
              <w:keepNext/>
              <w:jc w:val="right"/>
              <w:rPr>
                <w:sz w:val="20"/>
                <w:szCs w:val="20"/>
              </w:rPr>
            </w:pPr>
            <w:r w:rsidRPr="00142FB1">
              <w:rPr>
                <w:sz w:val="20"/>
                <w:szCs w:val="20"/>
              </w:rPr>
              <w:t>1,000</w:t>
            </w:r>
          </w:p>
        </w:tc>
      </w:tr>
      <w:tr w:rsidR="00142FB1" w:rsidTr="0022584D" w14:paraId="62D5CE98" w14:textId="77777777">
        <w:trPr>
          <w:trHeight w:val="710"/>
        </w:trPr>
        <w:tc>
          <w:tcPr>
            <w:tcW w:w="1886" w:type="pct"/>
            <w:shd w:val="clear" w:color="auto" w:fill="auto"/>
          </w:tcPr>
          <w:p w:rsidRPr="00142FB1" w:rsidR="00142FB1" w:rsidP="00142FB1" w:rsidRDefault="00142FB1" w14:paraId="4D638FB3" w14:textId="77777777">
            <w:pPr>
              <w:keepNext/>
              <w:rPr>
                <w:sz w:val="20"/>
                <w:szCs w:val="20"/>
              </w:rPr>
            </w:pPr>
            <w:r w:rsidRPr="00142FB1">
              <w:rPr>
                <w:sz w:val="20"/>
                <w:szCs w:val="20"/>
              </w:rPr>
              <w:t>589.2001(c)(2)(vi) and (c)(3)(i); maintain records</w:t>
            </w:r>
          </w:p>
        </w:tc>
        <w:tc>
          <w:tcPr>
            <w:tcW w:w="767" w:type="pct"/>
            <w:shd w:val="clear" w:color="auto" w:fill="auto"/>
          </w:tcPr>
          <w:p w:rsidRPr="00142FB1" w:rsidR="00142FB1" w:rsidDel="0088191F" w:rsidP="00142FB1" w:rsidRDefault="00142FB1" w14:paraId="7F8CA39C" w14:textId="77777777">
            <w:pPr>
              <w:keepNext/>
              <w:jc w:val="right"/>
              <w:rPr>
                <w:sz w:val="20"/>
                <w:szCs w:val="20"/>
              </w:rPr>
            </w:pPr>
            <w:r w:rsidRPr="00142FB1">
              <w:rPr>
                <w:sz w:val="20"/>
                <w:szCs w:val="20"/>
              </w:rPr>
              <w:t>175</w:t>
            </w:r>
          </w:p>
        </w:tc>
        <w:tc>
          <w:tcPr>
            <w:tcW w:w="683" w:type="pct"/>
            <w:shd w:val="clear" w:color="auto" w:fill="auto"/>
          </w:tcPr>
          <w:p w:rsidRPr="00142FB1" w:rsidR="00142FB1" w:rsidP="00142FB1" w:rsidRDefault="00142FB1" w14:paraId="516D92DA" w14:textId="77777777">
            <w:pPr>
              <w:keepNext/>
              <w:jc w:val="right"/>
              <w:rPr>
                <w:sz w:val="20"/>
                <w:szCs w:val="20"/>
              </w:rPr>
            </w:pPr>
            <w:r w:rsidRPr="00142FB1">
              <w:rPr>
                <w:sz w:val="20"/>
                <w:szCs w:val="20"/>
              </w:rPr>
              <w:t>1</w:t>
            </w:r>
          </w:p>
        </w:tc>
        <w:tc>
          <w:tcPr>
            <w:tcW w:w="512" w:type="pct"/>
            <w:shd w:val="clear" w:color="auto" w:fill="auto"/>
          </w:tcPr>
          <w:p w:rsidRPr="00142FB1" w:rsidR="00142FB1" w:rsidDel="0088191F" w:rsidP="00142FB1" w:rsidRDefault="00142FB1" w14:paraId="73A7A6B5" w14:textId="77777777">
            <w:pPr>
              <w:keepNext/>
              <w:jc w:val="right"/>
              <w:rPr>
                <w:sz w:val="20"/>
                <w:szCs w:val="20"/>
              </w:rPr>
            </w:pPr>
            <w:r w:rsidRPr="00142FB1">
              <w:rPr>
                <w:sz w:val="20"/>
                <w:szCs w:val="20"/>
              </w:rPr>
              <w:t>175</w:t>
            </w:r>
          </w:p>
        </w:tc>
        <w:tc>
          <w:tcPr>
            <w:tcW w:w="685" w:type="pct"/>
            <w:shd w:val="clear" w:color="auto" w:fill="auto"/>
          </w:tcPr>
          <w:p w:rsidRPr="00142FB1" w:rsidR="00142FB1" w:rsidDel="0088191F" w:rsidP="00142FB1" w:rsidRDefault="00142FB1" w14:paraId="01B37514" w14:textId="77777777">
            <w:pPr>
              <w:keepNext/>
              <w:jc w:val="right"/>
              <w:rPr>
                <w:sz w:val="20"/>
                <w:szCs w:val="20"/>
              </w:rPr>
            </w:pPr>
            <w:r w:rsidRPr="00142FB1">
              <w:rPr>
                <w:sz w:val="20"/>
                <w:szCs w:val="20"/>
              </w:rPr>
              <w:t>20</w:t>
            </w:r>
          </w:p>
        </w:tc>
        <w:tc>
          <w:tcPr>
            <w:tcW w:w="467" w:type="pct"/>
            <w:shd w:val="clear" w:color="auto" w:fill="auto"/>
          </w:tcPr>
          <w:p w:rsidRPr="00142FB1" w:rsidR="00142FB1" w:rsidDel="0088191F" w:rsidP="00142FB1" w:rsidRDefault="00142FB1" w14:paraId="5C9F358A" w14:textId="77777777">
            <w:pPr>
              <w:keepNext/>
              <w:jc w:val="right"/>
              <w:rPr>
                <w:sz w:val="20"/>
                <w:szCs w:val="20"/>
              </w:rPr>
            </w:pPr>
            <w:r w:rsidRPr="00142FB1">
              <w:rPr>
                <w:sz w:val="20"/>
                <w:szCs w:val="20"/>
              </w:rPr>
              <w:t>3,500</w:t>
            </w:r>
          </w:p>
        </w:tc>
      </w:tr>
      <w:tr w:rsidR="00142FB1" w:rsidTr="0022584D" w14:paraId="6378997B" w14:textId="77777777">
        <w:trPr>
          <w:trHeight w:val="620"/>
        </w:trPr>
        <w:tc>
          <w:tcPr>
            <w:tcW w:w="1886" w:type="pct"/>
            <w:shd w:val="clear" w:color="auto" w:fill="auto"/>
          </w:tcPr>
          <w:p w:rsidRPr="00142FB1" w:rsidR="00142FB1" w:rsidP="00142FB1" w:rsidRDefault="00142FB1" w14:paraId="3F63776F" w14:textId="77777777">
            <w:pPr>
              <w:keepNext/>
              <w:rPr>
                <w:sz w:val="20"/>
                <w:szCs w:val="20"/>
              </w:rPr>
            </w:pPr>
            <w:r w:rsidRPr="00142FB1">
              <w:rPr>
                <w:sz w:val="20"/>
                <w:szCs w:val="20"/>
              </w:rPr>
              <w:t>589.2001(c)(3)(i)(A) and (B); certification or documentation from the supplier</w:t>
            </w:r>
          </w:p>
        </w:tc>
        <w:tc>
          <w:tcPr>
            <w:tcW w:w="767" w:type="pct"/>
            <w:shd w:val="clear" w:color="auto" w:fill="auto"/>
          </w:tcPr>
          <w:p w:rsidRPr="00142FB1" w:rsidR="00142FB1" w:rsidDel="0088191F" w:rsidP="00142FB1" w:rsidRDefault="00142FB1" w14:paraId="65E9AB79" w14:textId="77777777">
            <w:pPr>
              <w:keepNext/>
              <w:jc w:val="right"/>
              <w:rPr>
                <w:sz w:val="20"/>
                <w:szCs w:val="20"/>
              </w:rPr>
            </w:pPr>
            <w:r w:rsidRPr="00142FB1">
              <w:rPr>
                <w:sz w:val="20"/>
                <w:szCs w:val="20"/>
              </w:rPr>
              <w:t>175</w:t>
            </w:r>
          </w:p>
        </w:tc>
        <w:tc>
          <w:tcPr>
            <w:tcW w:w="683" w:type="pct"/>
            <w:shd w:val="clear" w:color="auto" w:fill="auto"/>
          </w:tcPr>
          <w:p w:rsidRPr="00142FB1" w:rsidR="00142FB1" w:rsidP="00142FB1" w:rsidRDefault="00142FB1" w14:paraId="50642C1B" w14:textId="77777777">
            <w:pPr>
              <w:keepNext/>
              <w:jc w:val="right"/>
              <w:rPr>
                <w:sz w:val="20"/>
                <w:szCs w:val="20"/>
              </w:rPr>
            </w:pPr>
            <w:r w:rsidRPr="00142FB1">
              <w:rPr>
                <w:sz w:val="20"/>
                <w:szCs w:val="20"/>
              </w:rPr>
              <w:t>1</w:t>
            </w:r>
          </w:p>
        </w:tc>
        <w:tc>
          <w:tcPr>
            <w:tcW w:w="512" w:type="pct"/>
            <w:shd w:val="clear" w:color="auto" w:fill="auto"/>
          </w:tcPr>
          <w:p w:rsidRPr="00142FB1" w:rsidR="00142FB1" w:rsidDel="0088191F" w:rsidP="00142FB1" w:rsidRDefault="00142FB1" w14:paraId="2DFCD7E9" w14:textId="77777777">
            <w:pPr>
              <w:keepNext/>
              <w:jc w:val="right"/>
              <w:rPr>
                <w:sz w:val="20"/>
                <w:szCs w:val="20"/>
              </w:rPr>
            </w:pPr>
            <w:r w:rsidRPr="00142FB1">
              <w:rPr>
                <w:sz w:val="20"/>
                <w:szCs w:val="20"/>
              </w:rPr>
              <w:t>175</w:t>
            </w:r>
          </w:p>
        </w:tc>
        <w:tc>
          <w:tcPr>
            <w:tcW w:w="685" w:type="pct"/>
            <w:shd w:val="clear" w:color="auto" w:fill="auto"/>
          </w:tcPr>
          <w:p w:rsidRPr="00142FB1" w:rsidR="00142FB1" w:rsidDel="0088191F" w:rsidP="00142FB1" w:rsidRDefault="00142FB1" w14:paraId="57F3BFCA" w14:textId="77777777">
            <w:pPr>
              <w:keepNext/>
              <w:jc w:val="right"/>
              <w:rPr>
                <w:sz w:val="20"/>
                <w:szCs w:val="20"/>
              </w:rPr>
            </w:pPr>
            <w:r w:rsidRPr="00142FB1">
              <w:rPr>
                <w:sz w:val="20"/>
                <w:szCs w:val="20"/>
              </w:rPr>
              <w:t>26</w:t>
            </w:r>
          </w:p>
        </w:tc>
        <w:tc>
          <w:tcPr>
            <w:tcW w:w="467" w:type="pct"/>
            <w:shd w:val="clear" w:color="auto" w:fill="auto"/>
          </w:tcPr>
          <w:p w:rsidRPr="00142FB1" w:rsidR="00142FB1" w:rsidDel="0088191F" w:rsidP="00142FB1" w:rsidRDefault="00142FB1" w14:paraId="3D11806D" w14:textId="77777777">
            <w:pPr>
              <w:keepNext/>
              <w:jc w:val="right"/>
              <w:rPr>
                <w:sz w:val="20"/>
                <w:szCs w:val="20"/>
              </w:rPr>
            </w:pPr>
            <w:r w:rsidRPr="00142FB1">
              <w:rPr>
                <w:sz w:val="20"/>
                <w:szCs w:val="20"/>
              </w:rPr>
              <w:t>4,550</w:t>
            </w:r>
          </w:p>
        </w:tc>
      </w:tr>
      <w:tr w:rsidR="00142FB1" w:rsidTr="00142FB1" w14:paraId="23905D61" w14:textId="77777777">
        <w:trPr>
          <w:trHeight w:val="432"/>
        </w:trPr>
        <w:tc>
          <w:tcPr>
            <w:tcW w:w="4533" w:type="pct"/>
            <w:gridSpan w:val="5"/>
            <w:shd w:val="clear" w:color="auto" w:fill="auto"/>
          </w:tcPr>
          <w:p w:rsidRPr="00142FB1" w:rsidR="00142FB1" w:rsidP="00142FB1" w:rsidRDefault="00142FB1" w14:paraId="24A4F341" w14:textId="77777777">
            <w:pPr>
              <w:keepNext/>
              <w:rPr>
                <w:sz w:val="20"/>
                <w:szCs w:val="20"/>
              </w:rPr>
            </w:pPr>
            <w:r w:rsidRPr="00142FB1">
              <w:rPr>
                <w:sz w:val="20"/>
                <w:szCs w:val="20"/>
              </w:rPr>
              <w:t>Total</w:t>
            </w:r>
          </w:p>
        </w:tc>
        <w:tc>
          <w:tcPr>
            <w:tcW w:w="467" w:type="pct"/>
            <w:shd w:val="clear" w:color="auto" w:fill="auto"/>
          </w:tcPr>
          <w:p w:rsidRPr="00142FB1" w:rsidR="00142FB1" w:rsidP="00142FB1" w:rsidRDefault="00142FB1" w14:paraId="6714C9D8" w14:textId="77777777">
            <w:pPr>
              <w:keepNext/>
              <w:jc w:val="right"/>
              <w:rPr>
                <w:sz w:val="20"/>
                <w:szCs w:val="20"/>
              </w:rPr>
            </w:pPr>
            <w:r w:rsidRPr="00142FB1">
              <w:rPr>
                <w:sz w:val="20"/>
                <w:szCs w:val="20"/>
              </w:rPr>
              <w:t>9,050</w:t>
            </w:r>
          </w:p>
        </w:tc>
      </w:tr>
    </w:tbl>
    <w:p w:rsidRPr="00142FB1" w:rsidR="00142FB1" w:rsidP="00142FB1" w:rsidRDefault="00142FB1" w14:paraId="745B1A04" w14:textId="77777777">
      <w:pPr>
        <w:rPr>
          <w:sz w:val="20"/>
          <w:szCs w:val="20"/>
        </w:rPr>
      </w:pPr>
      <w:r w:rsidRPr="00142FB1">
        <w:rPr>
          <w:sz w:val="20"/>
          <w:szCs w:val="20"/>
          <w:vertAlign w:val="superscript"/>
        </w:rPr>
        <w:t>1</w:t>
      </w:r>
      <w:r w:rsidRPr="00142FB1">
        <w:rPr>
          <w:sz w:val="20"/>
          <w:szCs w:val="20"/>
        </w:rPr>
        <w:t xml:space="preserve"> There are no capital costs or operating and maintenance costs associated with this collection of information.</w:t>
      </w:r>
    </w:p>
    <w:p w:rsidR="00142FB1" w:rsidP="00142FB1" w:rsidRDefault="00142FB1" w14:paraId="66020C1A" w14:textId="77777777">
      <w:pPr>
        <w:pStyle w:val="BodyText2"/>
      </w:pPr>
    </w:p>
    <w:p w:rsidR="00E30F4B" w:rsidP="00142FB1" w:rsidRDefault="00E30F4B" w14:paraId="0C0E11FE" w14:textId="77777777">
      <w:pPr>
        <w:pStyle w:val="BodyText2"/>
      </w:pPr>
    </w:p>
    <w:p w:rsidR="00142FB1" w:rsidP="00142FB1" w:rsidRDefault="0022584D" w14:paraId="77973D00" w14:textId="34751E09">
      <w:pPr>
        <w:pStyle w:val="BodyText2"/>
      </w:pPr>
      <w:r>
        <w:lastRenderedPageBreak/>
        <w:t>Similarly, o</w:t>
      </w:r>
      <w:r w:rsidR="00142FB1">
        <w:t>ur estimate of the recordkeeping burden associated with the information collection is based on our experience since implementation of the regulatory requirements set forth in our final rule of April 25, 2008 (73 FR 22720 at 22753). Although somewhat dated, we find no basis on which to revise our estimate at this time.</w:t>
      </w:r>
    </w:p>
    <w:p w:rsidR="00D37FC0" w:rsidP="00DC371B" w:rsidRDefault="00D37FC0" w14:paraId="18938725" w14:textId="77777777">
      <w:pPr>
        <w:spacing w:after="200"/>
        <w:ind w:left="360"/>
        <w:rPr>
          <w:rFonts w:eastAsia="Calibri"/>
        </w:rPr>
      </w:pPr>
    </w:p>
    <w:p w:rsidRPr="005C71CA" w:rsidR="00357C8A" w:rsidP="00DC371B" w:rsidRDefault="00357C8A" w14:paraId="6EC1C745" w14:textId="681C1661">
      <w:pPr>
        <w:spacing w:after="200"/>
        <w:ind w:left="360"/>
        <w:rPr>
          <w:rFonts w:eastAsia="Calibri"/>
        </w:rPr>
      </w:pPr>
      <w:bookmarkStart w:name="_GoBack" w:id="0"/>
      <w:bookmarkEnd w:id="0"/>
      <w:r w:rsidRPr="005C71CA">
        <w:rPr>
          <w:rFonts w:eastAsia="Calibri"/>
        </w:rPr>
        <w:t>12b.  Annualized Cost Burden Estimate</w:t>
      </w:r>
    </w:p>
    <w:p w:rsidR="00A707CC" w:rsidP="0022425B" w:rsidRDefault="00A707CC" w14:paraId="1B069622" w14:textId="77777777">
      <w:pPr>
        <w:rPr>
          <w:rFonts w:eastAsia="Calibri"/>
        </w:rPr>
      </w:pP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20"/>
        <w:gridCol w:w="1890"/>
        <w:gridCol w:w="1944"/>
        <w:gridCol w:w="1926"/>
      </w:tblGrid>
      <w:tr w:rsidR="00A707CC" w:rsidTr="00312622" w14:paraId="477B5B69" w14:textId="77777777">
        <w:tc>
          <w:tcPr>
            <w:tcW w:w="2520" w:type="dxa"/>
            <w:shd w:val="clear" w:color="auto" w:fill="auto"/>
          </w:tcPr>
          <w:p w:rsidR="00A707CC" w:rsidP="00312622" w:rsidRDefault="00A707CC" w14:paraId="66BA57C3" w14:textId="77777777">
            <w:pPr>
              <w:jc w:val="center"/>
            </w:pPr>
            <w:r w:rsidRPr="00355B62">
              <w:t>Type of Respondent</w:t>
            </w:r>
          </w:p>
        </w:tc>
        <w:tc>
          <w:tcPr>
            <w:tcW w:w="1890" w:type="dxa"/>
            <w:shd w:val="clear" w:color="auto" w:fill="auto"/>
          </w:tcPr>
          <w:p w:rsidR="00A707CC" w:rsidP="00312622" w:rsidRDefault="00A707CC" w14:paraId="15C5C3A3" w14:textId="77777777">
            <w:pPr>
              <w:jc w:val="center"/>
            </w:pPr>
            <w:r>
              <w:t>Total Burden Hours</w:t>
            </w:r>
          </w:p>
        </w:tc>
        <w:tc>
          <w:tcPr>
            <w:tcW w:w="1944" w:type="dxa"/>
            <w:shd w:val="clear" w:color="auto" w:fill="auto"/>
          </w:tcPr>
          <w:p w:rsidR="00A707CC" w:rsidP="00312622" w:rsidRDefault="00A707CC" w14:paraId="5EEEF7FD" w14:textId="77777777">
            <w:pPr>
              <w:jc w:val="center"/>
            </w:pPr>
            <w:r>
              <w:t>Hourly Wage Rate</w:t>
            </w:r>
          </w:p>
        </w:tc>
        <w:tc>
          <w:tcPr>
            <w:tcW w:w="1926" w:type="dxa"/>
            <w:shd w:val="clear" w:color="auto" w:fill="auto"/>
          </w:tcPr>
          <w:p w:rsidR="00A707CC" w:rsidP="00312622" w:rsidRDefault="00A707CC" w14:paraId="10AC9275" w14:textId="77777777">
            <w:pPr>
              <w:jc w:val="center"/>
            </w:pPr>
            <w:r>
              <w:t>Total Respondent Costs</w:t>
            </w:r>
          </w:p>
        </w:tc>
      </w:tr>
      <w:tr w:rsidR="00A707CC" w:rsidTr="00312622" w14:paraId="3FB8D19E" w14:textId="77777777">
        <w:tc>
          <w:tcPr>
            <w:tcW w:w="2520" w:type="dxa"/>
            <w:shd w:val="clear" w:color="auto" w:fill="auto"/>
          </w:tcPr>
          <w:p w:rsidRPr="0022584D" w:rsidR="00A707CC" w:rsidP="00312622" w:rsidRDefault="0022584D" w14:paraId="626E9ADE" w14:textId="77777777">
            <w:pPr>
              <w:rPr>
                <w:vertAlign w:val="superscript"/>
              </w:rPr>
            </w:pPr>
            <w:r>
              <w:t>Compliance Officer</w:t>
            </w:r>
            <w:r>
              <w:rPr>
                <w:vertAlign w:val="superscript"/>
              </w:rPr>
              <w:t>1</w:t>
            </w:r>
          </w:p>
        </w:tc>
        <w:tc>
          <w:tcPr>
            <w:tcW w:w="1890" w:type="dxa"/>
            <w:shd w:val="clear" w:color="auto" w:fill="auto"/>
          </w:tcPr>
          <w:p w:rsidR="00A707CC" w:rsidP="000532DB" w:rsidRDefault="0022584D" w14:paraId="48381AAD" w14:textId="77777777">
            <w:pPr>
              <w:jc w:val="right"/>
            </w:pPr>
            <w:r>
              <w:t>106</w:t>
            </w:r>
          </w:p>
        </w:tc>
        <w:tc>
          <w:tcPr>
            <w:tcW w:w="1944" w:type="dxa"/>
            <w:shd w:val="clear" w:color="auto" w:fill="auto"/>
          </w:tcPr>
          <w:p w:rsidR="00A707CC" w:rsidP="000532DB" w:rsidRDefault="0022584D" w14:paraId="2B644B7F" w14:textId="77777777">
            <w:pPr>
              <w:jc w:val="right"/>
            </w:pPr>
            <w:r>
              <w:t>$45.54</w:t>
            </w:r>
          </w:p>
        </w:tc>
        <w:tc>
          <w:tcPr>
            <w:tcW w:w="1926" w:type="dxa"/>
            <w:shd w:val="clear" w:color="auto" w:fill="auto"/>
          </w:tcPr>
          <w:p w:rsidR="00A707CC" w:rsidP="000532DB" w:rsidRDefault="0022584D" w14:paraId="41B10926" w14:textId="77777777">
            <w:pPr>
              <w:jc w:val="right"/>
            </w:pPr>
            <w:r>
              <w:t>$4,827.24</w:t>
            </w:r>
          </w:p>
        </w:tc>
      </w:tr>
    </w:tbl>
    <w:p w:rsidRPr="0022584D" w:rsidR="00357C8A" w:rsidP="0022584D" w:rsidRDefault="0022584D" w14:paraId="304E79EF" w14:textId="77777777">
      <w:pPr>
        <w:ind w:left="720"/>
        <w:rPr>
          <w:sz w:val="20"/>
          <w:szCs w:val="20"/>
        </w:rPr>
      </w:pPr>
      <w:r w:rsidRPr="0022584D">
        <w:rPr>
          <w:sz w:val="20"/>
          <w:szCs w:val="20"/>
          <w:vertAlign w:val="superscript"/>
        </w:rPr>
        <w:t>1</w:t>
      </w:r>
      <w:r w:rsidRPr="0022584D">
        <w:rPr>
          <w:sz w:val="20"/>
          <w:szCs w:val="20"/>
        </w:rPr>
        <w:t>201</w:t>
      </w:r>
      <w:r>
        <w:rPr>
          <w:sz w:val="20"/>
          <w:szCs w:val="20"/>
        </w:rPr>
        <w:t>9</w:t>
      </w:r>
      <w:r w:rsidRPr="0022584D">
        <w:rPr>
          <w:sz w:val="20"/>
          <w:szCs w:val="20"/>
        </w:rPr>
        <w:t xml:space="preserve"> National Industry-Specific Occupational Employment and Wage Estimates, US Department of Labor, Bureau of Labor Statistics (</w:t>
      </w:r>
      <w:hyperlink w:history="1" r:id="rId8">
        <w:r w:rsidRPr="00077FFB">
          <w:rPr>
            <w:rStyle w:val="Hyperlink"/>
            <w:sz w:val="20"/>
            <w:szCs w:val="20"/>
          </w:rPr>
          <w:t>https://www.bls.gov/oes/current/oes131041.htm</w:t>
        </w:r>
      </w:hyperlink>
      <w:r w:rsidRPr="0022584D">
        <w:rPr>
          <w:sz w:val="20"/>
          <w:szCs w:val="20"/>
        </w:rPr>
        <w:t>) $</w:t>
      </w:r>
      <w:r w:rsidRPr="0022584D">
        <w:t xml:space="preserve"> </w:t>
      </w:r>
      <w:r w:rsidRPr="0022584D">
        <w:rPr>
          <w:sz w:val="20"/>
          <w:szCs w:val="20"/>
        </w:rPr>
        <w:t>$35.03</w:t>
      </w:r>
      <w:r>
        <w:rPr>
          <w:sz w:val="20"/>
          <w:szCs w:val="20"/>
        </w:rPr>
        <w:t xml:space="preserve"> </w:t>
      </w:r>
      <w:r w:rsidRPr="0022584D">
        <w:rPr>
          <w:sz w:val="20"/>
          <w:szCs w:val="20"/>
        </w:rPr>
        <w:t>hourly wage plus 30% adjusted for benefits</w:t>
      </w:r>
    </w:p>
    <w:p w:rsidR="0022584D" w:rsidP="00357C8A" w:rsidRDefault="0022584D" w14:paraId="4DA89001" w14:textId="77777777">
      <w:pPr>
        <w:rPr>
          <w:rFonts w:eastAsia="Calibri"/>
        </w:rPr>
      </w:pPr>
    </w:p>
    <w:p w:rsidR="000C6CAE" w:rsidP="000C6CAE" w:rsidRDefault="000C6CAE" w14:paraId="56A94975" w14:textId="77777777">
      <w:pPr>
        <w:ind w:left="360"/>
        <w:rPr>
          <w:rFonts w:eastAsia="Calibri"/>
        </w:rPr>
      </w:pPr>
      <w:r>
        <w:t>As reflected above, the regulation allows a country to submit an application requesting a designation as not being subject to the restrictions on the use of CMPAF. Using the total number of hours for annual reporting (106 hours) multiplied by an hourly wage for an industry compliance officer ($45.54), the estimated cost to respondents is $4,827.24.</w:t>
      </w:r>
    </w:p>
    <w:p w:rsidRPr="00357C8A" w:rsidR="000C6CAE" w:rsidP="00357C8A" w:rsidRDefault="000C6CAE" w14:paraId="3773F834" w14:textId="77777777">
      <w:pPr>
        <w:rPr>
          <w:rFonts w:eastAsia="Calibri"/>
        </w:rPr>
      </w:pPr>
    </w:p>
    <w:p w:rsidRPr="00357C8A" w:rsidR="00357C8A" w:rsidP="006705EA" w:rsidRDefault="00357C8A" w14:paraId="7705AF8A"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Pr="000C6CAE" w:rsidR="0022425B" w:rsidP="0022425B" w:rsidRDefault="000C6CAE" w14:paraId="302C3A5E" w14:textId="77777777">
      <w:pPr>
        <w:spacing w:after="200" w:line="276" w:lineRule="auto"/>
        <w:rPr>
          <w:rFonts w:eastAsia="Calibri"/>
        </w:rPr>
      </w:pPr>
      <w:r w:rsidRPr="000C6CAE">
        <w:rPr>
          <w:rFonts w:eastAsia="Calibri"/>
        </w:rPr>
        <w:t>There are no capital, start-up, operating or maintenance costs associated with this information collection.</w:t>
      </w:r>
    </w:p>
    <w:p w:rsidRPr="00357C8A" w:rsidR="00357C8A" w:rsidP="006705EA" w:rsidRDefault="00357C8A" w14:paraId="2BC7FE1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0C6CAE" w14:paraId="326B9F4F" w14:textId="77777777">
      <w:pPr>
        <w:spacing w:after="200"/>
        <w:rPr>
          <w:rFonts w:eastAsia="Calibri"/>
        </w:rPr>
      </w:pPr>
      <w:r>
        <w:t>Costs to the Federal Government were calculated by using 20</w:t>
      </w:r>
      <w:r w:rsidR="0003719C">
        <w:t>21</w:t>
      </w:r>
      <w:r>
        <w:t xml:space="preserve"> OPM wage rates for a GS-13- Step 4 employee in the Washington-Baltimore area ($</w:t>
      </w:r>
      <w:r w:rsidR="0003719C">
        <w:t>54.65</w:t>
      </w:r>
      <w:r>
        <w:t xml:space="preserve">/hour) and multiplying this figure by the number of FTE hours </w:t>
      </w:r>
      <w:r w:rsidR="0003719C">
        <w:t xml:space="preserve">(67 hours) </w:t>
      </w:r>
      <w:r>
        <w:t>FDA might expend on the review of designation requests under the regulation. Total estimated costs are therefore $</w:t>
      </w:r>
      <w:r w:rsidR="0003719C">
        <w:t>3,661.55</w:t>
      </w:r>
      <w:r w:rsidR="00A506DE">
        <w:rPr>
          <w:rFonts w:eastAsia="Calibri"/>
        </w:rPr>
        <w:t xml:space="preserve"> </w:t>
      </w:r>
    </w:p>
    <w:p w:rsidR="00357C8A" w:rsidP="006705EA" w:rsidRDefault="00357C8A" w14:paraId="65CB6334"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357C8A" w:rsidR="00357C8A" w:rsidP="00357C8A" w:rsidRDefault="0003719C" w14:paraId="46A9A2FF" w14:textId="77777777">
      <w:pPr>
        <w:spacing w:after="200"/>
        <w:rPr>
          <w:rFonts w:eastAsia="Calibri"/>
          <w:color w:val="FF0000"/>
        </w:rPr>
      </w:pPr>
      <w:r>
        <w:t xml:space="preserve">We have retained the currently approved burden for the information collection. </w:t>
      </w:r>
    </w:p>
    <w:p w:rsidRPr="00357C8A" w:rsidR="00357C8A" w:rsidP="006705EA" w:rsidRDefault="00357C8A" w14:paraId="74DEFA0F"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03719C" w:rsidR="00357C8A" w:rsidP="00357C8A" w:rsidRDefault="00357C8A" w14:paraId="292C0118" w14:textId="77777777">
      <w:pPr>
        <w:spacing w:after="200"/>
        <w:rPr>
          <w:rFonts w:eastAsia="Calibri"/>
        </w:rPr>
      </w:pPr>
      <w:r w:rsidRPr="005C71CA">
        <w:rPr>
          <w:rFonts w:eastAsia="Calibri"/>
        </w:rPr>
        <w:t>This information collected will not be published or tabulated.</w:t>
      </w:r>
    </w:p>
    <w:p w:rsidRPr="00357C8A" w:rsidR="00357C8A" w:rsidP="006705EA" w:rsidRDefault="00357C8A" w14:paraId="1832C213"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357C8A" w:rsidR="00357C8A" w:rsidP="00357C8A" w:rsidRDefault="0003719C" w14:paraId="6E4C09E6" w14:textId="77777777">
      <w:pPr>
        <w:spacing w:after="200"/>
        <w:rPr>
          <w:rFonts w:eastAsia="Calibri"/>
          <w:color w:val="FF0000"/>
        </w:rPr>
      </w:pPr>
      <w:r>
        <w:t>There are no reasons why display of the expiration date for OMB approval of the information collection would be inappropriate.</w:t>
      </w:r>
      <w:r w:rsidRPr="00357C8A" w:rsidR="00357C8A">
        <w:rPr>
          <w:rFonts w:eastAsia="Calibri"/>
          <w:color w:val="FF0000"/>
        </w:rPr>
        <w:t xml:space="preserve"> </w:t>
      </w:r>
    </w:p>
    <w:p w:rsidRPr="00357C8A" w:rsidR="00357C8A" w:rsidP="006705EA" w:rsidRDefault="00357C8A" w14:paraId="7624A2D4"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357C8A" w:rsidR="00357C8A" w:rsidP="0003719C" w:rsidRDefault="007E59A8" w14:paraId="76879CF8" w14:textId="77777777">
      <w:pPr>
        <w:spacing w:after="200"/>
        <w:rPr>
          <w:rFonts w:eastAsia="Calibri"/>
        </w:rPr>
      </w:pPr>
      <w:r w:rsidRPr="007E59A8">
        <w:rPr>
          <w:rFonts w:eastAsia="Calibri"/>
        </w:rPr>
        <w:t>There are no exceptions to the certification</w:t>
      </w:r>
      <w:r>
        <w:rPr>
          <w:rFonts w:eastAsia="Calibri"/>
        </w:rPr>
        <w:t>.</w:t>
      </w:r>
      <w:r w:rsidRPr="00357C8A" w:rsidR="00357C8A">
        <w:rPr>
          <w:rFonts w:eastAsia="Calibri"/>
        </w:rPr>
        <w:t xml:space="preserve"> </w:t>
      </w:r>
    </w:p>
    <w:sectPr w:rsidRPr="00357C8A" w:rsidR="00357C8A" w:rsidSect="005C71CA">
      <w:headerReference w:type="default" r:id="rId9"/>
      <w:footerReference w:type="even" r:id="rId10"/>
      <w:footerReference w:type="default" r:id="rId11"/>
      <w:pgSz w:w="12240" w:h="15840" w:code="1"/>
      <w:pgMar w:top="1008" w:right="1296"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3EB0D" w14:textId="77777777" w:rsidR="00BF4075" w:rsidRDefault="00BF4075">
      <w:r>
        <w:separator/>
      </w:r>
    </w:p>
  </w:endnote>
  <w:endnote w:type="continuationSeparator" w:id="0">
    <w:p w14:paraId="6B8FC5A5" w14:textId="77777777" w:rsidR="00BF4075" w:rsidRDefault="00BF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6C5FD" w14:textId="77777777" w:rsidR="000C6CAE" w:rsidRDefault="000C6CA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64C48" w14:textId="77777777" w:rsidR="000C6CAE" w:rsidRDefault="000C6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19FB" w14:textId="77777777" w:rsidR="000C6CAE" w:rsidRDefault="000C6CAE"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C437C6F" w14:textId="77777777" w:rsidR="000C6CAE" w:rsidRDefault="000C6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04F50" w14:textId="77777777" w:rsidR="00BF4075" w:rsidRDefault="00BF4075">
      <w:r>
        <w:separator/>
      </w:r>
    </w:p>
  </w:footnote>
  <w:footnote w:type="continuationSeparator" w:id="0">
    <w:p w14:paraId="326D5AEE" w14:textId="77777777" w:rsidR="00BF4075" w:rsidRDefault="00BF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AF01B" w14:textId="770617E4" w:rsidR="000C6CAE" w:rsidRPr="003C0FE2" w:rsidRDefault="000C6CAE">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3719C"/>
    <w:rsid w:val="00042B93"/>
    <w:rsid w:val="00043C7F"/>
    <w:rsid w:val="00045306"/>
    <w:rsid w:val="000467A8"/>
    <w:rsid w:val="000532DB"/>
    <w:rsid w:val="0006570F"/>
    <w:rsid w:val="00075DE8"/>
    <w:rsid w:val="00077FFB"/>
    <w:rsid w:val="00087439"/>
    <w:rsid w:val="000C1260"/>
    <w:rsid w:val="000C560C"/>
    <w:rsid w:val="000C6CAE"/>
    <w:rsid w:val="000D080B"/>
    <w:rsid w:val="000D48FD"/>
    <w:rsid w:val="000D79CC"/>
    <w:rsid w:val="000E1C64"/>
    <w:rsid w:val="000F7119"/>
    <w:rsid w:val="00100739"/>
    <w:rsid w:val="0010493E"/>
    <w:rsid w:val="001075D3"/>
    <w:rsid w:val="00107885"/>
    <w:rsid w:val="00114FC4"/>
    <w:rsid w:val="0012329C"/>
    <w:rsid w:val="00134FA7"/>
    <w:rsid w:val="00137950"/>
    <w:rsid w:val="00142FB1"/>
    <w:rsid w:val="00152F29"/>
    <w:rsid w:val="00174D54"/>
    <w:rsid w:val="0017702C"/>
    <w:rsid w:val="00185270"/>
    <w:rsid w:val="001A3B5A"/>
    <w:rsid w:val="001B7CE9"/>
    <w:rsid w:val="001D495A"/>
    <w:rsid w:val="001E244C"/>
    <w:rsid w:val="001F1437"/>
    <w:rsid w:val="00201B7B"/>
    <w:rsid w:val="00206799"/>
    <w:rsid w:val="002074FE"/>
    <w:rsid w:val="0022425B"/>
    <w:rsid w:val="0022584D"/>
    <w:rsid w:val="002259EF"/>
    <w:rsid w:val="00242ED1"/>
    <w:rsid w:val="002444BB"/>
    <w:rsid w:val="00254069"/>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113FF"/>
    <w:rsid w:val="00312622"/>
    <w:rsid w:val="0032277F"/>
    <w:rsid w:val="00336B69"/>
    <w:rsid w:val="0034302B"/>
    <w:rsid w:val="00350523"/>
    <w:rsid w:val="0035189D"/>
    <w:rsid w:val="00355B62"/>
    <w:rsid w:val="00357C8A"/>
    <w:rsid w:val="003740BC"/>
    <w:rsid w:val="0037456B"/>
    <w:rsid w:val="003801A3"/>
    <w:rsid w:val="00383D90"/>
    <w:rsid w:val="003870AE"/>
    <w:rsid w:val="003A1A27"/>
    <w:rsid w:val="003A50CC"/>
    <w:rsid w:val="003B42B3"/>
    <w:rsid w:val="003B6384"/>
    <w:rsid w:val="003C0FE2"/>
    <w:rsid w:val="003C4EBB"/>
    <w:rsid w:val="003D1531"/>
    <w:rsid w:val="003E4EC6"/>
    <w:rsid w:val="003E527E"/>
    <w:rsid w:val="003E553E"/>
    <w:rsid w:val="003E7078"/>
    <w:rsid w:val="003F3DF5"/>
    <w:rsid w:val="003F73B8"/>
    <w:rsid w:val="0040297E"/>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94912"/>
    <w:rsid w:val="004A5323"/>
    <w:rsid w:val="004A5A99"/>
    <w:rsid w:val="004C6979"/>
    <w:rsid w:val="004D13A2"/>
    <w:rsid w:val="004D3E7A"/>
    <w:rsid w:val="004F594B"/>
    <w:rsid w:val="004F61E1"/>
    <w:rsid w:val="0053380B"/>
    <w:rsid w:val="00543194"/>
    <w:rsid w:val="00544138"/>
    <w:rsid w:val="00554E34"/>
    <w:rsid w:val="00584583"/>
    <w:rsid w:val="00590E90"/>
    <w:rsid w:val="00590EEB"/>
    <w:rsid w:val="005A4099"/>
    <w:rsid w:val="005C38B2"/>
    <w:rsid w:val="005C5029"/>
    <w:rsid w:val="005C55C2"/>
    <w:rsid w:val="005C71CA"/>
    <w:rsid w:val="005C745C"/>
    <w:rsid w:val="005D4DF5"/>
    <w:rsid w:val="005E42BA"/>
    <w:rsid w:val="00611D6B"/>
    <w:rsid w:val="00625CFD"/>
    <w:rsid w:val="006326EC"/>
    <w:rsid w:val="00663A42"/>
    <w:rsid w:val="006641C7"/>
    <w:rsid w:val="006705EA"/>
    <w:rsid w:val="00670BE2"/>
    <w:rsid w:val="006916D9"/>
    <w:rsid w:val="006A0E05"/>
    <w:rsid w:val="006A26C6"/>
    <w:rsid w:val="006A465A"/>
    <w:rsid w:val="006A7D5D"/>
    <w:rsid w:val="006B547C"/>
    <w:rsid w:val="006C5C7E"/>
    <w:rsid w:val="006D0C12"/>
    <w:rsid w:val="006D5D57"/>
    <w:rsid w:val="006E2538"/>
    <w:rsid w:val="006E302F"/>
    <w:rsid w:val="006F4D6D"/>
    <w:rsid w:val="00705086"/>
    <w:rsid w:val="007057D3"/>
    <w:rsid w:val="00722001"/>
    <w:rsid w:val="00730E70"/>
    <w:rsid w:val="00751E66"/>
    <w:rsid w:val="00754497"/>
    <w:rsid w:val="00787C39"/>
    <w:rsid w:val="00792947"/>
    <w:rsid w:val="007946FA"/>
    <w:rsid w:val="00795DF3"/>
    <w:rsid w:val="007A373C"/>
    <w:rsid w:val="007B225C"/>
    <w:rsid w:val="007C75B1"/>
    <w:rsid w:val="007D3DFC"/>
    <w:rsid w:val="007E2F07"/>
    <w:rsid w:val="007E59A8"/>
    <w:rsid w:val="0080776D"/>
    <w:rsid w:val="00810145"/>
    <w:rsid w:val="008108FA"/>
    <w:rsid w:val="00810FF1"/>
    <w:rsid w:val="00817B4D"/>
    <w:rsid w:val="00822336"/>
    <w:rsid w:val="00823DFA"/>
    <w:rsid w:val="00842DB7"/>
    <w:rsid w:val="00843752"/>
    <w:rsid w:val="0084479F"/>
    <w:rsid w:val="0085725E"/>
    <w:rsid w:val="00873D4F"/>
    <w:rsid w:val="0087509F"/>
    <w:rsid w:val="00885B09"/>
    <w:rsid w:val="00892400"/>
    <w:rsid w:val="008A209D"/>
    <w:rsid w:val="008A22BB"/>
    <w:rsid w:val="008B035D"/>
    <w:rsid w:val="008B0E29"/>
    <w:rsid w:val="008B0EFA"/>
    <w:rsid w:val="008B30AB"/>
    <w:rsid w:val="008C3BB8"/>
    <w:rsid w:val="008C4B65"/>
    <w:rsid w:val="008E5F55"/>
    <w:rsid w:val="009009E7"/>
    <w:rsid w:val="00905DEF"/>
    <w:rsid w:val="00906056"/>
    <w:rsid w:val="009122AE"/>
    <w:rsid w:val="00913B43"/>
    <w:rsid w:val="00930203"/>
    <w:rsid w:val="009311D2"/>
    <w:rsid w:val="009311E6"/>
    <w:rsid w:val="00931275"/>
    <w:rsid w:val="00936AC7"/>
    <w:rsid w:val="00953B64"/>
    <w:rsid w:val="00955E4E"/>
    <w:rsid w:val="009646A7"/>
    <w:rsid w:val="00970A88"/>
    <w:rsid w:val="009818A1"/>
    <w:rsid w:val="009A1674"/>
    <w:rsid w:val="009B38BE"/>
    <w:rsid w:val="009B4DF2"/>
    <w:rsid w:val="009C684F"/>
    <w:rsid w:val="009D074C"/>
    <w:rsid w:val="009D6E73"/>
    <w:rsid w:val="009F1F1D"/>
    <w:rsid w:val="009F2B4F"/>
    <w:rsid w:val="009F3C63"/>
    <w:rsid w:val="009F66B5"/>
    <w:rsid w:val="00A02F10"/>
    <w:rsid w:val="00A1060C"/>
    <w:rsid w:val="00A16221"/>
    <w:rsid w:val="00A20A7D"/>
    <w:rsid w:val="00A35D42"/>
    <w:rsid w:val="00A46CCF"/>
    <w:rsid w:val="00A506DE"/>
    <w:rsid w:val="00A53451"/>
    <w:rsid w:val="00A70426"/>
    <w:rsid w:val="00A707CC"/>
    <w:rsid w:val="00A71410"/>
    <w:rsid w:val="00A807B1"/>
    <w:rsid w:val="00A91E9A"/>
    <w:rsid w:val="00A93ED9"/>
    <w:rsid w:val="00A96221"/>
    <w:rsid w:val="00AC2DBB"/>
    <w:rsid w:val="00AC6A99"/>
    <w:rsid w:val="00AD6048"/>
    <w:rsid w:val="00B055EF"/>
    <w:rsid w:val="00B06B5B"/>
    <w:rsid w:val="00B23769"/>
    <w:rsid w:val="00B41789"/>
    <w:rsid w:val="00B81808"/>
    <w:rsid w:val="00B86DFA"/>
    <w:rsid w:val="00B92C6B"/>
    <w:rsid w:val="00B936D0"/>
    <w:rsid w:val="00BB15FB"/>
    <w:rsid w:val="00BD3D5B"/>
    <w:rsid w:val="00BE3600"/>
    <w:rsid w:val="00BF4075"/>
    <w:rsid w:val="00BF5544"/>
    <w:rsid w:val="00C01F6F"/>
    <w:rsid w:val="00C041EA"/>
    <w:rsid w:val="00C13BBD"/>
    <w:rsid w:val="00C149AB"/>
    <w:rsid w:val="00C16929"/>
    <w:rsid w:val="00C20690"/>
    <w:rsid w:val="00C36020"/>
    <w:rsid w:val="00C40694"/>
    <w:rsid w:val="00C4183E"/>
    <w:rsid w:val="00C479BF"/>
    <w:rsid w:val="00C5124B"/>
    <w:rsid w:val="00C526E3"/>
    <w:rsid w:val="00C70542"/>
    <w:rsid w:val="00C75CBF"/>
    <w:rsid w:val="00CC2894"/>
    <w:rsid w:val="00CD77C3"/>
    <w:rsid w:val="00CE112C"/>
    <w:rsid w:val="00CF55D4"/>
    <w:rsid w:val="00D37FC0"/>
    <w:rsid w:val="00D608DA"/>
    <w:rsid w:val="00D730BF"/>
    <w:rsid w:val="00D852F4"/>
    <w:rsid w:val="00DB1110"/>
    <w:rsid w:val="00DB3730"/>
    <w:rsid w:val="00DC371B"/>
    <w:rsid w:val="00DC3788"/>
    <w:rsid w:val="00DC76C7"/>
    <w:rsid w:val="00DD09F5"/>
    <w:rsid w:val="00DD0E02"/>
    <w:rsid w:val="00DD4201"/>
    <w:rsid w:val="00DD5E9F"/>
    <w:rsid w:val="00DE5711"/>
    <w:rsid w:val="00DE5CB3"/>
    <w:rsid w:val="00E00EA0"/>
    <w:rsid w:val="00E021CB"/>
    <w:rsid w:val="00E138F1"/>
    <w:rsid w:val="00E2309D"/>
    <w:rsid w:val="00E26758"/>
    <w:rsid w:val="00E30F4B"/>
    <w:rsid w:val="00E4357B"/>
    <w:rsid w:val="00E443A7"/>
    <w:rsid w:val="00E45904"/>
    <w:rsid w:val="00E63DE5"/>
    <w:rsid w:val="00E647AF"/>
    <w:rsid w:val="00E647C7"/>
    <w:rsid w:val="00E65A37"/>
    <w:rsid w:val="00E65EF7"/>
    <w:rsid w:val="00E77B48"/>
    <w:rsid w:val="00E8009D"/>
    <w:rsid w:val="00E857FB"/>
    <w:rsid w:val="00E91799"/>
    <w:rsid w:val="00E97DF8"/>
    <w:rsid w:val="00EA21FE"/>
    <w:rsid w:val="00EA34E3"/>
    <w:rsid w:val="00EB7538"/>
    <w:rsid w:val="00EC1868"/>
    <w:rsid w:val="00EE6468"/>
    <w:rsid w:val="00F10A9E"/>
    <w:rsid w:val="00F1299B"/>
    <w:rsid w:val="00F207A4"/>
    <w:rsid w:val="00F25173"/>
    <w:rsid w:val="00F355AC"/>
    <w:rsid w:val="00F40CF7"/>
    <w:rsid w:val="00F44194"/>
    <w:rsid w:val="00F71A5A"/>
    <w:rsid w:val="00F73A1A"/>
    <w:rsid w:val="00F769E0"/>
    <w:rsid w:val="00FA4A46"/>
    <w:rsid w:val="00FA6085"/>
    <w:rsid w:val="00FA75FE"/>
    <w:rsid w:val="00FB1032"/>
    <w:rsid w:val="00FB39BC"/>
    <w:rsid w:val="00FB6A53"/>
    <w:rsid w:val="00FC11CA"/>
    <w:rsid w:val="00FC6BDE"/>
    <w:rsid w:val="00FE29E0"/>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42371"/>
  <w15:chartTrackingRefBased/>
  <w15:docId w15:val="{188FC82C-36D6-4C2C-A06F-6BE651541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730E70"/>
    <w:rPr>
      <w:sz w:val="16"/>
      <w:szCs w:val="16"/>
    </w:rPr>
  </w:style>
  <w:style w:type="paragraph" w:styleId="CommentText">
    <w:name w:val="annotation text"/>
    <w:basedOn w:val="Normal"/>
    <w:link w:val="CommentTextChar"/>
    <w:rsid w:val="00730E70"/>
    <w:rPr>
      <w:sz w:val="20"/>
      <w:szCs w:val="20"/>
    </w:rPr>
  </w:style>
  <w:style w:type="character" w:customStyle="1" w:styleId="CommentTextChar">
    <w:name w:val="Comment Text Char"/>
    <w:basedOn w:val="DefaultParagraphFont"/>
    <w:link w:val="CommentText"/>
    <w:rsid w:val="00730E70"/>
  </w:style>
  <w:style w:type="paragraph" w:styleId="CommentSubject">
    <w:name w:val="annotation subject"/>
    <w:basedOn w:val="CommentText"/>
    <w:next w:val="CommentText"/>
    <w:link w:val="CommentSubjectChar"/>
    <w:rsid w:val="00730E70"/>
    <w:rPr>
      <w:b/>
      <w:bCs/>
    </w:rPr>
  </w:style>
  <w:style w:type="character" w:customStyle="1" w:styleId="CommentSubjectChar">
    <w:name w:val="Comment Subject Char"/>
    <w:link w:val="CommentSubject"/>
    <w:rsid w:val="00730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39244074">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104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da.gov/industry/small-business-assista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1475</Words>
  <Characters>8795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10250</CharactersWithSpaces>
  <SharedDoc>false</SharedDoc>
  <HLinks>
    <vt:vector size="12" baseType="variant">
      <vt:variant>
        <vt:i4>5046298</vt:i4>
      </vt:variant>
      <vt:variant>
        <vt:i4>3</vt:i4>
      </vt:variant>
      <vt:variant>
        <vt:i4>0</vt:i4>
      </vt:variant>
      <vt:variant>
        <vt:i4>5</vt:i4>
      </vt:variant>
      <vt:variant>
        <vt:lpwstr>https://www.bls.gov/oes/current/oes131041.htm</vt:lpwstr>
      </vt:variant>
      <vt:variant>
        <vt:lpwstr/>
      </vt:variant>
      <vt:variant>
        <vt:i4>7209008</vt:i4>
      </vt:variant>
      <vt:variant>
        <vt:i4>0</vt:i4>
      </vt:variant>
      <vt:variant>
        <vt:i4>0</vt:i4>
      </vt:variant>
      <vt:variant>
        <vt:i4>5</vt:i4>
      </vt:variant>
      <vt:variant>
        <vt:lpwstr>https://www.fda.gov/industry/small-business-assistance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subject/>
  <dc:creator>jcapezzu</dc:creator>
  <cp:keywords/>
  <cp:lastModifiedBy>Mizrachi, Ila</cp:lastModifiedBy>
  <cp:revision>3</cp:revision>
  <cp:lastPrinted>2019-07-03T16:25:00Z</cp:lastPrinted>
  <dcterms:created xsi:type="dcterms:W3CDTF">2021-03-10T16:27:00Z</dcterms:created>
  <dcterms:modified xsi:type="dcterms:W3CDTF">2021-03-10T16:29:00Z</dcterms:modified>
</cp:coreProperties>
</file>