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17903" w:rsidR="00D11A8F" w:rsidP="00CC2DD7" w:rsidRDefault="00217903" w14:paraId="144DA9AF" w14:textId="071621FC">
      <w:pPr>
        <w:pStyle w:val="Default"/>
        <w:ind w:firstLine="720"/>
        <w:jc w:val="center"/>
      </w:pPr>
      <w:r w:rsidRPr="00217903">
        <w:t xml:space="preserve">UNITED STATES </w:t>
      </w:r>
      <w:r w:rsidRPr="00217903" w:rsidR="00D11A8F">
        <w:t>FOOD &amp; DRUG ADMINISTRAT</w:t>
      </w:r>
      <w:r w:rsidRPr="00217903">
        <w:t>ION</w:t>
      </w:r>
    </w:p>
    <w:p w:rsidRPr="00217903" w:rsidR="00DA79BC" w:rsidP="00CC2DD7" w:rsidRDefault="00DA79BC" w14:paraId="08CD9A4A" w14:textId="348472A3">
      <w:pPr>
        <w:spacing w:after="0" w:line="240" w:lineRule="auto"/>
        <w:jc w:val="center"/>
        <w:rPr>
          <w:rFonts w:ascii="Times New Roman" w:hAnsi="Times New Roman" w:eastAsia="Times New Roman"/>
          <w:sz w:val="24"/>
          <w:szCs w:val="24"/>
        </w:rPr>
      </w:pPr>
    </w:p>
    <w:p w:rsidRPr="00217903" w:rsidR="00217903" w:rsidP="00CC2DD7" w:rsidRDefault="00217903" w14:paraId="582E9FE5" w14:textId="4967C9FD">
      <w:pPr>
        <w:spacing w:after="0" w:line="240" w:lineRule="auto"/>
        <w:jc w:val="center"/>
        <w:rPr>
          <w:rFonts w:ascii="Times New Roman" w:hAnsi="Times New Roman" w:eastAsia="Times New Roman"/>
          <w:sz w:val="24"/>
          <w:szCs w:val="24"/>
        </w:rPr>
      </w:pPr>
      <w:r w:rsidRPr="00217903">
        <w:rPr>
          <w:rFonts w:ascii="Times New Roman" w:hAnsi="Times New Roman" w:eastAsia="Times New Roman"/>
          <w:sz w:val="24"/>
          <w:szCs w:val="24"/>
        </w:rPr>
        <w:t>Applications for FDA Approval to Market New Drug</w:t>
      </w:r>
    </w:p>
    <w:p w:rsidRPr="00217903" w:rsidR="00217903" w:rsidP="00CC2DD7" w:rsidRDefault="00217903" w14:paraId="2DBCD2CA" w14:textId="77777777">
      <w:pPr>
        <w:spacing w:after="0" w:line="240" w:lineRule="auto"/>
        <w:jc w:val="center"/>
        <w:rPr>
          <w:rFonts w:ascii="Times New Roman" w:hAnsi="Times New Roman" w:eastAsia="Times New Roman"/>
          <w:sz w:val="24"/>
          <w:szCs w:val="24"/>
        </w:rPr>
      </w:pPr>
    </w:p>
    <w:p w:rsidRPr="00217903" w:rsidR="00D11A8F" w:rsidP="00CC2DD7" w:rsidRDefault="00D11A8F" w14:paraId="18249A8E" w14:textId="429E3AE3">
      <w:pPr>
        <w:pStyle w:val="Default"/>
        <w:ind w:firstLine="720"/>
        <w:jc w:val="center"/>
        <w:rPr>
          <w:rFonts w:eastAsia="Times New Roman"/>
          <w:color w:val="auto"/>
          <w:u w:val="single"/>
        </w:rPr>
      </w:pPr>
      <w:r w:rsidRPr="00217903">
        <w:rPr>
          <w:rFonts w:eastAsia="Times New Roman"/>
          <w:color w:val="auto"/>
          <w:u w:val="single"/>
        </w:rPr>
        <w:t>OMB Control N</w:t>
      </w:r>
      <w:r w:rsidR="00496FAA">
        <w:rPr>
          <w:rFonts w:eastAsia="Times New Roman"/>
          <w:color w:val="auto"/>
          <w:u w:val="single"/>
        </w:rPr>
        <w:t>umber</w:t>
      </w:r>
      <w:r w:rsidRPr="00217903">
        <w:rPr>
          <w:rFonts w:eastAsia="Times New Roman"/>
          <w:color w:val="auto"/>
          <w:u w:val="single"/>
        </w:rPr>
        <w:t xml:space="preserve"> 0910-</w:t>
      </w:r>
      <w:r w:rsidRPr="00217903" w:rsidR="00217903">
        <w:rPr>
          <w:rFonts w:eastAsia="Times New Roman"/>
          <w:color w:val="auto"/>
          <w:u w:val="single"/>
        </w:rPr>
        <w:t>00</w:t>
      </w:r>
      <w:r w:rsidR="00193558">
        <w:rPr>
          <w:rFonts w:eastAsia="Times New Roman"/>
          <w:color w:val="auto"/>
          <w:u w:val="single"/>
        </w:rPr>
        <w:t>14</w:t>
      </w:r>
    </w:p>
    <w:p w:rsidR="00D11A8F" w:rsidP="00CC2DD7" w:rsidRDefault="00D11A8F" w14:paraId="4F4A033D" w14:textId="77777777">
      <w:pPr>
        <w:pStyle w:val="Default"/>
        <w:ind w:firstLine="720"/>
        <w:jc w:val="center"/>
        <w:rPr>
          <w:rFonts w:eastAsia="Times New Roman"/>
          <w:color w:val="auto"/>
        </w:rPr>
      </w:pPr>
    </w:p>
    <w:p w:rsidR="00D11A8F" w:rsidP="00CC2DD7" w:rsidRDefault="00305CDE" w14:paraId="656B2A34" w14:textId="4758C126">
      <w:pPr>
        <w:pStyle w:val="Default"/>
        <w:rPr>
          <w:b/>
        </w:rPr>
      </w:pPr>
      <w:r w:rsidRPr="00CD6DCE">
        <w:rPr>
          <w:rFonts w:eastAsia="Times New Roman"/>
          <w:color w:val="auto"/>
          <w:u w:val="single"/>
        </w:rPr>
        <w:t xml:space="preserve">Non-substantive </w:t>
      </w:r>
      <w:r w:rsidRPr="00CD6DCE" w:rsidR="00D11A8F">
        <w:rPr>
          <w:rFonts w:eastAsia="Times New Roman"/>
          <w:color w:val="auto"/>
          <w:u w:val="single"/>
        </w:rPr>
        <w:t xml:space="preserve">Change </w:t>
      </w:r>
      <w:r w:rsidRPr="00CD6DCE" w:rsidR="006F52F3">
        <w:rPr>
          <w:rFonts w:eastAsia="Times New Roman"/>
          <w:color w:val="auto"/>
          <w:u w:val="single"/>
        </w:rPr>
        <w:t>Request</w:t>
      </w:r>
      <w:r w:rsidR="00CD6DCE">
        <w:rPr>
          <w:rFonts w:eastAsia="Times New Roman"/>
          <w:color w:val="auto"/>
        </w:rPr>
        <w:t>:</w:t>
      </w:r>
    </w:p>
    <w:p w:rsidR="00D11A8F" w:rsidP="00CC2DD7" w:rsidRDefault="00D11A8F" w14:paraId="184018EF" w14:textId="77777777">
      <w:pPr>
        <w:pStyle w:val="Default"/>
        <w:ind w:firstLine="720"/>
        <w:jc w:val="center"/>
        <w:rPr>
          <w:b/>
        </w:rPr>
      </w:pPr>
    </w:p>
    <w:p w:rsidR="00D11A8F" w:rsidP="00CC2DD7" w:rsidRDefault="00D11A8F" w14:paraId="6E094DFB" w14:textId="77777777">
      <w:pPr>
        <w:pStyle w:val="Default"/>
      </w:pPr>
      <w:r>
        <w:rPr>
          <w:b/>
        </w:rPr>
        <w:t xml:space="preserve">I.  </w:t>
      </w:r>
      <w:r w:rsidRPr="00E25290">
        <w:rPr>
          <w:b/>
        </w:rPr>
        <w:t>Background</w:t>
      </w:r>
      <w:r>
        <w:rPr>
          <w:b/>
        </w:rPr>
        <w:t>:</w:t>
      </w:r>
      <w:r>
        <w:t xml:space="preserve">  </w:t>
      </w:r>
    </w:p>
    <w:p w:rsidR="00D11A8F" w:rsidP="00CC2DD7" w:rsidRDefault="00D11A8F" w14:paraId="7601891F" w14:textId="77777777">
      <w:pPr>
        <w:pStyle w:val="Default"/>
      </w:pPr>
    </w:p>
    <w:p w:rsidRPr="007D2D48" w:rsidR="000B47F4" w:rsidP="00CC2DD7" w:rsidRDefault="22CB3BF5" w14:paraId="6A7EBF22" w14:textId="3CC1D2F6">
      <w:pPr>
        <w:pStyle w:val="Default"/>
        <w:spacing w:after="240"/>
      </w:pPr>
      <w:r>
        <w:t>This information collection supports FDA</w:t>
      </w:r>
      <w:r w:rsidR="435B8E69">
        <w:t xml:space="preserve"> regulations</w:t>
      </w:r>
      <w:r w:rsidR="00407B8E">
        <w:t xml:space="preserve"> in</w:t>
      </w:r>
      <w:r w:rsidR="435B8E69">
        <w:t xml:space="preserve"> </w:t>
      </w:r>
      <w:r w:rsidR="007A75EE">
        <w:t>21 CFR Part 312</w:t>
      </w:r>
      <w:r w:rsidR="00407B8E">
        <w:t xml:space="preserve">, which govern </w:t>
      </w:r>
      <w:r w:rsidRPr="00407B8E" w:rsidR="00407B8E">
        <w:t xml:space="preserve">the use of investigational new drugs, including procedures and requirements for the submission </w:t>
      </w:r>
      <w:r w:rsidR="00180417">
        <w:t xml:space="preserve">of </w:t>
      </w:r>
      <w:r w:rsidR="001B7076">
        <w:t>Form FDA 157</w:t>
      </w:r>
      <w:r w:rsidR="00A62189">
        <w:t>1</w:t>
      </w:r>
      <w:r w:rsidR="001B7076">
        <w:t xml:space="preserve"> entitled,</w:t>
      </w:r>
      <w:r w:rsidR="007E4B05">
        <w:t xml:space="preserve"> </w:t>
      </w:r>
      <w:r w:rsidR="001B7076">
        <w:t>“</w:t>
      </w:r>
      <w:r w:rsidRPr="00CC2DD7" w:rsidR="001B7076">
        <w:rPr>
          <w:i/>
        </w:rPr>
        <w:t>Investigational New Drug Application (IND)</w:t>
      </w:r>
      <w:r w:rsidR="00C91CCE">
        <w:t>.</w:t>
      </w:r>
      <w:r w:rsidR="001B7076">
        <w:t xml:space="preserve">” </w:t>
      </w:r>
      <w:r w:rsidR="00407B8E">
        <w:t xml:space="preserve">Our </w:t>
      </w:r>
      <w:r w:rsidRPr="007B6329" w:rsidR="007B6329">
        <w:t xml:space="preserve">primary objective in reviewing an IND </w:t>
      </w:r>
      <w:r w:rsidR="00407B8E">
        <w:t xml:space="preserve">is </w:t>
      </w:r>
      <w:r w:rsidRPr="007B6329" w:rsidR="007B6329">
        <w:t xml:space="preserve">to help protect the rights and safety of subjects </w:t>
      </w:r>
      <w:r w:rsidRPr="007B6329" w:rsidR="00CA3184">
        <w:t>and to</w:t>
      </w:r>
      <w:r w:rsidRPr="007B6329" w:rsidR="007B6329">
        <w:t xml:space="preserve"> help ensure that the quality of the clinical trial is adequate to evaluate </w:t>
      </w:r>
      <w:r w:rsidR="00407B8E">
        <w:t xml:space="preserve">a </w:t>
      </w:r>
      <w:r w:rsidRPr="007B6329" w:rsidR="007B6329">
        <w:t>drug’s effectiveness and safety</w:t>
      </w:r>
      <w:r w:rsidR="00752E9B">
        <w:t xml:space="preserve"> for the studied indication</w:t>
      </w:r>
      <w:r w:rsidRPr="007B6329" w:rsidR="007B6329">
        <w:t>.</w:t>
      </w:r>
      <w:r w:rsidR="0078417B">
        <w:t xml:space="preserve">  </w:t>
      </w:r>
      <w:r w:rsidR="00700EE1">
        <w:t xml:space="preserve">To supplement the </w:t>
      </w:r>
      <w:r w:rsidR="0078417B">
        <w:t>F</w:t>
      </w:r>
      <w:r w:rsidR="00700EE1">
        <w:t xml:space="preserve">orm </w:t>
      </w:r>
      <w:r w:rsidR="0078417B">
        <w:t xml:space="preserve">FDA 1571 </w:t>
      </w:r>
      <w:r w:rsidR="00700EE1">
        <w:t xml:space="preserve">instructions, we issued </w:t>
      </w:r>
      <w:r w:rsidR="00DA2DD2">
        <w:t xml:space="preserve">a </w:t>
      </w:r>
      <w:r w:rsidR="00E60246">
        <w:t xml:space="preserve">draft </w:t>
      </w:r>
      <w:r w:rsidR="00700EE1">
        <w:t>guidance</w:t>
      </w:r>
      <w:r w:rsidR="530F1F74">
        <w:t xml:space="preserve"> </w:t>
      </w:r>
      <w:r w:rsidR="00700EE1">
        <w:t xml:space="preserve">in </w:t>
      </w:r>
      <w:r w:rsidR="00A63262">
        <w:t>May</w:t>
      </w:r>
      <w:r w:rsidR="00700EE1">
        <w:t xml:space="preserve"> of 201</w:t>
      </w:r>
      <w:r w:rsidR="00A63262">
        <w:t>5</w:t>
      </w:r>
      <w:r w:rsidR="00700EE1">
        <w:t xml:space="preserve"> entitled “</w:t>
      </w:r>
      <w:r w:rsidRPr="00193558" w:rsidR="00771A94">
        <w:rPr>
          <w:i/>
        </w:rPr>
        <w:t>Investigational New Drug Applications Prepared and Submitted by Sponsor Investigators</w:t>
      </w:r>
      <w:r w:rsidR="00771A94">
        <w:t>”</w:t>
      </w:r>
      <w:r w:rsidR="00193558">
        <w:t xml:space="preserve"> available at</w:t>
      </w:r>
      <w:r w:rsidR="008C2954">
        <w:t xml:space="preserve"> </w:t>
      </w:r>
      <w:hyperlink w:history="1" r:id="rId11">
        <w:r w:rsidRPr="00562F23" w:rsidR="008C2954">
          <w:rPr>
            <w:rStyle w:val="Hyperlink"/>
          </w:rPr>
          <w:t>https://www.fda.gov/files/drugs/published/Investigational-New-Drug-Applications-Prepared-and-Submitted-by-Sponsor-Investigators.pdf</w:t>
        </w:r>
      </w:hyperlink>
      <w:r w:rsidR="008C2954">
        <w:t>.</w:t>
      </w:r>
      <w:r w:rsidR="001C0FDD">
        <w:t xml:space="preserve"> </w:t>
      </w:r>
      <w:r w:rsidR="008E2865">
        <w:t xml:space="preserve"> </w:t>
      </w:r>
      <w:r w:rsidR="001C0FDD">
        <w:t xml:space="preserve">Form </w:t>
      </w:r>
      <w:r w:rsidR="008E2865">
        <w:t xml:space="preserve">FDA </w:t>
      </w:r>
      <w:r w:rsidR="001C0FDD">
        <w:t xml:space="preserve">1571 is </w:t>
      </w:r>
      <w:r w:rsidR="008C7056">
        <w:t>available as a fillable PDF document</w:t>
      </w:r>
      <w:r w:rsidR="001C0FDD">
        <w:t xml:space="preserve"> </w:t>
      </w:r>
      <w:r w:rsidR="008C7056">
        <w:t xml:space="preserve">and accompanying instructions may be found </w:t>
      </w:r>
      <w:r w:rsidR="008E2865">
        <w:t>on</w:t>
      </w:r>
      <w:r w:rsidR="008C7056">
        <w:t xml:space="preserve"> </w:t>
      </w:r>
      <w:r w:rsidR="004B0B3B">
        <w:t xml:space="preserve">our </w:t>
      </w:r>
      <w:r w:rsidR="008C7056">
        <w:t xml:space="preserve">website at </w:t>
      </w:r>
      <w:hyperlink w:history="1" r:id="rId12">
        <w:r w:rsidRPr="00562F23" w:rsidR="003D2EFF">
          <w:rPr>
            <w:rStyle w:val="Hyperlink"/>
          </w:rPr>
          <w:t>https://www.fda.gov/media/116608/download</w:t>
        </w:r>
      </w:hyperlink>
      <w:r w:rsidR="003D2EFF">
        <w:t xml:space="preserve">. </w:t>
      </w:r>
    </w:p>
    <w:p w:rsidR="00B94E68" w:rsidP="00CC2DD7" w:rsidRDefault="00B94E68" w14:paraId="23689F29" w14:textId="7749EFBB">
      <w:pPr>
        <w:spacing w:line="240" w:lineRule="auto"/>
        <w:rPr>
          <w:rFonts w:ascii="Times New Roman" w:hAnsi="Times New Roman"/>
          <w:b/>
          <w:sz w:val="24"/>
        </w:rPr>
      </w:pPr>
      <w:r w:rsidRPr="00B94E68">
        <w:rPr>
          <w:rFonts w:ascii="Times New Roman" w:hAnsi="Times New Roman"/>
          <w:b/>
          <w:sz w:val="24"/>
        </w:rPr>
        <w:t>II. Proposed change</w:t>
      </w:r>
      <w:r>
        <w:rPr>
          <w:rFonts w:ascii="Times New Roman" w:hAnsi="Times New Roman"/>
          <w:b/>
          <w:sz w:val="24"/>
        </w:rPr>
        <w:t>:</w:t>
      </w:r>
    </w:p>
    <w:p w:rsidR="00B94E68" w:rsidP="00CC2DD7" w:rsidRDefault="00407B8E" w14:paraId="7A52189E" w14:textId="3C67FB12">
      <w:pPr>
        <w:spacing w:line="240" w:lineRule="auto"/>
        <w:rPr>
          <w:rFonts w:ascii="Times New Roman" w:hAnsi="Times New Roman"/>
          <w:sz w:val="24"/>
        </w:rPr>
      </w:pPr>
      <w:r>
        <w:rPr>
          <w:rFonts w:ascii="Times New Roman" w:hAnsi="Times New Roman"/>
          <w:sz w:val="24"/>
          <w:szCs w:val="24"/>
        </w:rPr>
        <w:t xml:space="preserve">We </w:t>
      </w:r>
      <w:r w:rsidR="00CC2DD7">
        <w:rPr>
          <w:rFonts w:ascii="Times New Roman" w:hAnsi="Times New Roman"/>
          <w:sz w:val="24"/>
          <w:szCs w:val="24"/>
        </w:rPr>
        <w:t xml:space="preserve">have developed </w:t>
      </w:r>
      <w:r w:rsidR="00482080">
        <w:rPr>
          <w:rFonts w:ascii="Times New Roman" w:hAnsi="Times New Roman"/>
          <w:sz w:val="24"/>
          <w:szCs w:val="24"/>
        </w:rPr>
        <w:t>an additional</w:t>
      </w:r>
      <w:r w:rsidR="00C46DB2">
        <w:rPr>
          <w:rFonts w:ascii="Times New Roman" w:hAnsi="Times New Roman"/>
          <w:sz w:val="24"/>
          <w:szCs w:val="24"/>
        </w:rPr>
        <w:t xml:space="preserve"> </w:t>
      </w:r>
      <w:r>
        <w:rPr>
          <w:rFonts w:ascii="Times New Roman" w:hAnsi="Times New Roman"/>
          <w:sz w:val="24"/>
          <w:szCs w:val="24"/>
        </w:rPr>
        <w:t xml:space="preserve">collection </w:t>
      </w:r>
      <w:r w:rsidRPr="1D9F8250" w:rsidR="62B1D524">
        <w:rPr>
          <w:rFonts w:ascii="Times New Roman" w:hAnsi="Times New Roman"/>
          <w:sz w:val="24"/>
          <w:szCs w:val="24"/>
        </w:rPr>
        <w:t>method</w:t>
      </w:r>
      <w:r w:rsidR="00482080">
        <w:rPr>
          <w:rFonts w:ascii="Times New Roman" w:hAnsi="Times New Roman"/>
          <w:sz w:val="24"/>
          <w:szCs w:val="24"/>
        </w:rPr>
        <w:t xml:space="preserve"> </w:t>
      </w:r>
      <w:r>
        <w:rPr>
          <w:rFonts w:ascii="Times New Roman" w:hAnsi="Times New Roman"/>
          <w:sz w:val="24"/>
          <w:szCs w:val="24"/>
        </w:rPr>
        <w:t xml:space="preserve">for data elements </w:t>
      </w:r>
      <w:r w:rsidR="00482080">
        <w:rPr>
          <w:rFonts w:ascii="Times New Roman" w:hAnsi="Times New Roman"/>
          <w:sz w:val="24"/>
          <w:szCs w:val="24"/>
        </w:rPr>
        <w:t xml:space="preserve">in </w:t>
      </w:r>
      <w:r w:rsidRPr="1D9F8250" w:rsidR="62B1D524">
        <w:rPr>
          <w:rFonts w:ascii="Times New Roman" w:hAnsi="Times New Roman"/>
          <w:sz w:val="24"/>
          <w:szCs w:val="24"/>
        </w:rPr>
        <w:t xml:space="preserve">Form FDA </w:t>
      </w:r>
      <w:r w:rsidR="00926AE1">
        <w:rPr>
          <w:rFonts w:ascii="Times New Roman" w:hAnsi="Times New Roman"/>
          <w:sz w:val="24"/>
          <w:szCs w:val="24"/>
        </w:rPr>
        <w:t>1571</w:t>
      </w:r>
      <w:r w:rsidR="00482080">
        <w:rPr>
          <w:rFonts w:ascii="Times New Roman" w:hAnsi="Times New Roman"/>
          <w:sz w:val="24"/>
          <w:szCs w:val="24"/>
        </w:rPr>
        <w:t xml:space="preserve"> for research INDs (often</w:t>
      </w:r>
      <w:r w:rsidR="008A34C3">
        <w:rPr>
          <w:rFonts w:ascii="Times New Roman" w:hAnsi="Times New Roman"/>
          <w:sz w:val="24"/>
          <w:szCs w:val="24"/>
        </w:rPr>
        <w:t>/sometimes</w:t>
      </w:r>
      <w:r w:rsidR="00482080">
        <w:rPr>
          <w:rFonts w:ascii="Times New Roman" w:hAnsi="Times New Roman"/>
          <w:sz w:val="24"/>
          <w:szCs w:val="24"/>
        </w:rPr>
        <w:t xml:space="preserve"> referred to as </w:t>
      </w:r>
      <w:r>
        <w:rPr>
          <w:rFonts w:ascii="Times New Roman" w:hAnsi="Times New Roman"/>
          <w:sz w:val="24"/>
          <w:szCs w:val="24"/>
        </w:rPr>
        <w:t>“</w:t>
      </w:r>
      <w:r w:rsidR="00482080">
        <w:rPr>
          <w:rFonts w:ascii="Times New Roman" w:hAnsi="Times New Roman"/>
          <w:sz w:val="24"/>
          <w:szCs w:val="24"/>
        </w:rPr>
        <w:t>non-commercial</w:t>
      </w:r>
      <w:r>
        <w:rPr>
          <w:rFonts w:ascii="Times New Roman" w:hAnsi="Times New Roman"/>
          <w:sz w:val="24"/>
          <w:szCs w:val="24"/>
        </w:rPr>
        <w:t>”</w:t>
      </w:r>
      <w:r w:rsidR="00482080">
        <w:rPr>
          <w:rFonts w:ascii="Times New Roman" w:hAnsi="Times New Roman"/>
          <w:sz w:val="24"/>
          <w:szCs w:val="24"/>
        </w:rPr>
        <w:t xml:space="preserve"> INDs)</w:t>
      </w:r>
      <w:r>
        <w:rPr>
          <w:rFonts w:ascii="Times New Roman" w:hAnsi="Times New Roman"/>
          <w:sz w:val="24"/>
          <w:szCs w:val="24"/>
        </w:rPr>
        <w:t>, however the scope of data being collected will remain unchanged.  Also, t</w:t>
      </w:r>
      <w:r w:rsidRPr="002A2E47" w:rsidR="0042268B">
        <w:rPr>
          <w:rFonts w:ascii="Times New Roman" w:hAnsi="Times New Roman"/>
          <w:sz w:val="24"/>
          <w:szCs w:val="24"/>
        </w:rPr>
        <w:t xml:space="preserve">he new collection method </w:t>
      </w:r>
      <w:r w:rsidR="008A34C3">
        <w:rPr>
          <w:rFonts w:ascii="Times New Roman" w:hAnsi="Times New Roman"/>
          <w:sz w:val="24"/>
          <w:szCs w:val="24"/>
        </w:rPr>
        <w:t xml:space="preserve">will </w:t>
      </w:r>
      <w:r w:rsidRPr="002A2E47" w:rsidR="0042268B">
        <w:rPr>
          <w:rFonts w:ascii="Times New Roman" w:hAnsi="Times New Roman"/>
          <w:sz w:val="24"/>
          <w:szCs w:val="24"/>
        </w:rPr>
        <w:t>only appl</w:t>
      </w:r>
      <w:r w:rsidR="008A34C3">
        <w:rPr>
          <w:rFonts w:ascii="Times New Roman" w:hAnsi="Times New Roman"/>
          <w:sz w:val="24"/>
          <w:szCs w:val="24"/>
        </w:rPr>
        <w:t>y</w:t>
      </w:r>
      <w:r w:rsidRPr="002A2E47" w:rsidR="0042268B">
        <w:rPr>
          <w:rFonts w:ascii="Times New Roman" w:hAnsi="Times New Roman"/>
          <w:sz w:val="24"/>
          <w:szCs w:val="24"/>
        </w:rPr>
        <w:t xml:space="preserve"> to research INDs.  </w:t>
      </w:r>
      <w:r>
        <w:rPr>
          <w:rFonts w:ascii="Times New Roman" w:hAnsi="Times New Roman"/>
          <w:sz w:val="24"/>
          <w:szCs w:val="24"/>
        </w:rPr>
        <w:t xml:space="preserve">We </w:t>
      </w:r>
      <w:r w:rsidR="00BB5A0A">
        <w:rPr>
          <w:rFonts w:ascii="Times New Roman" w:hAnsi="Times New Roman"/>
          <w:sz w:val="24"/>
          <w:szCs w:val="24"/>
        </w:rPr>
        <w:t>generally consid</w:t>
      </w:r>
      <w:r w:rsidR="006D0501">
        <w:rPr>
          <w:rFonts w:ascii="Times New Roman" w:hAnsi="Times New Roman"/>
          <w:sz w:val="24"/>
          <w:szCs w:val="24"/>
        </w:rPr>
        <w:t>er a</w:t>
      </w:r>
      <w:r w:rsidRPr="002A2E47" w:rsidR="00466A8E">
        <w:rPr>
          <w:rFonts w:ascii="Times New Roman" w:hAnsi="Times New Roman"/>
          <w:sz w:val="24"/>
          <w:szCs w:val="24"/>
        </w:rPr>
        <w:t xml:space="preserve"> research IND </w:t>
      </w:r>
      <w:r w:rsidR="006D0501">
        <w:rPr>
          <w:rFonts w:ascii="Times New Roman" w:hAnsi="Times New Roman"/>
          <w:sz w:val="24"/>
          <w:szCs w:val="24"/>
        </w:rPr>
        <w:t>to be</w:t>
      </w:r>
      <w:r w:rsidRPr="002A2E47" w:rsidR="00466A8E">
        <w:rPr>
          <w:rFonts w:ascii="Times New Roman" w:hAnsi="Times New Roman"/>
          <w:sz w:val="24"/>
          <w:szCs w:val="24"/>
        </w:rPr>
        <w:t xml:space="preserve"> one for which the sponsor (</w:t>
      </w:r>
      <w:r w:rsidR="006D0501">
        <w:rPr>
          <w:rFonts w:ascii="Times New Roman" w:hAnsi="Times New Roman"/>
          <w:sz w:val="24"/>
          <w:szCs w:val="24"/>
        </w:rPr>
        <w:t>typically</w:t>
      </w:r>
      <w:r w:rsidRPr="002A2E47" w:rsidR="00466A8E">
        <w:rPr>
          <w:rFonts w:ascii="Times New Roman" w:hAnsi="Times New Roman"/>
          <w:sz w:val="24"/>
          <w:szCs w:val="24"/>
        </w:rPr>
        <w:t xml:space="preserve"> an individual investigator, academic institution or non-profit entity) does not intend to later commercialize the product.  These studies are strictly for research, are usually shorter in duration </w:t>
      </w:r>
      <w:r w:rsidR="00BE3880">
        <w:rPr>
          <w:rFonts w:ascii="Times New Roman" w:hAnsi="Times New Roman"/>
          <w:sz w:val="24"/>
          <w:szCs w:val="24"/>
        </w:rPr>
        <w:t>than INDs for commercial development</w:t>
      </w:r>
      <w:r w:rsidR="00202201">
        <w:rPr>
          <w:rFonts w:ascii="Times New Roman" w:hAnsi="Times New Roman"/>
          <w:sz w:val="24"/>
          <w:szCs w:val="24"/>
        </w:rPr>
        <w:t>,</w:t>
      </w:r>
      <w:r w:rsidR="00BE3880">
        <w:rPr>
          <w:rFonts w:ascii="Times New Roman" w:hAnsi="Times New Roman"/>
          <w:sz w:val="24"/>
          <w:szCs w:val="24"/>
        </w:rPr>
        <w:t xml:space="preserve"> </w:t>
      </w:r>
      <w:r w:rsidRPr="002A2E47" w:rsidR="00466A8E">
        <w:rPr>
          <w:rFonts w:ascii="Times New Roman" w:hAnsi="Times New Roman"/>
          <w:sz w:val="24"/>
          <w:szCs w:val="24"/>
        </w:rPr>
        <w:t>and may result in publications</w:t>
      </w:r>
      <w:r w:rsidRPr="002A2E47" w:rsidR="00C96E99">
        <w:rPr>
          <w:rFonts w:ascii="Times New Roman" w:hAnsi="Times New Roman"/>
          <w:sz w:val="24"/>
          <w:szCs w:val="24"/>
        </w:rPr>
        <w:t xml:space="preserve"> </w:t>
      </w:r>
      <w:r w:rsidRPr="002A2E47" w:rsidR="00466A8E">
        <w:rPr>
          <w:rFonts w:ascii="Times New Roman" w:hAnsi="Times New Roman"/>
          <w:sz w:val="24"/>
          <w:szCs w:val="24"/>
        </w:rPr>
        <w:t>in peer-reviewed journals</w:t>
      </w:r>
      <w:r w:rsidRPr="002A2E47" w:rsidR="00C96E99">
        <w:rPr>
          <w:rFonts w:ascii="Times New Roman" w:hAnsi="Times New Roman"/>
          <w:sz w:val="24"/>
          <w:szCs w:val="24"/>
        </w:rPr>
        <w:t xml:space="preserve">.  </w:t>
      </w:r>
      <w:r w:rsidRPr="002A2E47" w:rsidR="00EB7EE3">
        <w:rPr>
          <w:rFonts w:ascii="Times New Roman" w:hAnsi="Times New Roman"/>
          <w:sz w:val="24"/>
          <w:szCs w:val="24"/>
        </w:rPr>
        <w:t>Fo</w:t>
      </w:r>
      <w:r w:rsidR="00EB7EE3">
        <w:rPr>
          <w:rFonts w:ascii="Times New Roman" w:hAnsi="Times New Roman"/>
          <w:sz w:val="24"/>
          <w:szCs w:val="24"/>
        </w:rPr>
        <w:t xml:space="preserve">r </w:t>
      </w:r>
      <w:r w:rsidR="003A55D0">
        <w:rPr>
          <w:rFonts w:ascii="Times New Roman" w:hAnsi="Times New Roman"/>
          <w:sz w:val="24"/>
          <w:szCs w:val="24"/>
        </w:rPr>
        <w:t xml:space="preserve">sponsors (including sponsor/investigators) </w:t>
      </w:r>
      <w:r w:rsidR="00EB7EE3">
        <w:rPr>
          <w:rFonts w:ascii="Times New Roman" w:hAnsi="Times New Roman"/>
          <w:sz w:val="24"/>
          <w:szCs w:val="24"/>
        </w:rPr>
        <w:t>interested in filing or u</w:t>
      </w:r>
      <w:r w:rsidR="003A55D0">
        <w:rPr>
          <w:rFonts w:ascii="Times New Roman" w:hAnsi="Times New Roman"/>
          <w:sz w:val="24"/>
          <w:szCs w:val="24"/>
        </w:rPr>
        <w:t>pdating a research IND, a</w:t>
      </w:r>
      <w:r w:rsidRPr="1D9F8250" w:rsidR="11839FBB">
        <w:rPr>
          <w:rFonts w:ascii="Times New Roman" w:hAnsi="Times New Roman"/>
          <w:sz w:val="24"/>
          <w:szCs w:val="24"/>
        </w:rPr>
        <w:t xml:space="preserve"> new </w:t>
      </w:r>
      <w:r w:rsidRPr="1D9F8250" w:rsidR="4CD44F56">
        <w:rPr>
          <w:rFonts w:ascii="Times New Roman" w:hAnsi="Times New Roman"/>
          <w:sz w:val="24"/>
          <w:szCs w:val="24"/>
        </w:rPr>
        <w:t xml:space="preserve">web-based interface </w:t>
      </w:r>
      <w:r w:rsidR="008E2865">
        <w:rPr>
          <w:rFonts w:ascii="Times New Roman" w:hAnsi="Times New Roman"/>
          <w:sz w:val="24"/>
          <w:szCs w:val="24"/>
        </w:rPr>
        <w:t xml:space="preserve">will be </w:t>
      </w:r>
      <w:r w:rsidRPr="1D9F8250" w:rsidR="4CD44F56">
        <w:rPr>
          <w:rFonts w:ascii="Times New Roman" w:hAnsi="Times New Roman"/>
          <w:sz w:val="24"/>
          <w:szCs w:val="24"/>
        </w:rPr>
        <w:t>available on a mobile device or desktop to</w:t>
      </w:r>
      <w:r w:rsidRPr="1D9F8250" w:rsidR="11839FBB">
        <w:rPr>
          <w:rFonts w:ascii="Times New Roman" w:hAnsi="Times New Roman"/>
          <w:sz w:val="24"/>
          <w:szCs w:val="24"/>
        </w:rPr>
        <w:t xml:space="preserve"> </w:t>
      </w:r>
      <w:r w:rsidR="008E2865">
        <w:rPr>
          <w:rFonts w:ascii="Times New Roman" w:hAnsi="Times New Roman"/>
          <w:sz w:val="24"/>
          <w:szCs w:val="24"/>
        </w:rPr>
        <w:t>help</w:t>
      </w:r>
      <w:r w:rsidRPr="1D9F8250" w:rsidR="11839FBB">
        <w:rPr>
          <w:rFonts w:ascii="Times New Roman" w:hAnsi="Times New Roman"/>
          <w:sz w:val="24"/>
          <w:szCs w:val="24"/>
        </w:rPr>
        <w:t xml:space="preserve"> </w:t>
      </w:r>
      <w:r w:rsidR="001C3A26">
        <w:rPr>
          <w:rFonts w:ascii="Times New Roman" w:hAnsi="Times New Roman"/>
          <w:sz w:val="24"/>
          <w:szCs w:val="24"/>
        </w:rPr>
        <w:t>sponsor</w:t>
      </w:r>
      <w:r w:rsidR="00A71166">
        <w:rPr>
          <w:rFonts w:ascii="Times New Roman" w:hAnsi="Times New Roman"/>
          <w:sz w:val="24"/>
          <w:szCs w:val="24"/>
        </w:rPr>
        <w:t>s</w:t>
      </w:r>
      <w:r w:rsidR="001C3A26">
        <w:rPr>
          <w:rFonts w:ascii="Times New Roman" w:hAnsi="Times New Roman"/>
          <w:sz w:val="24"/>
          <w:szCs w:val="24"/>
        </w:rPr>
        <w:t xml:space="preserve"> </w:t>
      </w:r>
      <w:r w:rsidRPr="1D9F8250" w:rsidR="11839FBB">
        <w:rPr>
          <w:rFonts w:ascii="Times New Roman" w:hAnsi="Times New Roman"/>
          <w:sz w:val="24"/>
          <w:szCs w:val="24"/>
        </w:rPr>
        <w:t xml:space="preserve">fill out Form </w:t>
      </w:r>
      <w:r w:rsidR="008E2865">
        <w:rPr>
          <w:rFonts w:ascii="Times New Roman" w:hAnsi="Times New Roman"/>
          <w:sz w:val="24"/>
          <w:szCs w:val="24"/>
        </w:rPr>
        <w:t xml:space="preserve">FDA </w:t>
      </w:r>
      <w:r w:rsidR="001C3A26">
        <w:rPr>
          <w:rFonts w:ascii="Times New Roman" w:hAnsi="Times New Roman"/>
          <w:sz w:val="24"/>
          <w:szCs w:val="24"/>
        </w:rPr>
        <w:t>1571</w:t>
      </w:r>
      <w:r w:rsidRPr="1D9F8250" w:rsidR="4CD44F56">
        <w:rPr>
          <w:rFonts w:ascii="Times New Roman" w:hAnsi="Times New Roman"/>
          <w:sz w:val="24"/>
          <w:szCs w:val="24"/>
        </w:rPr>
        <w:t xml:space="preserve">.  The </w:t>
      </w:r>
      <w:r w:rsidR="00103F22">
        <w:rPr>
          <w:rFonts w:ascii="Times New Roman" w:hAnsi="Times New Roman"/>
          <w:sz w:val="24"/>
          <w:szCs w:val="24"/>
        </w:rPr>
        <w:t>web-based interface</w:t>
      </w:r>
      <w:r w:rsidRPr="1D9F8250" w:rsidR="4CD44F56">
        <w:rPr>
          <w:rFonts w:ascii="Times New Roman" w:hAnsi="Times New Roman"/>
          <w:sz w:val="24"/>
          <w:szCs w:val="24"/>
        </w:rPr>
        <w:t xml:space="preserve"> will also allow </w:t>
      </w:r>
      <w:r w:rsidR="00103F22">
        <w:rPr>
          <w:rFonts w:ascii="Times New Roman" w:hAnsi="Times New Roman"/>
          <w:sz w:val="24"/>
          <w:szCs w:val="24"/>
        </w:rPr>
        <w:t>sponsors</w:t>
      </w:r>
      <w:r w:rsidRPr="1D9F8250" w:rsidR="00103F22">
        <w:rPr>
          <w:rFonts w:ascii="Times New Roman" w:hAnsi="Times New Roman"/>
          <w:sz w:val="24"/>
          <w:szCs w:val="24"/>
        </w:rPr>
        <w:t xml:space="preserve"> </w:t>
      </w:r>
      <w:r w:rsidRPr="1D9F8250" w:rsidR="4CD44F56">
        <w:rPr>
          <w:rFonts w:ascii="Times New Roman" w:hAnsi="Times New Roman"/>
          <w:sz w:val="24"/>
          <w:szCs w:val="24"/>
        </w:rPr>
        <w:t xml:space="preserve">to </w:t>
      </w:r>
      <w:r w:rsidR="00DA2DD2">
        <w:rPr>
          <w:rFonts w:ascii="Times New Roman" w:hAnsi="Times New Roman"/>
          <w:sz w:val="24"/>
          <w:szCs w:val="24"/>
        </w:rPr>
        <w:t xml:space="preserve">electronically </w:t>
      </w:r>
      <w:r w:rsidR="001A1CBD">
        <w:rPr>
          <w:rFonts w:ascii="Times New Roman" w:hAnsi="Times New Roman"/>
          <w:sz w:val="24"/>
          <w:szCs w:val="24"/>
        </w:rPr>
        <w:t xml:space="preserve">submit </w:t>
      </w:r>
      <w:r w:rsidR="00521C92">
        <w:rPr>
          <w:rFonts w:ascii="Times New Roman" w:hAnsi="Times New Roman"/>
          <w:sz w:val="24"/>
          <w:szCs w:val="24"/>
        </w:rPr>
        <w:t>the completed Form FDA 1571 and</w:t>
      </w:r>
      <w:r w:rsidR="001A1CBD">
        <w:rPr>
          <w:rFonts w:ascii="Times New Roman" w:hAnsi="Times New Roman"/>
          <w:sz w:val="24"/>
          <w:szCs w:val="24"/>
        </w:rPr>
        <w:t xml:space="preserve"> </w:t>
      </w:r>
      <w:r w:rsidR="00A71166">
        <w:rPr>
          <w:rFonts w:ascii="Times New Roman" w:hAnsi="Times New Roman"/>
          <w:sz w:val="24"/>
          <w:szCs w:val="24"/>
        </w:rPr>
        <w:t>associated files</w:t>
      </w:r>
      <w:r w:rsidR="00A84750">
        <w:rPr>
          <w:rFonts w:ascii="Times New Roman" w:hAnsi="Times New Roman"/>
          <w:sz w:val="24"/>
          <w:szCs w:val="24"/>
        </w:rPr>
        <w:t xml:space="preserve">.  </w:t>
      </w:r>
    </w:p>
    <w:p w:rsidR="00780721" w:rsidP="00780721" w:rsidRDefault="008A34C3" w14:paraId="0B0E7411" w14:textId="77777777">
      <w:pPr>
        <w:spacing w:line="240" w:lineRule="auto"/>
        <w:rPr>
          <w:rFonts w:ascii="Times New Roman" w:hAnsi="Times New Roman"/>
          <w:sz w:val="24"/>
          <w:szCs w:val="24"/>
        </w:rPr>
      </w:pPr>
      <w:r>
        <w:rPr>
          <w:rFonts w:ascii="Times New Roman" w:hAnsi="Times New Roman"/>
          <w:sz w:val="24"/>
          <w:szCs w:val="24"/>
        </w:rPr>
        <w:t xml:space="preserve">The information being collected is described in 21 CFR </w:t>
      </w:r>
      <w:r w:rsidR="00655133">
        <w:rPr>
          <w:rFonts w:ascii="Times New Roman" w:hAnsi="Times New Roman"/>
          <w:sz w:val="24"/>
          <w:szCs w:val="24"/>
        </w:rPr>
        <w:t>312.23 (a) through (f)</w:t>
      </w:r>
      <w:r w:rsidR="00383720">
        <w:rPr>
          <w:rFonts w:ascii="Times New Roman" w:hAnsi="Times New Roman"/>
          <w:sz w:val="24"/>
          <w:szCs w:val="24"/>
        </w:rPr>
        <w:t xml:space="preserve"> and </w:t>
      </w:r>
      <w:r>
        <w:rPr>
          <w:rFonts w:ascii="Times New Roman" w:hAnsi="Times New Roman"/>
          <w:sz w:val="24"/>
          <w:szCs w:val="24"/>
        </w:rPr>
        <w:t xml:space="preserve">on Form FDA </w:t>
      </w:r>
      <w:r w:rsidR="00383720">
        <w:rPr>
          <w:rFonts w:ascii="Times New Roman" w:hAnsi="Times New Roman"/>
          <w:sz w:val="24"/>
          <w:szCs w:val="24"/>
        </w:rPr>
        <w:t>1571</w:t>
      </w:r>
      <w:r w:rsidR="00895FBC">
        <w:rPr>
          <w:rFonts w:ascii="Times New Roman" w:hAnsi="Times New Roman"/>
          <w:sz w:val="24"/>
          <w:szCs w:val="24"/>
        </w:rPr>
        <w:t>,</w:t>
      </w:r>
      <w:r>
        <w:rPr>
          <w:rFonts w:ascii="Times New Roman" w:hAnsi="Times New Roman"/>
          <w:sz w:val="24"/>
          <w:szCs w:val="24"/>
        </w:rPr>
        <w:t xml:space="preserve"> and will </w:t>
      </w:r>
      <w:r w:rsidR="00194A50">
        <w:rPr>
          <w:rFonts w:ascii="Times New Roman" w:hAnsi="Times New Roman"/>
          <w:sz w:val="24"/>
          <w:szCs w:val="24"/>
        </w:rPr>
        <w:t>be</w:t>
      </w:r>
      <w:r w:rsidR="00E60246">
        <w:rPr>
          <w:rFonts w:ascii="Times New Roman" w:hAnsi="Times New Roman"/>
          <w:sz w:val="24"/>
          <w:szCs w:val="24"/>
        </w:rPr>
        <w:t xml:space="preserve"> </w:t>
      </w:r>
      <w:r>
        <w:rPr>
          <w:rFonts w:ascii="Times New Roman" w:hAnsi="Times New Roman"/>
          <w:sz w:val="24"/>
          <w:szCs w:val="24"/>
        </w:rPr>
        <w:t xml:space="preserve">submitted to FDA </w:t>
      </w:r>
      <w:r w:rsidR="00194A50">
        <w:rPr>
          <w:rFonts w:ascii="Times New Roman" w:hAnsi="Times New Roman"/>
          <w:sz w:val="24"/>
          <w:szCs w:val="24"/>
        </w:rPr>
        <w:t xml:space="preserve">through </w:t>
      </w:r>
      <w:r>
        <w:rPr>
          <w:rFonts w:ascii="Times New Roman" w:hAnsi="Times New Roman"/>
          <w:sz w:val="24"/>
          <w:szCs w:val="24"/>
        </w:rPr>
        <w:t xml:space="preserve">a </w:t>
      </w:r>
      <w:r w:rsidR="00194A50">
        <w:rPr>
          <w:rFonts w:ascii="Times New Roman" w:hAnsi="Times New Roman"/>
          <w:sz w:val="24"/>
          <w:szCs w:val="24"/>
        </w:rPr>
        <w:t>new</w:t>
      </w:r>
      <w:r>
        <w:rPr>
          <w:rFonts w:ascii="Times New Roman" w:hAnsi="Times New Roman"/>
          <w:sz w:val="24"/>
          <w:szCs w:val="24"/>
        </w:rPr>
        <w:t>, secure</w:t>
      </w:r>
      <w:r w:rsidR="00194A50">
        <w:rPr>
          <w:rFonts w:ascii="Times New Roman" w:hAnsi="Times New Roman"/>
          <w:sz w:val="24"/>
          <w:szCs w:val="24"/>
        </w:rPr>
        <w:t xml:space="preserve"> web-based interface</w:t>
      </w:r>
      <w:r w:rsidRPr="1D9F8250" w:rsidR="149F2164">
        <w:rPr>
          <w:rFonts w:ascii="Times New Roman" w:hAnsi="Times New Roman"/>
          <w:sz w:val="24"/>
          <w:szCs w:val="24"/>
        </w:rPr>
        <w:t xml:space="preserve">.  </w:t>
      </w:r>
      <w:r w:rsidRPr="1D9F8250" w:rsidR="4CD44F56">
        <w:rPr>
          <w:rFonts w:ascii="Times New Roman" w:hAnsi="Times New Roman"/>
          <w:sz w:val="24"/>
          <w:szCs w:val="24"/>
        </w:rPr>
        <w:t xml:space="preserve">Use of this </w:t>
      </w:r>
      <w:r w:rsidRPr="1D9F8250" w:rsidR="1418B9F4">
        <w:rPr>
          <w:rFonts w:ascii="Times New Roman" w:hAnsi="Times New Roman"/>
          <w:sz w:val="24"/>
          <w:szCs w:val="24"/>
        </w:rPr>
        <w:t xml:space="preserve">web-based </w:t>
      </w:r>
      <w:r>
        <w:rPr>
          <w:rFonts w:ascii="Times New Roman" w:hAnsi="Times New Roman"/>
          <w:sz w:val="24"/>
          <w:szCs w:val="24"/>
        </w:rPr>
        <w:t xml:space="preserve">submission </w:t>
      </w:r>
      <w:r w:rsidRPr="1D9F8250" w:rsidR="4CD44F56">
        <w:rPr>
          <w:rFonts w:ascii="Times New Roman" w:hAnsi="Times New Roman"/>
          <w:sz w:val="24"/>
          <w:szCs w:val="24"/>
        </w:rPr>
        <w:t>is voluntary</w:t>
      </w:r>
      <w:r w:rsidRPr="1D9F8250" w:rsidR="123F8407">
        <w:rPr>
          <w:rFonts w:ascii="Times New Roman" w:hAnsi="Times New Roman"/>
          <w:sz w:val="24"/>
          <w:szCs w:val="24"/>
        </w:rPr>
        <w:t xml:space="preserve">, and </w:t>
      </w:r>
      <w:r>
        <w:rPr>
          <w:rFonts w:ascii="Times New Roman" w:hAnsi="Times New Roman"/>
          <w:sz w:val="24"/>
          <w:szCs w:val="24"/>
        </w:rPr>
        <w:t xml:space="preserve">respondents may </w:t>
      </w:r>
      <w:r w:rsidR="001A1CBD">
        <w:rPr>
          <w:rFonts w:ascii="Times New Roman" w:hAnsi="Times New Roman"/>
          <w:sz w:val="24"/>
          <w:szCs w:val="24"/>
        </w:rPr>
        <w:t xml:space="preserve">still </w:t>
      </w:r>
      <w:r>
        <w:rPr>
          <w:rFonts w:ascii="Times New Roman" w:hAnsi="Times New Roman"/>
          <w:sz w:val="24"/>
          <w:szCs w:val="24"/>
        </w:rPr>
        <w:t xml:space="preserve">elect to use a </w:t>
      </w:r>
      <w:r w:rsidRPr="1D9F8250" w:rsidR="123F8407">
        <w:rPr>
          <w:rFonts w:ascii="Times New Roman" w:hAnsi="Times New Roman"/>
          <w:sz w:val="24"/>
          <w:szCs w:val="24"/>
        </w:rPr>
        <w:t xml:space="preserve">fillable PDF version of </w:t>
      </w:r>
      <w:r w:rsidR="008E2865">
        <w:rPr>
          <w:rFonts w:ascii="Times New Roman" w:hAnsi="Times New Roman"/>
          <w:sz w:val="24"/>
          <w:szCs w:val="24"/>
        </w:rPr>
        <w:t>F</w:t>
      </w:r>
      <w:r w:rsidRPr="1D9F8250" w:rsidR="123F8407">
        <w:rPr>
          <w:rFonts w:ascii="Times New Roman" w:hAnsi="Times New Roman"/>
          <w:sz w:val="24"/>
          <w:szCs w:val="24"/>
        </w:rPr>
        <w:t xml:space="preserve">orm FDA </w:t>
      </w:r>
      <w:r w:rsidR="001A1CBD">
        <w:rPr>
          <w:rFonts w:ascii="Times New Roman" w:hAnsi="Times New Roman"/>
          <w:sz w:val="24"/>
          <w:szCs w:val="24"/>
        </w:rPr>
        <w:t>1571</w:t>
      </w:r>
      <w:r>
        <w:rPr>
          <w:rFonts w:ascii="Times New Roman" w:hAnsi="Times New Roman"/>
          <w:sz w:val="24"/>
          <w:szCs w:val="24"/>
        </w:rPr>
        <w:t xml:space="preserve">, </w:t>
      </w:r>
      <w:r w:rsidRPr="1D9F8250" w:rsidR="123F8407">
        <w:rPr>
          <w:rFonts w:ascii="Times New Roman" w:hAnsi="Times New Roman"/>
          <w:sz w:val="24"/>
          <w:szCs w:val="24"/>
        </w:rPr>
        <w:t>submitt</w:t>
      </w:r>
      <w:r>
        <w:rPr>
          <w:rFonts w:ascii="Times New Roman" w:hAnsi="Times New Roman"/>
          <w:sz w:val="24"/>
          <w:szCs w:val="24"/>
        </w:rPr>
        <w:t>ed</w:t>
      </w:r>
      <w:r w:rsidRPr="1D9F8250" w:rsidR="123F8407">
        <w:rPr>
          <w:rFonts w:ascii="Times New Roman" w:hAnsi="Times New Roman"/>
          <w:sz w:val="24"/>
          <w:szCs w:val="24"/>
        </w:rPr>
        <w:t xml:space="preserve"> via mail, email, or fa</w:t>
      </w:r>
      <w:r>
        <w:rPr>
          <w:rFonts w:ascii="Times New Roman" w:hAnsi="Times New Roman"/>
          <w:sz w:val="24"/>
          <w:szCs w:val="24"/>
        </w:rPr>
        <w:t>x</w:t>
      </w:r>
      <w:r w:rsidRPr="1D9F8250" w:rsidR="4CD44F56">
        <w:rPr>
          <w:rFonts w:ascii="Times New Roman" w:hAnsi="Times New Roman"/>
          <w:sz w:val="24"/>
          <w:szCs w:val="24"/>
        </w:rPr>
        <w:t xml:space="preserve">.  </w:t>
      </w:r>
      <w:r>
        <w:rPr>
          <w:rFonts w:ascii="Times New Roman" w:hAnsi="Times New Roman"/>
          <w:sz w:val="24"/>
          <w:szCs w:val="24"/>
        </w:rPr>
        <w:t xml:space="preserve">We believe the </w:t>
      </w:r>
      <w:r w:rsidRPr="1D9F8250" w:rsidR="1E20B872">
        <w:rPr>
          <w:rFonts w:ascii="Times New Roman" w:hAnsi="Times New Roman"/>
          <w:sz w:val="24"/>
          <w:szCs w:val="24"/>
        </w:rPr>
        <w:t xml:space="preserve">web-based </w:t>
      </w:r>
      <w:r>
        <w:rPr>
          <w:rFonts w:ascii="Times New Roman" w:hAnsi="Times New Roman"/>
          <w:sz w:val="24"/>
          <w:szCs w:val="24"/>
        </w:rPr>
        <w:t xml:space="preserve">collection </w:t>
      </w:r>
      <w:r w:rsidRPr="1D9F8250" w:rsidR="149F2164">
        <w:rPr>
          <w:rFonts w:ascii="Times New Roman" w:hAnsi="Times New Roman"/>
          <w:sz w:val="24"/>
          <w:szCs w:val="24"/>
        </w:rPr>
        <w:t xml:space="preserve">method </w:t>
      </w:r>
      <w:r>
        <w:rPr>
          <w:rFonts w:ascii="Times New Roman" w:hAnsi="Times New Roman"/>
          <w:sz w:val="24"/>
          <w:szCs w:val="24"/>
        </w:rPr>
        <w:t xml:space="preserve">will enhance user experience with data submission to FDA and will help improve agency efficiencies.  At the same time, we have made no adjustment to the currently estimated burden for the information collection at this time.  Upon </w:t>
      </w:r>
      <w:r w:rsidR="000719ED">
        <w:rPr>
          <w:rFonts w:ascii="Times New Roman" w:hAnsi="Times New Roman"/>
          <w:sz w:val="24"/>
          <w:szCs w:val="24"/>
        </w:rPr>
        <w:t xml:space="preserve">later </w:t>
      </w:r>
      <w:r>
        <w:rPr>
          <w:rFonts w:ascii="Times New Roman" w:hAnsi="Times New Roman"/>
          <w:sz w:val="24"/>
          <w:szCs w:val="24"/>
        </w:rPr>
        <w:t>evaluation we will modify our estimate as appropriate</w:t>
      </w:r>
      <w:r w:rsidR="00780721">
        <w:rPr>
          <w:rFonts w:ascii="Times New Roman" w:hAnsi="Times New Roman"/>
          <w:sz w:val="24"/>
          <w:szCs w:val="24"/>
        </w:rPr>
        <w:t>.  S</w:t>
      </w:r>
      <w:r w:rsidRPr="005F47D8" w:rsidR="002B0F1F">
        <w:rPr>
          <w:rFonts w:ascii="Times New Roman" w:hAnsi="Times New Roman"/>
          <w:sz w:val="24"/>
          <w:szCs w:val="24"/>
        </w:rPr>
        <w:t xml:space="preserve">creenshots for the interface </w:t>
      </w:r>
      <w:r w:rsidR="00780721">
        <w:rPr>
          <w:rFonts w:ascii="Times New Roman" w:hAnsi="Times New Roman"/>
          <w:sz w:val="24"/>
          <w:szCs w:val="24"/>
        </w:rPr>
        <w:t xml:space="preserve">are included </w:t>
      </w:r>
      <w:r w:rsidRPr="005F47D8" w:rsidR="002B0F1F">
        <w:rPr>
          <w:rFonts w:ascii="Times New Roman" w:hAnsi="Times New Roman"/>
          <w:sz w:val="24"/>
          <w:szCs w:val="24"/>
        </w:rPr>
        <w:t>below.</w:t>
      </w:r>
    </w:p>
    <w:p w:rsidRPr="00780721" w:rsidR="002E557C" w:rsidP="00780721" w:rsidRDefault="00780721" w14:paraId="7640F953" w14:textId="16B405B2">
      <w:pPr>
        <w:spacing w:line="240" w:lineRule="auto"/>
        <w:rPr>
          <w:rFonts w:ascii="Times New Roman" w:hAnsi="Times New Roman"/>
          <w:b/>
          <w:sz w:val="24"/>
          <w:szCs w:val="24"/>
        </w:rPr>
      </w:pPr>
      <w:r w:rsidRPr="00780721">
        <w:rPr>
          <w:rFonts w:ascii="Times New Roman" w:hAnsi="Times New Roman"/>
          <w:b/>
          <w:sz w:val="24"/>
          <w:szCs w:val="24"/>
        </w:rPr>
        <w:t>Submitted:  March 2021</w:t>
      </w:r>
      <w:r w:rsidRPr="00780721" w:rsidR="002B0F1F">
        <w:rPr>
          <w:rFonts w:ascii="Times New Roman" w:hAnsi="Times New Roman"/>
          <w:b/>
          <w:sz w:val="24"/>
          <w:szCs w:val="24"/>
        </w:rPr>
        <w:t xml:space="preserve"> </w:t>
      </w:r>
      <w:bookmarkStart w:name="_GoBack" w:id="0"/>
      <w:bookmarkEnd w:id="0"/>
    </w:p>
    <w:p w:rsidR="002E557C" w:rsidP="00CC2DD7" w:rsidRDefault="002E557C" w14:paraId="50A2D375" w14:textId="47EAB2BC">
      <w:pPr>
        <w:tabs>
          <w:tab w:val="left" w:pos="3672"/>
        </w:tabs>
        <w:spacing w:line="240" w:lineRule="auto"/>
        <w:jc w:val="center"/>
        <w:rPr>
          <w:rFonts w:ascii="Times New Roman" w:hAnsi="Times New Roman"/>
          <w:sz w:val="24"/>
        </w:rPr>
      </w:pPr>
      <w:r>
        <w:rPr>
          <w:rFonts w:ascii="Times New Roman" w:hAnsi="Times New Roman"/>
          <w:noProof/>
          <w:sz w:val="24"/>
          <w:szCs w:val="24"/>
        </w:rPr>
        <w:lastRenderedPageBreak/>
        <w:drawing>
          <wp:inline distT="0" distB="0" distL="0" distR="0" wp14:anchorId="2A3E5BD0" wp14:editId="6EC1E7E9">
            <wp:extent cx="6503933" cy="8855682"/>
            <wp:effectExtent l="133350" t="152400" r="106680" b="155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5149" cy="8911802"/>
                    </a:xfrm>
                    <a:prstGeom prst="rect">
                      <a:avLst/>
                    </a:prstGeom>
                    <a:noFill/>
                    <a:ln>
                      <a:noFill/>
                    </a:ln>
                    <a:effectLst>
                      <a:outerShdw blurRad="63500" sx="102000" sy="102000" algn="ctr" rotWithShape="0">
                        <a:srgbClr val="0070C0">
                          <a:alpha val="40000"/>
                        </a:srgbClr>
                      </a:outerShdw>
                      <a:softEdge rad="12700"/>
                    </a:effectLst>
                  </pic:spPr>
                </pic:pic>
              </a:graphicData>
            </a:graphic>
          </wp:inline>
        </w:drawing>
      </w:r>
    </w:p>
    <w:p w:rsidR="00EA2273" w:rsidP="00CC2DD7" w:rsidRDefault="00EA2273" w14:paraId="11D7A87F" w14:textId="31700F9A">
      <w:pPr>
        <w:tabs>
          <w:tab w:val="left" w:pos="3672"/>
        </w:tabs>
        <w:spacing w:line="240" w:lineRule="auto"/>
        <w:jc w:val="center"/>
        <w:rPr>
          <w:rFonts w:ascii="Times New Roman" w:hAnsi="Times New Roman"/>
          <w:sz w:val="24"/>
        </w:rPr>
      </w:pPr>
      <w:r>
        <w:rPr>
          <w:rFonts w:ascii="Times New Roman" w:hAnsi="Times New Roman"/>
          <w:b/>
          <w:noProof/>
          <w:sz w:val="24"/>
        </w:rPr>
        <w:lastRenderedPageBreak/>
        <w:drawing>
          <wp:inline distT="0" distB="0" distL="0" distR="0" wp14:anchorId="331360A3" wp14:editId="526E153C">
            <wp:extent cx="6507217" cy="8698093"/>
            <wp:effectExtent l="133350" t="152400" r="141605" b="160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5594" cy="8736024"/>
                    </a:xfrm>
                    <a:prstGeom prst="rect">
                      <a:avLst/>
                    </a:prstGeom>
                    <a:noFill/>
                    <a:ln>
                      <a:noFill/>
                    </a:ln>
                    <a:effectLst>
                      <a:outerShdw blurRad="63500" sx="102000" sy="102000" algn="ctr" rotWithShape="0">
                        <a:srgbClr val="0070C0">
                          <a:alpha val="40000"/>
                        </a:srgbClr>
                      </a:outerShdw>
                    </a:effectLst>
                  </pic:spPr>
                </pic:pic>
              </a:graphicData>
            </a:graphic>
          </wp:inline>
        </w:drawing>
      </w:r>
    </w:p>
    <w:p w:rsidRPr="003A47E9" w:rsidR="009D0043" w:rsidP="00CC2DD7" w:rsidRDefault="002E557C" w14:paraId="5FC1DC5B" w14:textId="66324007">
      <w:pPr>
        <w:spacing w:after="0" w:line="240" w:lineRule="auto"/>
        <w:jc w:val="center"/>
        <w:rPr>
          <w:rFonts w:ascii="Bookman Old Style" w:hAnsi="Bookman Old Style" w:eastAsia="Times New Roman"/>
          <w:b/>
        </w:rPr>
      </w:pPr>
      <w:r>
        <w:rPr>
          <w:rFonts w:ascii="Bookman Old Style" w:hAnsi="Bookman Old Style" w:eastAsia="Times New Roman"/>
          <w:b/>
          <w:noProof/>
        </w:rPr>
        <w:lastRenderedPageBreak/>
        <w:drawing>
          <wp:inline distT="0" distB="0" distL="0" distR="0" wp14:anchorId="06BFF63D" wp14:editId="0F18605B">
            <wp:extent cx="6519698" cy="8722758"/>
            <wp:effectExtent l="133350" t="152400" r="128905" b="154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4934" cy="8769901"/>
                    </a:xfrm>
                    <a:prstGeom prst="rect">
                      <a:avLst/>
                    </a:prstGeom>
                    <a:noFill/>
                    <a:ln>
                      <a:noFill/>
                    </a:ln>
                    <a:effectLst>
                      <a:outerShdw blurRad="63500" sx="102000" sy="102000" algn="ctr" rotWithShape="0">
                        <a:srgbClr val="0070C0">
                          <a:alpha val="40000"/>
                        </a:srgbClr>
                      </a:outerShdw>
                    </a:effectLst>
                  </pic:spPr>
                </pic:pic>
              </a:graphicData>
            </a:graphic>
          </wp:inline>
        </w:drawing>
      </w:r>
    </w:p>
    <w:p w:rsidR="002E557C" w:rsidP="00CC2DD7" w:rsidRDefault="002E557C" w14:paraId="18B1778C" w14:textId="60667D7C">
      <w:pPr>
        <w:spacing w:line="240" w:lineRule="auto"/>
        <w:jc w:val="center"/>
        <w:rPr>
          <w:rFonts w:ascii="Times New Roman" w:hAnsi="Times New Roman"/>
          <w:b/>
          <w:sz w:val="24"/>
        </w:rPr>
      </w:pPr>
      <w:r>
        <w:rPr>
          <w:rFonts w:ascii="Times New Roman" w:hAnsi="Times New Roman"/>
          <w:b/>
          <w:noProof/>
          <w:sz w:val="24"/>
        </w:rPr>
        <w:lastRenderedPageBreak/>
        <w:drawing>
          <wp:inline distT="0" distB="0" distL="0" distR="0" wp14:anchorId="61F9E063" wp14:editId="3BCC9550">
            <wp:extent cx="6537916" cy="8770883"/>
            <wp:effectExtent l="133350" t="152400" r="130175" b="144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81275" cy="8829051"/>
                    </a:xfrm>
                    <a:prstGeom prst="rect">
                      <a:avLst/>
                    </a:prstGeom>
                    <a:noFill/>
                    <a:ln>
                      <a:noFill/>
                    </a:ln>
                    <a:effectLst>
                      <a:outerShdw blurRad="63500" sx="102000" sy="102000" algn="ctr" rotWithShape="0">
                        <a:srgbClr val="0070C0">
                          <a:alpha val="40000"/>
                        </a:srgbClr>
                      </a:outerShdw>
                    </a:effectLst>
                  </pic:spPr>
                </pic:pic>
              </a:graphicData>
            </a:graphic>
          </wp:inline>
        </w:drawing>
      </w:r>
    </w:p>
    <w:p w:rsidR="00C73A88" w:rsidP="00CC2DD7" w:rsidRDefault="002E557C" w14:paraId="03E4E9E5" w14:textId="6D6B4BC8">
      <w:pPr>
        <w:spacing w:line="240" w:lineRule="auto"/>
        <w:jc w:val="center"/>
        <w:rPr>
          <w:rFonts w:ascii="Times New Roman" w:hAnsi="Times New Roman"/>
          <w:b/>
          <w:sz w:val="24"/>
        </w:rPr>
      </w:pPr>
      <w:r>
        <w:rPr>
          <w:rFonts w:ascii="Times New Roman" w:hAnsi="Times New Roman"/>
          <w:b/>
          <w:noProof/>
          <w:sz w:val="24"/>
        </w:rPr>
        <w:lastRenderedPageBreak/>
        <w:drawing>
          <wp:inline distT="0" distB="0" distL="0" distR="0" wp14:anchorId="7F7A3C5A" wp14:editId="54211640">
            <wp:extent cx="6534150" cy="8818179"/>
            <wp:effectExtent l="133350" t="152400" r="133350" b="154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5435" cy="8887391"/>
                    </a:xfrm>
                    <a:prstGeom prst="rect">
                      <a:avLst/>
                    </a:prstGeom>
                    <a:noFill/>
                    <a:ln>
                      <a:noFill/>
                    </a:ln>
                    <a:effectLst>
                      <a:outerShdw blurRad="63500" sx="102000" sy="102000" algn="ctr" rotWithShape="0">
                        <a:srgbClr val="0070C0">
                          <a:alpha val="40000"/>
                        </a:srgbClr>
                      </a:outerShdw>
                    </a:effectLst>
                  </pic:spPr>
                </pic:pic>
              </a:graphicData>
            </a:graphic>
          </wp:inline>
        </w:drawing>
      </w:r>
    </w:p>
    <w:p w:rsidR="002E557C" w:rsidP="00CC2DD7" w:rsidRDefault="002E557C" w14:paraId="04A4ADA3" w14:textId="460A2D00">
      <w:pPr>
        <w:spacing w:line="240" w:lineRule="auto"/>
        <w:jc w:val="center"/>
        <w:rPr>
          <w:rFonts w:ascii="Times New Roman" w:hAnsi="Times New Roman"/>
          <w:b/>
          <w:sz w:val="24"/>
        </w:rPr>
      </w:pPr>
      <w:r>
        <w:rPr>
          <w:rFonts w:ascii="Times New Roman" w:hAnsi="Times New Roman"/>
          <w:b/>
          <w:noProof/>
          <w:sz w:val="24"/>
        </w:rPr>
        <w:lastRenderedPageBreak/>
        <w:drawing>
          <wp:inline distT="0" distB="0" distL="0" distR="0" wp14:anchorId="099B784D" wp14:editId="090B8B7F">
            <wp:extent cx="6554231" cy="8789933"/>
            <wp:effectExtent l="133350" t="152400" r="132715" b="144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9542" cy="8904344"/>
                    </a:xfrm>
                    <a:prstGeom prst="rect">
                      <a:avLst/>
                    </a:prstGeom>
                    <a:noFill/>
                    <a:ln>
                      <a:noFill/>
                    </a:ln>
                    <a:effectLst>
                      <a:outerShdw blurRad="63500" sx="102000" sy="102000" algn="ctr" rotWithShape="0">
                        <a:srgbClr val="0070C0">
                          <a:alpha val="40000"/>
                        </a:srgbClr>
                      </a:outerShdw>
                    </a:effectLst>
                  </pic:spPr>
                </pic:pic>
              </a:graphicData>
            </a:graphic>
          </wp:inline>
        </w:drawing>
      </w:r>
    </w:p>
    <w:p w:rsidR="002E557C" w:rsidP="00CC2DD7" w:rsidRDefault="002E557C" w14:paraId="515B98EA" w14:textId="6EEE1F1D">
      <w:pPr>
        <w:spacing w:line="240" w:lineRule="auto"/>
        <w:jc w:val="center"/>
        <w:rPr>
          <w:rFonts w:ascii="Times New Roman" w:hAnsi="Times New Roman"/>
          <w:b/>
          <w:sz w:val="24"/>
        </w:rPr>
      </w:pPr>
      <w:r>
        <w:rPr>
          <w:rFonts w:ascii="Times New Roman" w:hAnsi="Times New Roman"/>
          <w:b/>
          <w:noProof/>
          <w:sz w:val="24"/>
        </w:rPr>
        <w:lastRenderedPageBreak/>
        <w:drawing>
          <wp:inline distT="0" distB="0" distL="0" distR="0" wp14:anchorId="5A67FDBA" wp14:editId="32E5B857">
            <wp:extent cx="6534557" cy="8808983"/>
            <wp:effectExtent l="133350" t="152400" r="133350" b="144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0422" cy="8870812"/>
                    </a:xfrm>
                    <a:prstGeom prst="rect">
                      <a:avLst/>
                    </a:prstGeom>
                    <a:noFill/>
                    <a:ln>
                      <a:noFill/>
                    </a:ln>
                    <a:effectLst>
                      <a:outerShdw blurRad="63500" sx="102000" sy="102000" algn="ctr" rotWithShape="0">
                        <a:srgbClr val="0070C0">
                          <a:alpha val="40000"/>
                        </a:srgbClr>
                      </a:outerShdw>
                    </a:effectLst>
                  </pic:spPr>
                </pic:pic>
              </a:graphicData>
            </a:graphic>
          </wp:inline>
        </w:drawing>
      </w:r>
    </w:p>
    <w:p w:rsidR="002E557C" w:rsidP="00CC2DD7" w:rsidRDefault="002E557C" w14:paraId="0EE8AF4B" w14:textId="402C7C31">
      <w:pPr>
        <w:spacing w:line="240" w:lineRule="auto"/>
        <w:jc w:val="center"/>
        <w:rPr>
          <w:rFonts w:ascii="Times New Roman" w:hAnsi="Times New Roman"/>
          <w:b/>
          <w:sz w:val="24"/>
        </w:rPr>
      </w:pPr>
      <w:r>
        <w:rPr>
          <w:rFonts w:ascii="Times New Roman" w:hAnsi="Times New Roman"/>
          <w:b/>
          <w:noProof/>
          <w:sz w:val="24"/>
        </w:rPr>
        <w:lastRenderedPageBreak/>
        <w:drawing>
          <wp:inline distT="0" distB="0" distL="0" distR="0" wp14:anchorId="246A8FA6" wp14:editId="2BE07941">
            <wp:extent cx="6522720" cy="8745921"/>
            <wp:effectExtent l="133350" t="152400" r="125730" b="150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42019" cy="8771798"/>
                    </a:xfrm>
                    <a:prstGeom prst="rect">
                      <a:avLst/>
                    </a:prstGeom>
                    <a:noFill/>
                    <a:ln>
                      <a:noFill/>
                    </a:ln>
                    <a:effectLst>
                      <a:outerShdw blurRad="63500" sx="102000" sy="102000" algn="ctr" rotWithShape="0">
                        <a:srgbClr val="0070C0">
                          <a:alpha val="40000"/>
                        </a:srgbClr>
                      </a:outerShdw>
                    </a:effectLst>
                  </pic:spPr>
                </pic:pic>
              </a:graphicData>
            </a:graphic>
          </wp:inline>
        </w:drawing>
      </w:r>
    </w:p>
    <w:p w:rsidR="002E557C" w:rsidP="00CC2DD7" w:rsidRDefault="002E557C" w14:paraId="5C51AFFD" w14:textId="0997B5E3">
      <w:pPr>
        <w:spacing w:line="240" w:lineRule="auto"/>
        <w:jc w:val="center"/>
        <w:rPr>
          <w:rFonts w:ascii="Times New Roman" w:hAnsi="Times New Roman"/>
          <w:b/>
          <w:sz w:val="24"/>
        </w:rPr>
      </w:pPr>
      <w:r>
        <w:rPr>
          <w:rFonts w:ascii="Times New Roman" w:hAnsi="Times New Roman"/>
          <w:b/>
          <w:noProof/>
          <w:sz w:val="24"/>
        </w:rPr>
        <w:lastRenderedPageBreak/>
        <w:drawing>
          <wp:inline distT="0" distB="0" distL="0" distR="0" wp14:anchorId="55D73F3E" wp14:editId="7475C9C4">
            <wp:extent cx="6565947" cy="8837229"/>
            <wp:effectExtent l="133350" t="152400" r="139700" b="154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86324" cy="8864655"/>
                    </a:xfrm>
                    <a:prstGeom prst="rect">
                      <a:avLst/>
                    </a:prstGeom>
                    <a:noFill/>
                    <a:ln>
                      <a:noFill/>
                    </a:ln>
                    <a:effectLst>
                      <a:outerShdw blurRad="63500" sx="102000" sy="102000" algn="ctr" rotWithShape="0">
                        <a:srgbClr val="0070C0">
                          <a:alpha val="40000"/>
                        </a:srgbClr>
                      </a:outerShdw>
                    </a:effectLst>
                  </pic:spPr>
                </pic:pic>
              </a:graphicData>
            </a:graphic>
          </wp:inline>
        </w:drawing>
      </w:r>
    </w:p>
    <w:p w:rsidRPr="00CA3184" w:rsidR="002E557C" w:rsidP="00CC2DD7" w:rsidRDefault="002E557C" w14:paraId="65907F7E" w14:textId="36C00560">
      <w:pPr>
        <w:tabs>
          <w:tab w:val="left" w:pos="3672"/>
        </w:tabs>
        <w:spacing w:line="240" w:lineRule="auto"/>
        <w:rPr>
          <w:rFonts w:ascii="Times New Roman" w:hAnsi="Times New Roman"/>
          <w:sz w:val="24"/>
          <w:szCs w:val="24"/>
        </w:rPr>
      </w:pPr>
      <w:r w:rsidRPr="0B865F4D">
        <w:rPr>
          <w:rFonts w:ascii="Times New Roman" w:hAnsi="Times New Roman"/>
          <w:sz w:val="24"/>
          <w:szCs w:val="24"/>
        </w:rPr>
        <w:lastRenderedPageBreak/>
        <w:t xml:space="preserve">We </w:t>
      </w:r>
      <w:r>
        <w:rPr>
          <w:rFonts w:ascii="Times New Roman" w:hAnsi="Times New Roman"/>
          <w:sz w:val="24"/>
          <w:szCs w:val="24"/>
        </w:rPr>
        <w:t xml:space="preserve">also </w:t>
      </w:r>
      <w:r w:rsidRPr="0B865F4D">
        <w:rPr>
          <w:rFonts w:ascii="Times New Roman" w:hAnsi="Times New Roman"/>
          <w:sz w:val="24"/>
          <w:szCs w:val="24"/>
        </w:rPr>
        <w:t xml:space="preserve">included the screenshots </w:t>
      </w:r>
      <w:r>
        <w:rPr>
          <w:rFonts w:ascii="Times New Roman" w:hAnsi="Times New Roman"/>
          <w:sz w:val="24"/>
          <w:szCs w:val="24"/>
        </w:rPr>
        <w:t xml:space="preserve">of the current FDA form 1571. </w:t>
      </w:r>
    </w:p>
    <w:p w:rsidR="002E557C" w:rsidP="00CC2DD7" w:rsidRDefault="00404A55" w14:paraId="232A55F4" w14:textId="152A0E4B">
      <w:pPr>
        <w:spacing w:line="240" w:lineRule="auto"/>
        <w:jc w:val="center"/>
        <w:rPr>
          <w:rFonts w:ascii="Times New Roman" w:hAnsi="Times New Roman"/>
          <w:b/>
          <w:sz w:val="24"/>
        </w:rPr>
      </w:pPr>
      <w:r>
        <w:rPr>
          <w:rFonts w:ascii="Times New Roman" w:hAnsi="Times New Roman"/>
          <w:noProof/>
          <w:sz w:val="24"/>
          <w:szCs w:val="24"/>
        </w:rPr>
        <w:drawing>
          <wp:inline distT="0" distB="0" distL="0" distR="0" wp14:anchorId="359905CE" wp14:editId="485F05B1">
            <wp:extent cx="5766473" cy="7442200"/>
            <wp:effectExtent l="228600" t="228600" r="234315" b="234950"/>
            <wp:docPr id="12" name="Picture 12" descr="cid:image004.png@01D6D3B8.4920F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6D3B8.4920FC3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766927" cy="7442786"/>
                    </a:xfrm>
                    <a:prstGeom prst="rect">
                      <a:avLst/>
                    </a:prstGeom>
                    <a:noFill/>
                    <a:ln>
                      <a:noFill/>
                    </a:ln>
                    <a:effectLst>
                      <a:glow rad="228600">
                        <a:schemeClr val="accent3">
                          <a:satMod val="175000"/>
                          <a:alpha val="40000"/>
                        </a:schemeClr>
                      </a:glow>
                    </a:effectLst>
                  </pic:spPr>
                </pic:pic>
              </a:graphicData>
            </a:graphic>
          </wp:inline>
        </w:drawing>
      </w:r>
    </w:p>
    <w:p w:rsidR="00404A55" w:rsidP="00CC2DD7" w:rsidRDefault="00404A55" w14:paraId="234CFA75" w14:textId="18A55E7F">
      <w:pPr>
        <w:spacing w:line="240" w:lineRule="auto"/>
        <w:jc w:val="center"/>
        <w:rPr>
          <w:rFonts w:ascii="Times New Roman" w:hAnsi="Times New Roman"/>
          <w:b/>
          <w:sz w:val="24"/>
        </w:rPr>
      </w:pPr>
      <w:r>
        <w:rPr>
          <w:rFonts w:ascii="Times New Roman" w:hAnsi="Times New Roman"/>
          <w:noProof/>
          <w:sz w:val="24"/>
          <w:szCs w:val="24"/>
        </w:rPr>
        <w:lastRenderedPageBreak/>
        <w:drawing>
          <wp:inline distT="0" distB="0" distL="0" distR="0" wp14:anchorId="4AC7D01C" wp14:editId="6BED5C3E">
            <wp:extent cx="5943600" cy="7681595"/>
            <wp:effectExtent l="228600" t="228600" r="228600" b="224155"/>
            <wp:docPr id="13" name="Picture 13" descr="cid:image005.png@01D6D3B8.4920F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6D3B8.4920FC3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943600" cy="7681595"/>
                    </a:xfrm>
                    <a:prstGeom prst="rect">
                      <a:avLst/>
                    </a:prstGeom>
                    <a:noFill/>
                    <a:ln>
                      <a:noFill/>
                    </a:ln>
                    <a:effectLst>
                      <a:glow rad="228600">
                        <a:schemeClr val="accent3">
                          <a:satMod val="175000"/>
                          <a:alpha val="40000"/>
                        </a:schemeClr>
                      </a:glow>
                    </a:effectLst>
                  </pic:spPr>
                </pic:pic>
              </a:graphicData>
            </a:graphic>
          </wp:inline>
        </w:drawing>
      </w:r>
    </w:p>
    <w:p w:rsidRPr="004F37E2" w:rsidR="00404A55" w:rsidP="00CC2DD7" w:rsidRDefault="00404A55" w14:paraId="444C2506" w14:textId="039D533F">
      <w:pPr>
        <w:spacing w:line="240" w:lineRule="auto"/>
        <w:jc w:val="center"/>
        <w:rPr>
          <w:rFonts w:ascii="Times New Roman" w:hAnsi="Times New Roman"/>
          <w:b/>
          <w:sz w:val="24"/>
        </w:rPr>
      </w:pPr>
      <w:r>
        <w:rPr>
          <w:rFonts w:ascii="Times New Roman" w:hAnsi="Times New Roman"/>
          <w:noProof/>
          <w:sz w:val="24"/>
          <w:szCs w:val="24"/>
        </w:rPr>
        <w:lastRenderedPageBreak/>
        <w:drawing>
          <wp:inline distT="0" distB="0" distL="0" distR="0" wp14:anchorId="6840DF4D" wp14:editId="60AAEF26">
            <wp:extent cx="5943600" cy="7677785"/>
            <wp:effectExtent l="228600" t="228600" r="228600" b="227965"/>
            <wp:docPr id="14" name="Picture 14" descr="cid:image006.png@01D6D3B8.4920F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png@01D6D3B8.4920FC3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943600" cy="7677785"/>
                    </a:xfrm>
                    <a:prstGeom prst="rect">
                      <a:avLst/>
                    </a:prstGeom>
                    <a:noFill/>
                    <a:ln>
                      <a:noFill/>
                    </a:ln>
                    <a:effectLst>
                      <a:glow rad="228600">
                        <a:schemeClr val="accent3">
                          <a:satMod val="175000"/>
                          <a:alpha val="40000"/>
                        </a:schemeClr>
                      </a:glow>
                    </a:effectLst>
                  </pic:spPr>
                </pic:pic>
              </a:graphicData>
            </a:graphic>
          </wp:inline>
        </w:drawing>
      </w:r>
    </w:p>
    <w:sectPr w:rsidRPr="004F37E2" w:rsidR="00404A55" w:rsidSect="000719ED">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EBA56" w14:textId="77777777" w:rsidR="006D00B1" w:rsidRDefault="006D00B1" w:rsidP="00305CDE">
      <w:pPr>
        <w:spacing w:after="0" w:line="240" w:lineRule="auto"/>
      </w:pPr>
      <w:r>
        <w:separator/>
      </w:r>
    </w:p>
  </w:endnote>
  <w:endnote w:type="continuationSeparator" w:id="0">
    <w:p w14:paraId="52AEFE37" w14:textId="77777777" w:rsidR="006D00B1" w:rsidRDefault="006D00B1" w:rsidP="00305CDE">
      <w:pPr>
        <w:spacing w:after="0" w:line="240" w:lineRule="auto"/>
      </w:pPr>
      <w:r>
        <w:continuationSeparator/>
      </w:r>
    </w:p>
  </w:endnote>
  <w:endnote w:type="continuationNotice" w:id="1">
    <w:p w14:paraId="3538EFC9" w14:textId="77777777" w:rsidR="006D00B1" w:rsidRDefault="006D00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738455"/>
      <w:docPartObj>
        <w:docPartGallery w:val="Page Numbers (Bottom of Page)"/>
        <w:docPartUnique/>
      </w:docPartObj>
    </w:sdtPr>
    <w:sdtEndPr>
      <w:rPr>
        <w:noProof/>
      </w:rPr>
    </w:sdtEndPr>
    <w:sdtContent>
      <w:p w14:paraId="389DFF2F" w14:textId="77777777" w:rsidR="00305CDE" w:rsidRDefault="00305C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53757C" w14:textId="77777777" w:rsidR="00305CDE" w:rsidRDefault="00305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A661D" w14:textId="77777777" w:rsidR="006D00B1" w:rsidRDefault="006D00B1" w:rsidP="00305CDE">
      <w:pPr>
        <w:spacing w:after="0" w:line="240" w:lineRule="auto"/>
      </w:pPr>
      <w:r>
        <w:separator/>
      </w:r>
    </w:p>
  </w:footnote>
  <w:footnote w:type="continuationSeparator" w:id="0">
    <w:p w14:paraId="3A5AD915" w14:textId="77777777" w:rsidR="006D00B1" w:rsidRDefault="006D00B1" w:rsidP="00305CDE">
      <w:pPr>
        <w:spacing w:after="0" w:line="240" w:lineRule="auto"/>
      </w:pPr>
      <w:r>
        <w:continuationSeparator/>
      </w:r>
    </w:p>
  </w:footnote>
  <w:footnote w:type="continuationNotice" w:id="1">
    <w:p w14:paraId="18D7D23D" w14:textId="77777777" w:rsidR="006D00B1" w:rsidRDefault="006D00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23F17"/>
    <w:multiLevelType w:val="hybridMultilevel"/>
    <w:tmpl w:val="2DAA3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471905"/>
    <w:multiLevelType w:val="multilevel"/>
    <w:tmpl w:val="FA44CE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FD3035"/>
    <w:multiLevelType w:val="hybridMultilevel"/>
    <w:tmpl w:val="1C788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A8F"/>
    <w:rsid w:val="00003A3A"/>
    <w:rsid w:val="0001153B"/>
    <w:rsid w:val="000348E6"/>
    <w:rsid w:val="00050607"/>
    <w:rsid w:val="000548AB"/>
    <w:rsid w:val="00067810"/>
    <w:rsid w:val="000719ED"/>
    <w:rsid w:val="00097DF8"/>
    <w:rsid w:val="000A68E9"/>
    <w:rsid w:val="000B47F4"/>
    <w:rsid w:val="000B58B6"/>
    <w:rsid w:val="000B5EBA"/>
    <w:rsid w:val="000C768D"/>
    <w:rsid w:val="000E4D84"/>
    <w:rsid w:val="00103938"/>
    <w:rsid w:val="00103F22"/>
    <w:rsid w:val="00107282"/>
    <w:rsid w:val="00112C32"/>
    <w:rsid w:val="0013636E"/>
    <w:rsid w:val="00137492"/>
    <w:rsid w:val="001418C8"/>
    <w:rsid w:val="00157F05"/>
    <w:rsid w:val="00162789"/>
    <w:rsid w:val="00180417"/>
    <w:rsid w:val="00190DE3"/>
    <w:rsid w:val="00191AE1"/>
    <w:rsid w:val="00193558"/>
    <w:rsid w:val="00194A50"/>
    <w:rsid w:val="001A1CBD"/>
    <w:rsid w:val="001A35F9"/>
    <w:rsid w:val="001B3EA6"/>
    <w:rsid w:val="001B41CE"/>
    <w:rsid w:val="001B7076"/>
    <w:rsid w:val="001C0FDD"/>
    <w:rsid w:val="001C2043"/>
    <w:rsid w:val="001C3A26"/>
    <w:rsid w:val="001F0D17"/>
    <w:rsid w:val="00202201"/>
    <w:rsid w:val="00213551"/>
    <w:rsid w:val="00214352"/>
    <w:rsid w:val="00217903"/>
    <w:rsid w:val="00230255"/>
    <w:rsid w:val="00235DF5"/>
    <w:rsid w:val="002861B9"/>
    <w:rsid w:val="002A2E47"/>
    <w:rsid w:val="002B0F1F"/>
    <w:rsid w:val="002D32BD"/>
    <w:rsid w:val="002E1C4D"/>
    <w:rsid w:val="002E2960"/>
    <w:rsid w:val="002E557C"/>
    <w:rsid w:val="002F6D4D"/>
    <w:rsid w:val="00303996"/>
    <w:rsid w:val="00305CDE"/>
    <w:rsid w:val="00327325"/>
    <w:rsid w:val="00383720"/>
    <w:rsid w:val="00394EA4"/>
    <w:rsid w:val="003A15C3"/>
    <w:rsid w:val="003A47E9"/>
    <w:rsid w:val="003A55D0"/>
    <w:rsid w:val="003A7894"/>
    <w:rsid w:val="003B6AFB"/>
    <w:rsid w:val="003C4FA1"/>
    <w:rsid w:val="003D2EFF"/>
    <w:rsid w:val="003E0BF8"/>
    <w:rsid w:val="003E22FC"/>
    <w:rsid w:val="003E7F05"/>
    <w:rsid w:val="003F4CDE"/>
    <w:rsid w:val="00404A55"/>
    <w:rsid w:val="00407B8E"/>
    <w:rsid w:val="004100D9"/>
    <w:rsid w:val="0041151D"/>
    <w:rsid w:val="004158AC"/>
    <w:rsid w:val="0042268B"/>
    <w:rsid w:val="00430758"/>
    <w:rsid w:val="00443CF5"/>
    <w:rsid w:val="00451A58"/>
    <w:rsid w:val="00457AC9"/>
    <w:rsid w:val="00466A8E"/>
    <w:rsid w:val="00482080"/>
    <w:rsid w:val="00482EA8"/>
    <w:rsid w:val="00486851"/>
    <w:rsid w:val="00491529"/>
    <w:rsid w:val="00496FAA"/>
    <w:rsid w:val="004B0B3B"/>
    <w:rsid w:val="004B39A1"/>
    <w:rsid w:val="004D1B02"/>
    <w:rsid w:val="004F37E2"/>
    <w:rsid w:val="004F5DE8"/>
    <w:rsid w:val="00503D6B"/>
    <w:rsid w:val="00514C2E"/>
    <w:rsid w:val="00520F4E"/>
    <w:rsid w:val="00521C92"/>
    <w:rsid w:val="005445BC"/>
    <w:rsid w:val="005450C3"/>
    <w:rsid w:val="0056320D"/>
    <w:rsid w:val="00573763"/>
    <w:rsid w:val="005957B6"/>
    <w:rsid w:val="005A7B35"/>
    <w:rsid w:val="005B3115"/>
    <w:rsid w:val="005E294C"/>
    <w:rsid w:val="005F47D8"/>
    <w:rsid w:val="006102CA"/>
    <w:rsid w:val="00610C75"/>
    <w:rsid w:val="00612DE0"/>
    <w:rsid w:val="006174F4"/>
    <w:rsid w:val="00626D97"/>
    <w:rsid w:val="00635EA8"/>
    <w:rsid w:val="006428BC"/>
    <w:rsid w:val="0064792D"/>
    <w:rsid w:val="00655133"/>
    <w:rsid w:val="0066323F"/>
    <w:rsid w:val="00686EC9"/>
    <w:rsid w:val="00693D78"/>
    <w:rsid w:val="0069499C"/>
    <w:rsid w:val="006A0B31"/>
    <w:rsid w:val="006B3AA3"/>
    <w:rsid w:val="006D00B1"/>
    <w:rsid w:val="006D0501"/>
    <w:rsid w:val="006E2AED"/>
    <w:rsid w:val="006F52F3"/>
    <w:rsid w:val="006F70E5"/>
    <w:rsid w:val="00700EE1"/>
    <w:rsid w:val="00715D10"/>
    <w:rsid w:val="00736DDE"/>
    <w:rsid w:val="00743F15"/>
    <w:rsid w:val="00751247"/>
    <w:rsid w:val="00752E9B"/>
    <w:rsid w:val="0075563F"/>
    <w:rsid w:val="007622C5"/>
    <w:rsid w:val="00767CDA"/>
    <w:rsid w:val="00771A94"/>
    <w:rsid w:val="00780721"/>
    <w:rsid w:val="0078417B"/>
    <w:rsid w:val="00787B55"/>
    <w:rsid w:val="00795FA4"/>
    <w:rsid w:val="007A75EE"/>
    <w:rsid w:val="007B6329"/>
    <w:rsid w:val="007B637B"/>
    <w:rsid w:val="007C01F4"/>
    <w:rsid w:val="007C22AD"/>
    <w:rsid w:val="007D2D48"/>
    <w:rsid w:val="007D513F"/>
    <w:rsid w:val="007E4B05"/>
    <w:rsid w:val="007E508C"/>
    <w:rsid w:val="007F1EC0"/>
    <w:rsid w:val="00805361"/>
    <w:rsid w:val="00821696"/>
    <w:rsid w:val="0082757B"/>
    <w:rsid w:val="008457B1"/>
    <w:rsid w:val="0084656F"/>
    <w:rsid w:val="00852481"/>
    <w:rsid w:val="00872C79"/>
    <w:rsid w:val="008901AC"/>
    <w:rsid w:val="00895FBC"/>
    <w:rsid w:val="008A34C3"/>
    <w:rsid w:val="008C1B3E"/>
    <w:rsid w:val="008C2954"/>
    <w:rsid w:val="008C7056"/>
    <w:rsid w:val="008D6697"/>
    <w:rsid w:val="008E2865"/>
    <w:rsid w:val="008F54BF"/>
    <w:rsid w:val="009066A0"/>
    <w:rsid w:val="00914A06"/>
    <w:rsid w:val="00917C53"/>
    <w:rsid w:val="009228E3"/>
    <w:rsid w:val="00926AE1"/>
    <w:rsid w:val="00927956"/>
    <w:rsid w:val="00933562"/>
    <w:rsid w:val="00975B71"/>
    <w:rsid w:val="00985EA9"/>
    <w:rsid w:val="00986926"/>
    <w:rsid w:val="009A6FC6"/>
    <w:rsid w:val="009D0043"/>
    <w:rsid w:val="009F46B1"/>
    <w:rsid w:val="00A331D6"/>
    <w:rsid w:val="00A34395"/>
    <w:rsid w:val="00A36A8E"/>
    <w:rsid w:val="00A56E7A"/>
    <w:rsid w:val="00A62189"/>
    <w:rsid w:val="00A63262"/>
    <w:rsid w:val="00A64D3E"/>
    <w:rsid w:val="00A65502"/>
    <w:rsid w:val="00A71166"/>
    <w:rsid w:val="00A84750"/>
    <w:rsid w:val="00AA2C5A"/>
    <w:rsid w:val="00AA4118"/>
    <w:rsid w:val="00AC15D6"/>
    <w:rsid w:val="00AC1A6D"/>
    <w:rsid w:val="00AD0A76"/>
    <w:rsid w:val="00AD6E15"/>
    <w:rsid w:val="00AF31A1"/>
    <w:rsid w:val="00B1697D"/>
    <w:rsid w:val="00B20904"/>
    <w:rsid w:val="00B22B0A"/>
    <w:rsid w:val="00B26139"/>
    <w:rsid w:val="00B46744"/>
    <w:rsid w:val="00B5359C"/>
    <w:rsid w:val="00B55AB0"/>
    <w:rsid w:val="00B81356"/>
    <w:rsid w:val="00B8183C"/>
    <w:rsid w:val="00B81B34"/>
    <w:rsid w:val="00B94E68"/>
    <w:rsid w:val="00BB14F2"/>
    <w:rsid w:val="00BB5A0A"/>
    <w:rsid w:val="00BD46ED"/>
    <w:rsid w:val="00BD4E08"/>
    <w:rsid w:val="00BE3880"/>
    <w:rsid w:val="00BE4B60"/>
    <w:rsid w:val="00BE7E4D"/>
    <w:rsid w:val="00C07726"/>
    <w:rsid w:val="00C13048"/>
    <w:rsid w:val="00C17EC6"/>
    <w:rsid w:val="00C247A5"/>
    <w:rsid w:val="00C46DB2"/>
    <w:rsid w:val="00C5376A"/>
    <w:rsid w:val="00C60172"/>
    <w:rsid w:val="00C615B5"/>
    <w:rsid w:val="00C62D1A"/>
    <w:rsid w:val="00C634A6"/>
    <w:rsid w:val="00C6465E"/>
    <w:rsid w:val="00C73A88"/>
    <w:rsid w:val="00C769B0"/>
    <w:rsid w:val="00C91CCE"/>
    <w:rsid w:val="00C948F9"/>
    <w:rsid w:val="00C96E99"/>
    <w:rsid w:val="00C972EF"/>
    <w:rsid w:val="00CA3184"/>
    <w:rsid w:val="00CB08C8"/>
    <w:rsid w:val="00CB3545"/>
    <w:rsid w:val="00CC2DD7"/>
    <w:rsid w:val="00CC73A1"/>
    <w:rsid w:val="00CD6DCE"/>
    <w:rsid w:val="00CE0D28"/>
    <w:rsid w:val="00CF63EB"/>
    <w:rsid w:val="00D031DF"/>
    <w:rsid w:val="00D10F0C"/>
    <w:rsid w:val="00D11A8F"/>
    <w:rsid w:val="00D17F0F"/>
    <w:rsid w:val="00D31795"/>
    <w:rsid w:val="00D34DCE"/>
    <w:rsid w:val="00D34E21"/>
    <w:rsid w:val="00D444A6"/>
    <w:rsid w:val="00D4552C"/>
    <w:rsid w:val="00D60F51"/>
    <w:rsid w:val="00D82C6C"/>
    <w:rsid w:val="00DA2DD2"/>
    <w:rsid w:val="00DA79BC"/>
    <w:rsid w:val="00DB1259"/>
    <w:rsid w:val="00DB4CFD"/>
    <w:rsid w:val="00DC2FB8"/>
    <w:rsid w:val="00DC6DD1"/>
    <w:rsid w:val="00DD79C1"/>
    <w:rsid w:val="00DE51FD"/>
    <w:rsid w:val="00DE7C05"/>
    <w:rsid w:val="00DF40EE"/>
    <w:rsid w:val="00DF5F0F"/>
    <w:rsid w:val="00E07F68"/>
    <w:rsid w:val="00E11C2E"/>
    <w:rsid w:val="00E163A0"/>
    <w:rsid w:val="00E2180E"/>
    <w:rsid w:val="00E31EE3"/>
    <w:rsid w:val="00E41875"/>
    <w:rsid w:val="00E44CA7"/>
    <w:rsid w:val="00E60246"/>
    <w:rsid w:val="00E60FF9"/>
    <w:rsid w:val="00E648B8"/>
    <w:rsid w:val="00E97170"/>
    <w:rsid w:val="00EA2273"/>
    <w:rsid w:val="00EB0FF6"/>
    <w:rsid w:val="00EB7EE3"/>
    <w:rsid w:val="00F01F0D"/>
    <w:rsid w:val="00F16960"/>
    <w:rsid w:val="00F17E1F"/>
    <w:rsid w:val="00F354B3"/>
    <w:rsid w:val="00F51AF9"/>
    <w:rsid w:val="00F7590A"/>
    <w:rsid w:val="00F8055A"/>
    <w:rsid w:val="00F97FF9"/>
    <w:rsid w:val="00FA55C2"/>
    <w:rsid w:val="00FF1D54"/>
    <w:rsid w:val="00FF4CC7"/>
    <w:rsid w:val="02107939"/>
    <w:rsid w:val="03327EAB"/>
    <w:rsid w:val="035F9C46"/>
    <w:rsid w:val="063678D5"/>
    <w:rsid w:val="063CF8F9"/>
    <w:rsid w:val="07F53645"/>
    <w:rsid w:val="0A6C40F5"/>
    <w:rsid w:val="0AED3C0F"/>
    <w:rsid w:val="0E83739B"/>
    <w:rsid w:val="0EA07051"/>
    <w:rsid w:val="0EE40FAC"/>
    <w:rsid w:val="11839FBB"/>
    <w:rsid w:val="123F8407"/>
    <w:rsid w:val="1290E812"/>
    <w:rsid w:val="12BFC88C"/>
    <w:rsid w:val="13326116"/>
    <w:rsid w:val="13B2F310"/>
    <w:rsid w:val="1418B9F4"/>
    <w:rsid w:val="149F2164"/>
    <w:rsid w:val="1556A58A"/>
    <w:rsid w:val="169B113A"/>
    <w:rsid w:val="17027700"/>
    <w:rsid w:val="17CB6357"/>
    <w:rsid w:val="1B069563"/>
    <w:rsid w:val="1D2E04ED"/>
    <w:rsid w:val="1D9F8250"/>
    <w:rsid w:val="1E20B872"/>
    <w:rsid w:val="20F8D8D1"/>
    <w:rsid w:val="2294A932"/>
    <w:rsid w:val="22CB3BF5"/>
    <w:rsid w:val="23129CFA"/>
    <w:rsid w:val="242530F3"/>
    <w:rsid w:val="27075541"/>
    <w:rsid w:val="2A0382F3"/>
    <w:rsid w:val="2A5E5EE4"/>
    <w:rsid w:val="2B17B0E4"/>
    <w:rsid w:val="2B51BC74"/>
    <w:rsid w:val="2DD456FA"/>
    <w:rsid w:val="2EA68C92"/>
    <w:rsid w:val="303B0F9B"/>
    <w:rsid w:val="310F8D15"/>
    <w:rsid w:val="315F074D"/>
    <w:rsid w:val="32135490"/>
    <w:rsid w:val="34AA24F9"/>
    <w:rsid w:val="353A65E1"/>
    <w:rsid w:val="369DEE43"/>
    <w:rsid w:val="36BC44EF"/>
    <w:rsid w:val="381F52D5"/>
    <w:rsid w:val="3992996C"/>
    <w:rsid w:val="3AF09E38"/>
    <w:rsid w:val="3AF111D4"/>
    <w:rsid w:val="3B62131B"/>
    <w:rsid w:val="41D6C974"/>
    <w:rsid w:val="41F99E3A"/>
    <w:rsid w:val="4269938D"/>
    <w:rsid w:val="435B8E69"/>
    <w:rsid w:val="44F607F6"/>
    <w:rsid w:val="45EF5DEB"/>
    <w:rsid w:val="460E1D3B"/>
    <w:rsid w:val="4877E44F"/>
    <w:rsid w:val="48AAA1A4"/>
    <w:rsid w:val="4A0E8D8E"/>
    <w:rsid w:val="4A6AE7C2"/>
    <w:rsid w:val="4ACA621E"/>
    <w:rsid w:val="4CD44F56"/>
    <w:rsid w:val="4E046D3D"/>
    <w:rsid w:val="5073F8DC"/>
    <w:rsid w:val="512F0BDF"/>
    <w:rsid w:val="518FF418"/>
    <w:rsid w:val="527BE5F4"/>
    <w:rsid w:val="530F1F74"/>
    <w:rsid w:val="53270DB4"/>
    <w:rsid w:val="55890CED"/>
    <w:rsid w:val="59B67BFC"/>
    <w:rsid w:val="5A00772D"/>
    <w:rsid w:val="5B822B0E"/>
    <w:rsid w:val="5BC758D5"/>
    <w:rsid w:val="5DDDA508"/>
    <w:rsid w:val="5E19E572"/>
    <w:rsid w:val="5F13492A"/>
    <w:rsid w:val="604DA24B"/>
    <w:rsid w:val="622DFBBE"/>
    <w:rsid w:val="628E4A5B"/>
    <w:rsid w:val="62B1D524"/>
    <w:rsid w:val="639F6D12"/>
    <w:rsid w:val="65E119E0"/>
    <w:rsid w:val="66C2FE60"/>
    <w:rsid w:val="66C33E1E"/>
    <w:rsid w:val="6810326E"/>
    <w:rsid w:val="6934DE49"/>
    <w:rsid w:val="69D351FF"/>
    <w:rsid w:val="6C624950"/>
    <w:rsid w:val="6CD75677"/>
    <w:rsid w:val="6DB69F44"/>
    <w:rsid w:val="6F00831C"/>
    <w:rsid w:val="713C4CDA"/>
    <w:rsid w:val="71CE1098"/>
    <w:rsid w:val="7372D189"/>
    <w:rsid w:val="74C43AE3"/>
    <w:rsid w:val="75DC2083"/>
    <w:rsid w:val="76362853"/>
    <w:rsid w:val="763FE5EB"/>
    <w:rsid w:val="76874C12"/>
    <w:rsid w:val="76C58038"/>
    <w:rsid w:val="77827233"/>
    <w:rsid w:val="795737F4"/>
    <w:rsid w:val="7B540AFB"/>
    <w:rsid w:val="7C162AB2"/>
    <w:rsid w:val="7CFE3734"/>
    <w:rsid w:val="7D7062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EDF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A8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1A8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700EE1"/>
    <w:rPr>
      <w:color w:val="0563C1" w:themeColor="hyperlink"/>
      <w:u w:val="single"/>
    </w:rPr>
  </w:style>
  <w:style w:type="character" w:styleId="UnresolvedMention">
    <w:name w:val="Unresolved Mention"/>
    <w:basedOn w:val="DefaultParagraphFont"/>
    <w:uiPriority w:val="99"/>
    <w:semiHidden/>
    <w:unhideWhenUsed/>
    <w:rsid w:val="00700EE1"/>
    <w:rPr>
      <w:color w:val="605E5C"/>
      <w:shd w:val="clear" w:color="auto" w:fill="E1DFDD"/>
    </w:rPr>
  </w:style>
  <w:style w:type="paragraph" w:styleId="Header">
    <w:name w:val="header"/>
    <w:basedOn w:val="Normal"/>
    <w:link w:val="HeaderChar"/>
    <w:uiPriority w:val="99"/>
    <w:unhideWhenUsed/>
    <w:rsid w:val="00305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CDE"/>
    <w:rPr>
      <w:rFonts w:ascii="Calibri" w:eastAsia="Calibri" w:hAnsi="Calibri" w:cs="Times New Roman"/>
    </w:rPr>
  </w:style>
  <w:style w:type="paragraph" w:styleId="Footer">
    <w:name w:val="footer"/>
    <w:basedOn w:val="Normal"/>
    <w:link w:val="FooterChar"/>
    <w:uiPriority w:val="99"/>
    <w:unhideWhenUsed/>
    <w:rsid w:val="00305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CDE"/>
    <w:rPr>
      <w:rFonts w:ascii="Calibri" w:eastAsia="Calibri" w:hAnsi="Calibri" w:cs="Times New Roman"/>
    </w:rPr>
  </w:style>
  <w:style w:type="character" w:styleId="CommentReference">
    <w:name w:val="annotation reference"/>
    <w:basedOn w:val="DefaultParagraphFont"/>
    <w:uiPriority w:val="99"/>
    <w:semiHidden/>
    <w:unhideWhenUsed/>
    <w:rsid w:val="00C948F9"/>
    <w:rPr>
      <w:sz w:val="16"/>
      <w:szCs w:val="16"/>
    </w:rPr>
  </w:style>
  <w:style w:type="paragraph" w:styleId="CommentText">
    <w:name w:val="annotation text"/>
    <w:basedOn w:val="Normal"/>
    <w:link w:val="CommentTextChar"/>
    <w:uiPriority w:val="99"/>
    <w:unhideWhenUsed/>
    <w:rsid w:val="00C948F9"/>
    <w:pPr>
      <w:spacing w:line="240" w:lineRule="auto"/>
    </w:pPr>
    <w:rPr>
      <w:sz w:val="20"/>
      <w:szCs w:val="20"/>
    </w:rPr>
  </w:style>
  <w:style w:type="character" w:customStyle="1" w:styleId="CommentTextChar">
    <w:name w:val="Comment Text Char"/>
    <w:basedOn w:val="DefaultParagraphFont"/>
    <w:link w:val="CommentText"/>
    <w:uiPriority w:val="99"/>
    <w:rsid w:val="00C948F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948F9"/>
    <w:rPr>
      <w:b/>
      <w:bCs/>
    </w:rPr>
  </w:style>
  <w:style w:type="character" w:customStyle="1" w:styleId="CommentSubjectChar">
    <w:name w:val="Comment Subject Char"/>
    <w:basedOn w:val="CommentTextChar"/>
    <w:link w:val="CommentSubject"/>
    <w:uiPriority w:val="99"/>
    <w:semiHidden/>
    <w:rsid w:val="00C948F9"/>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948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8F9"/>
    <w:rPr>
      <w:rFonts w:ascii="Segoe UI" w:eastAsia="Calibri" w:hAnsi="Segoe UI" w:cs="Segoe UI"/>
      <w:sz w:val="18"/>
      <w:szCs w:val="18"/>
    </w:rPr>
  </w:style>
  <w:style w:type="paragraph" w:styleId="Revision">
    <w:name w:val="Revision"/>
    <w:hidden/>
    <w:uiPriority w:val="99"/>
    <w:semiHidden/>
    <w:rsid w:val="007B637B"/>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B55AB0"/>
    <w:rPr>
      <w:color w:val="954F72" w:themeColor="followedHyperlink"/>
      <w:u w:val="single"/>
    </w:rPr>
  </w:style>
  <w:style w:type="character" w:customStyle="1" w:styleId="hgkelc">
    <w:name w:val="hgkelc"/>
    <w:basedOn w:val="DefaultParagraphFont"/>
    <w:rsid w:val="00DA79BC"/>
  </w:style>
  <w:style w:type="paragraph" w:customStyle="1" w:styleId="xmsolistparagraph">
    <w:name w:val="x_msolistparagraph"/>
    <w:basedOn w:val="Normal"/>
    <w:rsid w:val="00D4552C"/>
    <w:pPr>
      <w:spacing w:after="0" w:line="240" w:lineRule="auto"/>
      <w:ind w:left="720"/>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132">
      <w:bodyDiv w:val="1"/>
      <w:marLeft w:val="0"/>
      <w:marRight w:val="0"/>
      <w:marTop w:val="0"/>
      <w:marBottom w:val="0"/>
      <w:divBdr>
        <w:top w:val="none" w:sz="0" w:space="0" w:color="auto"/>
        <w:left w:val="none" w:sz="0" w:space="0" w:color="auto"/>
        <w:bottom w:val="none" w:sz="0" w:space="0" w:color="auto"/>
        <w:right w:val="none" w:sz="0" w:space="0" w:color="auto"/>
      </w:divBdr>
    </w:div>
    <w:div w:id="104664748">
      <w:bodyDiv w:val="1"/>
      <w:marLeft w:val="0"/>
      <w:marRight w:val="0"/>
      <w:marTop w:val="0"/>
      <w:marBottom w:val="0"/>
      <w:divBdr>
        <w:top w:val="none" w:sz="0" w:space="0" w:color="auto"/>
        <w:left w:val="none" w:sz="0" w:space="0" w:color="auto"/>
        <w:bottom w:val="none" w:sz="0" w:space="0" w:color="auto"/>
        <w:right w:val="none" w:sz="0" w:space="0" w:color="auto"/>
      </w:divBdr>
    </w:div>
    <w:div w:id="173351480">
      <w:bodyDiv w:val="1"/>
      <w:marLeft w:val="0"/>
      <w:marRight w:val="0"/>
      <w:marTop w:val="0"/>
      <w:marBottom w:val="0"/>
      <w:divBdr>
        <w:top w:val="none" w:sz="0" w:space="0" w:color="auto"/>
        <w:left w:val="none" w:sz="0" w:space="0" w:color="auto"/>
        <w:bottom w:val="none" w:sz="0" w:space="0" w:color="auto"/>
        <w:right w:val="none" w:sz="0" w:space="0" w:color="auto"/>
      </w:divBdr>
    </w:div>
    <w:div w:id="435446414">
      <w:bodyDiv w:val="1"/>
      <w:marLeft w:val="0"/>
      <w:marRight w:val="0"/>
      <w:marTop w:val="0"/>
      <w:marBottom w:val="0"/>
      <w:divBdr>
        <w:top w:val="none" w:sz="0" w:space="0" w:color="auto"/>
        <w:left w:val="none" w:sz="0" w:space="0" w:color="auto"/>
        <w:bottom w:val="none" w:sz="0" w:space="0" w:color="auto"/>
        <w:right w:val="none" w:sz="0" w:space="0" w:color="auto"/>
      </w:divBdr>
    </w:div>
    <w:div w:id="495800466">
      <w:bodyDiv w:val="1"/>
      <w:marLeft w:val="0"/>
      <w:marRight w:val="0"/>
      <w:marTop w:val="0"/>
      <w:marBottom w:val="0"/>
      <w:divBdr>
        <w:top w:val="none" w:sz="0" w:space="0" w:color="auto"/>
        <w:left w:val="none" w:sz="0" w:space="0" w:color="auto"/>
        <w:bottom w:val="none" w:sz="0" w:space="0" w:color="auto"/>
        <w:right w:val="none" w:sz="0" w:space="0" w:color="auto"/>
      </w:divBdr>
    </w:div>
    <w:div w:id="1273515990">
      <w:bodyDiv w:val="1"/>
      <w:marLeft w:val="0"/>
      <w:marRight w:val="0"/>
      <w:marTop w:val="0"/>
      <w:marBottom w:val="0"/>
      <w:divBdr>
        <w:top w:val="none" w:sz="0" w:space="0" w:color="auto"/>
        <w:left w:val="none" w:sz="0" w:space="0" w:color="auto"/>
        <w:bottom w:val="none" w:sz="0" w:space="0" w:color="auto"/>
        <w:right w:val="none" w:sz="0" w:space="0" w:color="auto"/>
      </w:divBdr>
    </w:div>
    <w:div w:id="1352802401">
      <w:bodyDiv w:val="1"/>
      <w:marLeft w:val="0"/>
      <w:marRight w:val="0"/>
      <w:marTop w:val="0"/>
      <w:marBottom w:val="0"/>
      <w:divBdr>
        <w:top w:val="none" w:sz="0" w:space="0" w:color="auto"/>
        <w:left w:val="none" w:sz="0" w:space="0" w:color="auto"/>
        <w:bottom w:val="none" w:sz="0" w:space="0" w:color="auto"/>
        <w:right w:val="none" w:sz="0" w:space="0" w:color="auto"/>
      </w:divBdr>
    </w:div>
    <w:div w:id="151206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fda.gov/media/116608/download" TargetMode="External"/><Relationship Id="rId17" Type="http://schemas.openxmlformats.org/officeDocument/2006/relationships/image" Target="media/image5.png"/><Relationship Id="rId25" Type="http://schemas.openxmlformats.org/officeDocument/2006/relationships/image" Target="cid:image005.png@01D6D3B8.4920FC3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da.gov/files/drugs/published/Investigational-New-Drug-Applications-Prepared-and-Submitted-by-Sponsor-Investigators.pdf"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cid:image004.png@01D6D3B8.4920FC30"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cid:image006.png@01D6D3B8.4920FC3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6A08FBD5310342BF958ADCB470BE9A" ma:contentTypeVersion="10" ma:contentTypeDescription="Create a new document." ma:contentTypeScope="" ma:versionID="2d8172902937bd671e1f175e0a7072dc">
  <xsd:schema xmlns:xsd="http://www.w3.org/2001/XMLSchema" xmlns:xs="http://www.w3.org/2001/XMLSchema" xmlns:p="http://schemas.microsoft.com/office/2006/metadata/properties" xmlns:ns3="978cbee1-b604-4d95-9f89-3d25ff6383a8" targetNamespace="http://schemas.microsoft.com/office/2006/metadata/properties" ma:root="true" ma:fieldsID="2198e51545d67ad5d0324c0da15ff561" ns3:_="">
    <xsd:import namespace="978cbee1-b604-4d95-9f89-3d25ff6383a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cbee1-b604-4d95-9f89-3d25ff638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865E1-D9D6-45E8-AFFF-3E26D7652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cbee1-b604-4d95-9f89-3d25ff638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7D9A3E-141E-4972-9A95-CFB2922410A7}">
  <ds:schemaRefs>
    <ds:schemaRef ds:uri="http://schemas.microsoft.com/sharepoint/v3/contenttype/forms"/>
  </ds:schemaRefs>
</ds:datastoreItem>
</file>

<file path=customXml/itemProps3.xml><?xml version="1.0" encoding="utf-8"?>
<ds:datastoreItem xmlns:ds="http://schemas.openxmlformats.org/officeDocument/2006/customXml" ds:itemID="{2EFD14D3-A936-4012-B5F4-8F154368EF7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78cbee1-b604-4d95-9f89-3d25ff6383a8"/>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FAAD20B-CF01-444B-AB64-2E8E08A1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CharactersWithSpaces>
  <SharedDoc>false</SharedDoc>
  <HLinks>
    <vt:vector size="12" baseType="variant">
      <vt:variant>
        <vt:i4>4194376</vt:i4>
      </vt:variant>
      <vt:variant>
        <vt:i4>3</vt:i4>
      </vt:variant>
      <vt:variant>
        <vt:i4>0</vt:i4>
      </vt:variant>
      <vt:variant>
        <vt:i4>5</vt:i4>
      </vt:variant>
      <vt:variant>
        <vt:lpwstr>https://www.fda.gov/media/116608/download</vt:lpwstr>
      </vt:variant>
      <vt:variant>
        <vt:lpwstr/>
      </vt:variant>
      <vt:variant>
        <vt:i4>6553648</vt:i4>
      </vt:variant>
      <vt:variant>
        <vt:i4>0</vt:i4>
      </vt:variant>
      <vt:variant>
        <vt:i4>0</vt:i4>
      </vt:variant>
      <vt:variant>
        <vt:i4>5</vt:i4>
      </vt:variant>
      <vt:variant>
        <vt:lpwstr>https://www.fda.gov/files/drugs/published/Investigational-New-Drug-Applications-Prepared-and-Submitted-by-Sponsor-Investigators.pdf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2021-03-12T19:08:00Z</dcterms:created>
  <dcterms:modified xsi:type="dcterms:W3CDTF">2021-03-12T19:08:00Z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0x010100076A08FBD5310342BF958ADCB470BE9A</vt:lpwstr>
  </property>
</Properties>
</file>