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body>
    <w:p w:rsidR="00A25A9C" w:rsidRDefault="00A25A9C" w14:paraId="31D4E9A0" w14:textId="77777777">
      <w:pPr>
        <w:pStyle w:val="Title"/>
      </w:pPr>
      <w:r>
        <w:t>Supporting Statement</w:t>
      </w:r>
    </w:p>
    <w:p w:rsidR="00A25A9C" w:rsidRDefault="00A25A9C" w14:paraId="50137511" w14:textId="77777777">
      <w:pPr>
        <w:jc w:val="center"/>
        <w:rPr>
          <w:rFonts w:ascii="Arial" w:hAnsi="Arial"/>
          <w:b/>
          <w:sz w:val="28"/>
        </w:rPr>
      </w:pPr>
      <w:r>
        <w:rPr>
          <w:rFonts w:ascii="Arial" w:hAnsi="Arial"/>
          <w:b/>
          <w:sz w:val="28"/>
        </w:rPr>
        <w:t>Passenger and Crew Manifest</w:t>
      </w:r>
    </w:p>
    <w:p w:rsidR="00A25A9C" w:rsidRDefault="00A25A9C" w14:paraId="157EF421" w14:textId="77777777">
      <w:pPr>
        <w:jc w:val="center"/>
        <w:rPr>
          <w:rFonts w:ascii="Arial" w:hAnsi="Arial"/>
          <w:b/>
          <w:sz w:val="28"/>
        </w:rPr>
      </w:pPr>
      <w:r>
        <w:rPr>
          <w:rFonts w:ascii="Arial" w:hAnsi="Arial"/>
          <w:b/>
          <w:sz w:val="28"/>
        </w:rPr>
        <w:t>1651-0088</w:t>
      </w:r>
    </w:p>
    <w:p w:rsidR="00A25A9C" w:rsidRDefault="00A25A9C" w14:paraId="42685F7E" w14:textId="77777777">
      <w:pPr>
        <w:rPr>
          <w:rFonts w:ascii="Arial" w:hAnsi="Arial"/>
        </w:rPr>
      </w:pPr>
    </w:p>
    <w:p w:rsidR="00F153AC" w:rsidP="004C4989" w:rsidRDefault="00F153AC" w14:paraId="392445E2" w14:textId="77777777">
      <w:pPr>
        <w:ind w:start="36pt"/>
        <w:rPr>
          <w:rFonts w:ascii="Arial" w:hAnsi="Arial"/>
        </w:rPr>
      </w:pPr>
    </w:p>
    <w:p w:rsidRPr="00C47181" w:rsidR="00F153AC" w:rsidP="00D67DFC" w:rsidRDefault="00F153AC" w14:paraId="3F99B22A" w14:textId="77777777">
      <w:pPr>
        <w:numPr>
          <w:ilvl w:val="0"/>
          <w:numId w:val="36"/>
        </w:numPr>
        <w:ind w:hanging="36pt"/>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395903">
        <w:rPr>
          <w:rFonts w:ascii="Arial" w:hAnsi="Arial" w:cs="Arial"/>
          <w:b/>
          <w:bCs/>
          <w:szCs w:val="24"/>
        </w:rPr>
        <w:t>t</w:t>
      </w:r>
      <w:r w:rsidRPr="00C47181">
        <w:rPr>
          <w:rFonts w:ascii="Arial" w:hAnsi="Arial" w:cs="Arial"/>
          <w:b/>
          <w:bCs/>
          <w:szCs w:val="24"/>
        </w:rPr>
        <w:t>e and regulation mandating or authorizing the collection of information.</w:t>
      </w:r>
    </w:p>
    <w:p w:rsidR="0044305F" w:rsidP="00F56A39" w:rsidRDefault="0044305F" w14:paraId="0654BE8B" w14:textId="77777777">
      <w:pPr>
        <w:ind w:start="36pt"/>
        <w:jc w:val="both"/>
        <w:rPr>
          <w:rFonts w:ascii="Arial" w:hAnsi="Arial"/>
        </w:rPr>
      </w:pPr>
    </w:p>
    <w:p w:rsidRPr="00D468E7" w:rsidR="00FA53DF" w:rsidP="00FA53DF" w:rsidRDefault="00FA53DF" w14:paraId="7C1E8055" w14:textId="77777777">
      <w:pPr>
        <w:pStyle w:val="NormalWeb"/>
        <w:ind w:start="35.80pt"/>
        <w:rPr>
          <w:rFonts w:ascii="Arial" w:hAnsi="Arial" w:cs="Arial"/>
        </w:rPr>
      </w:pPr>
      <w:bookmarkStart w:name="skip" w:id="0"/>
      <w:r w:rsidRPr="00D468E7">
        <w:rPr>
          <w:rFonts w:ascii="Arial" w:hAnsi="Arial" w:cs="Arial"/>
        </w:rPr>
        <w:t>The Advance Passenger Information System (APIS) is an automated method in which U.S. Customs and Border Protection (CBP) receives information on passengers and crew onboard inbound and outbound international flights before their arrival in</w:t>
      </w:r>
      <w:r w:rsidRPr="00D468E7" w:rsidR="00997E30">
        <w:rPr>
          <w:rFonts w:ascii="Arial" w:hAnsi="Arial" w:cs="Arial"/>
        </w:rPr>
        <w:t>,</w:t>
      </w:r>
      <w:r w:rsidRPr="00D468E7">
        <w:rPr>
          <w:rFonts w:ascii="Arial" w:hAnsi="Arial" w:cs="Arial"/>
        </w:rPr>
        <w:t xml:space="preserve"> or departure from</w:t>
      </w:r>
      <w:r w:rsidRPr="00D468E7" w:rsidR="00997E30">
        <w:rPr>
          <w:rFonts w:ascii="Arial" w:hAnsi="Arial" w:cs="Arial"/>
        </w:rPr>
        <w:t>,</w:t>
      </w:r>
      <w:r w:rsidRPr="00D468E7">
        <w:rPr>
          <w:rFonts w:ascii="Arial" w:hAnsi="Arial" w:cs="Arial"/>
        </w:rPr>
        <w:t xml:space="preserve"> the United States. APIS data includes biographical information for international air passengers arriving in or departing from the United States, allowing the data to be checked against CBP databases. </w:t>
      </w:r>
    </w:p>
    <w:p w:rsidR="00FA53DF" w:rsidP="00773E00" w:rsidRDefault="00FA53DF" w14:paraId="392E32AB" w14:textId="77777777">
      <w:pPr>
        <w:pStyle w:val="NormalWeb"/>
        <w:tabs>
          <w:tab w:val="left" w:pos="4.50pt"/>
        </w:tabs>
        <w:ind w:start="35.80pt"/>
        <w:rPr>
          <w:rFonts w:ascii="Arial" w:hAnsi="Arial"/>
        </w:rPr>
      </w:pPr>
      <w:r w:rsidRPr="00D468E7">
        <w:rPr>
          <w:rFonts w:ascii="Arial" w:hAnsi="Arial" w:cs="Arial"/>
        </w:rPr>
        <w:tab/>
        <w:t>The information is submitted for both commercial and private aircraft flights</w:t>
      </w:r>
      <w:r w:rsidRPr="00D468E7" w:rsidR="00BE4D22">
        <w:rPr>
          <w:rFonts w:ascii="Arial" w:hAnsi="Arial" w:cs="Arial"/>
        </w:rPr>
        <w:t>.  S</w:t>
      </w:r>
      <w:r w:rsidRPr="00D468E7">
        <w:rPr>
          <w:rFonts w:ascii="Arial" w:hAnsi="Arial" w:cs="Arial"/>
        </w:rPr>
        <w:t xml:space="preserve">pecific data elements required for each passenger and crew member </w:t>
      </w:r>
      <w:proofErr w:type="gramStart"/>
      <w:r w:rsidRPr="00D468E7">
        <w:rPr>
          <w:rFonts w:ascii="Arial" w:hAnsi="Arial" w:cs="Arial"/>
        </w:rPr>
        <w:t>include:</w:t>
      </w:r>
      <w:proofErr w:type="gramEnd"/>
      <w:r w:rsidRPr="00D468E7">
        <w:rPr>
          <w:rFonts w:ascii="Arial" w:hAnsi="Arial" w:cs="Arial"/>
        </w:rPr>
        <w:t xml:space="preserve"> </w:t>
      </w:r>
      <w:r w:rsidRPr="00D468E7">
        <w:rPr>
          <w:rFonts w:ascii="Arial" w:hAnsi="Arial"/>
        </w:rPr>
        <w:t>full name; date of birth; gender; citizenship; document type; passport number</w:t>
      </w:r>
      <w:r w:rsidRPr="00D468E7" w:rsidR="007F2CD1">
        <w:rPr>
          <w:rFonts w:ascii="Arial" w:hAnsi="Arial"/>
        </w:rPr>
        <w:t>;</w:t>
      </w:r>
      <w:r w:rsidRPr="00D468E7">
        <w:rPr>
          <w:rFonts w:ascii="Arial" w:hAnsi="Arial"/>
        </w:rPr>
        <w:t xml:space="preserve"> country of issuance and expiration date; and alien registration number where applicable.</w:t>
      </w:r>
    </w:p>
    <w:p w:rsidR="0021509F" w:rsidP="0021509F" w:rsidRDefault="0021509F" w14:paraId="3C5A9247" w14:textId="77777777">
      <w:pPr>
        <w:tabs>
          <w:tab w:val="left" w:pos="4.50pt"/>
        </w:tabs>
        <w:ind w:start="35.80pt"/>
        <w:jc w:val="both"/>
        <w:rPr>
          <w:rFonts w:ascii="Arial" w:hAnsi="Arial"/>
        </w:rPr>
      </w:pPr>
    </w:p>
    <w:p w:rsidR="0021509F" w:rsidP="0021509F" w:rsidRDefault="00FA53DF" w14:paraId="79AA848F" w14:textId="77777777">
      <w:pPr>
        <w:tabs>
          <w:tab w:val="left" w:pos="4.50pt"/>
        </w:tabs>
        <w:ind w:start="35.80pt"/>
        <w:jc w:val="both"/>
        <w:rPr>
          <w:rFonts w:ascii="Arial" w:hAnsi="Arial"/>
        </w:rPr>
      </w:pPr>
      <w:r w:rsidRPr="00D468E7">
        <w:rPr>
          <w:rFonts w:ascii="Arial" w:hAnsi="Arial"/>
        </w:rPr>
        <w:tab/>
      </w:r>
      <w:bookmarkEnd w:id="0"/>
      <w:r w:rsidRPr="0021509F" w:rsidR="0021509F">
        <w:rPr>
          <w:rFonts w:ascii="Arial" w:hAnsi="Arial"/>
        </w:rPr>
        <w:t xml:space="preserve">APIS is authorized under the Aviation and Transportation Security Act, Public Law 107-71.  Under this statute, air carriers operating a passenger flight in foreign air transportation to the United States must electronically transmit to CBP a passenger and crew manifest containing specific identifying data elements and any other information that DHS determines is reasonably necessary to ensure aviation safety.  The specific passenger and crew identifying information required by statue consists of the following: full name; date of birth; gender; citizenship; document type; passport number; country of issuance and expiration date; and alien registration number where applicable.  The APIS regulatory requirements are specified in 19 CFR 122.49a, 122.49b, 122.49c, 122.75a, 122.75b, and 122.22. </w:t>
      </w:r>
      <w:r w:rsidR="0021509F">
        <w:rPr>
          <w:rFonts w:ascii="Arial" w:hAnsi="Arial"/>
        </w:rPr>
        <w:t xml:space="preserve"> </w:t>
      </w:r>
      <w:r w:rsidRPr="0021509F" w:rsidR="0021509F">
        <w:rPr>
          <w:rFonts w:ascii="Arial" w:hAnsi="Arial"/>
        </w:rPr>
        <w:t xml:space="preserve">These provisions </w:t>
      </w:r>
      <w:proofErr w:type="gramStart"/>
      <w:r w:rsidRPr="0021509F" w:rsidR="0021509F">
        <w:rPr>
          <w:rFonts w:ascii="Arial" w:hAnsi="Arial"/>
        </w:rPr>
        <w:t>lists</w:t>
      </w:r>
      <w:proofErr w:type="gramEnd"/>
      <w:r w:rsidRPr="0021509F" w:rsidR="0021509F">
        <w:rPr>
          <w:rFonts w:ascii="Arial" w:hAnsi="Arial"/>
        </w:rPr>
        <w:t xml:space="preserve"> all the required APIS data. </w:t>
      </w:r>
    </w:p>
    <w:p w:rsidRPr="0021509F" w:rsidR="0021509F" w:rsidP="0021509F" w:rsidRDefault="0021509F" w14:paraId="1DAC48D4" w14:textId="77777777">
      <w:pPr>
        <w:tabs>
          <w:tab w:val="left" w:pos="4.50pt"/>
        </w:tabs>
        <w:ind w:start="35.80pt"/>
        <w:jc w:val="both"/>
        <w:rPr>
          <w:rFonts w:ascii="Arial" w:hAnsi="Arial"/>
        </w:rPr>
      </w:pPr>
    </w:p>
    <w:p w:rsidR="00F153AC" w:rsidP="0021509F" w:rsidRDefault="0021509F" w14:paraId="7572AFA0" w14:textId="77777777">
      <w:pPr>
        <w:tabs>
          <w:tab w:val="left" w:pos="4.50pt"/>
        </w:tabs>
        <w:ind w:start="35.80pt"/>
        <w:jc w:val="both"/>
        <w:rPr>
          <w:rFonts w:ascii="Arial" w:hAnsi="Arial"/>
        </w:rPr>
      </w:pPr>
      <w:r w:rsidRPr="0021509F">
        <w:rPr>
          <w:rFonts w:ascii="Arial" w:hAnsi="Arial"/>
        </w:rPr>
        <w:t xml:space="preserve">Respondents submit their electronic manifest either through a direct interface with CBP, or using eAPIS which is a web-based system that can be accessed at </w:t>
      </w:r>
      <w:hyperlink w:history="1" r:id="rId8">
        <w:r w:rsidRPr="0021509F">
          <w:rPr>
            <w:rStyle w:val="Hyperlink"/>
            <w:rFonts w:ascii="Arial" w:hAnsi="Arial"/>
          </w:rPr>
          <w:t>https://eapis.cbp.dhs.gov/</w:t>
        </w:r>
      </w:hyperlink>
      <w:r w:rsidRPr="0021509F">
        <w:rPr>
          <w:rFonts w:ascii="Arial" w:hAnsi="Arial"/>
        </w:rPr>
        <w:t>.</w:t>
      </w:r>
      <w:r w:rsidR="00F638D1">
        <w:rPr>
          <w:rFonts w:ascii="Arial" w:hAnsi="Arial"/>
        </w:rPr>
        <w:tab/>
      </w:r>
    </w:p>
    <w:p w:rsidRPr="00C47181" w:rsidR="0021509F" w:rsidP="0021509F" w:rsidRDefault="0021509F" w14:paraId="4BC87952" w14:textId="77777777">
      <w:pPr>
        <w:tabs>
          <w:tab w:val="left" w:pos="4.50pt"/>
        </w:tabs>
        <w:ind w:start="35.80pt"/>
        <w:jc w:val="both"/>
        <w:rPr>
          <w:rFonts w:ascii="Arial" w:hAnsi="Arial"/>
          <w:szCs w:val="24"/>
        </w:rPr>
      </w:pPr>
    </w:p>
    <w:p w:rsidRPr="00C47181" w:rsidR="00F153AC" w:rsidP="00C12E2C" w:rsidRDefault="00F153AC" w14:paraId="64E323B7" w14:textId="77777777">
      <w:pPr>
        <w:ind w:start="36pt" w:hanging="36pt"/>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 xml:space="preserve">Indicate how, by whom, and for what purpose </w:t>
      </w:r>
      <w:r w:rsidR="00817775">
        <w:rPr>
          <w:rFonts w:ascii="Arial" w:hAnsi="Arial" w:cs="Arial"/>
          <w:b/>
          <w:bCs/>
          <w:szCs w:val="24"/>
        </w:rPr>
        <w:t xml:space="preserve">the information is to be used. </w:t>
      </w:r>
      <w:r w:rsidRPr="00C47181">
        <w:rPr>
          <w:rFonts w:ascii="Arial" w:hAnsi="Arial" w:cs="Arial"/>
          <w:b/>
          <w:bCs/>
          <w:szCs w:val="24"/>
        </w:rPr>
        <w:t>Except for a new collection, indicate the actual use the agency has made of the information received from the current collection</w:t>
      </w:r>
      <w:r w:rsidRPr="00C47181">
        <w:rPr>
          <w:szCs w:val="24"/>
        </w:rPr>
        <w:t>.</w:t>
      </w:r>
    </w:p>
    <w:p w:rsidRPr="00D468E7" w:rsidR="004B4619" w:rsidP="004B4619" w:rsidRDefault="004B4619" w14:paraId="78DE1704" w14:textId="77777777">
      <w:pPr>
        <w:widowControl/>
        <w:spacing w:before="6pt"/>
        <w:ind w:start="36pt"/>
        <w:rPr>
          <w:szCs w:val="24"/>
        </w:rPr>
      </w:pPr>
      <w:r w:rsidRPr="00D468E7">
        <w:rPr>
          <w:rFonts w:ascii="Arial" w:hAnsi="Arial" w:cs="Arial"/>
          <w:szCs w:val="24"/>
        </w:rPr>
        <w:t>CBP uses APIS data to target high-risk travelers and to facilitate the progress of legitimate travelers in and out of the United States</w:t>
      </w:r>
      <w:r w:rsidRPr="00D468E7" w:rsidR="00EE7FA2">
        <w:rPr>
          <w:rFonts w:ascii="Arial" w:hAnsi="Arial" w:cs="Arial"/>
          <w:szCs w:val="24"/>
        </w:rPr>
        <w:t xml:space="preserve"> by collecting data on all </w:t>
      </w:r>
      <w:r w:rsidRPr="00D468E7" w:rsidR="00EE7FA2">
        <w:rPr>
          <w:rFonts w:ascii="Arial" w:hAnsi="Arial" w:cs="Arial"/>
          <w:szCs w:val="24"/>
        </w:rPr>
        <w:lastRenderedPageBreak/>
        <w:t>inbound and outbound passengers and crew members before their arrival in or departure from the United States.</w:t>
      </w:r>
    </w:p>
    <w:p w:rsidR="004B4619" w:rsidP="00F56A39" w:rsidRDefault="004B4619" w14:paraId="7B25F819" w14:textId="77777777">
      <w:pPr>
        <w:ind w:start="36pt"/>
        <w:jc w:val="both"/>
        <w:rPr>
          <w:rFonts w:ascii="Arial" w:hAnsi="Arial"/>
        </w:rPr>
      </w:pPr>
    </w:p>
    <w:p w:rsidRPr="00C47181" w:rsidR="00F153AC" w:rsidP="00C12E2C" w:rsidRDefault="00F153AC" w14:paraId="7AABDCD3" w14:textId="77777777">
      <w:pPr>
        <w:ind w:start="36pt" w:hanging="36pt"/>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47181">
        <w:rPr>
          <w:szCs w:val="24"/>
        </w:rPr>
        <w:t xml:space="preserve">.  </w:t>
      </w:r>
    </w:p>
    <w:p w:rsidR="00F153AC" w:rsidP="00F153AC" w:rsidRDefault="00F153AC" w14:paraId="2E4393B3" w14:textId="77777777">
      <w:pPr>
        <w:rPr>
          <w:rFonts w:ascii="Arial" w:hAnsi="Arial"/>
          <w:szCs w:val="24"/>
        </w:rPr>
      </w:pPr>
      <w:r>
        <w:rPr>
          <w:rFonts w:ascii="Arial" w:hAnsi="Arial"/>
          <w:szCs w:val="24"/>
        </w:rPr>
        <w:tab/>
      </w:r>
    </w:p>
    <w:p w:rsidR="00E47F66" w:rsidP="00E47F66" w:rsidRDefault="00E47F66" w14:paraId="7185F60B" w14:textId="77777777">
      <w:pPr>
        <w:ind w:start="36pt"/>
        <w:rPr>
          <w:rFonts w:ascii="Arial" w:hAnsi="Arial"/>
        </w:rPr>
      </w:pPr>
      <w:r>
        <w:rPr>
          <w:rFonts w:ascii="Arial" w:hAnsi="Arial"/>
        </w:rPr>
        <w:t xml:space="preserve">CBP has developed a web-based system (eAPIS) that allows the respondents to access the internet and electronically submit the manifest data directly to CBP.  This alleviates the smaller carriers from </w:t>
      </w:r>
      <w:r w:rsidR="000C0A0E">
        <w:rPr>
          <w:rFonts w:ascii="Arial" w:hAnsi="Arial"/>
        </w:rPr>
        <w:t xml:space="preserve">having to </w:t>
      </w:r>
      <w:r>
        <w:rPr>
          <w:rFonts w:ascii="Arial" w:hAnsi="Arial"/>
        </w:rPr>
        <w:t xml:space="preserve">invest in expensive departure control/reservation systems or reprogramming their existing systems.  The web address is </w:t>
      </w:r>
      <w:hyperlink w:history="1" r:id="rId9">
        <w:r w:rsidRPr="008E4D33">
          <w:rPr>
            <w:rStyle w:val="Hyperlink"/>
            <w:rFonts w:ascii="Arial" w:hAnsi="Arial"/>
          </w:rPr>
          <w:t>https://eapis.cbp.dhs.gov</w:t>
        </w:r>
      </w:hyperlink>
    </w:p>
    <w:p w:rsidR="00760C16" w:rsidP="00E47F66" w:rsidRDefault="00760C16" w14:paraId="3B3CF0CB" w14:textId="77777777">
      <w:pPr>
        <w:ind w:start="36pt"/>
        <w:rPr>
          <w:rFonts w:ascii="Arial" w:hAnsi="Arial"/>
        </w:rPr>
      </w:pPr>
    </w:p>
    <w:p w:rsidR="00760C16" w:rsidP="00E47F66" w:rsidRDefault="00FB55BE" w14:paraId="2BEE6BB2" w14:textId="77777777">
      <w:pPr>
        <w:ind w:start="36pt"/>
        <w:rPr>
          <w:rFonts w:ascii="Arial" w:hAnsi="Arial"/>
        </w:rPr>
      </w:pPr>
      <w:r>
        <w:rPr>
          <w:rFonts w:ascii="Arial" w:hAnsi="Arial"/>
        </w:rPr>
        <w:t>L</w:t>
      </w:r>
      <w:r w:rsidR="00760C16">
        <w:rPr>
          <w:rFonts w:ascii="Arial" w:hAnsi="Arial"/>
        </w:rPr>
        <w:t xml:space="preserve">arge commercial carriers submit their APIS information </w:t>
      </w:r>
      <w:r w:rsidR="00FF7C71">
        <w:rPr>
          <w:rFonts w:ascii="Arial" w:hAnsi="Arial"/>
        </w:rPr>
        <w:t xml:space="preserve">to CBP </w:t>
      </w:r>
      <w:r w:rsidR="00760C16">
        <w:rPr>
          <w:rFonts w:ascii="Arial" w:hAnsi="Arial"/>
        </w:rPr>
        <w:t xml:space="preserve">via electronic interface </w:t>
      </w:r>
      <w:r w:rsidR="00FF7C71">
        <w:rPr>
          <w:rFonts w:ascii="Arial" w:hAnsi="Arial"/>
        </w:rPr>
        <w:t>(UNEDIFACT).</w:t>
      </w:r>
      <w:r w:rsidR="00760C16">
        <w:rPr>
          <w:rFonts w:ascii="Arial" w:hAnsi="Arial"/>
        </w:rPr>
        <w:t xml:space="preserve"> </w:t>
      </w:r>
    </w:p>
    <w:p w:rsidRPr="00C47181" w:rsidR="00F153AC" w:rsidP="00F153AC" w:rsidRDefault="00F153AC" w14:paraId="74A65E3B" w14:textId="77777777">
      <w:pPr>
        <w:tabs>
          <w:tab w:val="left" w:pos="-72pt"/>
        </w:tabs>
        <w:ind w:start="36pt" w:hanging="36pt"/>
        <w:rPr>
          <w:rFonts w:ascii="Arial" w:hAnsi="Arial"/>
          <w:szCs w:val="24"/>
        </w:rPr>
      </w:pPr>
      <w:r w:rsidRPr="00C47181">
        <w:rPr>
          <w:rFonts w:ascii="Arial" w:hAnsi="Arial"/>
          <w:szCs w:val="24"/>
        </w:rPr>
        <w:t xml:space="preserve"> </w:t>
      </w:r>
      <w:r w:rsidRPr="00C47181">
        <w:rPr>
          <w:rFonts w:ascii="Arial" w:hAnsi="Arial"/>
          <w:b/>
          <w:szCs w:val="24"/>
        </w:rPr>
        <w:t xml:space="preserve"> </w:t>
      </w:r>
    </w:p>
    <w:p w:rsidRPr="00C47181" w:rsidR="00F153AC" w:rsidP="00C12E2C" w:rsidRDefault="00F153AC" w14:paraId="2D7A0415" w14:textId="77777777">
      <w:pPr>
        <w:ind w:start="36pt" w:hanging="36pt"/>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C47181" w:rsidR="00F153AC" w:rsidP="00F153AC" w:rsidRDefault="00F153AC" w14:paraId="3CFB5CD7" w14:textId="77777777">
      <w:pPr>
        <w:tabs>
          <w:tab w:val="left" w:pos="-72pt"/>
        </w:tabs>
        <w:ind w:start="36pt" w:hanging="36pt"/>
        <w:rPr>
          <w:rFonts w:ascii="Arial" w:hAnsi="Arial"/>
          <w:szCs w:val="24"/>
        </w:rPr>
      </w:pPr>
    </w:p>
    <w:p w:rsidRPr="00C47181" w:rsidR="00F153AC" w:rsidP="00F153AC" w:rsidRDefault="00F153AC" w14:paraId="12257B53" w14:textId="77777777">
      <w:pPr>
        <w:tabs>
          <w:tab w:val="left" w:pos="-72pt"/>
        </w:tabs>
        <w:ind w:start="36pt" w:hanging="36pt"/>
        <w:rPr>
          <w:rFonts w:ascii="Arial" w:hAnsi="Arial"/>
          <w:szCs w:val="24"/>
        </w:rPr>
      </w:pPr>
      <w:r w:rsidRPr="00C47181">
        <w:rPr>
          <w:rFonts w:ascii="Arial" w:hAnsi="Arial"/>
          <w:szCs w:val="24"/>
        </w:rPr>
        <w:tab/>
        <w:t>This information is not duplicated in any other place or any other form.</w:t>
      </w:r>
    </w:p>
    <w:p w:rsidRPr="00C47181" w:rsidR="00F153AC" w:rsidP="00F153AC" w:rsidRDefault="00F153AC" w14:paraId="42F8E31D" w14:textId="77777777">
      <w:pPr>
        <w:rPr>
          <w:rFonts w:ascii="Arial" w:hAnsi="Arial"/>
          <w:szCs w:val="24"/>
        </w:rPr>
      </w:pPr>
    </w:p>
    <w:p w:rsidRPr="00C47181" w:rsidR="00F153AC" w:rsidP="00C12E2C" w:rsidRDefault="00F153AC" w14:paraId="612D9FB5" w14:textId="77777777">
      <w:pPr>
        <w:ind w:start="36pt" w:hanging="36pt"/>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Pr="00C47181" w:rsidR="00F153AC" w:rsidP="00F153AC" w:rsidRDefault="00F153AC" w14:paraId="2E54CA3B" w14:textId="77777777">
      <w:pPr>
        <w:tabs>
          <w:tab w:val="left" w:pos="-72pt"/>
        </w:tabs>
        <w:ind w:start="36pt" w:hanging="36pt"/>
        <w:rPr>
          <w:rFonts w:ascii="Arial" w:hAnsi="Arial"/>
          <w:szCs w:val="24"/>
        </w:rPr>
      </w:pPr>
    </w:p>
    <w:p w:rsidR="00F153AC" w:rsidP="00F153AC" w:rsidRDefault="00246351" w14:paraId="05DF0D5B" w14:textId="77777777">
      <w:pPr>
        <w:pStyle w:val="BodyTextIndent"/>
        <w:rPr>
          <w:szCs w:val="24"/>
        </w:rPr>
      </w:pPr>
      <w:r>
        <w:rPr>
          <w:szCs w:val="24"/>
        </w:rPr>
        <w:t>CBP established the eAPIS website so small carriers and private pilots would not have to purchase equipment and/or</w:t>
      </w:r>
      <w:r w:rsidR="00FA53DF">
        <w:rPr>
          <w:szCs w:val="24"/>
        </w:rPr>
        <w:t xml:space="preserve"> incur programming expenses.  </w:t>
      </w:r>
      <w:r w:rsidRPr="00C47181" w:rsidR="00F153AC">
        <w:rPr>
          <w:szCs w:val="24"/>
        </w:rPr>
        <w:t>This information collection does not have a</w:t>
      </w:r>
      <w:r w:rsidR="00252C67">
        <w:rPr>
          <w:szCs w:val="24"/>
        </w:rPr>
        <w:t>n</w:t>
      </w:r>
      <w:r w:rsidRPr="00C47181" w:rsidR="00F153AC">
        <w:rPr>
          <w:szCs w:val="24"/>
        </w:rPr>
        <w:t xml:space="preserve"> impact on a substantial number of small businesses.</w:t>
      </w:r>
    </w:p>
    <w:p w:rsidRPr="00C47181" w:rsidR="00F153AC" w:rsidP="00F153AC" w:rsidRDefault="0021318F" w14:paraId="59102051" w14:textId="77777777">
      <w:pPr>
        <w:pStyle w:val="BodyTextIndent"/>
        <w:rPr>
          <w:szCs w:val="24"/>
        </w:rPr>
      </w:pPr>
      <w:r>
        <w:rPr>
          <w:szCs w:val="24"/>
        </w:rPr>
        <w:tab/>
      </w:r>
    </w:p>
    <w:p w:rsidRPr="002A568C" w:rsidR="00F153AC" w:rsidP="00AF78C7" w:rsidRDefault="00F153AC" w14:paraId="5AB4AF79" w14:textId="77777777">
      <w:pPr>
        <w:widowControl/>
        <w:numPr>
          <w:ilvl w:val="0"/>
          <w:numId w:val="38"/>
        </w:numPr>
        <w:tabs>
          <w:tab w:val="clear" w:pos="27pt"/>
          <w:tab w:val="num" w:pos="36pt"/>
        </w:tabs>
        <w:ind w:start="36pt" w:hanging="36pt"/>
        <w:jc w:val="both"/>
        <w:rPr>
          <w:rFonts w:ascii="Arial" w:hAnsi="Arial"/>
          <w:szCs w:val="24"/>
        </w:rPr>
      </w:pPr>
      <w:r w:rsidRPr="00C47181">
        <w:rPr>
          <w:rFonts w:ascii="Arial" w:hAnsi="Arial" w:cs="Arial"/>
          <w:b/>
          <w:bCs/>
          <w:szCs w:val="24"/>
        </w:rPr>
        <w:t>Describe consequences to Federal program or policy activities if the</w:t>
      </w:r>
      <w:r w:rsidR="00817775">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F153AC" w:rsidP="00F153AC" w:rsidRDefault="00F153AC" w14:paraId="60BC8BF2" w14:textId="77777777">
      <w:pPr>
        <w:widowControl/>
        <w:ind w:start="27pt"/>
        <w:rPr>
          <w:rFonts w:ascii="Arial" w:hAnsi="Arial" w:cs="Arial"/>
          <w:b/>
          <w:bCs/>
          <w:szCs w:val="24"/>
        </w:rPr>
      </w:pPr>
    </w:p>
    <w:p w:rsidR="00987CF2" w:rsidP="00987CF2" w:rsidRDefault="00987CF2" w14:paraId="3C51BEB2" w14:textId="77777777">
      <w:pPr>
        <w:tabs>
          <w:tab w:val="left" w:pos="-72pt"/>
        </w:tabs>
        <w:ind w:start="36pt"/>
        <w:rPr>
          <w:rFonts w:ascii="Arial" w:hAnsi="Arial"/>
        </w:rPr>
      </w:pPr>
      <w:r>
        <w:rPr>
          <w:rFonts w:ascii="Arial" w:hAnsi="Arial"/>
        </w:rPr>
        <w:t xml:space="preserve">Without this information, CBP would not be able to meet the requirements of the applicable law and ensure the safety of international passengers and the commercial air and sea carrier industries. </w:t>
      </w:r>
    </w:p>
    <w:p w:rsidR="00F153AC" w:rsidP="00F153AC" w:rsidRDefault="00F153AC" w14:paraId="270D8F34" w14:textId="77777777">
      <w:pPr>
        <w:widowControl/>
        <w:ind w:start="9pt"/>
        <w:rPr>
          <w:rFonts w:ascii="Arial" w:hAnsi="Arial"/>
          <w:szCs w:val="24"/>
        </w:rPr>
      </w:pPr>
      <w:r>
        <w:rPr>
          <w:rFonts w:ascii="Arial" w:hAnsi="Arial" w:cs="Arial"/>
          <w:b/>
          <w:bCs/>
          <w:szCs w:val="24"/>
        </w:rPr>
        <w:t xml:space="preserve">    </w:t>
      </w:r>
      <w:r>
        <w:rPr>
          <w:rFonts w:ascii="Arial" w:hAnsi="Arial"/>
          <w:szCs w:val="24"/>
        </w:rPr>
        <w:tab/>
      </w:r>
    </w:p>
    <w:p w:rsidR="00F153AC" w:rsidP="00D67DFC" w:rsidRDefault="00817775" w14:paraId="4E3B7DE1" w14:textId="77777777">
      <w:pPr>
        <w:numPr>
          <w:ilvl w:val="0"/>
          <w:numId w:val="38"/>
        </w:numPr>
        <w:ind w:hanging="27pt"/>
        <w:rPr>
          <w:rFonts w:ascii="Arial" w:hAnsi="Arial" w:cs="Arial"/>
          <w:b/>
          <w:bCs/>
          <w:szCs w:val="24"/>
        </w:rPr>
      </w:pPr>
      <w:r>
        <w:rPr>
          <w:rFonts w:ascii="Arial" w:hAnsi="Arial" w:cs="Arial"/>
          <w:b/>
          <w:bCs/>
          <w:szCs w:val="24"/>
        </w:rPr>
        <w:t xml:space="preserve">   </w:t>
      </w:r>
      <w:r w:rsidRPr="00C47181" w:rsidR="00F153AC">
        <w:rPr>
          <w:rFonts w:ascii="Arial" w:hAnsi="Arial" w:cs="Arial"/>
          <w:b/>
          <w:bCs/>
          <w:szCs w:val="24"/>
        </w:rPr>
        <w:t>Explain any special circumstances</w:t>
      </w:r>
      <w:r w:rsidR="00083666">
        <w:rPr>
          <w:rFonts w:ascii="Arial" w:hAnsi="Arial" w:cs="Arial"/>
          <w:b/>
          <w:bCs/>
          <w:szCs w:val="24"/>
        </w:rPr>
        <w:t>.</w:t>
      </w:r>
    </w:p>
    <w:p w:rsidR="007F2E6A" w:rsidP="007F2E6A" w:rsidRDefault="007F2E6A" w14:paraId="5B58FF39" w14:textId="77777777">
      <w:pPr>
        <w:ind w:start="27pt"/>
        <w:rPr>
          <w:rFonts w:ascii="Arial" w:hAnsi="Arial" w:cs="Arial"/>
          <w:b/>
          <w:bCs/>
          <w:szCs w:val="24"/>
        </w:rPr>
      </w:pPr>
    </w:p>
    <w:p w:rsidRPr="00C47181" w:rsidR="00F153AC" w:rsidP="00F153AC" w:rsidRDefault="00F153AC" w14:paraId="0044096C" w14:textId="77777777">
      <w:pPr>
        <w:tabs>
          <w:tab w:val="left" w:pos="-72pt"/>
        </w:tabs>
        <w:ind w:start="36pt" w:hanging="36pt"/>
        <w:rPr>
          <w:rFonts w:ascii="Arial" w:hAnsi="Arial"/>
          <w:szCs w:val="24"/>
        </w:rPr>
      </w:pPr>
      <w:r w:rsidRPr="00C47181">
        <w:rPr>
          <w:rFonts w:ascii="Arial" w:hAnsi="Arial"/>
          <w:szCs w:val="24"/>
        </w:rPr>
        <w:tab/>
        <w:t>This information is collected in a manner consistent with the guidelines of 5 CFR 1320.6.</w:t>
      </w:r>
    </w:p>
    <w:p w:rsidRPr="00C47181" w:rsidR="00F153AC" w:rsidP="00F153AC" w:rsidRDefault="00F153AC" w14:paraId="4D2A344C" w14:textId="77777777">
      <w:pPr>
        <w:rPr>
          <w:rFonts w:ascii="Arial" w:hAnsi="Arial"/>
          <w:szCs w:val="24"/>
        </w:rPr>
      </w:pPr>
    </w:p>
    <w:p w:rsidR="00F153AC" w:rsidP="00AF78C7" w:rsidRDefault="00F153AC" w14:paraId="67252D10" w14:textId="77777777">
      <w:pPr>
        <w:numPr>
          <w:ilvl w:val="0"/>
          <w:numId w:val="40"/>
        </w:numPr>
        <w:tabs>
          <w:tab w:val="clear" w:pos="27pt"/>
          <w:tab w:val="num" w:pos="36pt"/>
        </w:tabs>
        <w:ind w:start="36pt" w:hanging="36pt"/>
        <w:jc w:val="both"/>
        <w:rPr>
          <w:rFonts w:ascii="Arial" w:hAnsi="Arial" w:cs="Arial"/>
          <w:b/>
          <w:bCs/>
          <w:szCs w:val="24"/>
        </w:rPr>
      </w:pPr>
      <w:r w:rsidRPr="00C47181">
        <w:rPr>
          <w:rFonts w:ascii="Arial" w:hAnsi="Arial" w:cs="Arial"/>
          <w:b/>
          <w:bCs/>
          <w:szCs w:val="24"/>
        </w:rPr>
        <w:t xml:space="preserve">If applicable, provide a copy and identify the date and page number of </w:t>
      </w:r>
      <w:r w:rsidR="00817775">
        <w:rPr>
          <w:rFonts w:ascii="Arial" w:hAnsi="Arial" w:cs="Arial"/>
          <w:b/>
          <w:bCs/>
          <w:szCs w:val="24"/>
        </w:rPr>
        <w:t xml:space="preserve">    </w:t>
      </w:r>
      <w:r w:rsidR="00C12E2C">
        <w:rPr>
          <w:rFonts w:ascii="Arial" w:hAnsi="Arial" w:cs="Arial"/>
          <w:b/>
          <w:bCs/>
          <w:szCs w:val="24"/>
        </w:rPr>
        <w:t xml:space="preserve">     </w:t>
      </w:r>
      <w:proofErr w:type="gramStart"/>
      <w:r w:rsidRPr="00C47181">
        <w:rPr>
          <w:rFonts w:ascii="Arial" w:hAnsi="Arial" w:cs="Arial"/>
          <w:b/>
          <w:bCs/>
          <w:szCs w:val="24"/>
        </w:rPr>
        <w:t>publication</w:t>
      </w:r>
      <w:proofErr w:type="gramEnd"/>
      <w:r w:rsidRPr="00C47181">
        <w:rPr>
          <w:rFonts w:ascii="Arial" w:hAnsi="Arial" w:cs="Arial"/>
          <w:b/>
          <w:bCs/>
          <w:szCs w:val="24"/>
        </w:rPr>
        <w:t xml:space="preserve"> in the Federal Register of the agency's notice, required by 5 </w:t>
      </w:r>
      <w:r w:rsidR="00817775">
        <w:rPr>
          <w:rFonts w:ascii="Arial" w:hAnsi="Arial" w:cs="Arial"/>
          <w:b/>
          <w:bCs/>
          <w:szCs w:val="24"/>
        </w:rPr>
        <w:t xml:space="preserve">        </w:t>
      </w:r>
      <w:r w:rsidRPr="00C47181">
        <w:rPr>
          <w:rFonts w:ascii="Arial" w:hAnsi="Arial" w:cs="Arial"/>
          <w:b/>
          <w:bCs/>
          <w:szCs w:val="24"/>
        </w:rPr>
        <w:t xml:space="preserve">CFR 1320.8(d), soliciting comments on the information collection prior to </w:t>
      </w:r>
      <w:r w:rsidR="00817775">
        <w:rPr>
          <w:rFonts w:ascii="Arial" w:hAnsi="Arial" w:cs="Arial"/>
          <w:b/>
          <w:bCs/>
          <w:szCs w:val="24"/>
        </w:rPr>
        <w:t xml:space="preserve">      </w:t>
      </w:r>
      <w:r w:rsidRPr="00C47181">
        <w:rPr>
          <w:rFonts w:ascii="Arial" w:hAnsi="Arial" w:cs="Arial"/>
          <w:b/>
          <w:bCs/>
          <w:szCs w:val="24"/>
        </w:rPr>
        <w:t xml:space="preserve">submission to OMB.  Summarize public comments received in response to </w:t>
      </w:r>
      <w:r w:rsidR="00817775">
        <w:rPr>
          <w:rFonts w:ascii="Arial" w:hAnsi="Arial" w:cs="Arial"/>
          <w:b/>
          <w:bCs/>
          <w:szCs w:val="24"/>
        </w:rPr>
        <w:t xml:space="preserve">   </w:t>
      </w:r>
      <w:r w:rsidRPr="00C47181">
        <w:rPr>
          <w:rFonts w:ascii="Arial" w:hAnsi="Arial" w:cs="Arial"/>
          <w:b/>
          <w:bCs/>
          <w:szCs w:val="24"/>
        </w:rPr>
        <w:t xml:space="preserve">that notice and describe actions taken by the agency in response to these </w:t>
      </w:r>
      <w:r w:rsidR="00817775">
        <w:rPr>
          <w:rFonts w:ascii="Arial" w:hAnsi="Arial" w:cs="Arial"/>
          <w:b/>
          <w:bCs/>
          <w:szCs w:val="24"/>
        </w:rPr>
        <w:t xml:space="preserve">    </w:t>
      </w:r>
      <w:r w:rsidR="00C12E2C">
        <w:rPr>
          <w:rFonts w:ascii="Arial" w:hAnsi="Arial" w:cs="Arial"/>
          <w:b/>
          <w:bCs/>
          <w:szCs w:val="24"/>
        </w:rPr>
        <w:t xml:space="preserve">comments. </w:t>
      </w:r>
      <w:r w:rsidRPr="00C47181">
        <w:rPr>
          <w:rFonts w:ascii="Arial" w:hAnsi="Arial" w:cs="Arial"/>
          <w:b/>
          <w:bCs/>
          <w:szCs w:val="24"/>
        </w:rPr>
        <w:t xml:space="preserve">Specifically address comments received on cost and hour </w:t>
      </w:r>
      <w:r w:rsidR="00817775">
        <w:rPr>
          <w:rFonts w:ascii="Arial" w:hAnsi="Arial" w:cs="Arial"/>
          <w:b/>
          <w:bCs/>
          <w:szCs w:val="24"/>
        </w:rPr>
        <w:t xml:space="preserve">          </w:t>
      </w:r>
      <w:r w:rsidRPr="00C47181">
        <w:rPr>
          <w:rFonts w:ascii="Arial" w:hAnsi="Arial" w:cs="Arial"/>
          <w:b/>
          <w:bCs/>
          <w:szCs w:val="24"/>
        </w:rPr>
        <w:t>burden.</w:t>
      </w:r>
    </w:p>
    <w:p w:rsidR="007F2E6A" w:rsidP="00F56A39" w:rsidRDefault="007F2E6A" w14:paraId="183EA4CB" w14:textId="77777777">
      <w:pPr>
        <w:tabs>
          <w:tab w:val="left" w:pos="-72pt"/>
        </w:tabs>
        <w:ind w:start="18pt"/>
        <w:jc w:val="both"/>
        <w:rPr>
          <w:rFonts w:ascii="Arial" w:hAnsi="Arial" w:cs="Arial"/>
        </w:rPr>
      </w:pPr>
    </w:p>
    <w:p w:rsidR="00196C01" w:rsidP="00196C01" w:rsidRDefault="00196C01" w14:paraId="3644BB64" w14:textId="77777777">
      <w:pPr>
        <w:tabs>
          <w:tab w:val="left" w:pos="-72pt"/>
        </w:tabs>
        <w:ind w:start="36pt" w:hanging="18pt"/>
        <w:jc w:val="both"/>
        <w:rPr>
          <w:rFonts w:ascii="Arial" w:hAnsi="Arial"/>
        </w:rPr>
      </w:pPr>
      <w:r>
        <w:rPr>
          <w:rFonts w:ascii="Arial" w:hAnsi="Arial"/>
        </w:rPr>
        <w:tab/>
      </w:r>
      <w:r w:rsidRPr="00B72E47">
        <w:rPr>
          <w:rFonts w:ascii="Arial" w:hAnsi="Arial"/>
        </w:rPr>
        <w:t xml:space="preserve">Public comments were solicited through two Federal Register notices published on </w:t>
      </w:r>
      <w:r w:rsidR="00B72E47">
        <w:rPr>
          <w:rFonts w:ascii="Arial" w:hAnsi="Arial"/>
        </w:rPr>
        <w:t>November 28</w:t>
      </w:r>
      <w:r w:rsidRPr="00B72E47" w:rsidR="00D468E7">
        <w:rPr>
          <w:rFonts w:ascii="Arial" w:hAnsi="Arial"/>
        </w:rPr>
        <w:t>, 20</w:t>
      </w:r>
      <w:r w:rsidR="00B72E47">
        <w:rPr>
          <w:rFonts w:ascii="Arial" w:hAnsi="Arial"/>
        </w:rPr>
        <w:t>16</w:t>
      </w:r>
      <w:r w:rsidRPr="00B72E47">
        <w:rPr>
          <w:rFonts w:ascii="Arial" w:hAnsi="Arial"/>
        </w:rPr>
        <w:t xml:space="preserve"> (Volum</w:t>
      </w:r>
      <w:r w:rsidRPr="00B72E47" w:rsidR="00D468E7">
        <w:rPr>
          <w:rFonts w:ascii="Arial" w:hAnsi="Arial"/>
        </w:rPr>
        <w:t xml:space="preserve">e </w:t>
      </w:r>
      <w:r w:rsidR="00B72E47">
        <w:rPr>
          <w:rFonts w:ascii="Arial" w:hAnsi="Arial"/>
        </w:rPr>
        <w:t>81</w:t>
      </w:r>
      <w:r w:rsidRPr="00B72E47">
        <w:rPr>
          <w:rFonts w:ascii="Arial" w:hAnsi="Arial"/>
        </w:rPr>
        <w:t xml:space="preserve">, Page </w:t>
      </w:r>
      <w:r w:rsidR="00B72E47">
        <w:rPr>
          <w:rFonts w:ascii="Arial" w:hAnsi="Arial"/>
        </w:rPr>
        <w:t>85587</w:t>
      </w:r>
      <w:r w:rsidRPr="00B72E47">
        <w:rPr>
          <w:rFonts w:ascii="Arial" w:hAnsi="Arial"/>
        </w:rPr>
        <w:t xml:space="preserve">) </w:t>
      </w:r>
      <w:r w:rsidRPr="00B72E47" w:rsidR="00ED362A">
        <w:rPr>
          <w:rFonts w:ascii="Arial" w:hAnsi="Arial"/>
        </w:rPr>
        <w:t>on which two</w:t>
      </w:r>
      <w:r w:rsidRPr="00B72E47" w:rsidR="00083666">
        <w:rPr>
          <w:rFonts w:ascii="Arial" w:hAnsi="Arial"/>
        </w:rPr>
        <w:t xml:space="preserve"> comments were received, </w:t>
      </w:r>
      <w:r w:rsidRPr="00B72E47">
        <w:rPr>
          <w:rFonts w:ascii="Arial" w:hAnsi="Arial"/>
        </w:rPr>
        <w:t xml:space="preserve">and on </w:t>
      </w:r>
      <w:r w:rsidR="009271FB">
        <w:rPr>
          <w:rFonts w:ascii="Arial" w:hAnsi="Arial"/>
        </w:rPr>
        <w:t>March 3</w:t>
      </w:r>
      <w:r w:rsidRPr="00B72E47" w:rsidR="00D468E7">
        <w:rPr>
          <w:rFonts w:ascii="Arial" w:hAnsi="Arial"/>
        </w:rPr>
        <w:t>, 20</w:t>
      </w:r>
      <w:r w:rsidR="009271FB">
        <w:rPr>
          <w:rFonts w:ascii="Arial" w:hAnsi="Arial"/>
        </w:rPr>
        <w:t>17</w:t>
      </w:r>
      <w:r w:rsidRPr="00B72E47">
        <w:rPr>
          <w:rFonts w:ascii="Arial" w:hAnsi="Arial"/>
        </w:rPr>
        <w:t xml:space="preserve"> (Volume </w:t>
      </w:r>
      <w:r w:rsidR="009271FB">
        <w:rPr>
          <w:rFonts w:ascii="Arial" w:hAnsi="Arial"/>
        </w:rPr>
        <w:t>82</w:t>
      </w:r>
      <w:r w:rsidRPr="00B72E47">
        <w:rPr>
          <w:rFonts w:ascii="Arial" w:hAnsi="Arial"/>
        </w:rPr>
        <w:t>, Page</w:t>
      </w:r>
      <w:r w:rsidRPr="00B72E47" w:rsidR="00D468E7">
        <w:rPr>
          <w:rFonts w:ascii="Arial" w:hAnsi="Arial"/>
        </w:rPr>
        <w:t xml:space="preserve"> </w:t>
      </w:r>
      <w:r w:rsidR="009271FB">
        <w:rPr>
          <w:rFonts w:ascii="Arial" w:hAnsi="Arial"/>
        </w:rPr>
        <w:t>12460</w:t>
      </w:r>
      <w:r w:rsidRPr="00B72E47">
        <w:rPr>
          <w:rFonts w:ascii="Arial" w:hAnsi="Arial"/>
        </w:rPr>
        <w:t>)</w:t>
      </w:r>
      <w:r w:rsidRPr="00B72E47" w:rsidR="00083666">
        <w:rPr>
          <w:rFonts w:ascii="Arial" w:hAnsi="Arial"/>
        </w:rPr>
        <w:t xml:space="preserve"> on which n</w:t>
      </w:r>
      <w:r w:rsidRPr="00B72E47">
        <w:rPr>
          <w:rFonts w:ascii="Arial" w:hAnsi="Arial"/>
        </w:rPr>
        <w:t xml:space="preserve">o comments </w:t>
      </w:r>
      <w:r w:rsidRPr="00B72E47" w:rsidR="00083666">
        <w:rPr>
          <w:rFonts w:ascii="Arial" w:hAnsi="Arial"/>
        </w:rPr>
        <w:t>have been</w:t>
      </w:r>
      <w:r w:rsidRPr="00B72E47">
        <w:rPr>
          <w:rFonts w:ascii="Arial" w:hAnsi="Arial"/>
        </w:rPr>
        <w:t xml:space="preserve"> received.</w:t>
      </w:r>
      <w:r>
        <w:rPr>
          <w:rFonts w:ascii="Arial" w:hAnsi="Arial"/>
        </w:rPr>
        <w:t xml:space="preserve">  </w:t>
      </w:r>
    </w:p>
    <w:p w:rsidR="00F153AC" w:rsidP="00F153AC" w:rsidRDefault="00F153AC" w14:paraId="05D5B549" w14:textId="77777777">
      <w:pPr>
        <w:ind w:start="36pt" w:hanging="30pt"/>
        <w:rPr>
          <w:rFonts w:ascii="Arial" w:hAnsi="Arial"/>
          <w:b/>
          <w:bCs/>
          <w:szCs w:val="24"/>
        </w:rPr>
      </w:pPr>
    </w:p>
    <w:p w:rsidR="00A40643" w:rsidP="00F153AC" w:rsidRDefault="00A40643" w14:paraId="72986FB5" w14:textId="77777777">
      <w:pPr>
        <w:ind w:start="36pt" w:hanging="30pt"/>
        <w:rPr>
          <w:rFonts w:ascii="Arial" w:hAnsi="Arial"/>
          <w:bCs/>
          <w:szCs w:val="24"/>
          <w:u w:val="single"/>
        </w:rPr>
      </w:pPr>
      <w:r>
        <w:rPr>
          <w:rFonts w:ascii="Arial" w:hAnsi="Arial"/>
          <w:b/>
          <w:bCs/>
          <w:szCs w:val="24"/>
        </w:rPr>
        <w:tab/>
      </w:r>
      <w:r w:rsidRPr="00A40643">
        <w:rPr>
          <w:rFonts w:ascii="Arial" w:hAnsi="Arial"/>
          <w:bCs/>
          <w:szCs w:val="24"/>
          <w:u w:val="single"/>
        </w:rPr>
        <w:t>Comment Received and CBP Response:</w:t>
      </w:r>
    </w:p>
    <w:p w:rsidR="008A7504" w:rsidP="00F153AC" w:rsidRDefault="008A7504" w14:paraId="5D0269D0" w14:textId="77777777">
      <w:pPr>
        <w:ind w:start="36pt" w:hanging="30pt"/>
        <w:rPr>
          <w:rFonts w:ascii="Arial" w:hAnsi="Arial"/>
          <w:bCs/>
          <w:szCs w:val="24"/>
          <w:u w:val="single"/>
        </w:rPr>
      </w:pPr>
    </w:p>
    <w:p w:rsidR="008A7504" w:rsidP="00F153AC" w:rsidRDefault="008A7504" w14:paraId="40A24287" w14:textId="77777777">
      <w:pPr>
        <w:ind w:start="36pt" w:hanging="30pt"/>
        <w:rPr>
          <w:rFonts w:ascii="Arial" w:hAnsi="Arial"/>
        </w:rPr>
      </w:pPr>
      <w:r>
        <w:rPr>
          <w:rFonts w:ascii="Arial" w:hAnsi="Arial"/>
          <w:bCs/>
          <w:szCs w:val="24"/>
        </w:rPr>
        <w:tab/>
      </w:r>
      <w:r w:rsidRPr="004E4138">
        <w:rPr>
          <w:rFonts w:ascii="Arial" w:hAnsi="Arial"/>
        </w:rPr>
        <w:t xml:space="preserve">A comment was received from </w:t>
      </w:r>
      <w:r>
        <w:rPr>
          <w:rFonts w:ascii="Arial" w:hAnsi="Arial"/>
        </w:rPr>
        <w:t>Michael C Mullen</w:t>
      </w:r>
      <w:r w:rsidRPr="004E4138">
        <w:rPr>
          <w:rFonts w:ascii="Arial" w:hAnsi="Arial"/>
        </w:rPr>
        <w:t xml:space="preserve">, </w:t>
      </w:r>
      <w:r>
        <w:rPr>
          <w:rFonts w:ascii="Arial" w:hAnsi="Arial"/>
        </w:rPr>
        <w:t>Executive Director, Express Association of America (EAA).</w:t>
      </w:r>
    </w:p>
    <w:p w:rsidR="00ED362A" w:rsidP="00F153AC" w:rsidRDefault="00ED362A" w14:paraId="2BDF1973" w14:textId="77777777">
      <w:pPr>
        <w:ind w:start="36pt" w:hanging="30pt"/>
        <w:rPr>
          <w:rFonts w:ascii="Arial" w:hAnsi="Arial"/>
        </w:rPr>
      </w:pPr>
      <w:r>
        <w:rPr>
          <w:rFonts w:ascii="Arial" w:hAnsi="Arial"/>
        </w:rPr>
        <w:tab/>
      </w:r>
    </w:p>
    <w:p w:rsidRPr="008A7504" w:rsidR="00ED362A" w:rsidP="00F153AC" w:rsidRDefault="00ED362A" w14:paraId="28E0138A" w14:textId="77777777">
      <w:pPr>
        <w:ind w:start="36pt" w:hanging="30pt"/>
        <w:rPr>
          <w:rFonts w:ascii="Arial" w:hAnsi="Arial"/>
          <w:bCs/>
          <w:szCs w:val="24"/>
        </w:rPr>
      </w:pPr>
      <w:r>
        <w:rPr>
          <w:rFonts w:ascii="Arial" w:hAnsi="Arial"/>
        </w:rPr>
        <w:tab/>
        <w:t>A comment was received from Don Woods, Director, UPS Supply Chain Solutions, Inc.</w:t>
      </w:r>
    </w:p>
    <w:p w:rsidR="00A40643" w:rsidP="00F153AC" w:rsidRDefault="00A40643" w14:paraId="375A68E7" w14:textId="77777777">
      <w:pPr>
        <w:ind w:start="36pt" w:hanging="30pt"/>
        <w:rPr>
          <w:rFonts w:ascii="Arial" w:hAnsi="Arial"/>
          <w:bCs/>
          <w:szCs w:val="24"/>
        </w:rPr>
      </w:pPr>
    </w:p>
    <w:p w:rsidRPr="00A40643" w:rsidR="00A40643" w:rsidP="00A40643" w:rsidRDefault="00A40643" w14:paraId="2277429B" w14:textId="77777777">
      <w:pPr>
        <w:ind w:start="36pt"/>
        <w:rPr>
          <w:rFonts w:ascii="Arial" w:hAnsi="Arial"/>
          <w:szCs w:val="24"/>
        </w:rPr>
      </w:pPr>
      <w:r w:rsidRPr="00A40643">
        <w:rPr>
          <w:rFonts w:ascii="Arial" w:hAnsi="Arial"/>
          <w:szCs w:val="24"/>
        </w:rPr>
        <w:t xml:space="preserve">EAA </w:t>
      </w:r>
      <w:r w:rsidR="00ED362A">
        <w:rPr>
          <w:rFonts w:ascii="Arial" w:hAnsi="Arial"/>
          <w:szCs w:val="24"/>
        </w:rPr>
        <w:t xml:space="preserve">and UPS </w:t>
      </w:r>
      <w:r w:rsidRPr="00A40643">
        <w:rPr>
          <w:rFonts w:ascii="Arial" w:hAnsi="Arial"/>
          <w:szCs w:val="24"/>
        </w:rPr>
        <w:t>r</w:t>
      </w:r>
      <w:r w:rsidR="00ED362A">
        <w:rPr>
          <w:rFonts w:ascii="Arial" w:hAnsi="Arial"/>
          <w:szCs w:val="24"/>
        </w:rPr>
        <w:t>ecommend</w:t>
      </w:r>
      <w:r w:rsidRPr="00A40643">
        <w:rPr>
          <w:rFonts w:ascii="Arial" w:hAnsi="Arial"/>
          <w:szCs w:val="24"/>
        </w:rPr>
        <w:t xml:space="preserve"> that the APIS electronic submission process be migrated over to the ACE platform for data collection from the current standalone system.  ACE has become the primary means of providing required information to CBP, and hosting APIS on ACE would allow for streamlining data submissions.  This also would provide for greater reliability and support the Export Control Reform as required by the White House.</w:t>
      </w:r>
    </w:p>
    <w:p w:rsidRPr="00A40643" w:rsidR="00A40643" w:rsidP="00A40643" w:rsidRDefault="00A40643" w14:paraId="5443023C" w14:textId="77777777">
      <w:pPr>
        <w:rPr>
          <w:rFonts w:ascii="Arial" w:hAnsi="Arial"/>
          <w:szCs w:val="24"/>
        </w:rPr>
      </w:pPr>
    </w:p>
    <w:p w:rsidRPr="00A40643" w:rsidR="00A40643" w:rsidP="00A40643" w:rsidRDefault="002A596E" w14:paraId="29B98E0B" w14:textId="77777777">
      <w:pPr>
        <w:ind w:start="36pt"/>
        <w:rPr>
          <w:rFonts w:ascii="Arial" w:hAnsi="Arial"/>
          <w:szCs w:val="24"/>
        </w:rPr>
      </w:pPr>
      <w:r w:rsidRPr="000E3EAC">
        <w:rPr>
          <w:rFonts w:ascii="Arial" w:hAnsi="Arial"/>
          <w:szCs w:val="24"/>
          <w:u w:val="single"/>
        </w:rPr>
        <w:t xml:space="preserve">CBP </w:t>
      </w:r>
      <w:r w:rsidRPr="000E3EAC" w:rsidR="00A40643">
        <w:rPr>
          <w:rFonts w:ascii="Arial" w:hAnsi="Arial"/>
          <w:szCs w:val="24"/>
          <w:u w:val="single"/>
        </w:rPr>
        <w:t>RESPONSE</w:t>
      </w:r>
      <w:r w:rsidRPr="00A40643" w:rsidR="00A40643">
        <w:rPr>
          <w:rFonts w:ascii="Arial" w:hAnsi="Arial"/>
          <w:szCs w:val="24"/>
        </w:rPr>
        <w:t>: The Advance Passenger Information System (APIS) is not currently a standalone system, APIS is part of TECS with numerous pro</w:t>
      </w:r>
      <w:r w:rsidR="00200408">
        <w:rPr>
          <w:rFonts w:ascii="Arial" w:hAnsi="Arial"/>
          <w:szCs w:val="24"/>
        </w:rPr>
        <w:t>cesses and entities that use</w:t>
      </w:r>
      <w:r w:rsidRPr="00A40643" w:rsidR="00A40643">
        <w:rPr>
          <w:rFonts w:ascii="Arial" w:hAnsi="Arial"/>
          <w:szCs w:val="24"/>
        </w:rPr>
        <w:t xml:space="preserve"> the system.  There is an interactive component to APIS that provides carriers with Boarding Pass printing instructions based on national security and law enforcement checks.  APIS is also used for real-time admissibility checks prior to travelers boarding a flight, and APIS is used as part of the system for processing travelers upon arrival.   Since APIS is much more than a system used for data collection, and there are numerous other systems and operational processes tied to APIS, it would not be practical to migrate APIS over to the ACE platform.  </w:t>
      </w:r>
    </w:p>
    <w:p w:rsidRPr="00A40643" w:rsidR="00A40643" w:rsidP="00A40643" w:rsidRDefault="00A40643" w14:paraId="4E8AF218" w14:textId="77777777">
      <w:pPr>
        <w:rPr>
          <w:rFonts w:ascii="Arial" w:hAnsi="Arial"/>
          <w:szCs w:val="24"/>
        </w:rPr>
      </w:pPr>
    </w:p>
    <w:p w:rsidRPr="00A40643" w:rsidR="00A40643" w:rsidP="00A40643" w:rsidRDefault="00A40643" w14:paraId="4376621A" w14:textId="77777777">
      <w:pPr>
        <w:ind w:start="36pt"/>
        <w:rPr>
          <w:rFonts w:ascii="Arial" w:hAnsi="Arial"/>
          <w:szCs w:val="24"/>
        </w:rPr>
      </w:pPr>
      <w:r w:rsidRPr="00A40643">
        <w:rPr>
          <w:rFonts w:ascii="Arial" w:hAnsi="Arial"/>
          <w:szCs w:val="24"/>
        </w:rPr>
        <w:t>EAA</w:t>
      </w:r>
      <w:r w:rsidR="00ED362A">
        <w:rPr>
          <w:rFonts w:ascii="Arial" w:hAnsi="Arial"/>
          <w:szCs w:val="24"/>
        </w:rPr>
        <w:t xml:space="preserve"> and UPS </w:t>
      </w:r>
      <w:r w:rsidRPr="00A40643">
        <w:rPr>
          <w:rFonts w:ascii="Arial" w:hAnsi="Arial"/>
          <w:szCs w:val="24"/>
        </w:rPr>
        <w:t xml:space="preserve">also recommends that the APIS process be expanded to include the General Declaration, OMB Number 1651-0002 as required by 19 CFR 122.43, 122.52, 122.54, 122.73 and 122.144.  Participation in the current pilot program to make the GenDec an electronic form is limited to passenger carriers, but all parties who are required to submit this form will clearly need to do so electronically in the future.  EAA is recommending combining the APIS submission and the GenDec into a single form and allowing a single data submission into the ACE platform.  </w:t>
      </w:r>
    </w:p>
    <w:p w:rsidRPr="00A40643" w:rsidR="00A40643" w:rsidP="00A40643" w:rsidRDefault="00A40643" w14:paraId="2F9E620D" w14:textId="77777777">
      <w:pPr>
        <w:rPr>
          <w:rFonts w:ascii="Arial" w:hAnsi="Arial"/>
          <w:szCs w:val="24"/>
        </w:rPr>
      </w:pPr>
    </w:p>
    <w:p w:rsidRPr="00A40643" w:rsidR="00A40643" w:rsidP="00A40643" w:rsidRDefault="002A596E" w14:paraId="6A24680F" w14:textId="77777777">
      <w:pPr>
        <w:ind w:start="36pt"/>
        <w:rPr>
          <w:rFonts w:ascii="Arial" w:hAnsi="Arial"/>
          <w:szCs w:val="24"/>
        </w:rPr>
      </w:pPr>
      <w:r w:rsidRPr="000E3EAC">
        <w:rPr>
          <w:rFonts w:ascii="Arial" w:hAnsi="Arial"/>
          <w:szCs w:val="24"/>
          <w:u w:val="single"/>
        </w:rPr>
        <w:t xml:space="preserve">CBP </w:t>
      </w:r>
      <w:r w:rsidRPr="000E3EAC" w:rsidR="00A40643">
        <w:rPr>
          <w:rFonts w:ascii="Arial" w:hAnsi="Arial"/>
          <w:szCs w:val="24"/>
          <w:u w:val="single"/>
        </w:rPr>
        <w:t>RESPONSE</w:t>
      </w:r>
      <w:r w:rsidRPr="00A40643" w:rsidR="00A40643">
        <w:rPr>
          <w:rFonts w:ascii="Arial" w:hAnsi="Arial"/>
          <w:szCs w:val="24"/>
        </w:rPr>
        <w:t>: APIS is often used for automation and streamlining processes, including automating the Paper I</w:t>
      </w:r>
      <w:r w:rsidR="00200408">
        <w:rPr>
          <w:rFonts w:ascii="Arial" w:hAnsi="Arial"/>
          <w:szCs w:val="24"/>
        </w:rPr>
        <w:t>-</w:t>
      </w:r>
      <w:r w:rsidRPr="00A40643" w:rsidR="00A40643">
        <w:rPr>
          <w:rFonts w:ascii="Arial" w:hAnsi="Arial"/>
          <w:szCs w:val="24"/>
        </w:rPr>
        <w:t xml:space="preserve">94. There is also a single window-process for carriers to meet both CBP APIS requirements and TSA Secure Flight requirements by submitting a single message.  APIS data alone does not currently provide </w:t>
      </w:r>
      <w:proofErr w:type="gramStart"/>
      <w:r w:rsidRPr="00A40643" w:rsidR="00A40643">
        <w:rPr>
          <w:rFonts w:ascii="Arial" w:hAnsi="Arial"/>
          <w:szCs w:val="24"/>
        </w:rPr>
        <w:t>all of</w:t>
      </w:r>
      <w:proofErr w:type="gramEnd"/>
      <w:r w:rsidRPr="00A40643" w:rsidR="00A40643">
        <w:rPr>
          <w:rFonts w:ascii="Arial" w:hAnsi="Arial"/>
          <w:szCs w:val="24"/>
        </w:rPr>
        <w:t xml:space="preserve"> the data necessary for the General Declaration.  In addition, APIS data is required before departure to meet the operational national Security mission, and certain data is not available as part of the APIS message, such as the block-time.  Although APIS does have some of the elements necessary for a General Declaration in the electronic form, an additional process is still needed to provide </w:t>
      </w:r>
      <w:proofErr w:type="gramStart"/>
      <w:r w:rsidRPr="00A40643" w:rsidR="00A40643">
        <w:rPr>
          <w:rFonts w:ascii="Arial" w:hAnsi="Arial"/>
          <w:szCs w:val="24"/>
        </w:rPr>
        <w:t>all of</w:t>
      </w:r>
      <w:proofErr w:type="gramEnd"/>
      <w:r w:rsidRPr="00A40643" w:rsidR="00A40643">
        <w:rPr>
          <w:rFonts w:ascii="Arial" w:hAnsi="Arial"/>
          <w:szCs w:val="24"/>
        </w:rPr>
        <w:t xml:space="preserve"> the elements of the current General Declaration.  </w:t>
      </w:r>
    </w:p>
    <w:p w:rsidRPr="00A40643" w:rsidR="00A40643" w:rsidP="00F153AC" w:rsidRDefault="00A40643" w14:paraId="11B8F167" w14:textId="77777777">
      <w:pPr>
        <w:ind w:start="36pt" w:hanging="30pt"/>
        <w:rPr>
          <w:rFonts w:ascii="Arial" w:hAnsi="Arial"/>
          <w:bCs/>
          <w:szCs w:val="24"/>
        </w:rPr>
      </w:pPr>
    </w:p>
    <w:p w:rsidRPr="00C47181" w:rsidR="00F153AC" w:rsidP="00D67DFC" w:rsidRDefault="00F153AC" w14:paraId="7F11A9BF" w14:textId="77777777">
      <w:pPr>
        <w:ind w:start="36pt" w:hanging="36pt"/>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Pr="00C47181" w:rsidR="00F153AC" w:rsidP="00F153AC" w:rsidRDefault="00F153AC" w14:paraId="63AA0077" w14:textId="77777777">
      <w:pPr>
        <w:tabs>
          <w:tab w:val="left" w:pos="-72pt"/>
        </w:tabs>
        <w:ind w:start="36pt" w:hanging="36pt"/>
        <w:rPr>
          <w:rFonts w:ascii="Arial" w:hAnsi="Arial"/>
          <w:szCs w:val="24"/>
        </w:rPr>
      </w:pPr>
    </w:p>
    <w:p w:rsidRPr="00C47181" w:rsidR="00F153AC" w:rsidP="00F153AC" w:rsidRDefault="00F153AC" w14:paraId="0BE0CDA5" w14:textId="77777777">
      <w:pPr>
        <w:tabs>
          <w:tab w:val="left" w:pos="-72pt"/>
        </w:tabs>
        <w:ind w:start="36pt" w:hanging="36pt"/>
        <w:rPr>
          <w:rFonts w:ascii="Arial" w:hAnsi="Arial"/>
          <w:szCs w:val="24"/>
        </w:rPr>
      </w:pPr>
      <w:r w:rsidRPr="00C47181">
        <w:rPr>
          <w:rFonts w:ascii="Arial" w:hAnsi="Arial"/>
          <w:szCs w:val="24"/>
        </w:rPr>
        <w:tab/>
        <w:t>There is no offer of a monetary or material value for this information collection.</w:t>
      </w:r>
    </w:p>
    <w:p w:rsidR="00F153AC" w:rsidP="00F153AC" w:rsidRDefault="00F153AC" w14:paraId="4A3DE272" w14:textId="77777777">
      <w:pPr>
        <w:ind w:start="36pt" w:hanging="36pt"/>
        <w:rPr>
          <w:rFonts w:ascii="Arial" w:hAnsi="Arial"/>
          <w:b/>
          <w:bCs/>
          <w:szCs w:val="24"/>
        </w:rPr>
      </w:pPr>
    </w:p>
    <w:p w:rsidRPr="00C47181" w:rsidR="00F153AC" w:rsidP="00F153AC" w:rsidRDefault="00F153AC" w14:paraId="43250F66" w14:textId="77777777">
      <w:pPr>
        <w:ind w:start="36pt" w:hanging="36pt"/>
        <w:rPr>
          <w:rFonts w:ascii="Arial" w:hAnsi="Arial" w:cs="Arial"/>
          <w:b/>
          <w:bCs/>
          <w:szCs w:val="24"/>
        </w:rPr>
      </w:pPr>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
    <w:p w:rsidR="007F74D2" w:rsidP="007F74D2" w:rsidRDefault="00F153AC" w14:paraId="7FCC89AD" w14:textId="77777777">
      <w:pPr>
        <w:tabs>
          <w:tab w:val="left" w:pos="-72pt"/>
        </w:tabs>
        <w:ind w:start="36pt" w:hanging="36pt"/>
        <w:rPr>
          <w:rFonts w:ascii="Arial" w:hAnsi="Arial"/>
          <w:szCs w:val="24"/>
        </w:rPr>
      </w:pPr>
      <w:r w:rsidRPr="00C47181">
        <w:rPr>
          <w:rFonts w:ascii="Arial" w:hAnsi="Arial"/>
          <w:szCs w:val="24"/>
        </w:rPr>
        <w:tab/>
      </w:r>
    </w:p>
    <w:p w:rsidRPr="007F74D2" w:rsidR="007F74D2" w:rsidP="007F74D2" w:rsidRDefault="00F153AC" w14:paraId="64CAB8F1" w14:textId="77777777">
      <w:pPr>
        <w:tabs>
          <w:tab w:val="left" w:pos="-72pt"/>
        </w:tabs>
        <w:ind w:start="36pt" w:hanging="36pt"/>
        <w:rPr>
          <w:rFonts w:ascii="Arial" w:hAnsi="Arial"/>
          <w:szCs w:val="24"/>
        </w:rPr>
      </w:pPr>
      <w:r w:rsidRPr="00C47181">
        <w:rPr>
          <w:rFonts w:ascii="Arial" w:hAnsi="Arial"/>
          <w:szCs w:val="24"/>
        </w:rPr>
        <w:t xml:space="preserve">          </w:t>
      </w:r>
      <w:r w:rsidR="00FB55BE">
        <w:rPr>
          <w:rFonts w:ascii="Arial" w:hAnsi="Arial"/>
          <w:szCs w:val="24"/>
        </w:rPr>
        <w:t xml:space="preserve"> A </w:t>
      </w:r>
      <w:r w:rsidR="00FB04F3">
        <w:rPr>
          <w:rFonts w:ascii="Arial" w:hAnsi="Arial"/>
        </w:rPr>
        <w:t xml:space="preserve">SORN </w:t>
      </w:r>
      <w:r w:rsidR="00B24300">
        <w:rPr>
          <w:rFonts w:ascii="Arial" w:hAnsi="Arial"/>
        </w:rPr>
        <w:t xml:space="preserve">for the Advanced Passenger Information System, </w:t>
      </w:r>
      <w:r w:rsidR="00817775">
        <w:rPr>
          <w:rFonts w:ascii="Arial" w:hAnsi="Arial"/>
        </w:rPr>
        <w:t>p</w:t>
      </w:r>
      <w:r w:rsidR="001A0BDA">
        <w:rPr>
          <w:rFonts w:ascii="Arial" w:hAnsi="Arial"/>
        </w:rPr>
        <w:t>ublished on March 13, 2015</w:t>
      </w:r>
      <w:r w:rsidR="00817775">
        <w:rPr>
          <w:rFonts w:ascii="Arial" w:hAnsi="Arial"/>
        </w:rPr>
        <w:t xml:space="preserve"> (Volume 80</w:t>
      </w:r>
      <w:r w:rsidR="00FB55BE">
        <w:rPr>
          <w:rFonts w:ascii="Arial" w:hAnsi="Arial"/>
        </w:rPr>
        <w:t xml:space="preserve">, Page </w:t>
      </w:r>
      <w:r w:rsidR="00817775">
        <w:rPr>
          <w:rFonts w:ascii="Arial" w:hAnsi="Arial"/>
        </w:rPr>
        <w:t>13407</w:t>
      </w:r>
      <w:r w:rsidR="00FB55BE">
        <w:rPr>
          <w:rFonts w:ascii="Arial" w:hAnsi="Arial"/>
        </w:rPr>
        <w:t xml:space="preserve">) and a </w:t>
      </w:r>
      <w:smartTag w:uri="urn:schemas-microsoft-com:office:smarttags" w:element="PersonName">
        <w:r w:rsidR="00FB55BE">
          <w:rPr>
            <w:rFonts w:ascii="Arial" w:hAnsi="Arial"/>
          </w:rPr>
          <w:t>PIA</w:t>
        </w:r>
      </w:smartTag>
      <w:r w:rsidR="00FB55BE">
        <w:rPr>
          <w:rFonts w:ascii="Arial" w:hAnsi="Arial"/>
        </w:rPr>
        <w:t xml:space="preserve"> </w:t>
      </w:r>
      <w:r w:rsidR="00861A5D">
        <w:rPr>
          <w:rFonts w:ascii="Arial" w:hAnsi="Arial"/>
        </w:rPr>
        <w:t xml:space="preserve">for the Advanced Passenger Information System, the </w:t>
      </w:r>
      <w:r w:rsidR="00FC362F">
        <w:rPr>
          <w:rFonts w:ascii="Arial" w:hAnsi="Arial"/>
        </w:rPr>
        <w:t>dated June 5, 2015</w:t>
      </w:r>
      <w:r w:rsidR="00B24300">
        <w:rPr>
          <w:rFonts w:ascii="Arial" w:hAnsi="Arial"/>
        </w:rPr>
        <w:t>,</w:t>
      </w:r>
      <w:r w:rsidR="00FB55BE">
        <w:rPr>
          <w:rFonts w:ascii="Arial" w:hAnsi="Arial"/>
        </w:rPr>
        <w:t xml:space="preserve"> </w:t>
      </w:r>
      <w:r w:rsidR="00FB04F3">
        <w:rPr>
          <w:rFonts w:ascii="Arial" w:hAnsi="Arial"/>
        </w:rPr>
        <w:t>will be submitted as part of this ICR.</w:t>
      </w:r>
      <w:r w:rsidR="00FB55BE">
        <w:rPr>
          <w:rFonts w:ascii="Arial" w:hAnsi="Arial"/>
        </w:rPr>
        <w:t xml:space="preserve"> </w:t>
      </w:r>
      <w:r w:rsidR="00324C56">
        <w:rPr>
          <w:rFonts w:ascii="Arial" w:hAnsi="Arial"/>
        </w:rPr>
        <w:t>No assurances of confidentiality are provided.</w:t>
      </w:r>
      <w:r w:rsidR="00FB55BE">
        <w:rPr>
          <w:rFonts w:ascii="Arial" w:hAnsi="Arial"/>
        </w:rPr>
        <w:t xml:space="preserve">  </w:t>
      </w:r>
    </w:p>
    <w:p w:rsidRPr="00C47181" w:rsidR="00F153AC" w:rsidP="00F153AC" w:rsidRDefault="00F153AC" w14:paraId="5025E292" w14:textId="77777777">
      <w:pPr>
        <w:rPr>
          <w:rFonts w:ascii="Arial" w:hAnsi="Arial"/>
          <w:szCs w:val="24"/>
        </w:rPr>
      </w:pPr>
    </w:p>
    <w:p w:rsidRPr="00C47181" w:rsidR="00F153AC" w:rsidP="007F74D2" w:rsidRDefault="00F153AC" w14:paraId="5871DFE4" w14:textId="77777777">
      <w:pPr>
        <w:ind w:start="36pt" w:hanging="36pt"/>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47181" w:rsidR="00F153AC" w:rsidP="00F153AC" w:rsidRDefault="00F153AC" w14:paraId="23A71A67" w14:textId="77777777">
      <w:pPr>
        <w:tabs>
          <w:tab w:val="left" w:pos="-72pt"/>
        </w:tabs>
        <w:ind w:start="36pt" w:hanging="36pt"/>
        <w:rPr>
          <w:rFonts w:ascii="Arial" w:hAnsi="Arial"/>
          <w:szCs w:val="24"/>
        </w:rPr>
      </w:pPr>
      <w:r w:rsidRPr="00C47181">
        <w:rPr>
          <w:rFonts w:ascii="Arial" w:hAnsi="Arial"/>
          <w:szCs w:val="24"/>
        </w:rPr>
        <w:tab/>
      </w:r>
    </w:p>
    <w:p w:rsidR="00F153AC" w:rsidP="00F153AC" w:rsidRDefault="00F153AC" w14:paraId="5CAC9C76" w14:textId="77777777">
      <w:pPr>
        <w:tabs>
          <w:tab w:val="left" w:pos="-72pt"/>
        </w:tabs>
        <w:ind w:start="36pt" w:hanging="36pt"/>
        <w:rPr>
          <w:rFonts w:ascii="Arial" w:hAnsi="Arial"/>
          <w:szCs w:val="24"/>
        </w:rPr>
      </w:pPr>
      <w:r w:rsidRPr="00C47181">
        <w:rPr>
          <w:rFonts w:ascii="Arial" w:hAnsi="Arial"/>
          <w:szCs w:val="24"/>
        </w:rPr>
        <w:tab/>
        <w:t>There are no questions of a sensitive nature associated with this collection.</w:t>
      </w:r>
    </w:p>
    <w:p w:rsidRPr="00C47181" w:rsidR="00F153AC" w:rsidP="008332D5" w:rsidRDefault="001C609E" w14:paraId="64FB39CD" w14:textId="77777777">
      <w:pPr>
        <w:tabs>
          <w:tab w:val="left" w:pos="-72pt"/>
        </w:tabs>
        <w:ind w:start="36pt" w:hanging="36pt"/>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p>
    <w:p w:rsidRPr="00C47181" w:rsidR="00F153AC" w:rsidP="00D67DFC" w:rsidRDefault="00F153AC" w14:paraId="14E54CA2" w14:textId="77777777">
      <w:pPr>
        <w:numPr>
          <w:ilvl w:val="0"/>
          <w:numId w:val="37"/>
        </w:numPr>
        <w:tabs>
          <w:tab w:val="clear" w:pos="54pt"/>
          <w:tab w:val="left" w:pos="-72pt"/>
          <w:tab w:val="num" w:pos="36pt"/>
        </w:tabs>
        <w:ind w:hanging="54pt"/>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rsidR="00F153AC" w:rsidP="00F153AC" w:rsidRDefault="00F153AC" w14:paraId="3BB9B08E" w14:textId="77777777">
      <w:pPr>
        <w:rPr>
          <w:rFonts w:ascii="Arial" w:hAnsi="Arial"/>
          <w:szCs w:val="24"/>
        </w:rPr>
      </w:pPr>
    </w:p>
    <w:tbl>
      <w:tblPr>
        <w:tblW w:w="0pt" w:type="auto"/>
        <w:tblInd w:w="14.40pt" w:type="dxa"/>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Look w:val="01e0"/>
      </w:tblPr>
      <w:tblGrid>
        <w:gridCol w:w="1459"/>
        <w:gridCol w:w="1187"/>
        <w:gridCol w:w="1891"/>
        <w:gridCol w:w="1624"/>
        <w:gridCol w:w="1624"/>
        <w:gridCol w:w="1571"/>
      </w:tblGrid>
      <w:tr w:rsidRPr="00DB6BF9" w:rsidR="00773E00" w:rsidTr="008B68A7" w14:paraId="14BEA415" w14:textId="77777777">
        <w:tc>
          <w:tcPr>
            <w:tcW w:w="72.95pt" w:type="dxa"/>
            <w:shd w:val="clear" w:color="auto" w:fill="auto"/>
          </w:tcPr>
          <w:p w:rsidRPr="00B251A4" w:rsidR="00773E00" w:rsidP="00B251A4" w:rsidRDefault="00773E00" w14:paraId="5DB6F8EC" w14:textId="77777777">
            <w:pPr>
              <w:pStyle w:val="Style"/>
              <w:tabs>
                <w:tab w:val="left" w:pos="-72pt"/>
              </w:tabs>
              <w:ind w:start="0pt" w:firstLine="0pt"/>
              <w:rPr>
                <w:rFonts w:ascii="Arial" w:hAnsi="Arial"/>
                <w:sz w:val="22"/>
                <w:szCs w:val="22"/>
              </w:rPr>
            </w:pPr>
          </w:p>
          <w:p w:rsidRPr="00DB6BF9" w:rsidR="00773E00" w:rsidP="00B251A4" w:rsidRDefault="00773E00" w14:paraId="4F785E8F" w14:textId="77777777">
            <w:pPr>
              <w:pStyle w:val="Style"/>
              <w:tabs>
                <w:tab w:val="left" w:pos="-72pt"/>
              </w:tabs>
              <w:ind w:start="0pt" w:firstLine="0pt"/>
              <w:rPr>
                <w:rFonts w:ascii="Arial" w:hAnsi="Arial"/>
                <w:sz w:val="22"/>
                <w:szCs w:val="22"/>
              </w:rPr>
            </w:pPr>
            <w:r w:rsidRPr="00B251A4">
              <w:rPr>
                <w:rFonts w:ascii="Arial" w:hAnsi="Arial"/>
                <w:sz w:val="22"/>
                <w:szCs w:val="22"/>
              </w:rPr>
              <w:t xml:space="preserve">     </w:t>
            </w:r>
            <w:r w:rsidRPr="00DB6BF9">
              <w:rPr>
                <w:rFonts w:ascii="Arial" w:hAnsi="Arial"/>
                <w:sz w:val="22"/>
                <w:szCs w:val="22"/>
              </w:rPr>
              <w:t>IC</w:t>
            </w:r>
          </w:p>
        </w:tc>
        <w:tc>
          <w:tcPr>
            <w:tcW w:w="59.35pt" w:type="dxa"/>
            <w:shd w:val="clear" w:color="auto" w:fill="auto"/>
          </w:tcPr>
          <w:p w:rsidRPr="00DB6BF9" w:rsidR="00773E00" w:rsidP="00B251A4" w:rsidRDefault="00773E00" w14:paraId="57D07235" w14:textId="77777777">
            <w:pPr>
              <w:pStyle w:val="Style"/>
              <w:tabs>
                <w:tab w:val="left" w:pos="-72pt"/>
              </w:tabs>
              <w:ind w:start="0pt" w:firstLine="0pt"/>
              <w:rPr>
                <w:rFonts w:ascii="Arial" w:hAnsi="Arial"/>
                <w:sz w:val="22"/>
                <w:szCs w:val="22"/>
              </w:rPr>
            </w:pPr>
            <w:r w:rsidRPr="00DB6BF9">
              <w:rPr>
                <w:rFonts w:ascii="Arial" w:hAnsi="Arial"/>
                <w:sz w:val="22"/>
                <w:szCs w:val="22"/>
              </w:rPr>
              <w:t>BURDEN</w:t>
            </w:r>
          </w:p>
          <w:p w:rsidRPr="00DB6BF9" w:rsidR="00773E00" w:rsidP="00B251A4" w:rsidRDefault="00773E00" w14:paraId="72BA486C" w14:textId="77777777">
            <w:pPr>
              <w:pStyle w:val="Style"/>
              <w:tabs>
                <w:tab w:val="left" w:pos="-72pt"/>
              </w:tabs>
              <w:ind w:start="0pt" w:firstLine="0pt"/>
              <w:rPr>
                <w:rFonts w:ascii="Arial" w:hAnsi="Arial"/>
                <w:sz w:val="22"/>
                <w:szCs w:val="22"/>
              </w:rPr>
            </w:pPr>
            <w:r w:rsidRPr="00DB6BF9">
              <w:rPr>
                <w:rFonts w:ascii="Arial" w:hAnsi="Arial"/>
                <w:sz w:val="22"/>
                <w:szCs w:val="22"/>
              </w:rPr>
              <w:t>HOURS</w:t>
            </w:r>
          </w:p>
        </w:tc>
        <w:tc>
          <w:tcPr>
            <w:tcW w:w="94.55pt" w:type="dxa"/>
            <w:shd w:val="clear" w:color="auto" w:fill="auto"/>
          </w:tcPr>
          <w:p w:rsidRPr="00DB6BF9" w:rsidR="00773E00" w:rsidP="00B251A4" w:rsidRDefault="00773E00" w14:paraId="6F794A06" w14:textId="77777777">
            <w:pPr>
              <w:pStyle w:val="Style"/>
              <w:tabs>
                <w:tab w:val="left" w:pos="-72pt"/>
              </w:tabs>
              <w:ind w:start="0pt" w:firstLine="0pt"/>
              <w:rPr>
                <w:rFonts w:ascii="Arial" w:hAnsi="Arial"/>
                <w:sz w:val="22"/>
                <w:szCs w:val="22"/>
              </w:rPr>
            </w:pPr>
          </w:p>
          <w:p w:rsidRPr="00DB6BF9" w:rsidR="00773E00" w:rsidP="00B251A4" w:rsidRDefault="00773E00" w14:paraId="1B19AC83" w14:textId="77777777">
            <w:pPr>
              <w:pStyle w:val="Style"/>
              <w:tabs>
                <w:tab w:val="left" w:pos="-72pt"/>
              </w:tabs>
              <w:ind w:start="0pt" w:firstLine="0pt"/>
              <w:rPr>
                <w:rFonts w:ascii="Arial" w:hAnsi="Arial"/>
                <w:sz w:val="22"/>
                <w:szCs w:val="22"/>
              </w:rPr>
            </w:pPr>
            <w:r w:rsidRPr="00DB6BF9">
              <w:rPr>
                <w:rFonts w:ascii="Arial" w:hAnsi="Arial"/>
                <w:sz w:val="22"/>
                <w:szCs w:val="22"/>
              </w:rPr>
              <w:t>RESPONDENTS</w:t>
            </w:r>
          </w:p>
        </w:tc>
        <w:tc>
          <w:tcPr>
            <w:tcW w:w="81.20pt" w:type="dxa"/>
          </w:tcPr>
          <w:p w:rsidRPr="00DB6BF9" w:rsidR="00773E00" w:rsidP="00B251A4" w:rsidRDefault="00773E00" w14:paraId="42FBD975" w14:textId="77777777">
            <w:pPr>
              <w:pStyle w:val="Style"/>
              <w:tabs>
                <w:tab w:val="left" w:pos="-72pt"/>
              </w:tabs>
              <w:ind w:start="0pt" w:firstLine="0pt"/>
              <w:rPr>
                <w:rFonts w:ascii="Arial" w:hAnsi="Arial"/>
                <w:sz w:val="22"/>
                <w:szCs w:val="22"/>
              </w:rPr>
            </w:pPr>
            <w:r w:rsidRPr="00DB6BF9">
              <w:rPr>
                <w:rFonts w:ascii="Arial" w:hAnsi="Arial"/>
                <w:sz w:val="22"/>
                <w:szCs w:val="22"/>
              </w:rPr>
              <w:t>No. of Responses per Respondent</w:t>
            </w:r>
          </w:p>
        </w:tc>
        <w:tc>
          <w:tcPr>
            <w:tcW w:w="81.20pt" w:type="dxa"/>
            <w:shd w:val="clear" w:color="auto" w:fill="auto"/>
          </w:tcPr>
          <w:p w:rsidRPr="00DB6BF9" w:rsidR="00773E00" w:rsidP="00B251A4" w:rsidRDefault="00773E00" w14:paraId="52D23C5D" w14:textId="77777777">
            <w:pPr>
              <w:pStyle w:val="Style"/>
              <w:tabs>
                <w:tab w:val="left" w:pos="-72pt"/>
              </w:tabs>
              <w:ind w:start="0pt" w:firstLine="0pt"/>
              <w:rPr>
                <w:rFonts w:ascii="Arial" w:hAnsi="Arial"/>
                <w:sz w:val="22"/>
                <w:szCs w:val="22"/>
              </w:rPr>
            </w:pPr>
          </w:p>
          <w:p w:rsidRPr="00DB6BF9" w:rsidR="00773E00" w:rsidP="00B251A4" w:rsidRDefault="00773E00" w14:paraId="666293F9" w14:textId="77777777">
            <w:pPr>
              <w:pStyle w:val="Style"/>
              <w:tabs>
                <w:tab w:val="left" w:pos="-72pt"/>
              </w:tabs>
              <w:ind w:start="0pt" w:firstLine="0pt"/>
              <w:rPr>
                <w:rFonts w:ascii="Arial" w:hAnsi="Arial"/>
                <w:sz w:val="22"/>
                <w:szCs w:val="22"/>
              </w:rPr>
            </w:pPr>
            <w:r w:rsidRPr="00DB6BF9">
              <w:rPr>
                <w:rFonts w:ascii="Arial" w:hAnsi="Arial"/>
                <w:sz w:val="22"/>
                <w:szCs w:val="22"/>
              </w:rPr>
              <w:t>TOTAL</w:t>
            </w:r>
          </w:p>
          <w:p w:rsidRPr="00DB6BF9" w:rsidR="00773E00" w:rsidP="00B251A4" w:rsidRDefault="00773E00" w14:paraId="6ED3AFA4" w14:textId="77777777">
            <w:pPr>
              <w:pStyle w:val="Style"/>
              <w:tabs>
                <w:tab w:val="left" w:pos="-72pt"/>
              </w:tabs>
              <w:ind w:start="0pt" w:firstLine="0pt"/>
              <w:rPr>
                <w:rFonts w:ascii="Arial" w:hAnsi="Arial"/>
                <w:sz w:val="22"/>
                <w:szCs w:val="22"/>
              </w:rPr>
            </w:pPr>
            <w:r w:rsidRPr="00DB6BF9">
              <w:rPr>
                <w:rFonts w:ascii="Arial" w:hAnsi="Arial"/>
                <w:sz w:val="22"/>
                <w:szCs w:val="22"/>
              </w:rPr>
              <w:t>RESPONSES</w:t>
            </w:r>
          </w:p>
        </w:tc>
        <w:tc>
          <w:tcPr>
            <w:tcW w:w="78.55pt" w:type="dxa"/>
            <w:shd w:val="clear" w:color="auto" w:fill="auto"/>
          </w:tcPr>
          <w:p w:rsidRPr="00DB6BF9" w:rsidR="00773E00" w:rsidP="00B251A4" w:rsidRDefault="00773E00" w14:paraId="4A060DE7" w14:textId="77777777">
            <w:pPr>
              <w:pStyle w:val="Style"/>
              <w:tabs>
                <w:tab w:val="left" w:pos="-72pt"/>
              </w:tabs>
              <w:ind w:start="0pt" w:firstLine="0pt"/>
              <w:rPr>
                <w:rFonts w:ascii="Arial" w:hAnsi="Arial"/>
                <w:sz w:val="22"/>
                <w:szCs w:val="22"/>
              </w:rPr>
            </w:pPr>
          </w:p>
          <w:p w:rsidRPr="00DB6BF9" w:rsidR="00773E00" w:rsidP="00B251A4" w:rsidRDefault="00773E00" w14:paraId="65504356" w14:textId="77777777">
            <w:pPr>
              <w:pStyle w:val="Style"/>
              <w:tabs>
                <w:tab w:val="left" w:pos="-72pt"/>
              </w:tabs>
              <w:ind w:start="0pt" w:firstLine="0pt"/>
              <w:rPr>
                <w:rFonts w:ascii="Arial" w:hAnsi="Arial"/>
                <w:sz w:val="22"/>
                <w:szCs w:val="22"/>
              </w:rPr>
            </w:pPr>
            <w:r w:rsidRPr="00DB6BF9">
              <w:rPr>
                <w:rFonts w:ascii="Arial" w:hAnsi="Arial"/>
                <w:sz w:val="22"/>
                <w:szCs w:val="22"/>
              </w:rPr>
              <w:t>TIME PER</w:t>
            </w:r>
          </w:p>
          <w:p w:rsidRPr="00DB6BF9" w:rsidR="00773E00" w:rsidP="00B251A4" w:rsidRDefault="00773E00" w14:paraId="53343413" w14:textId="77777777">
            <w:pPr>
              <w:pStyle w:val="Style"/>
              <w:tabs>
                <w:tab w:val="left" w:pos="-72pt"/>
              </w:tabs>
              <w:ind w:start="0pt" w:firstLine="0pt"/>
              <w:rPr>
                <w:rFonts w:ascii="Arial" w:hAnsi="Arial"/>
                <w:sz w:val="22"/>
                <w:szCs w:val="22"/>
              </w:rPr>
            </w:pPr>
            <w:r w:rsidRPr="00DB6BF9">
              <w:rPr>
                <w:rFonts w:ascii="Arial" w:hAnsi="Arial"/>
                <w:sz w:val="22"/>
                <w:szCs w:val="22"/>
              </w:rPr>
              <w:t>RESPONSE</w:t>
            </w:r>
          </w:p>
        </w:tc>
      </w:tr>
      <w:tr w:rsidRPr="00DB6BF9" w:rsidR="00773E00" w:rsidTr="008B68A7" w14:paraId="77E84083" w14:textId="77777777">
        <w:tc>
          <w:tcPr>
            <w:tcW w:w="72.95pt" w:type="dxa"/>
            <w:shd w:val="clear" w:color="auto" w:fill="auto"/>
          </w:tcPr>
          <w:p w:rsidRPr="00DB6BF9" w:rsidR="00773E00" w:rsidP="00B251A4" w:rsidRDefault="00773E00" w14:paraId="70A971AC" w14:textId="77777777">
            <w:pPr>
              <w:pStyle w:val="Style"/>
              <w:tabs>
                <w:tab w:val="left" w:pos="-72pt"/>
              </w:tabs>
              <w:ind w:start="0pt" w:firstLine="0pt"/>
              <w:rPr>
                <w:rFonts w:ascii="Arial" w:hAnsi="Arial"/>
                <w:sz w:val="22"/>
                <w:szCs w:val="22"/>
              </w:rPr>
            </w:pPr>
            <w:bookmarkStart w:name="_Hlk272219301" w:id="1"/>
            <w:r w:rsidRPr="00DB6BF9">
              <w:rPr>
                <w:rFonts w:ascii="Arial" w:hAnsi="Arial"/>
                <w:sz w:val="22"/>
                <w:szCs w:val="22"/>
              </w:rPr>
              <w:t>Commercial Airlines</w:t>
            </w:r>
          </w:p>
        </w:tc>
        <w:tc>
          <w:tcPr>
            <w:tcW w:w="59.35pt" w:type="dxa"/>
            <w:shd w:val="clear" w:color="auto" w:fill="auto"/>
          </w:tcPr>
          <w:p w:rsidRPr="00DB6BF9" w:rsidR="00773E00" w:rsidP="00B251A4" w:rsidRDefault="00773E00" w14:paraId="2F7ACE98" w14:textId="77777777">
            <w:pPr>
              <w:pStyle w:val="Style"/>
              <w:tabs>
                <w:tab w:val="left" w:pos="-72pt"/>
              </w:tabs>
              <w:ind w:start="0pt" w:firstLine="0pt"/>
              <w:rPr>
                <w:rFonts w:ascii="Arial" w:hAnsi="Arial"/>
                <w:sz w:val="22"/>
                <w:szCs w:val="22"/>
              </w:rPr>
            </w:pPr>
          </w:p>
          <w:p w:rsidRPr="00DB6BF9" w:rsidR="00773E00" w:rsidP="008B68A7" w:rsidRDefault="00773E00" w14:paraId="1554617B" w14:textId="77777777">
            <w:pPr>
              <w:pStyle w:val="Style"/>
              <w:tabs>
                <w:tab w:val="left" w:pos="-72pt"/>
              </w:tabs>
              <w:ind w:start="0pt" w:firstLine="0pt"/>
              <w:jc w:val="center"/>
              <w:rPr>
                <w:rFonts w:ascii="Arial" w:hAnsi="Arial"/>
                <w:sz w:val="22"/>
                <w:szCs w:val="22"/>
              </w:rPr>
            </w:pPr>
            <w:r w:rsidRPr="00DB6BF9">
              <w:rPr>
                <w:rFonts w:ascii="Arial" w:hAnsi="Arial"/>
                <w:sz w:val="22"/>
                <w:szCs w:val="22"/>
              </w:rPr>
              <w:t>307,246</w:t>
            </w:r>
          </w:p>
        </w:tc>
        <w:tc>
          <w:tcPr>
            <w:tcW w:w="94.55pt" w:type="dxa"/>
            <w:shd w:val="clear" w:color="auto" w:fill="auto"/>
          </w:tcPr>
          <w:p w:rsidRPr="00DB6BF9" w:rsidR="00773E00" w:rsidP="00B251A4" w:rsidRDefault="00773E00" w14:paraId="612C715D" w14:textId="77777777">
            <w:pPr>
              <w:pStyle w:val="Style"/>
              <w:tabs>
                <w:tab w:val="left" w:pos="-72pt"/>
              </w:tabs>
              <w:ind w:start="0pt" w:firstLine="0pt"/>
              <w:rPr>
                <w:rFonts w:ascii="Arial" w:hAnsi="Arial"/>
                <w:sz w:val="22"/>
                <w:szCs w:val="22"/>
              </w:rPr>
            </w:pPr>
          </w:p>
          <w:p w:rsidRPr="00DB6BF9" w:rsidR="00773E00" w:rsidP="008B68A7" w:rsidRDefault="00773E00" w14:paraId="0105FA25"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1,130</w:t>
            </w:r>
          </w:p>
        </w:tc>
        <w:tc>
          <w:tcPr>
            <w:tcW w:w="81.20pt" w:type="dxa"/>
          </w:tcPr>
          <w:p w:rsidRPr="00DB6BF9" w:rsidR="00773E00" w:rsidP="00B251A4" w:rsidRDefault="00773E00" w14:paraId="5D5A0C7F" w14:textId="77777777">
            <w:pPr>
              <w:pStyle w:val="Style"/>
              <w:tabs>
                <w:tab w:val="left" w:pos="-72pt"/>
              </w:tabs>
              <w:ind w:start="0pt" w:firstLine="0pt"/>
              <w:rPr>
                <w:rFonts w:ascii="Arial" w:hAnsi="Arial"/>
                <w:sz w:val="22"/>
                <w:szCs w:val="22"/>
              </w:rPr>
            </w:pPr>
          </w:p>
          <w:p w:rsidRPr="00DB6BF9" w:rsidR="00773E00" w:rsidP="00B251A4" w:rsidRDefault="00773E00" w14:paraId="629E40AC"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1,637.94</w:t>
            </w:r>
          </w:p>
        </w:tc>
        <w:tc>
          <w:tcPr>
            <w:tcW w:w="81.20pt" w:type="dxa"/>
            <w:shd w:val="clear" w:color="auto" w:fill="auto"/>
          </w:tcPr>
          <w:p w:rsidRPr="00DB6BF9" w:rsidR="00773E00" w:rsidP="00B251A4" w:rsidRDefault="00773E00" w14:paraId="6C23F84C"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w:t>
            </w:r>
          </w:p>
          <w:p w:rsidRPr="00DB6BF9" w:rsidR="00773E00" w:rsidP="008B68A7" w:rsidRDefault="00773E00" w14:paraId="3AF97871" w14:textId="77777777">
            <w:pPr>
              <w:pStyle w:val="Style"/>
              <w:tabs>
                <w:tab w:val="left" w:pos="-72pt"/>
              </w:tabs>
              <w:ind w:start="0pt" w:firstLine="0pt"/>
              <w:jc w:val="center"/>
              <w:rPr>
                <w:rFonts w:ascii="Arial" w:hAnsi="Arial"/>
                <w:sz w:val="22"/>
                <w:szCs w:val="22"/>
              </w:rPr>
            </w:pPr>
            <w:r w:rsidRPr="00DB6BF9">
              <w:rPr>
                <w:rFonts w:ascii="Arial" w:hAnsi="Arial"/>
                <w:sz w:val="22"/>
                <w:szCs w:val="22"/>
              </w:rPr>
              <w:t>1,850,878</w:t>
            </w:r>
          </w:p>
        </w:tc>
        <w:tc>
          <w:tcPr>
            <w:tcW w:w="78.55pt" w:type="dxa"/>
            <w:shd w:val="clear" w:color="auto" w:fill="auto"/>
          </w:tcPr>
          <w:p w:rsidRPr="00DB6BF9" w:rsidR="00773E00" w:rsidP="00B251A4" w:rsidRDefault="00773E00" w14:paraId="0F8E5235" w14:textId="77777777">
            <w:pPr>
              <w:pStyle w:val="Style"/>
              <w:tabs>
                <w:tab w:val="left" w:pos="-72pt"/>
              </w:tabs>
              <w:ind w:start="0pt" w:firstLine="0pt"/>
              <w:rPr>
                <w:rFonts w:ascii="Arial" w:hAnsi="Arial"/>
                <w:sz w:val="22"/>
                <w:szCs w:val="22"/>
              </w:rPr>
            </w:pPr>
          </w:p>
          <w:p w:rsidRPr="00DB6BF9" w:rsidR="00773E00" w:rsidP="00B251A4" w:rsidRDefault="00773E00" w14:paraId="61F475D9"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10 minutes</w:t>
            </w:r>
          </w:p>
          <w:p w:rsidRPr="00DB6BF9" w:rsidR="00773E00" w:rsidP="00B251A4" w:rsidRDefault="00773E00" w14:paraId="7A59E151"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(.166 hours)</w:t>
            </w:r>
          </w:p>
          <w:p w:rsidRPr="00DB6BF9" w:rsidR="00773E00" w:rsidP="00B251A4" w:rsidRDefault="00773E00" w14:paraId="6525D84F" w14:textId="77777777">
            <w:pPr>
              <w:pStyle w:val="Style"/>
              <w:tabs>
                <w:tab w:val="left" w:pos="-72pt"/>
              </w:tabs>
              <w:ind w:start="0pt" w:firstLine="0pt"/>
              <w:rPr>
                <w:rFonts w:ascii="Arial" w:hAnsi="Arial"/>
                <w:sz w:val="22"/>
                <w:szCs w:val="22"/>
              </w:rPr>
            </w:pPr>
          </w:p>
        </w:tc>
      </w:tr>
      <w:tr w:rsidRPr="00DB6BF9" w:rsidR="00773E00" w:rsidTr="008B68A7" w14:paraId="1DDBBB62" w14:textId="77777777">
        <w:tc>
          <w:tcPr>
            <w:tcW w:w="72.95pt" w:type="dxa"/>
            <w:shd w:val="clear" w:color="auto" w:fill="auto"/>
          </w:tcPr>
          <w:p w:rsidRPr="00DB6BF9" w:rsidR="00773E00" w:rsidP="00B251A4" w:rsidRDefault="009A3180" w14:paraId="23FFDE6C" w14:textId="77777777">
            <w:pPr>
              <w:pStyle w:val="Style"/>
              <w:tabs>
                <w:tab w:val="left" w:pos="-72pt"/>
              </w:tabs>
              <w:ind w:start="0pt" w:firstLine="0pt"/>
              <w:rPr>
                <w:rFonts w:ascii="Arial" w:hAnsi="Arial"/>
                <w:sz w:val="22"/>
                <w:szCs w:val="22"/>
              </w:rPr>
            </w:pPr>
            <w:r>
              <w:rPr>
                <w:rFonts w:ascii="Arial" w:hAnsi="Arial"/>
                <w:sz w:val="22"/>
                <w:szCs w:val="22"/>
              </w:rPr>
              <w:t xml:space="preserve">Commercial Airline </w:t>
            </w:r>
            <w:proofErr w:type="gramStart"/>
            <w:r>
              <w:rPr>
                <w:rFonts w:ascii="Arial" w:hAnsi="Arial"/>
                <w:sz w:val="22"/>
                <w:szCs w:val="22"/>
              </w:rPr>
              <w:t xml:space="preserve">Psngr </w:t>
            </w:r>
            <w:r w:rsidRPr="00DB6BF9" w:rsidR="00773E00">
              <w:rPr>
                <w:rFonts w:ascii="Arial" w:hAnsi="Arial"/>
                <w:sz w:val="22"/>
                <w:szCs w:val="22"/>
              </w:rPr>
              <w:t xml:space="preserve"> (</w:t>
            </w:r>
            <w:proofErr w:type="gramEnd"/>
            <w:r w:rsidRPr="00DB6BF9" w:rsidR="00773E00">
              <w:rPr>
                <w:rFonts w:ascii="Arial" w:hAnsi="Arial"/>
                <w:sz w:val="22"/>
                <w:szCs w:val="22"/>
              </w:rPr>
              <w:t>3</w:t>
            </w:r>
            <w:r w:rsidRPr="00DB6BF9" w:rsidR="00773E00">
              <w:rPr>
                <w:rFonts w:ascii="Arial" w:hAnsi="Arial"/>
                <w:sz w:val="22"/>
                <w:szCs w:val="22"/>
                <w:vertAlign w:val="superscript"/>
              </w:rPr>
              <w:t>rd</w:t>
            </w:r>
            <w:r w:rsidRPr="00DB6BF9" w:rsidR="00773E00">
              <w:rPr>
                <w:rFonts w:ascii="Arial" w:hAnsi="Arial"/>
                <w:sz w:val="22"/>
                <w:szCs w:val="22"/>
              </w:rPr>
              <w:t xml:space="preserve"> party)</w:t>
            </w:r>
          </w:p>
        </w:tc>
        <w:tc>
          <w:tcPr>
            <w:tcW w:w="59.35pt" w:type="dxa"/>
            <w:shd w:val="clear" w:color="auto" w:fill="auto"/>
          </w:tcPr>
          <w:p w:rsidRPr="00DB6BF9" w:rsidR="00773E00" w:rsidP="00B251A4" w:rsidRDefault="00773E00" w14:paraId="2A04A064" w14:textId="77777777">
            <w:pPr>
              <w:pStyle w:val="Style"/>
              <w:tabs>
                <w:tab w:val="left" w:pos="-72pt"/>
              </w:tabs>
              <w:ind w:start="0pt" w:firstLine="0pt"/>
              <w:rPr>
                <w:rFonts w:ascii="Arial" w:hAnsi="Arial"/>
                <w:sz w:val="22"/>
                <w:szCs w:val="22"/>
              </w:rPr>
            </w:pPr>
          </w:p>
          <w:p w:rsidRPr="00DB6BF9" w:rsidR="00773E00" w:rsidP="008B68A7" w:rsidRDefault="00773E00" w14:paraId="0E89D6ED" w14:textId="77777777">
            <w:pPr>
              <w:pStyle w:val="Style"/>
              <w:tabs>
                <w:tab w:val="left" w:pos="-72pt"/>
              </w:tabs>
              <w:ind w:start="0pt" w:firstLine="0pt"/>
              <w:jc w:val="center"/>
              <w:rPr>
                <w:rFonts w:ascii="Arial" w:hAnsi="Arial"/>
                <w:sz w:val="22"/>
                <w:szCs w:val="22"/>
              </w:rPr>
            </w:pPr>
            <w:r w:rsidRPr="00DB6BF9">
              <w:rPr>
                <w:rFonts w:ascii="Arial" w:hAnsi="Arial"/>
                <w:sz w:val="22"/>
                <w:szCs w:val="22"/>
              </w:rPr>
              <w:t>496,937</w:t>
            </w:r>
          </w:p>
        </w:tc>
        <w:tc>
          <w:tcPr>
            <w:tcW w:w="94.55pt" w:type="dxa"/>
            <w:shd w:val="clear" w:color="auto" w:fill="auto"/>
          </w:tcPr>
          <w:p w:rsidRPr="00DB6BF9" w:rsidR="00773E00" w:rsidP="00B251A4" w:rsidRDefault="00773E00" w14:paraId="5906F738" w14:textId="77777777">
            <w:pPr>
              <w:pStyle w:val="Style"/>
              <w:tabs>
                <w:tab w:val="left" w:pos="-72pt"/>
              </w:tabs>
              <w:ind w:start="0pt" w:firstLine="0pt"/>
              <w:rPr>
                <w:rFonts w:ascii="Arial" w:hAnsi="Arial"/>
                <w:sz w:val="22"/>
                <w:szCs w:val="22"/>
              </w:rPr>
            </w:pPr>
          </w:p>
          <w:p w:rsidRPr="00DB6BF9" w:rsidR="00773E00" w:rsidP="008B68A7" w:rsidRDefault="00773E00" w14:paraId="7B47173A"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184,050,663</w:t>
            </w:r>
          </w:p>
        </w:tc>
        <w:tc>
          <w:tcPr>
            <w:tcW w:w="81.20pt" w:type="dxa"/>
          </w:tcPr>
          <w:p w:rsidRPr="00DB6BF9" w:rsidR="00773E00" w:rsidP="00B251A4" w:rsidRDefault="00773E00" w14:paraId="7152FDE2" w14:textId="77777777">
            <w:pPr>
              <w:pStyle w:val="Style"/>
              <w:tabs>
                <w:tab w:val="left" w:pos="-72pt"/>
              </w:tabs>
              <w:ind w:start="0pt" w:firstLine="0pt"/>
              <w:rPr>
                <w:rFonts w:ascii="Arial" w:hAnsi="Arial"/>
                <w:sz w:val="22"/>
                <w:szCs w:val="22"/>
              </w:rPr>
            </w:pPr>
          </w:p>
          <w:p w:rsidRPr="00DB6BF9" w:rsidR="00773E00" w:rsidP="00B251A4" w:rsidRDefault="00773E00" w14:paraId="17E2C403"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1</w:t>
            </w:r>
          </w:p>
        </w:tc>
        <w:tc>
          <w:tcPr>
            <w:tcW w:w="81.20pt" w:type="dxa"/>
            <w:shd w:val="clear" w:color="auto" w:fill="auto"/>
          </w:tcPr>
          <w:p w:rsidRPr="00DB6BF9" w:rsidR="00773E00" w:rsidP="00B251A4" w:rsidRDefault="00773E00" w14:paraId="718652C5" w14:textId="77777777">
            <w:pPr>
              <w:pStyle w:val="Style"/>
              <w:tabs>
                <w:tab w:val="left" w:pos="-72pt"/>
              </w:tabs>
              <w:ind w:start="0pt" w:firstLine="0pt"/>
              <w:rPr>
                <w:rFonts w:ascii="Arial" w:hAnsi="Arial"/>
                <w:sz w:val="22"/>
                <w:szCs w:val="22"/>
              </w:rPr>
            </w:pPr>
          </w:p>
          <w:p w:rsidRPr="00DB6BF9" w:rsidR="00773E00" w:rsidP="008B68A7" w:rsidRDefault="00773E00" w14:paraId="49224BCC" w14:textId="77777777">
            <w:pPr>
              <w:pStyle w:val="Style"/>
              <w:tabs>
                <w:tab w:val="left" w:pos="-72pt"/>
              </w:tabs>
              <w:ind w:start="0pt" w:firstLine="0pt"/>
              <w:jc w:val="center"/>
              <w:rPr>
                <w:rFonts w:ascii="Arial" w:hAnsi="Arial"/>
                <w:sz w:val="22"/>
                <w:szCs w:val="22"/>
              </w:rPr>
            </w:pPr>
            <w:r w:rsidRPr="00DB6BF9">
              <w:rPr>
                <w:rFonts w:ascii="Arial" w:hAnsi="Arial"/>
                <w:sz w:val="22"/>
                <w:szCs w:val="22"/>
              </w:rPr>
              <w:t>184,050,663</w:t>
            </w:r>
          </w:p>
        </w:tc>
        <w:tc>
          <w:tcPr>
            <w:tcW w:w="78.55pt" w:type="dxa"/>
            <w:shd w:val="clear" w:color="auto" w:fill="auto"/>
          </w:tcPr>
          <w:p w:rsidRPr="00DB6BF9" w:rsidR="00773E00" w:rsidP="00B251A4" w:rsidRDefault="00773E00" w14:paraId="43C2B13E" w14:textId="77777777">
            <w:pPr>
              <w:pStyle w:val="Style"/>
              <w:tabs>
                <w:tab w:val="left" w:pos="-72pt"/>
              </w:tabs>
              <w:ind w:start="0pt" w:firstLine="0pt"/>
              <w:rPr>
                <w:rFonts w:ascii="Arial" w:hAnsi="Arial"/>
                <w:sz w:val="22"/>
                <w:szCs w:val="22"/>
              </w:rPr>
            </w:pPr>
          </w:p>
          <w:p w:rsidRPr="00DB6BF9" w:rsidR="00773E00" w:rsidP="00B251A4" w:rsidRDefault="00773E00" w14:paraId="1F167317"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10 seconds</w:t>
            </w:r>
          </w:p>
          <w:p w:rsidRPr="00DB6BF9" w:rsidR="00773E00" w:rsidP="00773E00" w:rsidRDefault="00773E00" w14:paraId="3B49EB7C" w14:textId="77777777">
            <w:pPr>
              <w:pStyle w:val="Style"/>
              <w:tabs>
                <w:tab w:val="left" w:pos="-72pt"/>
              </w:tabs>
              <w:ind w:start="0pt" w:firstLine="0pt"/>
              <w:rPr>
                <w:rFonts w:ascii="Arial" w:hAnsi="Arial"/>
                <w:sz w:val="22"/>
                <w:szCs w:val="22"/>
              </w:rPr>
            </w:pPr>
            <w:r w:rsidRPr="00DB6BF9">
              <w:rPr>
                <w:rFonts w:ascii="Arial" w:hAnsi="Arial"/>
                <w:sz w:val="22"/>
                <w:szCs w:val="22"/>
              </w:rPr>
              <w:t>(.0027 hours)</w:t>
            </w:r>
          </w:p>
        </w:tc>
      </w:tr>
      <w:tr w:rsidRPr="00DB6BF9" w:rsidR="00773E00" w:rsidTr="008B68A7" w14:paraId="0495A167" w14:textId="77777777">
        <w:trPr>
          <w:trHeight w:val="1025"/>
        </w:trPr>
        <w:tc>
          <w:tcPr>
            <w:tcW w:w="72.95pt" w:type="dxa"/>
            <w:shd w:val="clear" w:color="auto" w:fill="auto"/>
          </w:tcPr>
          <w:p w:rsidRPr="00DB6BF9" w:rsidR="00773E00" w:rsidP="00B251A4" w:rsidRDefault="00773E00" w14:paraId="11B04F15" w14:textId="77777777">
            <w:pPr>
              <w:pStyle w:val="Style"/>
              <w:tabs>
                <w:tab w:val="left" w:pos="-72pt"/>
              </w:tabs>
              <w:ind w:start="0pt" w:firstLine="0pt"/>
              <w:rPr>
                <w:rFonts w:ascii="Arial" w:hAnsi="Arial"/>
                <w:sz w:val="22"/>
                <w:szCs w:val="22"/>
              </w:rPr>
            </w:pPr>
          </w:p>
          <w:p w:rsidRPr="00DB6BF9" w:rsidR="00773E00" w:rsidP="00B251A4" w:rsidRDefault="00773E00" w14:paraId="33D6A01D" w14:textId="77777777">
            <w:pPr>
              <w:pStyle w:val="Style"/>
              <w:tabs>
                <w:tab w:val="left" w:pos="-72pt"/>
              </w:tabs>
              <w:ind w:start="0pt" w:firstLine="0pt"/>
              <w:rPr>
                <w:rFonts w:ascii="Arial" w:hAnsi="Arial"/>
                <w:sz w:val="22"/>
                <w:szCs w:val="22"/>
              </w:rPr>
            </w:pPr>
            <w:r w:rsidRPr="00DB6BF9">
              <w:rPr>
                <w:rFonts w:ascii="Arial" w:hAnsi="Arial"/>
                <w:sz w:val="22"/>
                <w:szCs w:val="22"/>
              </w:rPr>
              <w:t>Private Aircraft Pilots</w:t>
            </w:r>
          </w:p>
          <w:p w:rsidRPr="00DB6BF9" w:rsidR="00773E00" w:rsidP="00B251A4" w:rsidRDefault="00773E00" w14:paraId="4BC936F3" w14:textId="77777777">
            <w:pPr>
              <w:pStyle w:val="Style"/>
              <w:tabs>
                <w:tab w:val="left" w:pos="-72pt"/>
              </w:tabs>
              <w:ind w:start="0pt" w:firstLine="0pt"/>
              <w:rPr>
                <w:rFonts w:ascii="Arial" w:hAnsi="Arial"/>
                <w:sz w:val="22"/>
                <w:szCs w:val="22"/>
              </w:rPr>
            </w:pPr>
          </w:p>
        </w:tc>
        <w:tc>
          <w:tcPr>
            <w:tcW w:w="59.35pt" w:type="dxa"/>
            <w:shd w:val="clear" w:color="auto" w:fill="auto"/>
          </w:tcPr>
          <w:p w:rsidRPr="00DB6BF9" w:rsidR="00773E00" w:rsidP="00B251A4" w:rsidRDefault="00773E00" w14:paraId="014DEDE2" w14:textId="77777777">
            <w:pPr>
              <w:pStyle w:val="Style"/>
              <w:tabs>
                <w:tab w:val="left" w:pos="-72pt"/>
              </w:tabs>
              <w:ind w:start="0pt" w:firstLine="0pt"/>
              <w:rPr>
                <w:rFonts w:ascii="Arial" w:hAnsi="Arial"/>
                <w:sz w:val="22"/>
                <w:szCs w:val="22"/>
              </w:rPr>
            </w:pPr>
          </w:p>
          <w:p w:rsidRPr="00DB6BF9" w:rsidR="00773E00" w:rsidP="008B68A7" w:rsidRDefault="00773E00" w14:paraId="25ABB645" w14:textId="77777777">
            <w:pPr>
              <w:pStyle w:val="Style"/>
              <w:tabs>
                <w:tab w:val="left" w:pos="-72pt"/>
              </w:tabs>
              <w:ind w:start="0pt" w:firstLine="0pt"/>
              <w:jc w:val="center"/>
              <w:rPr>
                <w:rFonts w:ascii="Arial" w:hAnsi="Arial"/>
                <w:sz w:val="22"/>
                <w:szCs w:val="22"/>
              </w:rPr>
            </w:pPr>
            <w:r w:rsidRPr="00DB6BF9">
              <w:rPr>
                <w:rFonts w:ascii="Arial" w:hAnsi="Arial"/>
                <w:sz w:val="22"/>
                <w:szCs w:val="22"/>
              </w:rPr>
              <w:t>115,000</w:t>
            </w:r>
          </w:p>
        </w:tc>
        <w:tc>
          <w:tcPr>
            <w:tcW w:w="94.55pt" w:type="dxa"/>
            <w:shd w:val="clear" w:color="auto" w:fill="auto"/>
          </w:tcPr>
          <w:p w:rsidRPr="00DB6BF9" w:rsidR="00773E00" w:rsidP="00B251A4" w:rsidRDefault="00773E00" w14:paraId="477C2D43" w14:textId="77777777">
            <w:pPr>
              <w:pStyle w:val="Style"/>
              <w:tabs>
                <w:tab w:val="left" w:pos="-72pt"/>
              </w:tabs>
              <w:ind w:start="0pt" w:firstLine="0pt"/>
              <w:rPr>
                <w:rFonts w:ascii="Arial" w:hAnsi="Arial"/>
                <w:sz w:val="22"/>
                <w:szCs w:val="22"/>
              </w:rPr>
            </w:pPr>
          </w:p>
          <w:p w:rsidRPr="00DB6BF9" w:rsidR="00773E00" w:rsidP="008B68A7" w:rsidRDefault="00773E00" w14:paraId="01E15187"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460,000</w:t>
            </w:r>
          </w:p>
        </w:tc>
        <w:tc>
          <w:tcPr>
            <w:tcW w:w="81.20pt" w:type="dxa"/>
          </w:tcPr>
          <w:p w:rsidRPr="00DB6BF9" w:rsidR="00773E00" w:rsidP="00B251A4" w:rsidRDefault="00773E00" w14:paraId="3C014C4F" w14:textId="77777777">
            <w:pPr>
              <w:pStyle w:val="Style"/>
              <w:tabs>
                <w:tab w:val="left" w:pos="-72pt"/>
              </w:tabs>
              <w:ind w:start="0pt" w:firstLine="0pt"/>
              <w:rPr>
                <w:rFonts w:ascii="Arial" w:hAnsi="Arial"/>
                <w:sz w:val="22"/>
                <w:szCs w:val="22"/>
              </w:rPr>
            </w:pPr>
          </w:p>
          <w:p w:rsidRPr="00DB6BF9" w:rsidR="00773E00" w:rsidP="00B251A4" w:rsidRDefault="00773E00" w14:paraId="18D9493F"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1</w:t>
            </w:r>
          </w:p>
        </w:tc>
        <w:tc>
          <w:tcPr>
            <w:tcW w:w="81.20pt" w:type="dxa"/>
            <w:shd w:val="clear" w:color="auto" w:fill="auto"/>
          </w:tcPr>
          <w:p w:rsidRPr="00DB6BF9" w:rsidR="00773E00" w:rsidP="00B251A4" w:rsidRDefault="00773E00" w14:paraId="62DBB87F" w14:textId="77777777">
            <w:pPr>
              <w:pStyle w:val="Style"/>
              <w:tabs>
                <w:tab w:val="left" w:pos="-72pt"/>
              </w:tabs>
              <w:ind w:start="0pt" w:firstLine="0pt"/>
              <w:rPr>
                <w:rFonts w:ascii="Arial" w:hAnsi="Arial"/>
                <w:sz w:val="22"/>
                <w:szCs w:val="22"/>
              </w:rPr>
            </w:pPr>
          </w:p>
          <w:p w:rsidRPr="00DB6BF9" w:rsidR="00773E00" w:rsidP="008B68A7" w:rsidRDefault="00773E00" w14:paraId="2241CC56"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460,000</w:t>
            </w:r>
          </w:p>
        </w:tc>
        <w:tc>
          <w:tcPr>
            <w:tcW w:w="78.55pt" w:type="dxa"/>
            <w:shd w:val="clear" w:color="auto" w:fill="auto"/>
          </w:tcPr>
          <w:p w:rsidRPr="00DB6BF9" w:rsidR="00773E00" w:rsidP="00B251A4" w:rsidRDefault="00773E00" w14:paraId="5148BDCE" w14:textId="77777777">
            <w:pPr>
              <w:pStyle w:val="Style"/>
              <w:tabs>
                <w:tab w:val="left" w:pos="-72pt"/>
              </w:tabs>
              <w:ind w:start="0pt" w:firstLine="0pt"/>
              <w:rPr>
                <w:rFonts w:ascii="Arial" w:hAnsi="Arial"/>
                <w:sz w:val="22"/>
                <w:szCs w:val="22"/>
              </w:rPr>
            </w:pPr>
          </w:p>
          <w:p w:rsidRPr="00DB6BF9" w:rsidR="00773E00" w:rsidP="008B68A7" w:rsidRDefault="00773E00" w14:paraId="6EA67B5F" w14:textId="77777777">
            <w:pPr>
              <w:pStyle w:val="Style"/>
              <w:tabs>
                <w:tab w:val="left" w:pos="-72pt"/>
              </w:tabs>
              <w:ind w:start="0pt" w:firstLine="0pt"/>
              <w:jc w:val="center"/>
              <w:rPr>
                <w:rFonts w:ascii="Arial" w:hAnsi="Arial"/>
                <w:sz w:val="22"/>
                <w:szCs w:val="22"/>
              </w:rPr>
            </w:pPr>
            <w:r w:rsidRPr="00DB6BF9">
              <w:rPr>
                <w:rFonts w:ascii="Arial" w:hAnsi="Arial"/>
                <w:sz w:val="22"/>
                <w:szCs w:val="22"/>
              </w:rPr>
              <w:t>15 minutes</w:t>
            </w:r>
          </w:p>
          <w:p w:rsidRPr="00DB6BF9" w:rsidR="00773E00" w:rsidP="00B251A4" w:rsidRDefault="00773E00" w14:paraId="03D7EF2A" w14:textId="77777777">
            <w:pPr>
              <w:pStyle w:val="Style"/>
              <w:tabs>
                <w:tab w:val="left" w:pos="-72pt"/>
              </w:tabs>
              <w:ind w:start="0pt" w:firstLine="0pt"/>
              <w:rPr>
                <w:rFonts w:ascii="Arial" w:hAnsi="Arial"/>
                <w:sz w:val="22"/>
                <w:szCs w:val="22"/>
              </w:rPr>
            </w:pPr>
            <w:r w:rsidRPr="00DB6BF9">
              <w:rPr>
                <w:rFonts w:ascii="Arial" w:hAnsi="Arial"/>
                <w:sz w:val="22"/>
                <w:szCs w:val="22"/>
              </w:rPr>
              <w:t xml:space="preserve">   (.25 hours)</w:t>
            </w:r>
          </w:p>
          <w:p w:rsidRPr="00DB6BF9" w:rsidR="00773E00" w:rsidP="00B251A4" w:rsidRDefault="00773E00" w14:paraId="0DFED748" w14:textId="77777777">
            <w:pPr>
              <w:pStyle w:val="Style"/>
              <w:tabs>
                <w:tab w:val="left" w:pos="-72pt"/>
              </w:tabs>
              <w:ind w:start="0pt" w:firstLine="0pt"/>
              <w:rPr>
                <w:rFonts w:ascii="Arial" w:hAnsi="Arial"/>
                <w:sz w:val="22"/>
                <w:szCs w:val="22"/>
              </w:rPr>
            </w:pPr>
          </w:p>
        </w:tc>
      </w:tr>
      <w:tr w:rsidRPr="00B251A4" w:rsidR="00773E00" w:rsidTr="008B68A7" w14:paraId="1F948E2E" w14:textId="77777777">
        <w:tc>
          <w:tcPr>
            <w:tcW w:w="72.95pt" w:type="dxa"/>
            <w:shd w:val="clear" w:color="auto" w:fill="auto"/>
          </w:tcPr>
          <w:p w:rsidRPr="00DB6BF9" w:rsidR="00773E00" w:rsidP="00B251A4" w:rsidRDefault="00773E00" w14:paraId="7B5DA164" w14:textId="77777777">
            <w:pPr>
              <w:pStyle w:val="Style"/>
              <w:tabs>
                <w:tab w:val="left" w:pos="-72pt"/>
              </w:tabs>
              <w:ind w:start="0pt" w:firstLine="0pt"/>
              <w:rPr>
                <w:rFonts w:ascii="Arial" w:hAnsi="Arial"/>
              </w:rPr>
            </w:pPr>
          </w:p>
          <w:p w:rsidRPr="00DB6BF9" w:rsidR="00773E00" w:rsidP="00B251A4" w:rsidRDefault="00773E00" w14:paraId="52056347" w14:textId="77777777">
            <w:pPr>
              <w:pStyle w:val="Style"/>
              <w:tabs>
                <w:tab w:val="left" w:pos="-72pt"/>
              </w:tabs>
              <w:ind w:start="0pt" w:firstLine="0pt"/>
              <w:rPr>
                <w:rFonts w:ascii="Arial" w:hAnsi="Arial"/>
                <w:b/>
              </w:rPr>
            </w:pPr>
            <w:r w:rsidRPr="00DB6BF9">
              <w:rPr>
                <w:rFonts w:ascii="Arial" w:hAnsi="Arial"/>
                <w:b/>
              </w:rPr>
              <w:t>TOTAL</w:t>
            </w:r>
          </w:p>
        </w:tc>
        <w:tc>
          <w:tcPr>
            <w:tcW w:w="59.35pt" w:type="dxa"/>
            <w:shd w:val="clear" w:color="auto" w:fill="auto"/>
          </w:tcPr>
          <w:p w:rsidRPr="00DB6BF9" w:rsidR="00773E00" w:rsidP="00B251A4" w:rsidRDefault="00773E00" w14:paraId="33BE6EA4" w14:textId="77777777">
            <w:pPr>
              <w:pStyle w:val="Style"/>
              <w:tabs>
                <w:tab w:val="left" w:pos="-72pt"/>
              </w:tabs>
              <w:ind w:start="0pt" w:firstLine="0pt"/>
              <w:rPr>
                <w:rFonts w:ascii="Arial" w:hAnsi="Arial"/>
              </w:rPr>
            </w:pPr>
          </w:p>
          <w:p w:rsidRPr="00DB6BF9" w:rsidR="00773E00" w:rsidP="00B251A4" w:rsidRDefault="00773E00" w14:paraId="2BA746DF" w14:textId="77777777">
            <w:pPr>
              <w:pStyle w:val="Style"/>
              <w:tabs>
                <w:tab w:val="left" w:pos="-72pt"/>
              </w:tabs>
              <w:ind w:start="0pt" w:firstLine="0pt"/>
              <w:rPr>
                <w:rFonts w:ascii="Arial" w:hAnsi="Arial"/>
                <w:b/>
                <w:szCs w:val="24"/>
              </w:rPr>
            </w:pPr>
            <w:r w:rsidRPr="00DB6BF9">
              <w:rPr>
                <w:rFonts w:ascii="Arial" w:hAnsi="Arial"/>
                <w:b/>
                <w:szCs w:val="24"/>
              </w:rPr>
              <w:t xml:space="preserve">      </w:t>
            </w:r>
            <w:r w:rsidRPr="00DB6BF9">
              <w:rPr>
                <w:rFonts w:ascii="Arial" w:hAnsi="Arial" w:cs="Arial"/>
                <w:b/>
                <w:color w:val="000000"/>
                <w:szCs w:val="24"/>
              </w:rPr>
              <w:t>919,183</w:t>
            </w:r>
          </w:p>
        </w:tc>
        <w:tc>
          <w:tcPr>
            <w:tcW w:w="94.55pt" w:type="dxa"/>
            <w:shd w:val="clear" w:color="auto" w:fill="auto"/>
          </w:tcPr>
          <w:p w:rsidRPr="00DB6BF9" w:rsidR="00773E00" w:rsidP="00B251A4" w:rsidRDefault="00773E00" w14:paraId="4B56A2D1" w14:textId="77777777">
            <w:pPr>
              <w:pStyle w:val="Style"/>
              <w:tabs>
                <w:tab w:val="left" w:pos="-72pt"/>
              </w:tabs>
              <w:ind w:start="0pt" w:firstLine="0pt"/>
              <w:rPr>
                <w:rFonts w:ascii="Arial" w:hAnsi="Arial"/>
              </w:rPr>
            </w:pPr>
          </w:p>
          <w:p w:rsidRPr="00DB6BF9" w:rsidR="008F0D37" w:rsidP="00B251A4" w:rsidRDefault="00773E00" w14:paraId="55B1028B" w14:textId="77777777">
            <w:pPr>
              <w:pStyle w:val="Style"/>
              <w:tabs>
                <w:tab w:val="left" w:pos="-72pt"/>
              </w:tabs>
              <w:ind w:start="0pt" w:firstLine="0pt"/>
              <w:rPr>
                <w:rFonts w:ascii="Arial" w:hAnsi="Arial"/>
                <w:b/>
              </w:rPr>
            </w:pPr>
            <w:r w:rsidRPr="00DB6BF9">
              <w:rPr>
                <w:rFonts w:ascii="Arial" w:hAnsi="Arial"/>
                <w:b/>
              </w:rPr>
              <w:t xml:space="preserve">  </w:t>
            </w:r>
          </w:p>
          <w:p w:rsidRPr="00DB6BF9" w:rsidR="00773E00" w:rsidP="00B251A4" w:rsidRDefault="00773E00" w14:paraId="02BB6771" w14:textId="77777777">
            <w:pPr>
              <w:pStyle w:val="Style"/>
              <w:tabs>
                <w:tab w:val="left" w:pos="-72pt"/>
              </w:tabs>
              <w:ind w:start="0pt" w:firstLine="0pt"/>
              <w:rPr>
                <w:rFonts w:ascii="Arial" w:hAnsi="Arial"/>
                <w:b/>
              </w:rPr>
            </w:pPr>
            <w:r w:rsidRPr="00DB6BF9">
              <w:rPr>
                <w:rFonts w:ascii="Arial" w:hAnsi="Arial"/>
                <w:b/>
              </w:rPr>
              <w:t>184,511,793</w:t>
            </w:r>
          </w:p>
        </w:tc>
        <w:tc>
          <w:tcPr>
            <w:tcW w:w="81.20pt" w:type="dxa"/>
          </w:tcPr>
          <w:p w:rsidRPr="00DB6BF9" w:rsidR="00773E00" w:rsidP="00B251A4" w:rsidRDefault="00773E00" w14:paraId="6A7BFE77" w14:textId="77777777">
            <w:pPr>
              <w:pStyle w:val="Style"/>
              <w:tabs>
                <w:tab w:val="left" w:pos="-72pt"/>
              </w:tabs>
              <w:ind w:start="0pt" w:firstLine="0pt"/>
              <w:rPr>
                <w:rFonts w:ascii="Arial" w:hAnsi="Arial"/>
              </w:rPr>
            </w:pPr>
          </w:p>
        </w:tc>
        <w:tc>
          <w:tcPr>
            <w:tcW w:w="81.20pt" w:type="dxa"/>
            <w:shd w:val="clear" w:color="auto" w:fill="auto"/>
          </w:tcPr>
          <w:p w:rsidRPr="00DB6BF9" w:rsidR="00773E00" w:rsidP="00B251A4" w:rsidRDefault="00773E00" w14:paraId="31DDFFB6" w14:textId="77777777">
            <w:pPr>
              <w:pStyle w:val="Style"/>
              <w:tabs>
                <w:tab w:val="left" w:pos="-72pt"/>
              </w:tabs>
              <w:ind w:start="0pt" w:firstLine="0pt"/>
              <w:rPr>
                <w:rFonts w:ascii="Arial" w:hAnsi="Arial"/>
              </w:rPr>
            </w:pPr>
          </w:p>
          <w:p w:rsidRPr="00B251A4" w:rsidR="00773E00" w:rsidP="00B251A4" w:rsidRDefault="00773E00" w14:paraId="2CA7C9DA" w14:textId="77777777">
            <w:pPr>
              <w:pStyle w:val="Style"/>
              <w:tabs>
                <w:tab w:val="left" w:pos="-72pt"/>
              </w:tabs>
              <w:ind w:start="0pt" w:firstLine="0pt"/>
              <w:rPr>
                <w:rFonts w:ascii="Arial" w:hAnsi="Arial"/>
                <w:b/>
              </w:rPr>
            </w:pPr>
            <w:r w:rsidRPr="00DB6BF9">
              <w:rPr>
                <w:rFonts w:ascii="Arial" w:hAnsi="Arial"/>
                <w:b/>
              </w:rPr>
              <w:t xml:space="preserve">  186,361,541</w:t>
            </w:r>
          </w:p>
        </w:tc>
        <w:tc>
          <w:tcPr>
            <w:tcW w:w="78.55pt" w:type="dxa"/>
            <w:shd w:val="clear" w:color="auto" w:fill="auto"/>
          </w:tcPr>
          <w:p w:rsidRPr="00B251A4" w:rsidR="00773E00" w:rsidP="00B251A4" w:rsidRDefault="00773E00" w14:paraId="3BF776C7" w14:textId="77777777">
            <w:pPr>
              <w:pStyle w:val="Style"/>
              <w:tabs>
                <w:tab w:val="left" w:pos="-72pt"/>
              </w:tabs>
              <w:ind w:start="0pt" w:firstLine="0pt"/>
              <w:rPr>
                <w:rFonts w:ascii="Arial" w:hAnsi="Arial"/>
              </w:rPr>
            </w:pPr>
          </w:p>
        </w:tc>
      </w:tr>
    </w:tbl>
    <w:bookmarkEnd w:id="1"/>
    <w:p w:rsidR="00666C4C" w:rsidP="00666C4C" w:rsidRDefault="00666C4C" w14:paraId="211F450B" w14:textId="77777777">
      <w:pPr>
        <w:pStyle w:val="Heading6"/>
        <w:ind w:firstLine="36pt"/>
        <w:rPr>
          <w:rFonts w:ascii="Arial" w:hAnsi="Arial" w:cs="Arial"/>
          <w:sz w:val="24"/>
        </w:rPr>
      </w:pPr>
      <w:r>
        <w:rPr>
          <w:rFonts w:ascii="Arial" w:hAnsi="Arial" w:cs="Arial"/>
          <w:sz w:val="24"/>
        </w:rPr>
        <w:t>Public Cost</w:t>
      </w:r>
    </w:p>
    <w:p w:rsidR="00666C4C" w:rsidP="00666C4C" w:rsidRDefault="00666C4C" w14:paraId="47A871AA" w14:textId="77777777">
      <w:pPr>
        <w:ind w:start="36pt"/>
        <w:jc w:val="both"/>
        <w:rPr>
          <w:rFonts w:ascii="Arial" w:hAnsi="Arial" w:cs="Arial"/>
          <w:b/>
          <w:bCs/>
        </w:rPr>
      </w:pPr>
    </w:p>
    <w:p w:rsidRPr="002D2FDE" w:rsidR="002D2FDE" w:rsidP="008B68A7" w:rsidRDefault="002D2FDE" w14:paraId="241D6937" w14:textId="77777777">
      <w:pPr>
        <w:ind w:start="36pt"/>
        <w:rPr>
          <w:rFonts w:ascii="Arial" w:hAnsi="Arial" w:cs="Arial"/>
          <w:vertAlign w:val="superscript"/>
        </w:rPr>
      </w:pPr>
      <w:r w:rsidRPr="002D2FDE">
        <w:rPr>
          <w:rFonts w:ascii="Arial" w:hAnsi="Arial" w:cs="Arial"/>
          <w:b/>
        </w:rPr>
        <w:t>Commercial Airlines:</w:t>
      </w:r>
      <w:r>
        <w:rPr>
          <w:rFonts w:ascii="Arial" w:hAnsi="Arial" w:cs="Arial"/>
        </w:rPr>
        <w:t xml:space="preserve"> </w:t>
      </w:r>
      <w:r w:rsidRPr="002D2FDE">
        <w:rPr>
          <w:rFonts w:ascii="Arial" w:hAnsi="Arial" w:cs="Arial"/>
        </w:rPr>
        <w:t>The estimated cost to the respondents is $</w:t>
      </w:r>
      <w:r>
        <w:rPr>
          <w:rFonts w:ascii="Arial" w:hAnsi="Arial" w:cs="Arial"/>
        </w:rPr>
        <w:t>10,305,030.84</w:t>
      </w:r>
      <w:r w:rsidRPr="002D2FDE">
        <w:rPr>
          <w:rFonts w:ascii="Arial" w:hAnsi="Arial" w:cs="Arial"/>
        </w:rPr>
        <w:t>. This is based on the estimated burden hours (</w:t>
      </w:r>
      <w:r>
        <w:rPr>
          <w:rFonts w:ascii="Arial" w:hAnsi="Arial" w:cs="Arial"/>
        </w:rPr>
        <w:t>307,246</w:t>
      </w:r>
      <w:r w:rsidRPr="002D2FDE">
        <w:rPr>
          <w:rFonts w:ascii="Arial" w:hAnsi="Arial" w:cs="Arial"/>
        </w:rPr>
        <w:t xml:space="preserve">) multiplied by (x) the average loaded hourly wage rate for flight attendants ($33.54).  CBP calculated this loaded wage rate by first multiplying the Bureau of Labor Statistics’ (BLS) 2015 </w:t>
      </w:r>
      <w:r w:rsidRPr="002D2FDE">
        <w:rPr>
          <w:rFonts w:ascii="Arial" w:hAnsi="Arial" w:cs="Arial"/>
          <w:bCs/>
        </w:rPr>
        <w:t>annual median wage rate, converted to an hourly rate, for Flight Attendants ($21.57) by the ratio of BLS’ average 2015 total compensation to wages and salaries for Transportation and Material Moving occupations (</w:t>
      </w:r>
      <w:r w:rsidRPr="002D2FDE">
        <w:rPr>
          <w:rFonts w:ascii="Arial" w:hAnsi="Arial" w:cs="Arial"/>
        </w:rPr>
        <w:t>1.5395</w:t>
      </w:r>
      <w:r w:rsidRPr="002D2FDE">
        <w:rPr>
          <w:rFonts w:ascii="Arial" w:hAnsi="Arial" w:cs="Arial"/>
          <w:bCs/>
        </w:rPr>
        <w:t xml:space="preserve">), the assumed occupational group for </w:t>
      </w:r>
      <w:r w:rsidRPr="002D2FDE">
        <w:rPr>
          <w:rFonts w:ascii="Arial" w:hAnsi="Arial" w:cs="Arial"/>
        </w:rPr>
        <w:t>flight attendants</w:t>
      </w:r>
      <w:r w:rsidRPr="002D2FDE">
        <w:rPr>
          <w:rFonts w:ascii="Arial" w:hAnsi="Arial" w:cs="Arial"/>
          <w:bCs/>
        </w:rPr>
        <w:t xml:space="preserve">, </w:t>
      </w:r>
      <w:r w:rsidRPr="002D2FDE">
        <w:rPr>
          <w:rFonts w:ascii="Arial" w:hAnsi="Arial" w:cs="Arial"/>
        </w:rPr>
        <w:t>to account for non-salary employee benefits</w:t>
      </w:r>
      <w:r w:rsidRPr="002D2FDE">
        <w:rPr>
          <w:rFonts w:ascii="Arial" w:hAnsi="Arial" w:cs="Arial"/>
          <w:bCs/>
        </w:rPr>
        <w:t>.</w:t>
      </w:r>
      <w:r w:rsidRPr="002D2FDE">
        <w:rPr>
          <w:rFonts w:ascii="Arial" w:hAnsi="Arial" w:cs="Arial"/>
          <w:vertAlign w:val="superscript"/>
        </w:rPr>
        <w:footnoteReference w:id="1"/>
      </w:r>
      <w:r w:rsidRPr="002D2FDE">
        <w:rPr>
          <w:rFonts w:ascii="Arial" w:hAnsi="Arial" w:cs="Arial"/>
          <w:vertAlign w:val="superscript"/>
        </w:rPr>
        <w:t>,</w:t>
      </w:r>
      <w:r w:rsidRPr="002D2FDE">
        <w:rPr>
          <w:rFonts w:ascii="Arial" w:hAnsi="Arial" w:cs="Arial"/>
          <w:vertAlign w:val="superscript"/>
        </w:rPr>
        <w:footnoteReference w:id="2"/>
      </w:r>
      <w:r w:rsidRPr="002D2FDE">
        <w:rPr>
          <w:rFonts w:ascii="Arial" w:hAnsi="Arial" w:cs="Arial"/>
          <w:vertAlign w:val="superscript"/>
        </w:rPr>
        <w:t xml:space="preserve">  </w:t>
      </w:r>
      <w:r w:rsidRPr="002D2FDE">
        <w:rPr>
          <w:rFonts w:ascii="Arial" w:hAnsi="Arial" w:cs="Arial"/>
        </w:rPr>
        <w:t>CBP then adjusted this figure, which was in 2015 U.S. dollars, to 2016 U.S. dollars by applying a 1.0 percent annual growth rate to the figure, as recommended by the U.S. Department of Transportation’s value of travel time guidance.</w:t>
      </w:r>
      <w:r w:rsidRPr="002D2FDE">
        <w:rPr>
          <w:rFonts w:ascii="Arial" w:hAnsi="Arial" w:cs="Arial"/>
          <w:vertAlign w:val="superscript"/>
        </w:rPr>
        <w:footnoteReference w:id="3"/>
      </w:r>
    </w:p>
    <w:p w:rsidRPr="00DB6BF9" w:rsidR="002D2FDE" w:rsidP="00666C4C" w:rsidRDefault="002D2FDE" w14:paraId="175A3062" w14:textId="77777777">
      <w:pPr>
        <w:ind w:start="36pt"/>
        <w:jc w:val="both"/>
        <w:rPr>
          <w:rFonts w:ascii="Arial" w:hAnsi="Arial" w:cs="Arial"/>
          <w:highlight w:val="yellow"/>
        </w:rPr>
      </w:pPr>
    </w:p>
    <w:p w:rsidRPr="002D2FDE" w:rsidR="002D2FDE" w:rsidP="002D2FDE" w:rsidRDefault="002D2FDE" w14:paraId="79FEEB6D" w14:textId="77777777">
      <w:pPr>
        <w:widowControl/>
        <w:ind w:start="36pt"/>
        <w:rPr>
          <w:rFonts w:ascii="Arial" w:hAnsi="Arial" w:eastAsia="Calibri" w:cs="Arial"/>
          <w:bCs/>
          <w:snapToGrid/>
          <w:szCs w:val="24"/>
          <w:vertAlign w:val="superscript"/>
        </w:rPr>
      </w:pPr>
      <w:r w:rsidRPr="002D2FDE">
        <w:rPr>
          <w:rFonts w:ascii="Arial" w:hAnsi="Arial" w:eastAsia="Calibri" w:cs="Arial"/>
          <w:b/>
          <w:snapToGrid/>
          <w:szCs w:val="24"/>
        </w:rPr>
        <w:t>Commercial Airline Passengers (3</w:t>
      </w:r>
      <w:r w:rsidRPr="002D2FDE">
        <w:rPr>
          <w:rFonts w:ascii="Arial" w:hAnsi="Arial" w:eastAsia="Calibri" w:cs="Arial"/>
          <w:b/>
          <w:snapToGrid/>
          <w:szCs w:val="24"/>
          <w:vertAlign w:val="superscript"/>
        </w:rPr>
        <w:t>rd</w:t>
      </w:r>
      <w:r w:rsidRPr="002D2FDE">
        <w:rPr>
          <w:rFonts w:ascii="Arial" w:hAnsi="Arial" w:eastAsia="Calibri" w:cs="Arial"/>
          <w:b/>
          <w:snapToGrid/>
          <w:szCs w:val="24"/>
        </w:rPr>
        <w:t xml:space="preserve"> Party Reporting):</w:t>
      </w:r>
      <w:r>
        <w:rPr>
          <w:rFonts w:ascii="Arial" w:hAnsi="Arial" w:eastAsia="Calibri" w:cs="Arial"/>
          <w:snapToGrid/>
          <w:szCs w:val="24"/>
        </w:rPr>
        <w:t xml:space="preserve"> </w:t>
      </w:r>
      <w:r w:rsidRPr="002D2FDE">
        <w:rPr>
          <w:rFonts w:ascii="Arial" w:hAnsi="Arial" w:eastAsia="Calibri" w:cs="Arial"/>
          <w:snapToGrid/>
          <w:szCs w:val="24"/>
        </w:rPr>
        <w:t>The estimated cost to the respondents is $</w:t>
      </w:r>
      <w:r w:rsidR="004B795B">
        <w:rPr>
          <w:rFonts w:ascii="Arial" w:hAnsi="Arial" w:eastAsia="Calibri" w:cs="Arial"/>
          <w:snapToGrid/>
          <w:szCs w:val="24"/>
        </w:rPr>
        <w:t>22,014,309.10</w:t>
      </w:r>
      <w:r w:rsidRPr="002D2FDE">
        <w:rPr>
          <w:rFonts w:ascii="Arial" w:hAnsi="Arial" w:eastAsia="Calibri" w:cs="Arial"/>
          <w:snapToGrid/>
          <w:szCs w:val="24"/>
        </w:rPr>
        <w:t>.  This is based on the estimated burden hours (</w:t>
      </w:r>
      <w:r w:rsidRPr="00DB6BF9" w:rsidR="004B795B">
        <w:rPr>
          <w:rFonts w:ascii="Arial" w:hAnsi="Arial"/>
          <w:sz w:val="22"/>
          <w:szCs w:val="22"/>
        </w:rPr>
        <w:t>496,937</w:t>
      </w:r>
      <w:r w:rsidRPr="002D2FDE">
        <w:rPr>
          <w:rFonts w:ascii="Arial" w:hAnsi="Arial" w:eastAsia="Calibri" w:cs="Arial"/>
          <w:snapToGrid/>
          <w:szCs w:val="24"/>
        </w:rPr>
        <w:t xml:space="preserve">) multiplied by (x) the average hourly wage rate for all-purpose air travelers ($45.64).  CBP calculated this wage rate by adjusting the </w:t>
      </w:r>
      <w:r w:rsidRPr="002D2FDE">
        <w:rPr>
          <w:rFonts w:ascii="Arial" w:hAnsi="Arial" w:eastAsia="Calibri" w:cs="Arial"/>
          <w:bCs/>
          <w:snapToGrid/>
          <w:szCs w:val="24"/>
        </w:rPr>
        <w:t>U.S. Department of Transportation’s (DOT) recommended hourly values of travel time savings for intercity, all-purpose travel by air and high-speed rail ($44.30 in 2013 U.S. dollars) to 2016 U.S. dollars using DOT’s recommended annual growth rate of 1.0 percent.</w:t>
      </w:r>
      <w:r w:rsidRPr="002D2FDE">
        <w:rPr>
          <w:rFonts w:ascii="Arial" w:hAnsi="Arial" w:eastAsia="Calibri" w:cs="Arial"/>
          <w:snapToGrid/>
          <w:szCs w:val="24"/>
          <w:vertAlign w:val="superscript"/>
        </w:rPr>
        <w:footnoteReference w:id="4"/>
      </w:r>
      <w:r w:rsidRPr="002D2FDE">
        <w:rPr>
          <w:rFonts w:ascii="Arial" w:hAnsi="Arial" w:eastAsia="Calibri" w:cs="Arial"/>
          <w:bCs/>
          <w:snapToGrid/>
          <w:szCs w:val="24"/>
          <w:vertAlign w:val="superscript"/>
        </w:rPr>
        <w:t xml:space="preserve"> </w:t>
      </w:r>
    </w:p>
    <w:p w:rsidRPr="00DB6BF9" w:rsidR="002033C5" w:rsidP="00666C4C" w:rsidRDefault="002033C5" w14:paraId="439AADE8" w14:textId="77777777">
      <w:pPr>
        <w:ind w:start="36pt"/>
        <w:jc w:val="both"/>
        <w:rPr>
          <w:rFonts w:ascii="Arial" w:hAnsi="Arial" w:cs="Arial"/>
          <w:highlight w:val="yellow"/>
        </w:rPr>
      </w:pPr>
    </w:p>
    <w:p w:rsidRPr="00077930" w:rsidR="00077930" w:rsidP="008B68A7" w:rsidRDefault="002D2FDE" w14:paraId="200E7A1F" w14:textId="77777777">
      <w:pPr>
        <w:ind w:start="36pt"/>
        <w:rPr>
          <w:rFonts w:ascii="Arial" w:hAnsi="Arial" w:cs="Arial"/>
          <w:vertAlign w:val="superscript"/>
        </w:rPr>
      </w:pPr>
      <w:r w:rsidRPr="002D2FDE">
        <w:rPr>
          <w:rFonts w:ascii="Arial" w:hAnsi="Arial" w:cs="Arial"/>
          <w:b/>
        </w:rPr>
        <w:t>Private Aircraft Pilots:</w:t>
      </w:r>
      <w:r>
        <w:rPr>
          <w:rFonts w:ascii="Arial" w:hAnsi="Arial" w:cs="Arial"/>
        </w:rPr>
        <w:t xml:space="preserve"> </w:t>
      </w:r>
      <w:r w:rsidRPr="00077930" w:rsidR="00077930">
        <w:rPr>
          <w:rFonts w:ascii="Arial" w:hAnsi="Arial" w:cs="Arial"/>
        </w:rPr>
        <w:t>The estimated cost to the respondents is $</w:t>
      </w:r>
      <w:r w:rsidR="00077930">
        <w:rPr>
          <w:rFonts w:ascii="Arial" w:hAnsi="Arial" w:cs="Arial"/>
        </w:rPr>
        <w:t>8,81</w:t>
      </w:r>
      <w:r>
        <w:rPr>
          <w:rFonts w:ascii="Arial" w:hAnsi="Arial" w:cs="Arial"/>
        </w:rPr>
        <w:t>3,600</w:t>
      </w:r>
      <w:r w:rsidRPr="00077930" w:rsidR="00077930">
        <w:rPr>
          <w:rFonts w:ascii="Arial" w:hAnsi="Arial" w:cs="Arial"/>
        </w:rPr>
        <w:t>.  This is based on the estimated burden hours (</w:t>
      </w:r>
      <w:r w:rsidR="00077930">
        <w:rPr>
          <w:rFonts w:ascii="Arial" w:hAnsi="Arial" w:cs="Arial"/>
        </w:rPr>
        <w:t>115,000</w:t>
      </w:r>
      <w:r w:rsidRPr="00077930" w:rsidR="00077930">
        <w:rPr>
          <w:rFonts w:ascii="Arial" w:hAnsi="Arial" w:cs="Arial"/>
        </w:rPr>
        <w:t xml:space="preserve">) multiplied by (x) the average loaded hourly wage rate for aircraft pilots ($76.64).  CBP calculated this loaded wage rate by first multiplying the Bureau of Labor Statistics’ (BLS) 2015 </w:t>
      </w:r>
      <w:r w:rsidRPr="00077930" w:rsidR="00077930">
        <w:rPr>
          <w:rFonts w:ascii="Arial" w:hAnsi="Arial" w:cs="Arial"/>
          <w:bCs/>
        </w:rPr>
        <w:t>annual median wage rate, converted to an hourly rate, for Aircraft Pilots and Flight Engineers ($49.29), which CBP assumes best represents the wage for aircraft pilots, by the ratio of BLS’ average 2015 total compensation to wages and salaries for Transportation and Material Moving occupations (</w:t>
      </w:r>
      <w:r w:rsidRPr="00077930" w:rsidR="00077930">
        <w:rPr>
          <w:rFonts w:ascii="Arial" w:hAnsi="Arial" w:cs="Arial"/>
        </w:rPr>
        <w:t>1.5395</w:t>
      </w:r>
      <w:r w:rsidRPr="00077930" w:rsidR="00077930">
        <w:rPr>
          <w:rFonts w:ascii="Arial" w:hAnsi="Arial" w:cs="Arial"/>
          <w:bCs/>
        </w:rPr>
        <w:t xml:space="preserve">), the assumed occupational group for aircraft pilots, </w:t>
      </w:r>
      <w:r w:rsidRPr="00077930" w:rsidR="00077930">
        <w:rPr>
          <w:rFonts w:ascii="Arial" w:hAnsi="Arial" w:cs="Arial"/>
        </w:rPr>
        <w:t>to account for non-salary employee benefits</w:t>
      </w:r>
      <w:r w:rsidRPr="00077930" w:rsidR="00077930">
        <w:rPr>
          <w:rFonts w:ascii="Arial" w:hAnsi="Arial" w:cs="Arial"/>
          <w:bCs/>
        </w:rPr>
        <w:t>.</w:t>
      </w:r>
      <w:r w:rsidRPr="00077930" w:rsidR="00077930">
        <w:rPr>
          <w:rFonts w:ascii="Arial" w:hAnsi="Arial" w:cs="Arial"/>
          <w:vertAlign w:val="superscript"/>
        </w:rPr>
        <w:footnoteReference w:id="5"/>
      </w:r>
      <w:r w:rsidRPr="00077930" w:rsidR="00077930">
        <w:rPr>
          <w:rFonts w:ascii="Arial" w:hAnsi="Arial" w:cs="Arial"/>
          <w:vertAlign w:val="superscript"/>
        </w:rPr>
        <w:t>,</w:t>
      </w:r>
      <w:r w:rsidRPr="00077930" w:rsidR="00077930">
        <w:rPr>
          <w:rFonts w:ascii="Arial" w:hAnsi="Arial" w:cs="Arial"/>
          <w:vertAlign w:val="superscript"/>
        </w:rPr>
        <w:footnoteReference w:id="6"/>
      </w:r>
      <w:r w:rsidRPr="00077930" w:rsidR="00077930">
        <w:rPr>
          <w:rFonts w:ascii="Arial" w:hAnsi="Arial" w:cs="Arial"/>
          <w:vertAlign w:val="superscript"/>
        </w:rPr>
        <w:t xml:space="preserve">  </w:t>
      </w:r>
      <w:r w:rsidRPr="00077930" w:rsidR="00077930">
        <w:rPr>
          <w:rFonts w:ascii="Arial" w:hAnsi="Arial" w:cs="Arial"/>
        </w:rPr>
        <w:t>CBP then adjusted this figure, which was in 2015 U.S. dollars, to 2016 U.S. dollars by applying a 1.0 percent annual growth rate to the figure, as recommended by the U.S. Department of Transportation’s value of travel time guidance.</w:t>
      </w:r>
      <w:r w:rsidRPr="00077930" w:rsidR="00077930">
        <w:rPr>
          <w:rFonts w:ascii="Arial" w:hAnsi="Arial" w:cs="Arial"/>
          <w:vertAlign w:val="superscript"/>
        </w:rPr>
        <w:footnoteReference w:id="7"/>
      </w:r>
    </w:p>
    <w:p w:rsidR="00666C4C" w:rsidP="00F153AC" w:rsidRDefault="00666C4C" w14:paraId="666FACC2" w14:textId="77777777">
      <w:pPr>
        <w:tabs>
          <w:tab w:val="left" w:pos="-72pt"/>
        </w:tabs>
        <w:ind w:start="36pt" w:hanging="36pt"/>
        <w:rPr>
          <w:rFonts w:ascii="Arial" w:hAnsi="Arial"/>
          <w:bCs/>
          <w:szCs w:val="24"/>
        </w:rPr>
      </w:pPr>
    </w:p>
    <w:p w:rsidRPr="00C47181" w:rsidR="00F153AC" w:rsidP="00077930" w:rsidRDefault="00F153AC" w14:paraId="654382D7" w14:textId="77777777">
      <w:pPr>
        <w:tabs>
          <w:tab w:val="left" w:pos="-72pt"/>
        </w:tabs>
        <w:ind w:start="36pt" w:hanging="36pt"/>
        <w:rPr>
          <w:rFonts w:ascii="Arial" w:hAnsi="Arial"/>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recordkeepers resulting from the collection of information.</w:t>
      </w:r>
      <w:r w:rsidRPr="00C47181">
        <w:rPr>
          <w:rFonts w:ascii="Arial" w:hAnsi="Arial"/>
          <w:szCs w:val="24"/>
        </w:rPr>
        <w:tab/>
      </w:r>
    </w:p>
    <w:p w:rsidRPr="00C47181" w:rsidR="00F153AC" w:rsidP="00F153AC" w:rsidRDefault="00F153AC" w14:paraId="69FF4F50" w14:textId="77777777">
      <w:pPr>
        <w:tabs>
          <w:tab w:val="left" w:pos="-72pt"/>
        </w:tabs>
        <w:ind w:start="36pt" w:hanging="36pt"/>
        <w:rPr>
          <w:rFonts w:ascii="Arial" w:hAnsi="Arial"/>
          <w:szCs w:val="24"/>
        </w:rPr>
      </w:pPr>
    </w:p>
    <w:p w:rsidRPr="00DB6BF9" w:rsidR="00666C4C" w:rsidP="008B68A7" w:rsidRDefault="00666C4C" w14:paraId="0292AEC5" w14:textId="77777777">
      <w:pPr>
        <w:ind w:start="33pt"/>
        <w:rPr>
          <w:rFonts w:ascii="Arial" w:hAnsi="Arial" w:cs="Arial"/>
          <w:szCs w:val="24"/>
        </w:rPr>
      </w:pPr>
      <w:r w:rsidRPr="00DB6BF9">
        <w:rPr>
          <w:rFonts w:ascii="Arial" w:hAnsi="Arial" w:cs="Arial"/>
          <w:szCs w:val="24"/>
        </w:rPr>
        <w:t>The estimated</w:t>
      </w:r>
      <w:r w:rsidRPr="00DB6BF9" w:rsidR="00FF75C5">
        <w:rPr>
          <w:rFonts w:ascii="Arial" w:hAnsi="Arial" w:cs="Arial"/>
          <w:szCs w:val="24"/>
        </w:rPr>
        <w:t xml:space="preserve"> </w:t>
      </w:r>
      <w:r w:rsidRPr="00DB6BF9">
        <w:rPr>
          <w:rFonts w:ascii="Arial" w:hAnsi="Arial" w:cs="Arial"/>
          <w:szCs w:val="24"/>
        </w:rPr>
        <w:t>operations</w:t>
      </w:r>
      <w:r w:rsidRPr="00DB6BF9" w:rsidR="00FF75C5">
        <w:rPr>
          <w:rFonts w:ascii="Arial" w:hAnsi="Arial" w:cs="Arial"/>
          <w:szCs w:val="24"/>
        </w:rPr>
        <w:t xml:space="preserve"> and maintenance</w:t>
      </w:r>
      <w:r w:rsidRPr="00DB6BF9">
        <w:rPr>
          <w:rFonts w:ascii="Arial" w:hAnsi="Arial" w:cs="Arial"/>
          <w:szCs w:val="24"/>
        </w:rPr>
        <w:t xml:space="preserve"> costs associated with this information collection are </w:t>
      </w:r>
      <w:r w:rsidRPr="00DB6BF9">
        <w:rPr>
          <w:rFonts w:ascii="Arial" w:hAnsi="Arial" w:cs="Arial"/>
          <w:b/>
          <w:szCs w:val="24"/>
        </w:rPr>
        <w:t>$</w:t>
      </w:r>
      <w:r w:rsidRPr="00DB6BF9" w:rsidR="0087533E">
        <w:rPr>
          <w:rFonts w:ascii="Arial" w:hAnsi="Arial" w:cs="Arial"/>
          <w:b/>
          <w:szCs w:val="24"/>
        </w:rPr>
        <w:t>68</w:t>
      </w:r>
      <w:r w:rsidRPr="00DB6BF9" w:rsidR="00FF75C5">
        <w:rPr>
          <w:rFonts w:ascii="Arial" w:hAnsi="Arial" w:cs="Arial"/>
          <w:b/>
          <w:szCs w:val="24"/>
        </w:rPr>
        <w:t>,</w:t>
      </w:r>
      <w:r w:rsidRPr="00DB6BF9" w:rsidR="0087533E">
        <w:rPr>
          <w:rFonts w:ascii="Arial" w:hAnsi="Arial" w:cs="Arial"/>
          <w:b/>
          <w:szCs w:val="24"/>
        </w:rPr>
        <w:t>361</w:t>
      </w:r>
      <w:r w:rsidRPr="00DB6BF9" w:rsidR="00FF75C5">
        <w:rPr>
          <w:rFonts w:ascii="Arial" w:hAnsi="Arial" w:cs="Arial"/>
          <w:b/>
          <w:szCs w:val="24"/>
        </w:rPr>
        <w:t>,</w:t>
      </w:r>
      <w:r w:rsidRPr="00DB6BF9" w:rsidR="0087533E">
        <w:rPr>
          <w:rFonts w:ascii="Arial" w:hAnsi="Arial" w:cs="Arial"/>
          <w:b/>
          <w:szCs w:val="24"/>
        </w:rPr>
        <w:t>719</w:t>
      </w:r>
      <w:r w:rsidRPr="00DB6BF9">
        <w:rPr>
          <w:rFonts w:ascii="Arial" w:hAnsi="Arial" w:cs="Arial"/>
          <w:szCs w:val="24"/>
        </w:rPr>
        <w:t>.  This is calculated as follows:</w:t>
      </w:r>
    </w:p>
    <w:p w:rsidRPr="00DB6BF9" w:rsidR="00666C4C" w:rsidP="00666C4C" w:rsidRDefault="00666C4C" w14:paraId="504774F6" w14:textId="77777777">
      <w:pPr>
        <w:ind w:start="33pt"/>
        <w:jc w:val="both"/>
        <w:rPr>
          <w:rFonts w:ascii="Arial" w:hAnsi="Arial" w:cs="Arial"/>
          <w:szCs w:val="24"/>
        </w:rPr>
      </w:pPr>
    </w:p>
    <w:p w:rsidRPr="00DB6BF9" w:rsidR="00666C4C" w:rsidP="00666C4C" w:rsidRDefault="000C0A0E" w14:paraId="605EE074" w14:textId="77777777">
      <w:pPr>
        <w:ind w:start="33pt"/>
        <w:jc w:val="both"/>
        <w:rPr>
          <w:rFonts w:ascii="Arial" w:hAnsi="Arial" w:cs="Arial"/>
          <w:szCs w:val="24"/>
        </w:rPr>
      </w:pPr>
      <w:r w:rsidRPr="00DB6BF9">
        <w:rPr>
          <w:rFonts w:ascii="Arial" w:hAnsi="Arial" w:cs="Arial"/>
          <w:szCs w:val="24"/>
        </w:rPr>
        <w:t xml:space="preserve">Large carrier operations and maintenance costs associated with </w:t>
      </w:r>
      <w:r w:rsidRPr="00DB6BF9" w:rsidR="00666C4C">
        <w:rPr>
          <w:rFonts w:ascii="Arial" w:hAnsi="Arial" w:cs="Arial"/>
          <w:szCs w:val="24"/>
        </w:rPr>
        <w:t>APIS</w:t>
      </w:r>
      <w:r w:rsidRPr="00DB6BF9">
        <w:rPr>
          <w:rFonts w:ascii="Arial" w:hAnsi="Arial" w:cs="Arial"/>
          <w:szCs w:val="24"/>
        </w:rPr>
        <w:t xml:space="preserve"> and UNEDIFACT interface: 184,050,663</w:t>
      </w:r>
      <w:r w:rsidRPr="00DB6BF9" w:rsidR="00666C4C">
        <w:rPr>
          <w:rFonts w:ascii="Arial" w:hAnsi="Arial" w:cs="Arial"/>
          <w:szCs w:val="24"/>
        </w:rPr>
        <w:t xml:space="preserve"> passengers multiplied (x) by ($0.33) per passenger = </w:t>
      </w:r>
      <w:r w:rsidRPr="00DB6BF9">
        <w:rPr>
          <w:rFonts w:ascii="Arial" w:hAnsi="Arial" w:cs="Arial"/>
          <w:b/>
          <w:szCs w:val="24"/>
        </w:rPr>
        <w:t>$60,736,719</w:t>
      </w:r>
      <w:r w:rsidRPr="00DB6BF9">
        <w:rPr>
          <w:rFonts w:ascii="Arial" w:hAnsi="Arial" w:cs="Arial"/>
          <w:szCs w:val="24"/>
        </w:rPr>
        <w:t xml:space="preserve"> </w:t>
      </w:r>
      <w:r w:rsidRPr="00DB6BF9" w:rsidR="00666C4C">
        <w:rPr>
          <w:rFonts w:ascii="Arial" w:hAnsi="Arial" w:cs="Arial"/>
          <w:szCs w:val="24"/>
        </w:rPr>
        <w:t xml:space="preserve">      </w:t>
      </w:r>
    </w:p>
    <w:p w:rsidRPr="00DB6BF9" w:rsidR="00666C4C" w:rsidP="00666C4C" w:rsidRDefault="00666C4C" w14:paraId="32D59FE1" w14:textId="77777777">
      <w:pPr>
        <w:ind w:start="33pt"/>
        <w:jc w:val="both"/>
        <w:rPr>
          <w:rFonts w:ascii="Arial" w:hAnsi="Arial" w:cs="Arial"/>
          <w:szCs w:val="24"/>
        </w:rPr>
      </w:pPr>
    </w:p>
    <w:p w:rsidR="00052D61" w:rsidP="008B68A7" w:rsidRDefault="00EC3ADD" w14:paraId="48633721" w14:textId="77777777">
      <w:pPr>
        <w:ind w:start="33pt"/>
        <w:rPr>
          <w:rFonts w:ascii="Arial" w:hAnsi="Arial" w:cs="Arial"/>
        </w:rPr>
      </w:pPr>
      <w:r w:rsidRPr="00DB6BF9">
        <w:rPr>
          <w:rFonts w:ascii="Arial" w:hAnsi="Arial" w:cs="Arial"/>
          <w:szCs w:val="24"/>
        </w:rPr>
        <w:t xml:space="preserve">Large carrier operations and maintenance costs associated with APIS and the Electronic System for Travel Authorization (ESTA) interface: </w:t>
      </w:r>
      <w:r w:rsidRPr="00DB6BF9" w:rsidR="00666C4C">
        <w:rPr>
          <w:rFonts w:ascii="Arial" w:hAnsi="Arial" w:cs="Arial"/>
          <w:szCs w:val="24"/>
        </w:rPr>
        <w:t xml:space="preserve">The number of </w:t>
      </w:r>
      <w:r w:rsidRPr="00DB6BF9" w:rsidR="00FF7C71">
        <w:rPr>
          <w:rFonts w:ascii="Arial" w:hAnsi="Arial" w:cs="Arial"/>
          <w:szCs w:val="24"/>
        </w:rPr>
        <w:t xml:space="preserve">large international </w:t>
      </w:r>
      <w:r w:rsidRPr="00DB6BF9" w:rsidR="00666C4C">
        <w:rPr>
          <w:rFonts w:ascii="Arial" w:hAnsi="Arial" w:cs="Arial"/>
          <w:szCs w:val="24"/>
        </w:rPr>
        <w:t>carriers (</w:t>
      </w:r>
      <w:r w:rsidRPr="00DB6BF9" w:rsidR="00FF7C71">
        <w:rPr>
          <w:rFonts w:ascii="Arial" w:hAnsi="Arial" w:cs="Arial"/>
          <w:szCs w:val="24"/>
        </w:rPr>
        <w:t>6</w:t>
      </w:r>
      <w:r w:rsidRPr="00DB6BF9" w:rsidR="00F658EC">
        <w:rPr>
          <w:rFonts w:ascii="Arial" w:hAnsi="Arial" w:cs="Arial"/>
          <w:szCs w:val="24"/>
        </w:rPr>
        <w:t>1</w:t>
      </w:r>
      <w:r w:rsidRPr="00DB6BF9" w:rsidR="00666C4C">
        <w:rPr>
          <w:rFonts w:ascii="Arial" w:hAnsi="Arial" w:cs="Arial"/>
          <w:szCs w:val="24"/>
        </w:rPr>
        <w:t xml:space="preserve">) multiplied (x) by costs per carrier </w:t>
      </w:r>
      <w:r w:rsidRPr="00DB6BF9" w:rsidR="00E6119F">
        <w:rPr>
          <w:rFonts w:ascii="Arial" w:hAnsi="Arial" w:cs="Arial"/>
          <w:szCs w:val="24"/>
        </w:rPr>
        <w:t xml:space="preserve">($125,000) </w:t>
      </w:r>
      <w:r w:rsidRPr="00DB6BF9" w:rsidR="00666C4C">
        <w:rPr>
          <w:rFonts w:ascii="Arial" w:hAnsi="Arial" w:cs="Arial"/>
          <w:szCs w:val="24"/>
        </w:rPr>
        <w:t>=</w:t>
      </w:r>
      <w:r w:rsidRPr="00DB6BF9">
        <w:rPr>
          <w:rFonts w:ascii="Arial" w:hAnsi="Arial" w:cs="Arial"/>
          <w:szCs w:val="24"/>
        </w:rPr>
        <w:t xml:space="preserve"> </w:t>
      </w:r>
      <w:r w:rsidRPr="008B68A7" w:rsidR="00E6119F">
        <w:rPr>
          <w:rFonts w:ascii="Arial" w:hAnsi="Arial" w:cs="Arial"/>
          <w:b/>
          <w:szCs w:val="24"/>
        </w:rPr>
        <w:t>$</w:t>
      </w:r>
      <w:r w:rsidRPr="008B68A7" w:rsidR="00F658EC">
        <w:rPr>
          <w:rFonts w:ascii="Arial" w:hAnsi="Arial" w:cs="Arial"/>
          <w:b/>
          <w:szCs w:val="24"/>
        </w:rPr>
        <w:t>7</w:t>
      </w:r>
      <w:r w:rsidRPr="008B68A7" w:rsidR="00E6119F">
        <w:rPr>
          <w:rFonts w:ascii="Arial" w:hAnsi="Arial" w:cs="Arial"/>
          <w:b/>
          <w:szCs w:val="24"/>
        </w:rPr>
        <w:t>,</w:t>
      </w:r>
      <w:r w:rsidRPr="008B68A7" w:rsidR="00F658EC">
        <w:rPr>
          <w:rFonts w:ascii="Arial" w:hAnsi="Arial" w:cs="Arial"/>
          <w:b/>
          <w:szCs w:val="24"/>
        </w:rPr>
        <w:t>625</w:t>
      </w:r>
      <w:r w:rsidRPr="008B68A7" w:rsidR="00E6119F">
        <w:rPr>
          <w:rFonts w:ascii="Arial" w:hAnsi="Arial" w:cs="Arial"/>
          <w:b/>
          <w:szCs w:val="24"/>
        </w:rPr>
        <w:t>,000</w:t>
      </w:r>
      <w:r w:rsidRPr="008B68A7" w:rsidR="00FF75C5">
        <w:rPr>
          <w:rFonts w:ascii="Arial" w:hAnsi="Arial" w:cs="Arial"/>
          <w:b/>
          <w:szCs w:val="24"/>
        </w:rPr>
        <w:t>.</w:t>
      </w:r>
      <w:r w:rsidR="00F153AC">
        <w:rPr>
          <w:rFonts w:ascii="Arial" w:hAnsi="Arial" w:cs="Arial"/>
        </w:rPr>
        <w:t xml:space="preserve">  </w:t>
      </w:r>
    </w:p>
    <w:p w:rsidR="001D3190" w:rsidP="00F153AC" w:rsidRDefault="001D3190" w14:paraId="2146D644" w14:textId="77777777">
      <w:pPr>
        <w:ind w:start="33pt" w:hanging="33pt"/>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Pr="00C47181" w:rsidR="00F153AC" w:rsidP="00077930" w:rsidRDefault="00077930" w14:paraId="3596AA0C" w14:textId="77777777">
      <w:pPr>
        <w:ind w:start="31.50pt" w:hanging="31.50pt"/>
        <w:rPr>
          <w:rFonts w:ascii="Arial" w:hAnsi="Arial"/>
          <w:szCs w:val="24"/>
        </w:rPr>
      </w:pPr>
      <w:r>
        <w:rPr>
          <w:rFonts w:ascii="Arial" w:hAnsi="Arial"/>
          <w:b/>
          <w:bCs/>
          <w:szCs w:val="24"/>
        </w:rPr>
        <w:t>1</w:t>
      </w:r>
      <w:r w:rsidRPr="00C47181" w:rsidR="00F153AC">
        <w:rPr>
          <w:rFonts w:ascii="Arial" w:hAnsi="Arial"/>
          <w:b/>
          <w:bCs/>
          <w:szCs w:val="24"/>
        </w:rPr>
        <w:t>4</w:t>
      </w:r>
      <w:r w:rsidRPr="00C47181" w:rsidR="00F153AC">
        <w:rPr>
          <w:rFonts w:ascii="Arial" w:hAnsi="Arial"/>
          <w:szCs w:val="24"/>
        </w:rPr>
        <w:t>.</w:t>
      </w:r>
      <w:r>
        <w:rPr>
          <w:rFonts w:ascii="Arial" w:hAnsi="Arial"/>
          <w:szCs w:val="24"/>
        </w:rPr>
        <w:t xml:space="preserve">    </w:t>
      </w:r>
      <w:r w:rsidRPr="00C47181" w:rsidR="00F153AC">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00F153AC">
        <w:rPr>
          <w:rFonts w:ascii="Arial" w:hAnsi="Arial" w:cs="Arial"/>
          <w:b/>
          <w:bCs/>
          <w:szCs w:val="24"/>
        </w:rPr>
        <w:t xml:space="preserve"> information.</w:t>
      </w:r>
      <w:r w:rsidRPr="00C47181" w:rsidR="00F153AC">
        <w:rPr>
          <w:rFonts w:ascii="Arial" w:hAnsi="Arial"/>
          <w:szCs w:val="24"/>
        </w:rPr>
        <w:tab/>
      </w:r>
    </w:p>
    <w:p w:rsidR="00F153AC" w:rsidP="00F153AC" w:rsidRDefault="00F153AC" w14:paraId="700662CD" w14:textId="77777777">
      <w:pPr>
        <w:pStyle w:val="Heading3"/>
        <w:rPr>
          <w:rFonts w:ascii="Arial" w:hAnsi="Arial" w:cs="Arial"/>
          <w:szCs w:val="24"/>
        </w:rPr>
      </w:pPr>
    </w:p>
    <w:p w:rsidRPr="001A0BDA" w:rsidR="001A0BDA" w:rsidP="008B68A7" w:rsidRDefault="001D3190" w14:paraId="40094783" w14:textId="77777777">
      <w:pPr>
        <w:tabs>
          <w:tab w:val="left" w:pos="-138.40pt"/>
          <w:tab w:val="left" w:pos="-102.40pt"/>
          <w:tab w:val="left" w:pos="-66.40pt"/>
          <w:tab w:val="left" w:pos="-30.40pt"/>
          <w:tab w:val="left" w:pos="77.55pt"/>
          <w:tab w:val="left" w:pos="113.55pt"/>
          <w:tab w:val="left" w:pos="149.55pt"/>
          <w:tab w:val="left" w:pos="185.55pt"/>
          <w:tab w:val="left" w:pos="221.55pt"/>
          <w:tab w:val="left" w:pos="257.55pt"/>
          <w:tab w:val="left" w:pos="293.55pt"/>
          <w:tab w:val="left" w:pos="329.55pt"/>
          <w:tab w:val="left" w:pos="365.55pt"/>
          <w:tab w:val="left" w:pos="401.55pt"/>
          <w:tab w:val="left" w:pos="437.55pt"/>
          <w:tab w:val="left" w:pos="473.55pt"/>
        </w:tabs>
        <w:ind w:start="31.50pt" w:hanging="31.50pt"/>
        <w:rPr>
          <w:rFonts w:ascii="Arial" w:hAnsi="Arial"/>
        </w:rPr>
      </w:pPr>
      <w:r>
        <w:rPr>
          <w:rFonts w:ascii="Arial" w:hAnsi="Arial"/>
        </w:rPr>
        <w:t xml:space="preserve">       </w:t>
      </w:r>
      <w:r w:rsidR="008008E1">
        <w:rPr>
          <w:rFonts w:ascii="Arial" w:hAnsi="Arial"/>
        </w:rPr>
        <w:t xml:space="preserve">  </w:t>
      </w:r>
      <w:r w:rsidRPr="001A0BDA" w:rsidR="001A0BDA">
        <w:rPr>
          <w:rFonts w:ascii="Arial" w:hAnsi="Arial"/>
        </w:rPr>
        <w:t>The estimated annual cost to the Federal Government associated w</w:t>
      </w:r>
      <w:r w:rsidR="00077930">
        <w:rPr>
          <w:rFonts w:ascii="Arial" w:hAnsi="Arial"/>
        </w:rPr>
        <w:t xml:space="preserve">ith the review of </w:t>
      </w:r>
      <w:r w:rsidRPr="001A0BDA" w:rsidR="001A0BDA">
        <w:rPr>
          <w:rFonts w:ascii="Arial" w:hAnsi="Arial"/>
        </w:rPr>
        <w:t xml:space="preserve">these </w:t>
      </w:r>
      <w:r w:rsidR="00077930">
        <w:rPr>
          <w:rFonts w:ascii="Arial" w:hAnsi="Arial"/>
        </w:rPr>
        <w:t>records</w:t>
      </w:r>
      <w:r w:rsidRPr="001A0BDA" w:rsidR="001A0BDA">
        <w:rPr>
          <w:rFonts w:ascii="Arial" w:hAnsi="Arial"/>
        </w:rPr>
        <w:t xml:space="preserve"> is </w:t>
      </w:r>
      <w:r w:rsidR="00077930">
        <w:rPr>
          <w:rFonts w:ascii="Arial" w:hAnsi="Arial"/>
        </w:rPr>
        <w:t>$12,574,539.12</w:t>
      </w:r>
      <w:r w:rsidRPr="001A0BDA" w:rsidR="001A0BDA">
        <w:rPr>
          <w:rFonts w:ascii="Arial" w:hAnsi="Arial"/>
        </w:rPr>
        <w:t xml:space="preserve">. </w:t>
      </w:r>
      <w:r w:rsidR="00077930">
        <w:rPr>
          <w:rFonts w:ascii="Arial" w:hAnsi="Arial"/>
        </w:rPr>
        <w:t xml:space="preserve"> </w:t>
      </w:r>
      <w:r w:rsidRPr="001A0BDA" w:rsidR="001A0BDA">
        <w:rPr>
          <w:rFonts w:ascii="Arial" w:hAnsi="Arial"/>
        </w:rPr>
        <w:t>This is based on the number of</w:t>
      </w:r>
      <w:r w:rsidR="00077930">
        <w:rPr>
          <w:rFonts w:ascii="Arial" w:hAnsi="Arial"/>
        </w:rPr>
        <w:t xml:space="preserve"> non-3</w:t>
      </w:r>
      <w:r w:rsidRPr="00077930" w:rsidR="00077930">
        <w:rPr>
          <w:rFonts w:ascii="Arial" w:hAnsi="Arial"/>
          <w:vertAlign w:val="superscript"/>
        </w:rPr>
        <w:t>rd</w:t>
      </w:r>
      <w:r w:rsidR="00077930">
        <w:rPr>
          <w:rFonts w:ascii="Arial" w:hAnsi="Arial"/>
        </w:rPr>
        <w:t xml:space="preserve"> party </w:t>
      </w:r>
      <w:r w:rsidRPr="001A0BDA" w:rsidR="001A0BDA">
        <w:rPr>
          <w:rFonts w:ascii="Arial" w:hAnsi="Arial"/>
        </w:rPr>
        <w:t>responses that must be reviewed (</w:t>
      </w:r>
      <w:r w:rsidR="0073304E">
        <w:rPr>
          <w:rFonts w:ascii="Arial" w:hAnsi="Arial"/>
        </w:rPr>
        <w:t>2,310,</w:t>
      </w:r>
      <w:r w:rsidR="00077930">
        <w:rPr>
          <w:rFonts w:ascii="Arial" w:hAnsi="Arial"/>
        </w:rPr>
        <w:t>878</w:t>
      </w:r>
      <w:r w:rsidRPr="001A0BDA" w:rsidR="001A0BDA">
        <w:rPr>
          <w:rFonts w:ascii="Arial" w:hAnsi="Arial"/>
        </w:rPr>
        <w:t>) multiplied by (x) the time burden to review and process each response (</w:t>
      </w:r>
      <w:r w:rsidR="00077930">
        <w:rPr>
          <w:rFonts w:ascii="Arial" w:hAnsi="Arial"/>
        </w:rPr>
        <w:t>.083</w:t>
      </w:r>
      <w:r w:rsidRPr="001A0BDA" w:rsidR="001A0BDA">
        <w:rPr>
          <w:rFonts w:ascii="Arial" w:hAnsi="Arial"/>
        </w:rPr>
        <w:t xml:space="preserve"> hours</w:t>
      </w:r>
      <w:r w:rsidR="00077930">
        <w:rPr>
          <w:rFonts w:ascii="Arial" w:hAnsi="Arial"/>
        </w:rPr>
        <w:t>/5minutes</w:t>
      </w:r>
      <w:r w:rsidRPr="001A0BDA" w:rsidR="001A0BDA">
        <w:rPr>
          <w:rFonts w:ascii="Arial" w:hAnsi="Arial"/>
        </w:rPr>
        <w:t xml:space="preserve">) = </w:t>
      </w:r>
      <w:r w:rsidR="00077930">
        <w:rPr>
          <w:rFonts w:ascii="Arial" w:hAnsi="Arial"/>
        </w:rPr>
        <w:t>191,802</w:t>
      </w:r>
      <w:r w:rsidRPr="001A0BDA" w:rsidR="001A0BDA">
        <w:rPr>
          <w:rFonts w:ascii="Arial" w:hAnsi="Arial"/>
        </w:rPr>
        <w:t xml:space="preserve"> hours multiplied by (x) the average hourly loaded rate for other CBP employees ($65.56)</w:t>
      </w:r>
      <w:r w:rsidRPr="001A0BDA" w:rsidR="001A0BDA">
        <w:rPr>
          <w:rFonts w:ascii="Arial" w:hAnsi="Arial"/>
          <w:vertAlign w:val="superscript"/>
        </w:rPr>
        <w:footnoteReference w:id="8"/>
      </w:r>
      <w:r w:rsidRPr="001A0BDA" w:rsidR="001A0BDA">
        <w:rPr>
          <w:rFonts w:ascii="Arial" w:hAnsi="Arial"/>
        </w:rPr>
        <w:t xml:space="preserve"> = $</w:t>
      </w:r>
      <w:r w:rsidR="00077930">
        <w:rPr>
          <w:rFonts w:ascii="Arial" w:hAnsi="Arial"/>
        </w:rPr>
        <w:t>12,574,539.12</w:t>
      </w:r>
      <w:r w:rsidRPr="001A0BDA" w:rsidR="001A0BDA">
        <w:rPr>
          <w:rFonts w:ascii="Arial" w:hAnsi="Arial"/>
        </w:rPr>
        <w:t>.</w:t>
      </w:r>
    </w:p>
    <w:p w:rsidRPr="00C47181" w:rsidR="001A0BDA" w:rsidP="008008E1" w:rsidRDefault="001A0BDA" w14:paraId="3F093BF0" w14:textId="77777777">
      <w:pPr>
        <w:tabs>
          <w:tab w:val="left" w:pos="-138.40pt"/>
          <w:tab w:val="left" w:pos="-102.40pt"/>
          <w:tab w:val="left" w:pos="-66.40pt"/>
          <w:tab w:val="left" w:pos="-30.40pt"/>
          <w:tab w:val="left" w:pos="77.55pt"/>
          <w:tab w:val="left" w:pos="113.55pt"/>
          <w:tab w:val="left" w:pos="149.55pt"/>
          <w:tab w:val="left" w:pos="185.55pt"/>
          <w:tab w:val="left" w:pos="221.55pt"/>
          <w:tab w:val="left" w:pos="257.55pt"/>
          <w:tab w:val="left" w:pos="293.55pt"/>
          <w:tab w:val="left" w:pos="329.55pt"/>
          <w:tab w:val="left" w:pos="365.55pt"/>
          <w:tab w:val="left" w:pos="401.55pt"/>
          <w:tab w:val="left" w:pos="437.55pt"/>
          <w:tab w:val="left" w:pos="473.55pt"/>
        </w:tabs>
        <w:ind w:start="36pt" w:hanging="27pt"/>
        <w:jc w:val="both"/>
        <w:rPr>
          <w:rFonts w:ascii="Arial" w:hAnsi="Arial"/>
          <w:szCs w:val="24"/>
        </w:rPr>
      </w:pPr>
    </w:p>
    <w:p w:rsidRPr="00C47181" w:rsidR="00F153AC" w:rsidP="002D2FDE" w:rsidRDefault="00F153AC" w14:paraId="604D4DBD" w14:textId="77777777">
      <w:pPr>
        <w:ind w:start="31.50pt" w:hanging="31.50pt"/>
        <w:rPr>
          <w:rFonts w:ascii="Arial" w:hAnsi="Arial" w:cs="Arial"/>
          <w:b/>
          <w:bCs/>
          <w:szCs w:val="24"/>
        </w:rPr>
      </w:pPr>
      <w:r w:rsidRPr="00C47181">
        <w:rPr>
          <w:rFonts w:ascii="Arial" w:hAnsi="Arial"/>
          <w:b/>
          <w:bCs/>
          <w:szCs w:val="24"/>
        </w:rPr>
        <w:t>15.</w:t>
      </w:r>
      <w:r w:rsidR="002D2FDE">
        <w:rPr>
          <w:rFonts w:ascii="Arial" w:hAnsi="Arial"/>
          <w:b/>
          <w:bCs/>
          <w:szCs w:val="24"/>
        </w:rPr>
        <w:t xml:space="preserve">     </w:t>
      </w:r>
      <w:r w:rsidRPr="00C47181">
        <w:rPr>
          <w:rFonts w:ascii="Arial" w:hAnsi="Arial" w:cs="Arial"/>
          <w:b/>
          <w:bCs/>
          <w:szCs w:val="24"/>
        </w:rPr>
        <w:t xml:space="preserve">Explain the reasons for any program changes or adjustments reported in </w:t>
      </w:r>
      <w:r w:rsidR="002D2FDE">
        <w:rPr>
          <w:rFonts w:ascii="Arial" w:hAnsi="Arial" w:cs="Arial"/>
          <w:b/>
          <w:bCs/>
          <w:szCs w:val="24"/>
        </w:rPr>
        <w:t xml:space="preserve">      </w:t>
      </w:r>
      <w:r w:rsidRPr="00C47181">
        <w:rPr>
          <w:rFonts w:ascii="Arial" w:hAnsi="Arial" w:cs="Arial"/>
          <w:b/>
          <w:bCs/>
          <w:szCs w:val="24"/>
        </w:rPr>
        <w:t>Items 13 or 14 of th</w:t>
      </w:r>
      <w:r w:rsidR="00BA0B82">
        <w:rPr>
          <w:rFonts w:ascii="Arial" w:hAnsi="Arial" w:cs="Arial"/>
          <w:b/>
          <w:bCs/>
          <w:szCs w:val="24"/>
        </w:rPr>
        <w:t>is Statement.</w:t>
      </w:r>
      <w:r w:rsidRPr="00C47181">
        <w:rPr>
          <w:rFonts w:ascii="Arial" w:hAnsi="Arial" w:cs="Arial"/>
          <w:b/>
          <w:bCs/>
          <w:szCs w:val="24"/>
        </w:rPr>
        <w:t xml:space="preserve">  </w:t>
      </w:r>
    </w:p>
    <w:p w:rsidR="001D3190" w:rsidP="001D3190" w:rsidRDefault="001D3190" w14:paraId="10AC268D" w14:textId="77777777">
      <w:pPr>
        <w:tabs>
          <w:tab w:val="left" w:pos="-72pt"/>
        </w:tabs>
        <w:ind w:start="36pt" w:hanging="36pt"/>
        <w:rPr>
          <w:rFonts w:ascii="Arial" w:hAnsi="Arial"/>
          <w:szCs w:val="24"/>
        </w:rPr>
      </w:pPr>
      <w:r>
        <w:rPr>
          <w:rFonts w:ascii="Arial" w:hAnsi="Arial"/>
          <w:szCs w:val="24"/>
        </w:rPr>
        <w:tab/>
      </w:r>
    </w:p>
    <w:p w:rsidRPr="008457B0" w:rsidR="001D3190" w:rsidP="001D3190" w:rsidRDefault="001D3190" w14:paraId="374FAF5D" w14:textId="77777777">
      <w:pPr>
        <w:tabs>
          <w:tab w:val="left" w:pos="-72pt"/>
        </w:tabs>
        <w:ind w:start="36pt" w:hanging="36pt"/>
        <w:jc w:val="both"/>
        <w:rPr>
          <w:rFonts w:ascii="Arial" w:hAnsi="Arial"/>
        </w:rPr>
      </w:pPr>
      <w:r>
        <w:rPr>
          <w:rFonts w:ascii="Arial" w:hAnsi="Arial"/>
          <w:szCs w:val="24"/>
        </w:rPr>
        <w:tab/>
      </w:r>
      <w:r w:rsidRPr="008457B0">
        <w:rPr>
          <w:rFonts w:ascii="Arial" w:hAnsi="Arial" w:cs="Arial"/>
        </w:rPr>
        <w:t>The</w:t>
      </w:r>
      <w:r w:rsidR="009817D6">
        <w:rPr>
          <w:rFonts w:ascii="Arial" w:hAnsi="Arial" w:cs="Arial"/>
        </w:rPr>
        <w:t>re are no increases or decreases to the burden hours and n</w:t>
      </w:r>
      <w:r w:rsidR="004B09FC">
        <w:rPr>
          <w:rFonts w:ascii="Arial" w:hAnsi="Arial" w:cs="Arial"/>
        </w:rPr>
        <w:t>o changes were made to the information being collected.</w:t>
      </w:r>
    </w:p>
    <w:p w:rsidR="001D3190" w:rsidP="00F153AC" w:rsidRDefault="001D3190" w14:paraId="070748D9" w14:textId="77777777">
      <w:pPr>
        <w:ind w:start="36pt" w:hanging="36pt"/>
        <w:rPr>
          <w:rFonts w:ascii="Arial" w:hAnsi="Arial"/>
          <w:b/>
          <w:bCs/>
          <w:szCs w:val="24"/>
        </w:rPr>
      </w:pPr>
    </w:p>
    <w:p w:rsidRPr="00C47181" w:rsidR="00F153AC" w:rsidP="002D2FDE" w:rsidRDefault="00F153AC" w14:paraId="3D8259F0" w14:textId="77777777">
      <w:pPr>
        <w:ind w:start="31.50pt" w:hanging="31.50pt"/>
        <w:rPr>
          <w:rFonts w:ascii="Arial" w:hAnsi="Arial"/>
          <w:szCs w:val="24"/>
        </w:rPr>
      </w:pPr>
      <w:r w:rsidRPr="00C47181">
        <w:rPr>
          <w:rFonts w:ascii="Arial" w:hAnsi="Arial"/>
          <w:b/>
          <w:bCs/>
          <w:szCs w:val="24"/>
        </w:rPr>
        <w:t>16.</w:t>
      </w:r>
      <w:r w:rsidR="00D67DFC">
        <w:rPr>
          <w:rFonts w:ascii="Arial" w:hAnsi="Arial"/>
          <w:szCs w:val="24"/>
        </w:rPr>
        <w:t xml:space="preserve">    </w:t>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193432" w:rsidP="00193432" w:rsidRDefault="00193432" w14:paraId="4CC1335D" w14:textId="77777777">
      <w:pPr>
        <w:ind w:firstLine="31.50pt"/>
        <w:rPr>
          <w:rFonts w:ascii="Arial" w:hAnsi="Arial"/>
          <w:szCs w:val="24"/>
        </w:rPr>
      </w:pPr>
    </w:p>
    <w:p w:rsidRPr="00C47181" w:rsidR="00F153AC" w:rsidP="00193432" w:rsidRDefault="00F153AC" w14:paraId="2ADC5532" w14:textId="77777777">
      <w:pPr>
        <w:ind w:firstLine="31.50pt"/>
        <w:rPr>
          <w:rFonts w:ascii="Arial" w:hAnsi="Arial"/>
          <w:szCs w:val="24"/>
        </w:rPr>
      </w:pPr>
      <w:r w:rsidRPr="00C47181">
        <w:rPr>
          <w:rFonts w:ascii="Arial" w:hAnsi="Arial"/>
          <w:szCs w:val="24"/>
        </w:rPr>
        <w:t>This information collection will not be published.</w:t>
      </w:r>
    </w:p>
    <w:p w:rsidRPr="00C47181" w:rsidR="00F153AC" w:rsidP="00F153AC" w:rsidRDefault="00F153AC" w14:paraId="61BD33E8" w14:textId="77777777">
      <w:pPr>
        <w:rPr>
          <w:rFonts w:ascii="Arial" w:hAnsi="Arial"/>
          <w:szCs w:val="24"/>
        </w:rPr>
      </w:pPr>
    </w:p>
    <w:p w:rsidRPr="001207D8" w:rsidR="00F153AC" w:rsidP="00D67DFC" w:rsidRDefault="00F153AC" w14:paraId="327D35D5" w14:textId="77777777">
      <w:pPr>
        <w:ind w:start="31.50pt" w:hanging="31.50pt"/>
        <w:rPr>
          <w:rFonts w:ascii="Arial" w:hAnsi="Arial" w:cs="Arial"/>
          <w:b/>
          <w:bCs/>
          <w:szCs w:val="24"/>
        </w:rPr>
      </w:pPr>
      <w:r>
        <w:rPr>
          <w:rFonts w:ascii="Arial" w:hAnsi="Arial" w:cs="Arial"/>
          <w:b/>
          <w:bCs/>
          <w:szCs w:val="24"/>
        </w:rPr>
        <w:t>17.    If seeking approval to not display the expir</w:t>
      </w:r>
      <w:r w:rsidR="00D67DFC">
        <w:rPr>
          <w:rFonts w:ascii="Arial" w:hAnsi="Arial" w:cs="Arial"/>
          <w:b/>
          <w:bCs/>
          <w:szCs w:val="24"/>
        </w:rPr>
        <w:t xml:space="preserve">ation date, explain the reasons </w:t>
      </w:r>
      <w:r>
        <w:rPr>
          <w:rFonts w:ascii="Arial" w:hAnsi="Arial" w:cs="Arial"/>
          <w:b/>
          <w:bCs/>
          <w:szCs w:val="24"/>
        </w:rPr>
        <w:t>that displaying the expiration date would be inappropriate</w:t>
      </w:r>
    </w:p>
    <w:p w:rsidR="00193432" w:rsidP="00F153AC" w:rsidRDefault="00193432" w14:paraId="0886EB19" w14:textId="77777777">
      <w:pPr>
        <w:rPr>
          <w:rFonts w:ascii="Arial" w:hAnsi="Arial" w:cs="Arial"/>
          <w:b/>
          <w:bCs/>
        </w:rPr>
      </w:pPr>
    </w:p>
    <w:p w:rsidR="00F153AC" w:rsidP="00193432" w:rsidRDefault="008943CD" w14:paraId="3AF5D2D5" w14:textId="77777777">
      <w:pPr>
        <w:ind w:firstLine="31.50pt"/>
        <w:rPr>
          <w:rFonts w:ascii="Arial" w:hAnsi="Arial" w:cs="Arial"/>
          <w:b/>
          <w:bCs/>
        </w:rPr>
      </w:pPr>
      <w:r w:rsidRPr="00F90915">
        <w:rPr>
          <w:rFonts w:ascii="Arial" w:hAnsi="Arial" w:cs="Arial"/>
          <w:bCs/>
          <w:szCs w:val="24"/>
        </w:rPr>
        <w:t xml:space="preserve">CBP </w:t>
      </w:r>
      <w:r w:rsidRPr="00F90915">
        <w:rPr>
          <w:rFonts w:ascii="Arial" w:hAnsi="Arial" w:cs="Arial"/>
          <w:szCs w:val="24"/>
        </w:rPr>
        <w:t>will display the expiration date for OMB approval of this information collection.</w:t>
      </w:r>
    </w:p>
    <w:p w:rsidR="00F153AC" w:rsidP="00F153AC" w:rsidRDefault="00F153AC" w14:paraId="03A60A6D" w14:textId="77777777">
      <w:pPr>
        <w:rPr>
          <w:rFonts w:ascii="Arial" w:hAnsi="Arial" w:cs="Arial"/>
          <w:b/>
          <w:bCs/>
          <w:szCs w:val="24"/>
        </w:rPr>
      </w:pPr>
    </w:p>
    <w:p w:rsidR="00F153AC" w:rsidP="00F153AC" w:rsidRDefault="00F153AC" w14:paraId="13EAB14C" w14:textId="77777777">
      <w:pPr>
        <w:widowControl/>
        <w:rPr>
          <w:rFonts w:ascii="Arial" w:hAnsi="Arial" w:cs="Arial"/>
          <w:b/>
          <w:bCs/>
          <w:szCs w:val="24"/>
        </w:rPr>
      </w:pPr>
      <w:r>
        <w:rPr>
          <w:rFonts w:ascii="Arial" w:hAnsi="Arial" w:cs="Arial"/>
          <w:b/>
          <w:bCs/>
          <w:szCs w:val="24"/>
        </w:rPr>
        <w:t>18.</w:t>
      </w:r>
      <w:proofErr w:type="gramStart"/>
      <w:r>
        <w:rPr>
          <w:rFonts w:ascii="Arial" w:hAnsi="Arial" w:cs="Arial"/>
          <w:b/>
          <w:bCs/>
          <w:szCs w:val="24"/>
        </w:rPr>
        <w:t xml:space="preserve">   </w:t>
      </w:r>
      <w:r w:rsidRPr="001207D8">
        <w:rPr>
          <w:rFonts w:ascii="Arial" w:hAnsi="Arial" w:cs="Arial"/>
          <w:b/>
          <w:bCs/>
          <w:szCs w:val="24"/>
        </w:rPr>
        <w:t>“</w:t>
      </w:r>
      <w:proofErr w:type="gramEnd"/>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193432" w:rsidP="00193432" w:rsidRDefault="00F153AC" w14:paraId="2DA05ED7" w14:textId="77777777">
      <w:pPr>
        <w:ind w:start="6pt"/>
        <w:rPr>
          <w:rFonts w:ascii="Arial" w:hAnsi="Arial" w:cs="Arial"/>
          <w:b/>
          <w:bCs/>
          <w:szCs w:val="24"/>
        </w:rPr>
      </w:pPr>
      <w:r w:rsidRPr="001207D8">
        <w:rPr>
          <w:rFonts w:ascii="Arial" w:hAnsi="Arial" w:cs="Arial"/>
          <w:b/>
          <w:bCs/>
          <w:szCs w:val="24"/>
        </w:rPr>
        <w:t xml:space="preserve"> </w:t>
      </w:r>
      <w:r>
        <w:rPr>
          <w:rFonts w:ascii="Arial" w:hAnsi="Arial" w:cs="Arial"/>
          <w:b/>
          <w:bCs/>
          <w:szCs w:val="24"/>
        </w:rPr>
        <w:t xml:space="preserve">      </w:t>
      </w:r>
    </w:p>
    <w:p w:rsidRPr="001207D8" w:rsidR="00F153AC" w:rsidP="00193432" w:rsidRDefault="00D86ABD" w14:paraId="7C633AB7" w14:textId="77777777">
      <w:pPr>
        <w:ind w:start="36pt"/>
        <w:rPr>
          <w:rFonts w:ascii="Arial" w:hAnsi="Arial" w:cs="Arial"/>
          <w:szCs w:val="24"/>
        </w:rPr>
      </w:pPr>
      <w:r w:rsidRPr="00F90915">
        <w:rPr>
          <w:rFonts w:ascii="Arial" w:hAnsi="Arial" w:cs="Arial"/>
          <w:szCs w:val="24"/>
        </w:rPr>
        <w:t>CBP does not request an exception to the certification of this information collection.</w:t>
      </w:r>
    </w:p>
    <w:p w:rsidR="00F153AC" w:rsidP="00F153AC" w:rsidRDefault="00F153AC" w14:paraId="05D06BCE" w14:textId="77777777">
      <w:pPr>
        <w:rPr>
          <w:rFonts w:ascii="Arial" w:hAnsi="Arial" w:cs="Arial"/>
          <w:szCs w:val="24"/>
        </w:rPr>
      </w:pPr>
    </w:p>
    <w:p w:rsidRPr="001207D8" w:rsidR="00F153AC" w:rsidP="00F153AC" w:rsidRDefault="00F153AC" w14:paraId="27C471EA" w14:textId="77777777">
      <w:pPr>
        <w:pStyle w:val="Heading1"/>
        <w:widowControl w:val="0"/>
        <w:numPr>
          <w:ilvl w:val="0"/>
          <w:numId w:val="39"/>
        </w:numPr>
        <w:spacing w:line="12pt" w:lineRule="auto"/>
        <w:rPr>
          <w:rFonts w:ascii="Arial" w:hAnsi="Arial" w:cs="Arial"/>
          <w:szCs w:val="24"/>
        </w:rPr>
      </w:pPr>
      <w:r w:rsidRPr="001207D8">
        <w:rPr>
          <w:rFonts w:ascii="Arial" w:hAnsi="Arial" w:cs="Arial"/>
          <w:szCs w:val="24"/>
        </w:rPr>
        <w:t>Collection of Information Employing Statistical Methods</w:t>
      </w:r>
    </w:p>
    <w:p w:rsidRPr="001207D8" w:rsidR="00F153AC" w:rsidP="00F153AC" w:rsidRDefault="00F153AC" w14:paraId="3652DAB3" w14:textId="77777777">
      <w:pPr>
        <w:rPr>
          <w:rFonts w:ascii="Arial" w:hAnsi="Arial" w:cs="Arial"/>
          <w:szCs w:val="24"/>
        </w:rPr>
      </w:pPr>
    </w:p>
    <w:p w:rsidRPr="000B286B" w:rsidR="00F153AC" w:rsidP="00F153AC" w:rsidRDefault="00F153AC" w14:paraId="239CE3D0" w14:textId="77777777">
      <w:pPr>
        <w:pStyle w:val="BodyTextIndent2"/>
        <w:rPr>
          <w:rFonts w:cs="Arial"/>
          <w:szCs w:val="24"/>
        </w:rPr>
      </w:pPr>
      <w:r>
        <w:rPr>
          <w:rFonts w:cs="Arial"/>
          <w:szCs w:val="24"/>
        </w:rPr>
        <w:t xml:space="preserve">       </w:t>
      </w:r>
      <w:r w:rsidRPr="000B286B">
        <w:rPr>
          <w:rFonts w:cs="Arial"/>
          <w:szCs w:val="24"/>
        </w:rPr>
        <w:t>No statistical methods were employed.</w:t>
      </w:r>
    </w:p>
    <w:p w:rsidR="00F153AC" w:rsidP="00FF7C71" w:rsidRDefault="00F153AC" w14:paraId="54DC73C9" w14:textId="77777777">
      <w:pPr>
        <w:tabs>
          <w:tab w:val="left" w:pos="-72pt"/>
        </w:tabs>
      </w:pPr>
    </w:p>
    <w:p w:rsidR="00F153AC" w:rsidP="004C4989" w:rsidRDefault="00F153AC" w14:paraId="2852BBF7" w14:textId="77777777">
      <w:pPr>
        <w:ind w:start="36pt"/>
        <w:rPr>
          <w:rFonts w:ascii="Arial" w:hAnsi="Arial"/>
        </w:rPr>
      </w:pPr>
    </w:p>
    <w:p w:rsidR="00F153AC" w:rsidP="004C4989" w:rsidRDefault="00F153AC" w14:paraId="0901B353" w14:textId="77777777">
      <w:pPr>
        <w:ind w:start="36pt"/>
        <w:rPr>
          <w:rFonts w:ascii="Arial" w:hAnsi="Arial"/>
        </w:rPr>
      </w:pPr>
    </w:p>
    <w:p w:rsidR="00F153AC" w:rsidP="004C4989" w:rsidRDefault="00F153AC" w14:paraId="21491A4C" w14:textId="77777777">
      <w:pPr>
        <w:ind w:start="36pt"/>
        <w:rPr>
          <w:rFonts w:ascii="Arial" w:hAnsi="Arial"/>
        </w:rPr>
      </w:pPr>
    </w:p>
    <w:sectPr w:rsidR="00F153AC" w:rsidSect="00077930">
      <w:endnotePr>
        <w:numFmt w:val="decimal"/>
      </w:endnotePr>
      <w:pgSz w:w="612pt" w:h="792pt"/>
      <w:pgMar w:top="72pt" w:right="72pt" w:bottom="72pt" w:left="67.50pt" w:header="72pt" w:footer="64.80pt" w:gutter="0pt"/>
      <w:cols w:space="36pt"/>
      <w:noEndnote/>
      <w:docGrid w:linePitch="32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rsidR="00E432D7" w:rsidP="001A0BDA" w:rsidRDefault="00E432D7" w14:paraId="2D72E89B" w14:textId="77777777">
      <w:r>
        <w:separator/>
      </w:r>
    </w:p>
  </w:endnote>
  <w:endnote w:type="continuationSeparator" w:id="0">
    <w:p w:rsidR="00E432D7" w:rsidP="001A0BDA" w:rsidRDefault="00E432D7" w14:paraId="6BCBD0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characterSet="iso-8859-1"/>
    <w:family w:val="swiss"/>
    <w:pitch w:val="variable"/>
    <w:sig w:usb0="E0002EFF" w:usb1="C000785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w:altName w:val="Courier New"/>
    <w:panose1 w:val="02070409020205020404"/>
    <w:charset w:characterSet="iso-8859-1"/>
    <w:family w:val="modern"/>
    <w:pitch w:val="fixed"/>
    <w:sig w:usb0="00000003" w:usb1="00000000" w:usb2="00000000" w:usb3="00000000" w:csb0="00000001" w:csb1="00000000"/>
  </w:font>
  <w:font w:name="Book Antiqua">
    <w:panose1 w:val="02040602050305030304"/>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rsidR="00E432D7" w:rsidP="001A0BDA" w:rsidRDefault="00E432D7" w14:paraId="28A2EAF7" w14:textId="77777777">
      <w:r>
        <w:separator/>
      </w:r>
    </w:p>
  </w:footnote>
  <w:footnote w:type="continuationSeparator" w:id="0">
    <w:p w:rsidR="00E432D7" w:rsidP="001A0BDA" w:rsidRDefault="00E432D7" w14:paraId="25E80AAA" w14:textId="77777777">
      <w:r>
        <w:continuationSeparator/>
      </w:r>
    </w:p>
  </w:footnote>
  <w:footnote w:id="1">
    <w:p w:rsidRPr="00D41379" w:rsidR="002D2FDE" w:rsidP="002D2FDE" w:rsidRDefault="002D2FDE" w14:paraId="7DB29ABE" w14:textId="77777777">
      <w:pPr>
        <w:rPr>
          <w:rFonts w:ascii="Times New Roman" w:hAnsi="Times New Roman"/>
          <w:sz w:val="20"/>
        </w:rPr>
      </w:pPr>
      <w:r w:rsidRPr="00D41379">
        <w:rPr>
          <w:rStyle w:val="FootnoteReference"/>
          <w:rFonts w:ascii="Times New Roman" w:hAnsi="Times New Roman"/>
          <w:sz w:val="20"/>
        </w:rPr>
        <w:footnoteRef/>
      </w:r>
      <w:r w:rsidRPr="00D41379">
        <w:rPr>
          <w:rFonts w:ascii="Times New Roman" w:hAnsi="Times New Roman"/>
          <w:sz w:val="20"/>
        </w:rPr>
        <w:t xml:space="preserve"> Because median hourly wage information was not available for Flight Attendants, CBP adjusted the annual median wage for Flight Attendants ($44,860) to an hourly estimate using the standard 2,080 hours worked per year.  </w:t>
      </w:r>
      <w:r w:rsidRPr="00D41379">
        <w:rPr>
          <w:rFonts w:ascii="Times New Roman" w:hAnsi="Times New Roman"/>
          <w:sz w:val="20"/>
          <w:lang w:val="en"/>
        </w:rPr>
        <w:t xml:space="preserve">Source of median wage rate: U.S. Bureau of Labor Statistics.  Occupational Employment Statistics, “May 2015 National Occupational Employment and Wage Estimates, United States- Annual Median Wage by Occupation Code: 53-2031.”  Updated March 30, 2016.  Available at </w:t>
      </w:r>
      <w:hyperlink w:history="1" r:id="rId1">
        <w:r w:rsidRPr="00D41379">
          <w:rPr>
            <w:rStyle w:val="Hyperlink"/>
            <w:rFonts w:ascii="Times New Roman" w:hAnsi="Times New Roman"/>
            <w:sz w:val="20"/>
          </w:rPr>
          <w:t>http://www.bls.gov/oes/2015/may/oes532031.htm</w:t>
        </w:r>
      </w:hyperlink>
      <w:r w:rsidRPr="00D41379">
        <w:rPr>
          <w:rFonts w:ascii="Times New Roman" w:hAnsi="Times New Roman"/>
          <w:sz w:val="20"/>
          <w:lang w:val="en"/>
        </w:rPr>
        <w:t xml:space="preserve">.  Accessed June 14, 2016.  </w:t>
      </w:r>
    </w:p>
  </w:footnote>
  <w:footnote w:id="2">
    <w:p w:rsidRPr="00D41379" w:rsidR="002D2FDE" w:rsidP="002D2FDE" w:rsidRDefault="002D2FDE" w14:paraId="47E769BA"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The </w:t>
      </w:r>
      <w:r w:rsidRPr="00D41379">
        <w:rPr>
          <w:rFonts w:ascii="Times New Roman" w:hAnsi="Times New Roman" w:cs="Times New Roman"/>
          <w:lang w:val="en"/>
        </w:rPr>
        <w:t xml:space="preserve">total compensation to wages and salaries ratio is equal to the calculated average of the 2015 quarterly estimates (shown under Mar., June, Sep., Dec.) of the total compensation cost per hour worked for Transportation and Material Moving occupations ($27.795) divided by the calculated average of the 2015 quarterly estimates (shown under Mar., June, Sep., Dec.) of wages and salaries cost per hour worked for the same occupation category ($18.055).  Source of total compensation to wages and salaries ratio data: U.S. Bureau of Labor Statistics.  Employer Costs for Employee Compensation. </w:t>
      </w:r>
      <w:r w:rsidRPr="00D41379">
        <w:rPr>
          <w:rFonts w:ascii="Times New Roman" w:hAnsi="Times New Roman" w:cs="Times New Roman"/>
          <w:i/>
          <w:lang w:val="en"/>
        </w:rPr>
        <w:t xml:space="preserve"> Employer Costs for Employee Compensation Historical Listing March 2004 – December 2015</w:t>
      </w:r>
      <w:r w:rsidRPr="00D41379">
        <w:rPr>
          <w:rFonts w:ascii="Times New Roman" w:hAnsi="Times New Roman" w:cs="Times New Roman"/>
          <w:lang w:val="en"/>
        </w:rPr>
        <w:t xml:space="preserve">, “Table 3. Civilian workers, by occupational group: employer costs per hours worked for employee compensation and costs as a percentage of total compensation, 2004-2015 by Respondent Type: </w:t>
      </w:r>
      <w:r w:rsidRPr="00D41379">
        <w:rPr>
          <w:rFonts w:ascii="Times New Roman" w:hAnsi="Times New Roman" w:cs="Times New Roman"/>
        </w:rPr>
        <w:t>Transportation and material moving occupations</w:t>
      </w:r>
      <w:r w:rsidRPr="00D41379">
        <w:rPr>
          <w:rFonts w:ascii="Times New Roman" w:hAnsi="Times New Roman" w:cs="Times New Roman"/>
          <w:lang w:val="en"/>
        </w:rPr>
        <w:t xml:space="preserve">.”  June 9, 2016.  Available at </w:t>
      </w:r>
      <w:hyperlink w:history="1" r:id="rId2">
        <w:r w:rsidRPr="00D41379">
          <w:rPr>
            <w:rStyle w:val="Hyperlink"/>
            <w:rFonts w:ascii="Times New Roman" w:hAnsi="Times New Roman" w:cs="Times New Roman"/>
            <w:lang w:val="en"/>
          </w:rPr>
          <w:t>http://www.bls.gov/ncs/ect/sp/ececqrtn.pdf</w:t>
        </w:r>
      </w:hyperlink>
      <w:r w:rsidRPr="00D41379">
        <w:rPr>
          <w:rFonts w:ascii="Times New Roman" w:hAnsi="Times New Roman" w:cs="Times New Roman"/>
          <w:lang w:val="en"/>
        </w:rPr>
        <w:t xml:space="preserve">.  Accessed June 14, 2016.  </w:t>
      </w:r>
    </w:p>
  </w:footnote>
  <w:footnote w:id="3">
    <w:p w:rsidRPr="00D41379" w:rsidR="002D2FDE" w:rsidP="002D2FDE" w:rsidRDefault="002D2FDE" w14:paraId="13CFE468"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Source: U.S. Department of Transportation, Office of Transportation Policy.  </w:t>
      </w:r>
      <w:r w:rsidRPr="00D41379">
        <w:rPr>
          <w:rFonts w:ascii="Times New Roman" w:hAnsi="Times New Roman" w:cs="Times New Roman"/>
          <w:i/>
        </w:rPr>
        <w:t>The Value of Travel Time Savings: Departmental Guidance for Conducting Economic Evaluations Revision 2 (2015 Update)</w:t>
      </w:r>
      <w:r w:rsidRPr="00D41379">
        <w:rPr>
          <w:rFonts w:ascii="Times New Roman" w:hAnsi="Times New Roman" w:cs="Times New Roman"/>
        </w:rPr>
        <w:t xml:space="preserve">, “Table 4 (Revision 2-corrected): Recommended Hourly Values of Travel Time Savings.”  April 29, 2015.  </w:t>
      </w:r>
      <w:hyperlink w:history="1" r:id="rId3">
        <w:r w:rsidRPr="00D41379">
          <w:rPr>
            <w:rStyle w:val="Hyperlink"/>
            <w:rFonts w:ascii="Times New Roman" w:hAnsi="Times New Roman" w:cs="Times New Roman"/>
          </w:rPr>
          <w:t>http://www.transportation.gov/sites/dot.gov/files/docs/Revised%20Departmental%20Guidance%20on%20Valuation%20of%20Travel%20Time%20in%20Economic%20Analysis.pdf</w:t>
        </w:r>
      </w:hyperlink>
      <w:r w:rsidRPr="00D41379">
        <w:rPr>
          <w:rFonts w:ascii="Times New Roman" w:hAnsi="Times New Roman" w:cs="Times New Roman"/>
        </w:rPr>
        <w:t>.  Accessed June 1, 2016.</w:t>
      </w:r>
    </w:p>
  </w:footnote>
  <w:footnote w:id="4">
    <w:p w:rsidRPr="00D41379" w:rsidR="002D2FDE" w:rsidP="002D2FDE" w:rsidRDefault="002D2FDE" w14:paraId="297A2979"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D41379">
        <w:rPr>
          <w:rFonts w:ascii="Times New Roman" w:hAnsi="Times New Roman" w:cs="Times New Roman"/>
          <w:lang w:val="en"/>
        </w:rPr>
        <w:t xml:space="preserve">Source: U.S. Department of Transportation, Office of Transportation Policy. </w:t>
      </w:r>
      <w:r w:rsidRPr="00D41379">
        <w:rPr>
          <w:rFonts w:ascii="Times New Roman" w:hAnsi="Times New Roman" w:cs="Times New Roman"/>
          <w:i/>
          <w:lang w:val="en"/>
        </w:rPr>
        <w:t>The Value of Travel Time Savings: Departmental Guidance for Conducting Economic Evaluations Revision 2 (2015 Update)</w:t>
      </w:r>
      <w:r w:rsidRPr="00D41379">
        <w:rPr>
          <w:rFonts w:ascii="Times New Roman" w:hAnsi="Times New Roman" w:cs="Times New Roman"/>
          <w:lang w:val="en"/>
        </w:rPr>
        <w:t>, “Table 4 (Revision 2-corrected): Recommended Hourly Values of Travel Time Savings for Intercity, All-Purpose Travel by Air and High-Speed Rail.”  April 29, 2015.  Available at</w:t>
      </w:r>
      <w:r w:rsidRPr="00D41379">
        <w:rPr>
          <w:rFonts w:ascii="Times New Roman" w:hAnsi="Times New Roman" w:cs="Times New Roman"/>
        </w:rPr>
        <w:t xml:space="preserve"> </w:t>
      </w:r>
      <w:hyperlink w:history="1" r:id="rId4">
        <w:r w:rsidRPr="00D41379">
          <w:rPr>
            <w:rStyle w:val="Hyperlink"/>
            <w:rFonts w:ascii="Times New Roman" w:hAnsi="Times New Roman" w:cs="Times New Roman"/>
          </w:rPr>
          <w:t>http://www.transportation.gov/sites/dot.gov/files/docs/Revised%20Departmental%20Guidance%20on%20Valuation%20of%20Travel%20Time%20in%20Economic%20Analysis.pdf</w:t>
        </w:r>
      </w:hyperlink>
      <w:r w:rsidRPr="00D41379">
        <w:rPr>
          <w:rFonts w:ascii="Times New Roman" w:hAnsi="Times New Roman" w:cs="Times New Roman"/>
        </w:rPr>
        <w:t>.  Accessed June 1, 2016</w:t>
      </w:r>
      <w:r w:rsidRPr="00D41379">
        <w:rPr>
          <w:rFonts w:ascii="Times New Roman" w:hAnsi="Times New Roman" w:cs="Times New Roman"/>
          <w:lang w:val="en"/>
        </w:rPr>
        <w:t xml:space="preserve">.  </w:t>
      </w:r>
    </w:p>
  </w:footnote>
  <w:footnote w:id="5">
    <w:p w:rsidRPr="00D41379" w:rsidR="00077930" w:rsidP="00077930" w:rsidRDefault="00077930" w14:paraId="4E95C991" w14:textId="77777777">
      <w:pPr>
        <w:rPr>
          <w:rFonts w:ascii="Times New Roman" w:hAnsi="Times New Roman"/>
          <w:sz w:val="20"/>
        </w:rPr>
      </w:pPr>
      <w:r w:rsidRPr="00D41379">
        <w:rPr>
          <w:rStyle w:val="FootnoteReference"/>
          <w:rFonts w:ascii="Times New Roman" w:hAnsi="Times New Roman"/>
          <w:sz w:val="20"/>
        </w:rPr>
        <w:footnoteRef/>
      </w:r>
      <w:r w:rsidRPr="00D41379">
        <w:rPr>
          <w:rFonts w:ascii="Times New Roman" w:hAnsi="Times New Roman"/>
          <w:sz w:val="20"/>
        </w:rPr>
        <w:t xml:space="preserve"> Because median hourly wage information was not available for Aircraft Pilots and Flight Engineers, CBP adjusted the annual median wage for Aircraft Pilots and Flight Engineers ($102,520) to an hourly estimate using the standard 2,080 hours worked per year.  </w:t>
      </w:r>
      <w:r w:rsidRPr="00D41379">
        <w:rPr>
          <w:rFonts w:ascii="Times New Roman" w:hAnsi="Times New Roman"/>
          <w:sz w:val="20"/>
          <w:lang w:val="en"/>
        </w:rPr>
        <w:t xml:space="preserve">Source of median wage rate: U.S. Bureau of Labor Statistics.  Occupational Employment Statistics, “May 2015 National Occupational Employment and Wage Estimates, United States- Annual Median Wage by Occupation Code: 53-2010.”  Updated March 30, 2016.  Available at </w:t>
      </w:r>
      <w:hyperlink w:history="1" r:id="rId5">
        <w:r w:rsidRPr="00D41379">
          <w:rPr>
            <w:rStyle w:val="Hyperlink"/>
            <w:rFonts w:ascii="Times New Roman" w:hAnsi="Times New Roman"/>
            <w:sz w:val="20"/>
          </w:rPr>
          <w:t>http://www.bls.gov/oes/2015/may/oes_nat.htm</w:t>
        </w:r>
      </w:hyperlink>
      <w:r w:rsidRPr="00D41379">
        <w:rPr>
          <w:rFonts w:ascii="Times New Roman" w:hAnsi="Times New Roman"/>
          <w:sz w:val="20"/>
          <w:lang w:val="en"/>
        </w:rPr>
        <w:t xml:space="preserve">.  Accessed June 14, 2016.  </w:t>
      </w:r>
    </w:p>
  </w:footnote>
  <w:footnote w:id="6">
    <w:p w:rsidRPr="00D41379" w:rsidR="00077930" w:rsidP="00077930" w:rsidRDefault="00077930" w14:paraId="6362ABDF"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The </w:t>
      </w:r>
      <w:r w:rsidRPr="00D41379">
        <w:rPr>
          <w:rFonts w:ascii="Times New Roman" w:hAnsi="Times New Roman" w:cs="Times New Roman"/>
          <w:lang w:val="en"/>
        </w:rPr>
        <w:t xml:space="preserve">total compensation to wages and salaries ratio is equal to the calculated average of the 2015 quarterly estimates (shown under Mar., June, Sep., Dec.) of the total compensation cost per hour worked for Transportation and Material Moving occupations ($27.795) divided by the calculated average of the 2015 quarterly estimates (shown under Mar., June, Sep., Dec.) of wages and salaries cost per hour worked for the same occupation category ($18.055).  Source of total compensation to wages and salaries ratio data: U.S. Bureau of Labor Statistics.  Employer Costs for Employee Compensation. </w:t>
      </w:r>
      <w:r w:rsidRPr="00D41379">
        <w:rPr>
          <w:rFonts w:ascii="Times New Roman" w:hAnsi="Times New Roman" w:cs="Times New Roman"/>
          <w:i/>
          <w:lang w:val="en"/>
        </w:rPr>
        <w:t xml:space="preserve"> Employer Costs for Employee Compensation Historical Listing March 2004 – December 2015</w:t>
      </w:r>
      <w:r w:rsidRPr="00D41379">
        <w:rPr>
          <w:rFonts w:ascii="Times New Roman" w:hAnsi="Times New Roman" w:cs="Times New Roman"/>
          <w:lang w:val="en"/>
        </w:rPr>
        <w:t xml:space="preserve">, “Table 3. Civilian workers, by occupational group: employer costs per hours worked for employee compensation and costs as a percentage of total compensation, 2004-2015 by Respondent Type: </w:t>
      </w:r>
      <w:r w:rsidRPr="00D41379">
        <w:rPr>
          <w:rFonts w:ascii="Times New Roman" w:hAnsi="Times New Roman" w:cs="Times New Roman"/>
        </w:rPr>
        <w:t>Transportation and material moving occupations</w:t>
      </w:r>
      <w:r w:rsidRPr="00D41379">
        <w:rPr>
          <w:rFonts w:ascii="Times New Roman" w:hAnsi="Times New Roman" w:cs="Times New Roman"/>
          <w:lang w:val="en"/>
        </w:rPr>
        <w:t xml:space="preserve">.”  June 9, 2016.  Available at </w:t>
      </w:r>
      <w:hyperlink w:history="1" r:id="rId6">
        <w:r w:rsidRPr="00D41379">
          <w:rPr>
            <w:rStyle w:val="Hyperlink"/>
            <w:rFonts w:ascii="Times New Roman" w:hAnsi="Times New Roman" w:cs="Times New Roman"/>
            <w:lang w:val="en"/>
          </w:rPr>
          <w:t>http://www.bls.gov/ncs/ect/sp/ececqrtn.pdf</w:t>
        </w:r>
      </w:hyperlink>
      <w:r w:rsidRPr="00D41379">
        <w:rPr>
          <w:rFonts w:ascii="Times New Roman" w:hAnsi="Times New Roman" w:cs="Times New Roman"/>
          <w:lang w:val="en"/>
        </w:rPr>
        <w:t xml:space="preserve">.  Accessed June 14, 2016.  </w:t>
      </w:r>
    </w:p>
  </w:footnote>
  <w:footnote w:id="7">
    <w:p w:rsidRPr="00D41379" w:rsidR="00077930" w:rsidP="00077930" w:rsidRDefault="00077930" w14:paraId="5B686EF0"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Source: U.S. Department of Transportation, Office of Transportation Policy.  </w:t>
      </w:r>
      <w:r w:rsidRPr="00D41379">
        <w:rPr>
          <w:rFonts w:ascii="Times New Roman" w:hAnsi="Times New Roman" w:cs="Times New Roman"/>
          <w:i/>
        </w:rPr>
        <w:t>The Value of Travel Time Savings: Departmental Guidance for Conducting Economic Evaluations Revision 2 (2015 Update)</w:t>
      </w:r>
      <w:r w:rsidRPr="00D41379">
        <w:rPr>
          <w:rFonts w:ascii="Times New Roman" w:hAnsi="Times New Roman" w:cs="Times New Roman"/>
        </w:rPr>
        <w:t xml:space="preserve">, “Table 4 (Revision 2-corrected): Recommended Hourly Values of Travel Time Savings.”  April 29, 2015.  </w:t>
      </w:r>
      <w:hyperlink w:history="1" r:id="rId7">
        <w:r w:rsidRPr="00D41379">
          <w:rPr>
            <w:rStyle w:val="Hyperlink"/>
            <w:rFonts w:ascii="Times New Roman" w:hAnsi="Times New Roman" w:cs="Times New Roman"/>
          </w:rPr>
          <w:t>http://www.transportation.gov/sites/dot.gov/files/docs/Revised%20Departmental%20Guidance%20on%20Valuation%20of%20Travel%20Time%20in%20Economic%20Analysis.pdf</w:t>
        </w:r>
      </w:hyperlink>
      <w:r w:rsidRPr="00D41379">
        <w:rPr>
          <w:rFonts w:ascii="Times New Roman" w:hAnsi="Times New Roman" w:cs="Times New Roman"/>
        </w:rPr>
        <w:t>.  Accessed June 1, 2016.</w:t>
      </w:r>
    </w:p>
  </w:footnote>
  <w:footnote w:id="8">
    <w:p w:rsidRPr="00D41379" w:rsidR="001A0BDA" w:rsidP="001A0BDA" w:rsidRDefault="001A0BDA" w14:paraId="5074E0BA"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2016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other CBP </w:t>
      </w:r>
      <w:r w:rsidRPr="00D41379">
        <w:rPr>
          <w:rFonts w:ascii="Times New Roman" w:hAnsi="Times New Roman" w:cs="Times New Roman"/>
        </w:rPr>
        <w:t>posi</w:t>
      </w:r>
      <w:r>
        <w:rPr>
          <w:rFonts w:ascii="Times New Roman" w:hAnsi="Times New Roman" w:cs="Times New Roman"/>
        </w:rPr>
        <w:t>tions, which is equal to a GS-13, Step 5</w:t>
      </w:r>
      <w:r w:rsidRPr="00D41379">
        <w:rPr>
          <w:rFonts w:ascii="Times New Roman" w:hAnsi="Times New Roman" w:cs="Times New Roman"/>
        </w:rPr>
        <w:t>.  Source: Email correspondence with CBP’s Off</w:t>
      </w:r>
      <w:r>
        <w:rPr>
          <w:rFonts w:ascii="Times New Roman" w:hAnsi="Times New Roman" w:cs="Times New Roman"/>
        </w:rPr>
        <w:t>ice of Administration on June 27, 2016</w:t>
      </w:r>
      <w:r w:rsidRPr="00D41379">
        <w:rPr>
          <w:rFonts w:ascii="Times New Roman" w:hAnsi="Times New Roman" w:cs="Times New Roman"/>
        </w:rPr>
        <w:t xml:space="preserve">. </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00000003"/>
    <w:multiLevelType w:val="multilevel"/>
    <w:tmpl w:val="00000000"/>
    <w:lvl w:ilvl="0">
      <w:start w:val="1"/>
      <w:numFmt w:val="decimal"/>
      <w:pStyle w:val="Level1"/>
      <w:lvlText w:val="%1."/>
      <w:lvlJc w:val="start"/>
      <w:pPr>
        <w:tabs>
          <w:tab w:val="num" w:pos="36pt"/>
        </w:tabs>
        <w:ind w:start="36pt" w:hanging="36pt"/>
      </w:pPr>
      <w:rPr>
        <w:rFonts w:ascii="Arial" w:hAnsi="Arial"/>
        <w:sz w:val="24"/>
      </w:rPr>
    </w:lvl>
    <w:lvl w:ilvl="1">
      <w:start w:val="1"/>
      <w:numFmt w:val="decimal"/>
      <w:lvlText w:val="%2"/>
      <w:lvlJc w:val="start"/>
    </w:lvl>
    <w:lvl w:ilvl="2">
      <w:start w:val="1"/>
      <w:numFmt w:val="decimal"/>
      <w:lvlText w:val="%3"/>
      <w:lvlJc w:val="start"/>
    </w:lvl>
    <w:lvl w:ilvl="3">
      <w:start w:val="1"/>
      <w:numFmt w:val="decimal"/>
      <w:lvlText w:val="%4"/>
      <w:lvlJc w:val="start"/>
    </w:lvl>
    <w:lvl w:ilvl="4">
      <w:start w:val="1"/>
      <w:numFmt w:val="decimal"/>
      <w:lvlText w:val="%5"/>
      <w:lvlJc w:val="start"/>
    </w:lvl>
    <w:lvl w:ilvl="5">
      <w:start w:val="1"/>
      <w:numFmt w:val="decimal"/>
      <w:lvlText w:val="%6"/>
      <w:lvlJc w:val="start"/>
    </w:lvl>
    <w:lvl w:ilvl="6">
      <w:start w:val="1"/>
      <w:numFmt w:val="decimal"/>
      <w:lvlText w:val="%7"/>
      <w:lvlJc w:val="start"/>
    </w:lvl>
    <w:lvl w:ilvl="7">
      <w:start w:val="1"/>
      <w:numFmt w:val="decimal"/>
      <w:lvlText w:val="%8"/>
      <w:lvlJc w:val="start"/>
    </w:lvl>
    <w:lvl w:ilvl="8">
      <w:numFmt w:val="decimal"/>
      <w:lvlText w:val=""/>
      <w:lvlJc w:val="start"/>
    </w:lvl>
  </w:abstractNum>
  <w:abstractNum w:abstractNumId="1" w15:restartNumberingAfterBreak="0">
    <w:nsid w:val="01182933"/>
    <w:multiLevelType w:val="singleLevel"/>
    <w:tmpl w:val="88E2CD18"/>
    <w:lvl w:ilvl="0">
      <w:start w:val="16"/>
      <w:numFmt w:val="decimal"/>
      <w:lvlText w:val="%1."/>
      <w:lvlJc w:val="start"/>
      <w:pPr>
        <w:tabs>
          <w:tab w:val="num" w:pos="22.50pt"/>
        </w:tabs>
        <w:ind w:start="22.50pt" w:hanging="22.50pt"/>
      </w:pPr>
      <w:rPr>
        <w:rFonts w:hint="default"/>
      </w:rPr>
    </w:lvl>
  </w:abstractNum>
  <w:abstractNum w:abstractNumId="2" w15:restartNumberingAfterBreak="0">
    <w:nsid w:val="1110521C"/>
    <w:multiLevelType w:val="singleLevel"/>
    <w:tmpl w:val="633C7AAA"/>
    <w:lvl w:ilvl="0">
      <w:start w:val="1"/>
      <w:numFmt w:val="decimal"/>
      <w:lvlText w:val="%1."/>
      <w:lvlJc w:val="start"/>
      <w:pPr>
        <w:tabs>
          <w:tab w:val="num" w:pos="36pt"/>
        </w:tabs>
        <w:ind w:start="36pt" w:hanging="36pt"/>
      </w:pPr>
      <w:rPr>
        <w:rFonts w:hint="default"/>
      </w:rPr>
    </w:lvl>
  </w:abstractNum>
  <w:abstractNum w:abstractNumId="3" w15:restartNumberingAfterBreak="0">
    <w:nsid w:val="12EC1E11"/>
    <w:multiLevelType w:val="singleLevel"/>
    <w:tmpl w:val="0409000F"/>
    <w:lvl w:ilvl="0">
      <w:start w:val="1"/>
      <w:numFmt w:val="decimal"/>
      <w:lvlText w:val="%1."/>
      <w:lvlJc w:val="start"/>
      <w:pPr>
        <w:tabs>
          <w:tab w:val="num" w:pos="18pt"/>
        </w:tabs>
        <w:ind w:start="18pt" w:hanging="18pt"/>
      </w:pPr>
    </w:lvl>
  </w:abstractNum>
  <w:abstractNum w:abstractNumId="4" w15:restartNumberingAfterBreak="0">
    <w:nsid w:val="14082CBD"/>
    <w:multiLevelType w:val="singleLevel"/>
    <w:tmpl w:val="0409000F"/>
    <w:lvl w:ilvl="0">
      <w:start w:val="1"/>
      <w:numFmt w:val="decimal"/>
      <w:lvlText w:val="%1."/>
      <w:lvlJc w:val="start"/>
      <w:pPr>
        <w:tabs>
          <w:tab w:val="num" w:pos="18pt"/>
        </w:tabs>
        <w:ind w:start="18pt" w:hanging="18pt"/>
      </w:pPr>
    </w:lvl>
  </w:abstractNum>
  <w:abstractNum w:abstractNumId="5" w15:restartNumberingAfterBreak="0">
    <w:nsid w:val="147E595E"/>
    <w:multiLevelType w:val="singleLevel"/>
    <w:tmpl w:val="19424066"/>
    <w:lvl w:ilvl="0">
      <w:start w:val="17"/>
      <w:numFmt w:val="decimal"/>
      <w:lvlText w:val="%1."/>
      <w:lvlJc w:val="start"/>
      <w:pPr>
        <w:tabs>
          <w:tab w:val="num" w:pos="41.25pt"/>
        </w:tabs>
        <w:ind w:start="41.25pt" w:hanging="41.25pt"/>
      </w:pPr>
      <w:rPr>
        <w:rFonts w:hint="default"/>
      </w:rPr>
    </w:lvl>
  </w:abstractNum>
  <w:abstractNum w:abstractNumId="6" w15:restartNumberingAfterBreak="0">
    <w:nsid w:val="14CE44D8"/>
    <w:multiLevelType w:val="singleLevel"/>
    <w:tmpl w:val="0409000F"/>
    <w:lvl w:ilvl="0">
      <w:start w:val="3"/>
      <w:numFmt w:val="decimal"/>
      <w:lvlText w:val="%1."/>
      <w:lvlJc w:val="start"/>
      <w:pPr>
        <w:tabs>
          <w:tab w:val="num" w:pos="18pt"/>
        </w:tabs>
        <w:ind w:start="18pt" w:hanging="18pt"/>
      </w:pPr>
      <w:rPr>
        <w:rFonts w:hint="default"/>
      </w:rPr>
    </w:lvl>
  </w:abstractNum>
  <w:abstractNum w:abstractNumId="7" w15:restartNumberingAfterBreak="0">
    <w:nsid w:val="185650F5"/>
    <w:multiLevelType w:val="singleLevel"/>
    <w:tmpl w:val="88E2CD18"/>
    <w:lvl w:ilvl="0">
      <w:start w:val="16"/>
      <w:numFmt w:val="decimal"/>
      <w:lvlText w:val="%1."/>
      <w:lvlJc w:val="start"/>
      <w:pPr>
        <w:tabs>
          <w:tab w:val="num" w:pos="22.50pt"/>
        </w:tabs>
        <w:ind w:start="22.50pt" w:hanging="22.50pt"/>
      </w:pPr>
      <w:rPr>
        <w:rFonts w:hint="default"/>
      </w:rPr>
    </w:lvl>
  </w:abstractNum>
  <w:abstractNum w:abstractNumId="8" w15:restartNumberingAfterBreak="0">
    <w:nsid w:val="1DAA435F"/>
    <w:multiLevelType w:val="singleLevel"/>
    <w:tmpl w:val="E3A81EFE"/>
    <w:lvl w:ilvl="0">
      <w:start w:val="2"/>
      <w:numFmt w:val="upperLetter"/>
      <w:lvlText w:val="%1."/>
      <w:lvlJc w:val="start"/>
      <w:pPr>
        <w:tabs>
          <w:tab w:val="num" w:pos="41.25pt"/>
        </w:tabs>
        <w:ind w:start="41.25pt" w:hanging="41.25pt"/>
      </w:pPr>
      <w:rPr>
        <w:rFonts w:hint="default"/>
      </w:rPr>
    </w:lvl>
  </w:abstractNum>
  <w:abstractNum w:abstractNumId="9" w15:restartNumberingAfterBreak="0">
    <w:nsid w:val="24B5617F"/>
    <w:multiLevelType w:val="singleLevel"/>
    <w:tmpl w:val="19424066"/>
    <w:lvl w:ilvl="0">
      <w:start w:val="16"/>
      <w:numFmt w:val="decimal"/>
      <w:lvlText w:val="%1."/>
      <w:lvlJc w:val="start"/>
      <w:pPr>
        <w:tabs>
          <w:tab w:val="num" w:pos="41.25pt"/>
        </w:tabs>
        <w:ind w:start="41.25pt" w:hanging="41.25pt"/>
      </w:pPr>
      <w:rPr>
        <w:rFonts w:hint="default"/>
      </w:rPr>
    </w:lvl>
  </w:abstractNum>
  <w:abstractNum w:abstractNumId="10" w15:restartNumberingAfterBreak="0">
    <w:nsid w:val="267C0B3D"/>
    <w:multiLevelType w:val="singleLevel"/>
    <w:tmpl w:val="A09E4A7C"/>
    <w:lvl w:ilvl="0">
      <w:start w:val="13"/>
      <w:numFmt w:val="decimal"/>
      <w:lvlText w:val="%1."/>
      <w:lvlJc w:val="start"/>
      <w:pPr>
        <w:tabs>
          <w:tab w:val="num" w:pos="36pt"/>
        </w:tabs>
        <w:ind w:start="36pt" w:hanging="33pt"/>
      </w:pPr>
      <w:rPr>
        <w:rFonts w:hint="default"/>
      </w:rPr>
    </w:lvl>
  </w:abstractNum>
  <w:abstractNum w:abstractNumId="11" w15:restartNumberingAfterBreak="0">
    <w:nsid w:val="28AF022D"/>
    <w:multiLevelType w:val="hybridMultilevel"/>
    <w:tmpl w:val="EA96114E"/>
    <w:lvl w:ilvl="0" w:tplc="0409000F">
      <w:start w:val="2"/>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2" w15:restartNumberingAfterBreak="0">
    <w:nsid w:val="299A4177"/>
    <w:multiLevelType w:val="singleLevel"/>
    <w:tmpl w:val="46406EB8"/>
    <w:lvl w:ilvl="0">
      <w:start w:val="15"/>
      <w:numFmt w:val="decimal"/>
      <w:lvlText w:val="%1."/>
      <w:lvlJc w:val="start"/>
      <w:pPr>
        <w:tabs>
          <w:tab w:val="num" w:pos="36pt"/>
        </w:tabs>
        <w:ind w:start="36pt" w:hanging="36pt"/>
      </w:pPr>
      <w:rPr>
        <w:rFonts w:hint="default"/>
      </w:rPr>
    </w:lvl>
  </w:abstractNum>
  <w:abstractNum w:abstractNumId="13" w15:restartNumberingAfterBreak="0">
    <w:nsid w:val="2D345094"/>
    <w:multiLevelType w:val="singleLevel"/>
    <w:tmpl w:val="FC40B4AC"/>
    <w:lvl w:ilvl="0">
      <w:start w:val="14"/>
      <w:numFmt w:val="decimal"/>
      <w:lvlText w:val="%1."/>
      <w:lvlJc w:val="start"/>
      <w:pPr>
        <w:tabs>
          <w:tab w:val="num" w:pos="41.25pt"/>
        </w:tabs>
        <w:ind w:start="41.25pt" w:hanging="41.25pt"/>
      </w:pPr>
      <w:rPr>
        <w:rFonts w:hint="default"/>
      </w:rPr>
    </w:lvl>
  </w:abstractNum>
  <w:abstractNum w:abstractNumId="14" w15:restartNumberingAfterBreak="0">
    <w:nsid w:val="2DD04505"/>
    <w:multiLevelType w:val="hybridMultilevel"/>
    <w:tmpl w:val="75247B7A"/>
    <w:lvl w:ilvl="0" w:tplc="25942A6A">
      <w:start w:val="12"/>
      <w:numFmt w:val="decimal"/>
      <w:lvlText w:val="%1."/>
      <w:lvlJc w:val="start"/>
      <w:pPr>
        <w:tabs>
          <w:tab w:val="num" w:pos="54pt"/>
        </w:tabs>
        <w:ind w:start="54pt" w:hanging="36pt"/>
      </w:pPr>
      <w:rPr>
        <w:rFonts w:hint="default"/>
        <w:b/>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5" w15:restartNumberingAfterBreak="0">
    <w:nsid w:val="36D66AFB"/>
    <w:multiLevelType w:val="singleLevel"/>
    <w:tmpl w:val="0409000F"/>
    <w:lvl w:ilvl="0">
      <w:start w:val="1"/>
      <w:numFmt w:val="decimal"/>
      <w:lvlText w:val="%1."/>
      <w:lvlJc w:val="start"/>
      <w:pPr>
        <w:tabs>
          <w:tab w:val="num" w:pos="18pt"/>
        </w:tabs>
        <w:ind w:start="18pt" w:hanging="18pt"/>
      </w:pPr>
    </w:lvl>
  </w:abstractNum>
  <w:abstractNum w:abstractNumId="16" w15:restartNumberingAfterBreak="0">
    <w:nsid w:val="39F51A33"/>
    <w:multiLevelType w:val="singleLevel"/>
    <w:tmpl w:val="0409000F"/>
    <w:lvl w:ilvl="0">
      <w:start w:val="1"/>
      <w:numFmt w:val="decimal"/>
      <w:lvlText w:val="%1."/>
      <w:lvlJc w:val="start"/>
      <w:pPr>
        <w:tabs>
          <w:tab w:val="num" w:pos="18pt"/>
        </w:tabs>
        <w:ind w:start="18pt" w:hanging="18pt"/>
      </w:pPr>
    </w:lvl>
  </w:abstractNum>
  <w:abstractNum w:abstractNumId="17" w15:restartNumberingAfterBreak="0">
    <w:nsid w:val="3A452931"/>
    <w:multiLevelType w:val="singleLevel"/>
    <w:tmpl w:val="E3A81EFE"/>
    <w:lvl w:ilvl="0">
      <w:start w:val="2"/>
      <w:numFmt w:val="upperLetter"/>
      <w:lvlText w:val="%1."/>
      <w:lvlJc w:val="start"/>
      <w:pPr>
        <w:tabs>
          <w:tab w:val="num" w:pos="41.25pt"/>
        </w:tabs>
        <w:ind w:start="41.25pt" w:hanging="41.25pt"/>
      </w:pPr>
      <w:rPr>
        <w:rFonts w:hint="default"/>
      </w:rPr>
    </w:lvl>
  </w:abstractNum>
  <w:abstractNum w:abstractNumId="18" w15:restartNumberingAfterBreak="0">
    <w:nsid w:val="3B53234B"/>
    <w:multiLevelType w:val="singleLevel"/>
    <w:tmpl w:val="0409000F"/>
    <w:lvl w:ilvl="0">
      <w:start w:val="1"/>
      <w:numFmt w:val="decimal"/>
      <w:lvlText w:val="%1."/>
      <w:lvlJc w:val="start"/>
      <w:pPr>
        <w:tabs>
          <w:tab w:val="num" w:pos="18pt"/>
        </w:tabs>
        <w:ind w:start="18pt" w:hanging="18pt"/>
      </w:pPr>
    </w:lvl>
  </w:abstractNum>
  <w:abstractNum w:abstractNumId="19" w15:restartNumberingAfterBreak="0">
    <w:nsid w:val="40C340AC"/>
    <w:multiLevelType w:val="hybridMultilevel"/>
    <w:tmpl w:val="1E96A14C"/>
    <w:lvl w:ilvl="0" w:tplc="04090015">
      <w:start w:val="2"/>
      <w:numFmt w:val="upperLetter"/>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0" w15:restartNumberingAfterBreak="0">
    <w:nsid w:val="4AB837A4"/>
    <w:multiLevelType w:val="hybridMultilevel"/>
    <w:tmpl w:val="12BE6D12"/>
    <w:lvl w:ilvl="0" w:tplc="A306B0CA">
      <w:start w:val="6"/>
      <w:numFmt w:val="decimal"/>
      <w:lvlText w:val="%1."/>
      <w:lvlJc w:val="start"/>
      <w:pPr>
        <w:tabs>
          <w:tab w:val="num" w:pos="27pt"/>
        </w:tabs>
        <w:ind w:start="27pt" w:hanging="18pt"/>
      </w:pPr>
      <w:rPr>
        <w:rFonts w:hint="default"/>
        <w:b/>
      </w:rPr>
    </w:lvl>
    <w:lvl w:ilvl="1" w:tplc="04090019" w:tentative="1">
      <w:start w:val="1"/>
      <w:numFmt w:val="lowerLetter"/>
      <w:lvlText w:val="%2."/>
      <w:lvlJc w:val="start"/>
      <w:pPr>
        <w:tabs>
          <w:tab w:val="num" w:pos="63pt"/>
        </w:tabs>
        <w:ind w:start="63pt" w:hanging="18pt"/>
      </w:pPr>
    </w:lvl>
    <w:lvl w:ilvl="2" w:tplc="0409001B" w:tentative="1">
      <w:start w:val="1"/>
      <w:numFmt w:val="lowerRoman"/>
      <w:lvlText w:val="%3."/>
      <w:lvlJc w:val="end"/>
      <w:pPr>
        <w:tabs>
          <w:tab w:val="num" w:pos="99pt"/>
        </w:tabs>
        <w:ind w:start="99pt" w:hanging="9pt"/>
      </w:pPr>
    </w:lvl>
    <w:lvl w:ilvl="3" w:tplc="0409000F" w:tentative="1">
      <w:start w:val="1"/>
      <w:numFmt w:val="decimal"/>
      <w:lvlText w:val="%4."/>
      <w:lvlJc w:val="start"/>
      <w:pPr>
        <w:tabs>
          <w:tab w:val="num" w:pos="135pt"/>
        </w:tabs>
        <w:ind w:start="135pt" w:hanging="18pt"/>
      </w:pPr>
    </w:lvl>
    <w:lvl w:ilvl="4" w:tplc="04090019" w:tentative="1">
      <w:start w:val="1"/>
      <w:numFmt w:val="lowerLetter"/>
      <w:lvlText w:val="%5."/>
      <w:lvlJc w:val="start"/>
      <w:pPr>
        <w:tabs>
          <w:tab w:val="num" w:pos="171pt"/>
        </w:tabs>
        <w:ind w:start="171pt" w:hanging="18pt"/>
      </w:pPr>
    </w:lvl>
    <w:lvl w:ilvl="5" w:tplc="0409001B" w:tentative="1">
      <w:start w:val="1"/>
      <w:numFmt w:val="lowerRoman"/>
      <w:lvlText w:val="%6."/>
      <w:lvlJc w:val="end"/>
      <w:pPr>
        <w:tabs>
          <w:tab w:val="num" w:pos="207pt"/>
        </w:tabs>
        <w:ind w:start="207pt" w:hanging="9pt"/>
      </w:pPr>
    </w:lvl>
    <w:lvl w:ilvl="6" w:tplc="0409000F" w:tentative="1">
      <w:start w:val="1"/>
      <w:numFmt w:val="decimal"/>
      <w:lvlText w:val="%7."/>
      <w:lvlJc w:val="start"/>
      <w:pPr>
        <w:tabs>
          <w:tab w:val="num" w:pos="243pt"/>
        </w:tabs>
        <w:ind w:start="243pt" w:hanging="18pt"/>
      </w:pPr>
    </w:lvl>
    <w:lvl w:ilvl="7" w:tplc="04090019" w:tentative="1">
      <w:start w:val="1"/>
      <w:numFmt w:val="lowerLetter"/>
      <w:lvlText w:val="%8."/>
      <w:lvlJc w:val="start"/>
      <w:pPr>
        <w:tabs>
          <w:tab w:val="num" w:pos="279pt"/>
        </w:tabs>
        <w:ind w:start="279pt" w:hanging="18pt"/>
      </w:pPr>
    </w:lvl>
    <w:lvl w:ilvl="8" w:tplc="0409001B" w:tentative="1">
      <w:start w:val="1"/>
      <w:numFmt w:val="lowerRoman"/>
      <w:lvlText w:val="%9."/>
      <w:lvlJc w:val="end"/>
      <w:pPr>
        <w:tabs>
          <w:tab w:val="num" w:pos="315pt"/>
        </w:tabs>
        <w:ind w:start="315pt" w:hanging="9pt"/>
      </w:pPr>
    </w:lvl>
  </w:abstractNum>
  <w:abstractNum w:abstractNumId="21" w15:restartNumberingAfterBreak="0">
    <w:nsid w:val="4C45310F"/>
    <w:multiLevelType w:val="hybridMultilevel"/>
    <w:tmpl w:val="940C2130"/>
    <w:lvl w:ilvl="0" w:tplc="0409000F">
      <w:start w:val="9"/>
      <w:numFmt w:val="decimal"/>
      <w:lvlText w:val="%1."/>
      <w:lvlJc w:val="start"/>
      <w:pPr>
        <w:tabs>
          <w:tab w:val="num" w:pos="36pt"/>
        </w:tabs>
        <w:ind w:start="36pt" w:hanging="18pt"/>
      </w:pPr>
      <w:rPr>
        <w:rFonts w:hint="default"/>
      </w:rPr>
    </w:lvl>
    <w:lvl w:ilvl="1" w:tplc="04090019">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2" w15:restartNumberingAfterBreak="0">
    <w:nsid w:val="4E735851"/>
    <w:multiLevelType w:val="hybridMultilevel"/>
    <w:tmpl w:val="9976E2EC"/>
    <w:lvl w:ilvl="0" w:tplc="0409000F">
      <w:start w:val="3"/>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3" w15:restartNumberingAfterBreak="0">
    <w:nsid w:val="4FD97BE5"/>
    <w:multiLevelType w:val="singleLevel"/>
    <w:tmpl w:val="E3A81EFE"/>
    <w:lvl w:ilvl="0">
      <w:start w:val="2"/>
      <w:numFmt w:val="upperLetter"/>
      <w:lvlText w:val="%1."/>
      <w:lvlJc w:val="start"/>
      <w:pPr>
        <w:tabs>
          <w:tab w:val="num" w:pos="41.25pt"/>
        </w:tabs>
        <w:ind w:start="41.25pt" w:hanging="41.25pt"/>
      </w:pPr>
      <w:rPr>
        <w:rFonts w:hint="default"/>
      </w:rPr>
    </w:lvl>
  </w:abstractNum>
  <w:abstractNum w:abstractNumId="24" w15:restartNumberingAfterBreak="0">
    <w:nsid w:val="60BA063A"/>
    <w:multiLevelType w:val="singleLevel"/>
    <w:tmpl w:val="E3A81EFE"/>
    <w:lvl w:ilvl="0">
      <w:start w:val="2"/>
      <w:numFmt w:val="upperLetter"/>
      <w:lvlText w:val="%1."/>
      <w:lvlJc w:val="start"/>
      <w:pPr>
        <w:tabs>
          <w:tab w:val="num" w:pos="41.25pt"/>
        </w:tabs>
        <w:ind w:start="41.25pt" w:hanging="41.25pt"/>
      </w:pPr>
      <w:rPr>
        <w:rFonts w:hint="default"/>
      </w:rPr>
    </w:lvl>
  </w:abstractNum>
  <w:abstractNum w:abstractNumId="25" w15:restartNumberingAfterBreak="0">
    <w:nsid w:val="612B7627"/>
    <w:multiLevelType w:val="singleLevel"/>
    <w:tmpl w:val="0409000F"/>
    <w:lvl w:ilvl="0">
      <w:start w:val="1"/>
      <w:numFmt w:val="decimal"/>
      <w:lvlText w:val="%1."/>
      <w:lvlJc w:val="start"/>
      <w:pPr>
        <w:tabs>
          <w:tab w:val="num" w:pos="18pt"/>
        </w:tabs>
        <w:ind w:start="18pt" w:hanging="18pt"/>
      </w:pPr>
    </w:lvl>
  </w:abstractNum>
  <w:abstractNum w:abstractNumId="26" w15:restartNumberingAfterBreak="0">
    <w:nsid w:val="649506CC"/>
    <w:multiLevelType w:val="singleLevel"/>
    <w:tmpl w:val="EB4C841C"/>
    <w:lvl w:ilvl="0">
      <w:start w:val="1"/>
      <w:numFmt w:val="decimal"/>
      <w:lvlText w:val="%1."/>
      <w:lvlJc w:val="start"/>
      <w:pPr>
        <w:tabs>
          <w:tab w:val="num" w:pos="36pt"/>
        </w:tabs>
        <w:ind w:start="36pt" w:hanging="36pt"/>
      </w:pPr>
      <w:rPr>
        <w:rFonts w:hint="default"/>
      </w:rPr>
    </w:lvl>
  </w:abstractNum>
  <w:abstractNum w:abstractNumId="27" w15:restartNumberingAfterBreak="0">
    <w:nsid w:val="66ED4E8C"/>
    <w:multiLevelType w:val="singleLevel"/>
    <w:tmpl w:val="0409000F"/>
    <w:lvl w:ilvl="0">
      <w:start w:val="1"/>
      <w:numFmt w:val="decimal"/>
      <w:lvlText w:val="%1."/>
      <w:lvlJc w:val="start"/>
      <w:pPr>
        <w:tabs>
          <w:tab w:val="num" w:pos="18pt"/>
        </w:tabs>
        <w:ind w:start="18pt" w:hanging="18pt"/>
      </w:pPr>
    </w:lvl>
  </w:abstractNum>
  <w:abstractNum w:abstractNumId="28" w15:restartNumberingAfterBreak="0">
    <w:nsid w:val="67C65524"/>
    <w:multiLevelType w:val="singleLevel"/>
    <w:tmpl w:val="88E2CD18"/>
    <w:lvl w:ilvl="0">
      <w:start w:val="16"/>
      <w:numFmt w:val="decimal"/>
      <w:lvlText w:val="%1."/>
      <w:lvlJc w:val="start"/>
      <w:pPr>
        <w:tabs>
          <w:tab w:val="num" w:pos="22.50pt"/>
        </w:tabs>
        <w:ind w:start="22.50pt" w:hanging="22.50pt"/>
      </w:pPr>
      <w:rPr>
        <w:rFonts w:hint="default"/>
      </w:rPr>
    </w:lvl>
  </w:abstractNum>
  <w:abstractNum w:abstractNumId="29" w15:restartNumberingAfterBreak="0">
    <w:nsid w:val="6B7B24AD"/>
    <w:multiLevelType w:val="hybridMultilevel"/>
    <w:tmpl w:val="8F8A3A0C"/>
    <w:lvl w:ilvl="0" w:tplc="0409000F">
      <w:start w:val="2"/>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0" w15:restartNumberingAfterBreak="0">
    <w:nsid w:val="6BDA4D10"/>
    <w:multiLevelType w:val="singleLevel"/>
    <w:tmpl w:val="0409000F"/>
    <w:lvl w:ilvl="0">
      <w:start w:val="1"/>
      <w:numFmt w:val="decimal"/>
      <w:lvlText w:val="%1."/>
      <w:lvlJc w:val="start"/>
      <w:pPr>
        <w:tabs>
          <w:tab w:val="num" w:pos="18pt"/>
        </w:tabs>
        <w:ind w:start="18pt" w:hanging="18pt"/>
      </w:pPr>
    </w:lvl>
  </w:abstractNum>
  <w:abstractNum w:abstractNumId="31" w15:restartNumberingAfterBreak="0">
    <w:nsid w:val="701B0A11"/>
    <w:multiLevelType w:val="singleLevel"/>
    <w:tmpl w:val="E35A8856"/>
    <w:lvl w:ilvl="0">
      <w:start w:val="8"/>
      <w:numFmt w:val="decimal"/>
      <w:lvlText w:val="%1."/>
      <w:lvlJc w:val="start"/>
      <w:pPr>
        <w:tabs>
          <w:tab w:val="num" w:pos="18pt"/>
        </w:tabs>
        <w:ind w:start="18pt" w:hanging="18pt"/>
      </w:pPr>
    </w:lvl>
  </w:abstractNum>
  <w:abstractNum w:abstractNumId="32" w15:restartNumberingAfterBreak="0">
    <w:nsid w:val="7046056D"/>
    <w:multiLevelType w:val="hybridMultilevel"/>
    <w:tmpl w:val="06ECC760"/>
    <w:lvl w:ilvl="0" w:tplc="51AE174C">
      <w:start w:val="1"/>
      <w:numFmt w:val="decimal"/>
      <w:lvlText w:val="%1."/>
      <w:lvlJc w:val="start"/>
      <w:pPr>
        <w:tabs>
          <w:tab w:val="num" w:pos="36pt"/>
        </w:tabs>
        <w:ind w:start="36pt" w:hanging="18pt"/>
      </w:pPr>
      <w:rPr>
        <w:rFonts w:hint="default" w:ascii="Arial" w:hAnsi="Arial"/>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3" w15:restartNumberingAfterBreak="0">
    <w:nsid w:val="70677FC6"/>
    <w:multiLevelType w:val="singleLevel"/>
    <w:tmpl w:val="46406EB8"/>
    <w:lvl w:ilvl="0">
      <w:start w:val="15"/>
      <w:numFmt w:val="decimal"/>
      <w:lvlText w:val="%1."/>
      <w:lvlJc w:val="start"/>
      <w:pPr>
        <w:tabs>
          <w:tab w:val="num" w:pos="36pt"/>
        </w:tabs>
        <w:ind w:start="36pt" w:hanging="36pt"/>
      </w:pPr>
      <w:rPr>
        <w:rFonts w:hint="default"/>
      </w:rPr>
    </w:lvl>
  </w:abstractNum>
  <w:abstractNum w:abstractNumId="34" w15:restartNumberingAfterBreak="0">
    <w:nsid w:val="768A5F4E"/>
    <w:multiLevelType w:val="singleLevel"/>
    <w:tmpl w:val="0409000F"/>
    <w:lvl w:ilvl="0">
      <w:start w:val="1"/>
      <w:numFmt w:val="decimal"/>
      <w:lvlText w:val="%1."/>
      <w:lvlJc w:val="start"/>
      <w:pPr>
        <w:tabs>
          <w:tab w:val="num" w:pos="18pt"/>
        </w:tabs>
        <w:ind w:start="18pt" w:hanging="18pt"/>
      </w:pPr>
    </w:lvl>
  </w:abstractNum>
  <w:abstractNum w:abstractNumId="35" w15:restartNumberingAfterBreak="0">
    <w:nsid w:val="78EF327F"/>
    <w:multiLevelType w:val="singleLevel"/>
    <w:tmpl w:val="0409000F"/>
    <w:lvl w:ilvl="0">
      <w:start w:val="1"/>
      <w:numFmt w:val="decimal"/>
      <w:lvlText w:val="%1."/>
      <w:lvlJc w:val="start"/>
      <w:pPr>
        <w:tabs>
          <w:tab w:val="num" w:pos="18pt"/>
        </w:tabs>
        <w:ind w:start="18pt" w:hanging="18pt"/>
      </w:pPr>
    </w:lvl>
  </w:abstractNum>
  <w:abstractNum w:abstractNumId="36" w15:restartNumberingAfterBreak="0">
    <w:nsid w:val="79254BB1"/>
    <w:multiLevelType w:val="hybridMultilevel"/>
    <w:tmpl w:val="DA522B38"/>
    <w:lvl w:ilvl="0" w:tplc="0409000F">
      <w:start w:val="2"/>
      <w:numFmt w:val="decimal"/>
      <w:lvlText w:val="%1."/>
      <w:lvlJc w:val="start"/>
      <w:pPr>
        <w:tabs>
          <w:tab w:val="num" w:pos="36pt"/>
        </w:tabs>
        <w:ind w:start="36pt" w:hanging="18pt"/>
      </w:pPr>
      <w:rPr>
        <w:rFonts w:hint="default"/>
      </w:rPr>
    </w:lvl>
    <w:lvl w:ilvl="1" w:tplc="5B8EE406">
      <w:start w:val="8"/>
      <w:numFmt w:val="bullet"/>
      <w:lvlText w:val="-"/>
      <w:lvlJc w:val="start"/>
      <w:pPr>
        <w:tabs>
          <w:tab w:val="num" w:pos="72pt"/>
        </w:tabs>
        <w:ind w:start="72pt" w:hanging="18pt"/>
      </w:pPr>
      <w:rPr>
        <w:rFonts w:hint="default" w:ascii="Arial" w:hAnsi="Arial" w:eastAsia="Times New Roman" w:cs="Arial"/>
      </w:r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37" w15:restartNumberingAfterBreak="0">
    <w:nsid w:val="79D64AEF"/>
    <w:multiLevelType w:val="singleLevel"/>
    <w:tmpl w:val="04090001"/>
    <w:lvl w:ilvl="0">
      <w:start w:val="1"/>
      <w:numFmt w:val="bullet"/>
      <w:lvlText w:val=""/>
      <w:lvlJc w:val="start"/>
      <w:pPr>
        <w:tabs>
          <w:tab w:val="num" w:pos="18pt"/>
        </w:tabs>
        <w:ind w:start="18pt" w:hanging="18pt"/>
      </w:pPr>
      <w:rPr>
        <w:rFonts w:hint="default" w:ascii="Symbol" w:hAnsi="Symbol"/>
      </w:rPr>
    </w:lvl>
  </w:abstractNum>
  <w:abstractNum w:abstractNumId="38" w15:restartNumberingAfterBreak="0">
    <w:nsid w:val="79EF1638"/>
    <w:multiLevelType w:val="hybridMultilevel"/>
    <w:tmpl w:val="48FA10D6"/>
    <w:lvl w:ilvl="0" w:tplc="34EEF2CE">
      <w:start w:val="8"/>
      <w:numFmt w:val="decimal"/>
      <w:lvlText w:val="%1."/>
      <w:lvlJc w:val="start"/>
      <w:pPr>
        <w:tabs>
          <w:tab w:val="num" w:pos="27pt"/>
        </w:tabs>
        <w:ind w:start="27pt" w:hanging="18pt"/>
      </w:pPr>
      <w:rPr>
        <w:rFonts w:hint="default"/>
      </w:rPr>
    </w:lvl>
    <w:lvl w:ilvl="1" w:tplc="04090019" w:tentative="1">
      <w:start w:val="1"/>
      <w:numFmt w:val="lowerLetter"/>
      <w:lvlText w:val="%2."/>
      <w:lvlJc w:val="start"/>
      <w:pPr>
        <w:tabs>
          <w:tab w:val="num" w:pos="63pt"/>
        </w:tabs>
        <w:ind w:start="63pt" w:hanging="18pt"/>
      </w:pPr>
    </w:lvl>
    <w:lvl w:ilvl="2" w:tplc="0409001B" w:tentative="1">
      <w:start w:val="1"/>
      <w:numFmt w:val="lowerRoman"/>
      <w:lvlText w:val="%3."/>
      <w:lvlJc w:val="end"/>
      <w:pPr>
        <w:tabs>
          <w:tab w:val="num" w:pos="99pt"/>
        </w:tabs>
        <w:ind w:start="99pt" w:hanging="9pt"/>
      </w:pPr>
    </w:lvl>
    <w:lvl w:ilvl="3" w:tplc="0409000F" w:tentative="1">
      <w:start w:val="1"/>
      <w:numFmt w:val="decimal"/>
      <w:lvlText w:val="%4."/>
      <w:lvlJc w:val="start"/>
      <w:pPr>
        <w:tabs>
          <w:tab w:val="num" w:pos="135pt"/>
        </w:tabs>
        <w:ind w:start="135pt" w:hanging="18pt"/>
      </w:pPr>
    </w:lvl>
    <w:lvl w:ilvl="4" w:tplc="04090019" w:tentative="1">
      <w:start w:val="1"/>
      <w:numFmt w:val="lowerLetter"/>
      <w:lvlText w:val="%5."/>
      <w:lvlJc w:val="start"/>
      <w:pPr>
        <w:tabs>
          <w:tab w:val="num" w:pos="171pt"/>
        </w:tabs>
        <w:ind w:start="171pt" w:hanging="18pt"/>
      </w:pPr>
    </w:lvl>
    <w:lvl w:ilvl="5" w:tplc="0409001B" w:tentative="1">
      <w:start w:val="1"/>
      <w:numFmt w:val="lowerRoman"/>
      <w:lvlText w:val="%6."/>
      <w:lvlJc w:val="end"/>
      <w:pPr>
        <w:tabs>
          <w:tab w:val="num" w:pos="207pt"/>
        </w:tabs>
        <w:ind w:start="207pt" w:hanging="9pt"/>
      </w:pPr>
    </w:lvl>
    <w:lvl w:ilvl="6" w:tplc="0409000F" w:tentative="1">
      <w:start w:val="1"/>
      <w:numFmt w:val="decimal"/>
      <w:lvlText w:val="%7."/>
      <w:lvlJc w:val="start"/>
      <w:pPr>
        <w:tabs>
          <w:tab w:val="num" w:pos="243pt"/>
        </w:tabs>
        <w:ind w:start="243pt" w:hanging="18pt"/>
      </w:pPr>
    </w:lvl>
    <w:lvl w:ilvl="7" w:tplc="04090019" w:tentative="1">
      <w:start w:val="1"/>
      <w:numFmt w:val="lowerLetter"/>
      <w:lvlText w:val="%8."/>
      <w:lvlJc w:val="start"/>
      <w:pPr>
        <w:tabs>
          <w:tab w:val="num" w:pos="279pt"/>
        </w:tabs>
        <w:ind w:start="279pt" w:hanging="18pt"/>
      </w:pPr>
    </w:lvl>
    <w:lvl w:ilvl="8" w:tplc="0409001B" w:tentative="1">
      <w:start w:val="1"/>
      <w:numFmt w:val="lowerRoman"/>
      <w:lvlText w:val="%9."/>
      <w:lvlJc w:val="end"/>
      <w:pPr>
        <w:tabs>
          <w:tab w:val="num" w:pos="315pt"/>
        </w:tabs>
        <w:ind w:start="315pt" w:hanging="9pt"/>
      </w:pPr>
    </w:lvl>
  </w:abstractNum>
  <w:abstractNum w:abstractNumId="39" w15:restartNumberingAfterBreak="0">
    <w:nsid w:val="7A682DF4"/>
    <w:multiLevelType w:val="singleLevel"/>
    <w:tmpl w:val="19424066"/>
    <w:lvl w:ilvl="0">
      <w:start w:val="16"/>
      <w:numFmt w:val="decimal"/>
      <w:lvlText w:val="%1."/>
      <w:lvlJc w:val="start"/>
      <w:pPr>
        <w:tabs>
          <w:tab w:val="num" w:pos="41.25pt"/>
        </w:tabs>
        <w:ind w:start="41.25pt" w:hanging="41.25pt"/>
      </w:pPr>
      <w:rPr>
        <w:rFonts w:hint="default"/>
      </w:rPr>
    </w:lvl>
  </w:abstractNum>
  <w:abstractNum w:abstractNumId="40" w15:restartNumberingAfterBreak="0">
    <w:nsid w:val="7C26184B"/>
    <w:multiLevelType w:val="singleLevel"/>
    <w:tmpl w:val="A09E4A7C"/>
    <w:lvl w:ilvl="0">
      <w:start w:val="13"/>
      <w:numFmt w:val="decimal"/>
      <w:lvlText w:val="%1."/>
      <w:lvlJc w:val="start"/>
      <w:pPr>
        <w:tabs>
          <w:tab w:val="num" w:pos="36pt"/>
        </w:tabs>
        <w:ind w:start="36pt" w:hanging="33pt"/>
      </w:pPr>
      <w:rPr>
        <w:rFonts w:hint="default"/>
      </w:rPr>
    </w:lvl>
  </w:abstractNum>
  <w:num w:numId="1">
    <w:abstractNumId w:val="13"/>
  </w:num>
  <w:num w:numId="2">
    <w:abstractNumId w:val="2"/>
  </w:num>
  <w:num w:numId="3">
    <w:abstractNumId w:val="6"/>
  </w:num>
  <w:num w:numId="4">
    <w:abstractNumId w:val="26"/>
  </w:num>
  <w:num w:numId="5">
    <w:abstractNumId w:val="34"/>
  </w:num>
  <w:num w:numId="6">
    <w:abstractNumId w:val="30"/>
  </w:num>
  <w:num w:numId="7">
    <w:abstractNumId w:val="35"/>
  </w:num>
  <w:num w:numId="8">
    <w:abstractNumId w:val="27"/>
  </w:num>
  <w:num w:numId="9">
    <w:abstractNumId w:val="10"/>
  </w:num>
  <w:num w:numId="10">
    <w:abstractNumId w:val="40"/>
  </w:num>
  <w:num w:numId="11">
    <w:abstractNumId w:val="12"/>
  </w:num>
  <w:num w:numId="12">
    <w:abstractNumId w:val="33"/>
  </w:num>
  <w:num w:numId="13">
    <w:abstractNumId w:val="9"/>
  </w:num>
  <w:num w:numId="14">
    <w:abstractNumId w:val="39"/>
  </w:num>
  <w:num w:numId="15">
    <w:abstractNumId w:val="5"/>
  </w:num>
  <w:num w:numId="16">
    <w:abstractNumId w:val="17"/>
  </w:num>
  <w:num w:numId="17">
    <w:abstractNumId w:val="8"/>
  </w:num>
  <w:num w:numId="18">
    <w:abstractNumId w:val="23"/>
  </w:num>
  <w:num w:numId="19">
    <w:abstractNumId w:val="24"/>
  </w:num>
  <w:num w:numId="20">
    <w:abstractNumId w:val="3"/>
  </w:num>
  <w:num w:numId="21">
    <w:abstractNumId w:val="16"/>
  </w:num>
  <w:num w:numId="22">
    <w:abstractNumId w:val="18"/>
  </w:num>
  <w:num w:numId="23">
    <w:abstractNumId w:val="15"/>
  </w:num>
  <w:num w:numId="24">
    <w:abstractNumId w:val="25"/>
  </w:num>
  <w:num w:numId="25">
    <w:abstractNumId w:val="4"/>
  </w:num>
  <w:num w:numId="26">
    <w:abstractNumId w:val="1"/>
  </w:num>
  <w:num w:numId="27">
    <w:abstractNumId w:val="28"/>
  </w:num>
  <w:num w:numId="28">
    <w:abstractNumId w:val="7"/>
  </w:num>
  <w:num w:numId="29">
    <w:abstractNumId w:val="31"/>
  </w:num>
  <w:num w:numId="30">
    <w:abstractNumId w:val="29"/>
  </w:num>
  <w:num w:numId="31">
    <w:abstractNumId w:val="11"/>
  </w:num>
  <w:num w:numId="32">
    <w:abstractNumId w:val="21"/>
  </w:num>
  <w:num w:numId="33">
    <w:abstractNumId w:val="22"/>
  </w:num>
  <w:num w:numId="34">
    <w:abstractNumId w:val="36"/>
  </w:num>
  <w:num w:numId="35">
    <w:abstractNumId w:val="0"/>
    <w:lvlOverride w:ilvl="0">
      <w:startOverride w:val="15"/>
      <w:lvl w:ilvl="0">
        <w:start w:val="15"/>
        <w:numFmt w:val="decimal"/>
        <w:pStyle w:val="Level1"/>
        <w:lvlText w:val="%1."/>
        <w:lvlJc w:val="start"/>
      </w:lvl>
    </w:lvlOverride>
    <w:lvlOverride w:ilvl="1">
      <w:startOverride w:val="1"/>
      <w:lvl w:ilvl="1">
        <w:start w:val="1"/>
        <w:numFmt w:val="decimal"/>
        <w:lvlText w:val="%2"/>
        <w:lvlJc w:val="start"/>
      </w:lvl>
    </w:lvlOverride>
    <w:lvlOverride w:ilvl="2">
      <w:startOverride w:val="1"/>
      <w:lvl w:ilvl="2">
        <w:start w:val="1"/>
        <w:numFmt w:val="decimal"/>
        <w:lvlText w:val="%3"/>
        <w:lvlJc w:val="start"/>
      </w:lvl>
    </w:lvlOverride>
    <w:lvlOverride w:ilvl="3">
      <w:startOverride w:val="1"/>
      <w:lvl w:ilvl="3">
        <w:start w:val="1"/>
        <w:numFmt w:val="decimal"/>
        <w:lvlText w:val="%4"/>
        <w:lvlJc w:val="start"/>
      </w:lvl>
    </w:lvlOverride>
    <w:lvlOverride w:ilvl="4">
      <w:startOverride w:val="1"/>
      <w:lvl w:ilvl="4">
        <w:start w:val="1"/>
        <w:numFmt w:val="decimal"/>
        <w:lvlText w:val="%5"/>
        <w:lvlJc w:val="start"/>
      </w:lvl>
    </w:lvlOverride>
    <w:lvlOverride w:ilvl="5">
      <w:startOverride w:val="1"/>
      <w:lvl w:ilvl="5">
        <w:start w:val="1"/>
        <w:numFmt w:val="decimal"/>
        <w:lvlText w:val="%6"/>
        <w:lvlJc w:val="start"/>
      </w:lvl>
    </w:lvlOverride>
    <w:lvlOverride w:ilvl="6">
      <w:startOverride w:val="1"/>
      <w:lvl w:ilvl="6">
        <w:start w:val="1"/>
        <w:numFmt w:val="decimal"/>
        <w:lvlText w:val="%7"/>
        <w:lvlJc w:val="start"/>
      </w:lvl>
    </w:lvlOverride>
    <w:lvlOverride w:ilvl="7">
      <w:startOverride w:val="1"/>
      <w:lvl w:ilvl="7">
        <w:start w:val="1"/>
        <w:numFmt w:val="decimal"/>
        <w:lvlText w:val="%8"/>
        <w:lvlJc w:val="start"/>
      </w:lvl>
    </w:lvlOverride>
  </w:num>
  <w:num w:numId="36">
    <w:abstractNumId w:val="32"/>
  </w:num>
  <w:num w:numId="37">
    <w:abstractNumId w:val="14"/>
  </w:num>
  <w:num w:numId="38">
    <w:abstractNumId w:val="20"/>
  </w:num>
  <w:num w:numId="39">
    <w:abstractNumId w:val="19"/>
  </w:num>
  <w:num w:numId="40">
    <w:abstractNumId w:val="38"/>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oNotHyphenateCaps/>
  <w:drawingGridHorizontalSpacing w:val="0pt"/>
  <w:drawingGridVerticalSpacing w:val="0pt"/>
  <w:displayHorizontalDrawingGridEvery w:val="0"/>
  <w:displayVerticalDrawingGridEvery w:val="0"/>
  <w:doNotUseMarginsForDrawingGridOrigin/>
  <w:drawingGridHorizontalOrigin w:val="0pt"/>
  <w:drawingGridVerticalOrigin w:val="0pt"/>
  <w:doNotShadeFormData/>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1F95"/>
    <w:rsid w:val="00035171"/>
    <w:rsid w:val="000437AC"/>
    <w:rsid w:val="00052D61"/>
    <w:rsid w:val="00075DFB"/>
    <w:rsid w:val="00077930"/>
    <w:rsid w:val="00083666"/>
    <w:rsid w:val="000931FC"/>
    <w:rsid w:val="000C0A0E"/>
    <w:rsid w:val="000D68EA"/>
    <w:rsid w:val="000E3EAC"/>
    <w:rsid w:val="000F78BD"/>
    <w:rsid w:val="00100177"/>
    <w:rsid w:val="001156C1"/>
    <w:rsid w:val="001248CF"/>
    <w:rsid w:val="00134125"/>
    <w:rsid w:val="001379F0"/>
    <w:rsid w:val="0014338F"/>
    <w:rsid w:val="001624BB"/>
    <w:rsid w:val="00193432"/>
    <w:rsid w:val="00193762"/>
    <w:rsid w:val="00196C01"/>
    <w:rsid w:val="001A0BDA"/>
    <w:rsid w:val="001A3834"/>
    <w:rsid w:val="001B05C8"/>
    <w:rsid w:val="001C2DEB"/>
    <w:rsid w:val="001C609E"/>
    <w:rsid w:val="001D3190"/>
    <w:rsid w:val="001E2DAC"/>
    <w:rsid w:val="001F7FF7"/>
    <w:rsid w:val="00200408"/>
    <w:rsid w:val="002033C5"/>
    <w:rsid w:val="00212A35"/>
    <w:rsid w:val="0021318F"/>
    <w:rsid w:val="0021509F"/>
    <w:rsid w:val="00246351"/>
    <w:rsid w:val="00252C67"/>
    <w:rsid w:val="00254D8C"/>
    <w:rsid w:val="00277A11"/>
    <w:rsid w:val="002A596E"/>
    <w:rsid w:val="002B5BFF"/>
    <w:rsid w:val="002C607F"/>
    <w:rsid w:val="002D2FDE"/>
    <w:rsid w:val="002D458F"/>
    <w:rsid w:val="002D5A26"/>
    <w:rsid w:val="002E5593"/>
    <w:rsid w:val="002F19CF"/>
    <w:rsid w:val="002F28BF"/>
    <w:rsid w:val="00301599"/>
    <w:rsid w:val="00324C56"/>
    <w:rsid w:val="00331572"/>
    <w:rsid w:val="00342B7A"/>
    <w:rsid w:val="00347BDB"/>
    <w:rsid w:val="00350F8E"/>
    <w:rsid w:val="003613DC"/>
    <w:rsid w:val="003677EC"/>
    <w:rsid w:val="003818B6"/>
    <w:rsid w:val="0039005B"/>
    <w:rsid w:val="00395903"/>
    <w:rsid w:val="00396B9D"/>
    <w:rsid w:val="003A2A04"/>
    <w:rsid w:val="003E2414"/>
    <w:rsid w:val="003F6173"/>
    <w:rsid w:val="00400878"/>
    <w:rsid w:val="00406174"/>
    <w:rsid w:val="00406B46"/>
    <w:rsid w:val="00407E7C"/>
    <w:rsid w:val="0044305F"/>
    <w:rsid w:val="00485210"/>
    <w:rsid w:val="004B09FC"/>
    <w:rsid w:val="004B1F95"/>
    <w:rsid w:val="004B4619"/>
    <w:rsid w:val="004B795B"/>
    <w:rsid w:val="004C3AC6"/>
    <w:rsid w:val="004C4930"/>
    <w:rsid w:val="004C4989"/>
    <w:rsid w:val="004D3F2C"/>
    <w:rsid w:val="004D462A"/>
    <w:rsid w:val="004E3F28"/>
    <w:rsid w:val="005038C5"/>
    <w:rsid w:val="00512A7E"/>
    <w:rsid w:val="0051337C"/>
    <w:rsid w:val="00515449"/>
    <w:rsid w:val="00521387"/>
    <w:rsid w:val="00547328"/>
    <w:rsid w:val="00557606"/>
    <w:rsid w:val="00564DE3"/>
    <w:rsid w:val="0059179E"/>
    <w:rsid w:val="005C08E5"/>
    <w:rsid w:val="005C661D"/>
    <w:rsid w:val="00616CCA"/>
    <w:rsid w:val="006246EA"/>
    <w:rsid w:val="00633EE0"/>
    <w:rsid w:val="006343B0"/>
    <w:rsid w:val="00666C4C"/>
    <w:rsid w:val="00673BBA"/>
    <w:rsid w:val="0067404F"/>
    <w:rsid w:val="00686B9D"/>
    <w:rsid w:val="00690A44"/>
    <w:rsid w:val="006B234D"/>
    <w:rsid w:val="006B56EB"/>
    <w:rsid w:val="006D2DB7"/>
    <w:rsid w:val="006F0436"/>
    <w:rsid w:val="006F1699"/>
    <w:rsid w:val="00700DED"/>
    <w:rsid w:val="00705E78"/>
    <w:rsid w:val="0072673D"/>
    <w:rsid w:val="007301FD"/>
    <w:rsid w:val="0073304E"/>
    <w:rsid w:val="00760C16"/>
    <w:rsid w:val="00764054"/>
    <w:rsid w:val="00773E00"/>
    <w:rsid w:val="00780178"/>
    <w:rsid w:val="0079253D"/>
    <w:rsid w:val="00792841"/>
    <w:rsid w:val="007A135C"/>
    <w:rsid w:val="007A3CD6"/>
    <w:rsid w:val="007E4FC0"/>
    <w:rsid w:val="007F2CD1"/>
    <w:rsid w:val="007F2E6A"/>
    <w:rsid w:val="007F33E4"/>
    <w:rsid w:val="007F74D2"/>
    <w:rsid w:val="0080042D"/>
    <w:rsid w:val="008008E1"/>
    <w:rsid w:val="00803FBA"/>
    <w:rsid w:val="008155BA"/>
    <w:rsid w:val="00817775"/>
    <w:rsid w:val="008332D5"/>
    <w:rsid w:val="00833615"/>
    <w:rsid w:val="008437F0"/>
    <w:rsid w:val="00861A5D"/>
    <w:rsid w:val="00871007"/>
    <w:rsid w:val="0087533E"/>
    <w:rsid w:val="00876EB8"/>
    <w:rsid w:val="008943CD"/>
    <w:rsid w:val="008A5957"/>
    <w:rsid w:val="008A7504"/>
    <w:rsid w:val="008B68A7"/>
    <w:rsid w:val="008B68DD"/>
    <w:rsid w:val="008C0946"/>
    <w:rsid w:val="008C5046"/>
    <w:rsid w:val="008C799A"/>
    <w:rsid w:val="008D17C0"/>
    <w:rsid w:val="008E6E66"/>
    <w:rsid w:val="008F0D37"/>
    <w:rsid w:val="009271FB"/>
    <w:rsid w:val="00944305"/>
    <w:rsid w:val="00945B7D"/>
    <w:rsid w:val="00966AE4"/>
    <w:rsid w:val="009817D6"/>
    <w:rsid w:val="009842FA"/>
    <w:rsid w:val="00987CF2"/>
    <w:rsid w:val="00997E30"/>
    <w:rsid w:val="009A3180"/>
    <w:rsid w:val="009B2BF8"/>
    <w:rsid w:val="009D3176"/>
    <w:rsid w:val="009D3D0B"/>
    <w:rsid w:val="009E12CF"/>
    <w:rsid w:val="009E13D4"/>
    <w:rsid w:val="009E579A"/>
    <w:rsid w:val="009E6489"/>
    <w:rsid w:val="009F4CDB"/>
    <w:rsid w:val="00A228D5"/>
    <w:rsid w:val="00A25A9C"/>
    <w:rsid w:val="00A40643"/>
    <w:rsid w:val="00A421C6"/>
    <w:rsid w:val="00A42F14"/>
    <w:rsid w:val="00A43FF9"/>
    <w:rsid w:val="00A459F1"/>
    <w:rsid w:val="00A53B8D"/>
    <w:rsid w:val="00A602A6"/>
    <w:rsid w:val="00A640A9"/>
    <w:rsid w:val="00A76692"/>
    <w:rsid w:val="00A84436"/>
    <w:rsid w:val="00A92202"/>
    <w:rsid w:val="00A96FB1"/>
    <w:rsid w:val="00AE0999"/>
    <w:rsid w:val="00AF4B82"/>
    <w:rsid w:val="00AF78C7"/>
    <w:rsid w:val="00B066BC"/>
    <w:rsid w:val="00B102FC"/>
    <w:rsid w:val="00B24300"/>
    <w:rsid w:val="00B251A4"/>
    <w:rsid w:val="00B35C81"/>
    <w:rsid w:val="00B577C1"/>
    <w:rsid w:val="00B60809"/>
    <w:rsid w:val="00B72E47"/>
    <w:rsid w:val="00BA0B82"/>
    <w:rsid w:val="00BB6AD9"/>
    <w:rsid w:val="00BE46CC"/>
    <w:rsid w:val="00BE4D22"/>
    <w:rsid w:val="00BF07CB"/>
    <w:rsid w:val="00BF2CBA"/>
    <w:rsid w:val="00BF44B6"/>
    <w:rsid w:val="00BF6177"/>
    <w:rsid w:val="00C12E2C"/>
    <w:rsid w:val="00C1347A"/>
    <w:rsid w:val="00C30491"/>
    <w:rsid w:val="00C4725B"/>
    <w:rsid w:val="00C5651B"/>
    <w:rsid w:val="00C56DDF"/>
    <w:rsid w:val="00C72375"/>
    <w:rsid w:val="00C75F7A"/>
    <w:rsid w:val="00C850AE"/>
    <w:rsid w:val="00C95936"/>
    <w:rsid w:val="00CC1D18"/>
    <w:rsid w:val="00CC20F1"/>
    <w:rsid w:val="00CC4381"/>
    <w:rsid w:val="00CE5F89"/>
    <w:rsid w:val="00D06B91"/>
    <w:rsid w:val="00D34CE8"/>
    <w:rsid w:val="00D35806"/>
    <w:rsid w:val="00D40365"/>
    <w:rsid w:val="00D468E7"/>
    <w:rsid w:val="00D566D9"/>
    <w:rsid w:val="00D63906"/>
    <w:rsid w:val="00D67DFC"/>
    <w:rsid w:val="00D86ABD"/>
    <w:rsid w:val="00DB6BF9"/>
    <w:rsid w:val="00DC0133"/>
    <w:rsid w:val="00E137A8"/>
    <w:rsid w:val="00E16A11"/>
    <w:rsid w:val="00E246A2"/>
    <w:rsid w:val="00E37826"/>
    <w:rsid w:val="00E432D7"/>
    <w:rsid w:val="00E47F66"/>
    <w:rsid w:val="00E6119F"/>
    <w:rsid w:val="00E72DF3"/>
    <w:rsid w:val="00E878F4"/>
    <w:rsid w:val="00E943E1"/>
    <w:rsid w:val="00EA4E4D"/>
    <w:rsid w:val="00EB68FC"/>
    <w:rsid w:val="00EC3ADD"/>
    <w:rsid w:val="00EC642F"/>
    <w:rsid w:val="00ED362A"/>
    <w:rsid w:val="00EE7FA2"/>
    <w:rsid w:val="00EF7260"/>
    <w:rsid w:val="00F106FE"/>
    <w:rsid w:val="00F153AC"/>
    <w:rsid w:val="00F21691"/>
    <w:rsid w:val="00F4252E"/>
    <w:rsid w:val="00F541E8"/>
    <w:rsid w:val="00F56A39"/>
    <w:rsid w:val="00F6307D"/>
    <w:rsid w:val="00F638D1"/>
    <w:rsid w:val="00F658EC"/>
    <w:rsid w:val="00F70A4D"/>
    <w:rsid w:val="00F958C4"/>
    <w:rsid w:val="00FA185D"/>
    <w:rsid w:val="00FA53DF"/>
    <w:rsid w:val="00FB04F3"/>
    <w:rsid w:val="00FB55BE"/>
    <w:rsid w:val="00FC362F"/>
    <w:rsid w:val="00FD513C"/>
    <w:rsid w:val="00FD7B29"/>
    <w:rsid w:val="00FE3A12"/>
    <w:rsid w:val="00FE5A26"/>
    <w:rsid w:val="00FF75C5"/>
    <w:rsid w:val="00FF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decimalSymbol w:val="."/>
  <w:listSeparator w:val=","/>
  <w14:docId w14:val="6DF70C49"/>
  <w15:chartTrackingRefBased/>
  <w15:docId w15:val="{FC35B162-CD36-4176-86F3-C7D08154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snapToGrid w:val="0"/>
      <w:sz w:val="24"/>
    </w:rPr>
  </w:style>
  <w:style w:type="paragraph" w:styleId="Heading1">
    <w:name w:val="heading 1"/>
    <w:basedOn w:val="Normal"/>
    <w:next w:val="Normal"/>
    <w:qFormat/>
    <w:rsid w:val="00F153AC"/>
    <w:pPr>
      <w:keepNext/>
      <w:widowControl/>
      <w:spacing w:line="24pt" w:lineRule="auto"/>
      <w:ind w:start="36pt"/>
      <w:outlineLvl w:val="0"/>
    </w:pPr>
    <w:rPr>
      <w:rFonts w:ascii="Book Antiqua" w:hAnsi="Book Antiqua"/>
      <w:b/>
      <w:snapToGrid/>
    </w:rPr>
  </w:style>
  <w:style w:type="paragraph" w:styleId="Heading3">
    <w:name w:val="heading 3"/>
    <w:basedOn w:val="Normal"/>
    <w:next w:val="Normal"/>
    <w:qFormat/>
    <w:rsid w:val="00F153AC"/>
    <w:pPr>
      <w:keepNext/>
      <w:widowControl/>
      <w:ind w:start="36pt"/>
      <w:outlineLvl w:val="2"/>
    </w:pPr>
    <w:rPr>
      <w:rFonts w:ascii="Book Antiqua" w:hAnsi="Book Antiqua"/>
      <w:snapToGrid/>
    </w:rPr>
  </w:style>
  <w:style w:type="paragraph" w:styleId="Heading6">
    <w:name w:val="heading 6"/>
    <w:basedOn w:val="Normal"/>
    <w:next w:val="Normal"/>
    <w:qFormat/>
    <w:rsid w:val="00666C4C"/>
    <w:pPr>
      <w:spacing w:before="12pt" w:after="3pt"/>
      <w:outlineLvl w:val="5"/>
    </w:pPr>
    <w:rPr>
      <w:rFonts w:ascii="Times New Roman" w:hAnsi="Times New Roman"/>
      <w:b/>
      <w:bCs/>
      <w:sz w:val="22"/>
      <w:szCs w:val="22"/>
    </w:rPr>
  </w:style>
  <w:style w:type="character" w:styleId="DefaultParagraphFont" w:default="1">
    <w:name w:val="Default Paragraph Font"/>
    <w:semiHidden/>
  </w:style>
  <w:style w:type="table" w:styleId="TableNormal" w:default="1">
    <w:name w:val="Normal Table"/>
    <w:semiHidden/>
    <w:tblPr>
      <w:tblInd w:w="0pt" w:type="dxa"/>
      <w:tblCellMar>
        <w:top w:w="0pt" w:type="dxa"/>
        <w:start w:w="5.40pt" w:type="dxa"/>
        <w:bottom w:w="0pt" w:type="dxa"/>
        <w:end w:w="5.40pt" w:type="dxa"/>
      </w:tblCellMar>
    </w:tblPr>
  </w:style>
  <w:style w:type="numbering" w:styleId="NoList" w:default="1">
    <w:name w:val="No List"/>
    <w:semiHidden/>
  </w:style>
  <w:style w:type="character" w:styleId="FootnoteReference">
    <w:name w:val="footnote reference"/>
    <w:semiHidden/>
  </w:style>
  <w:style w:type="paragraph" w:styleId="BodyTextIndent">
    <w:name w:val="Body Text Indent"/>
    <w:basedOn w:val="Normal"/>
    <w:pPr>
      <w:ind w:start="36pt"/>
    </w:pPr>
    <w:rPr>
      <w:rFonts w:ascii="Arial" w:hAnsi="Arial"/>
    </w:rPr>
  </w:style>
  <w:style w:type="paragraph" w:styleId="BodyTextIndent2">
    <w:name w:val="Body Text Indent 2"/>
    <w:basedOn w:val="Normal"/>
    <w:pPr>
      <w:ind w:start="18pt"/>
    </w:pPr>
    <w:rPr>
      <w:rFonts w:ascii="Arial" w:hAnsi="Arial"/>
    </w:rPr>
  </w:style>
  <w:style w:type="paragraph" w:styleId="Title">
    <w:name w:val="Title"/>
    <w:basedOn w:val="Normal"/>
    <w:qFormat/>
    <w:pPr>
      <w:jc w:val="center"/>
    </w:pPr>
    <w:rPr>
      <w:rFonts w:ascii="Arial" w:hAnsi="Arial"/>
      <w:b/>
      <w:sz w:val="28"/>
    </w:rPr>
  </w:style>
  <w:style w:type="paragraph" w:styleId="BodyTextIndent3">
    <w:name w:val="Body Text Indent 3"/>
    <w:basedOn w:val="Normal"/>
    <w:pPr>
      <w:tabs>
        <w:tab w:val="left" w:pos="-72pt"/>
        <w:tab w:val="left" w:pos="0pt"/>
      </w:tabs>
      <w:ind w:start="27pt" w:hanging="18pt"/>
    </w:pPr>
    <w:rPr>
      <w:rFonts w:ascii="Arial" w:hAnsi="Arial"/>
    </w:rPr>
  </w:style>
  <w:style w:type="paragraph" w:styleId="BalloonText">
    <w:name w:val="Balloon Text"/>
    <w:basedOn w:val="Normal"/>
    <w:semiHidden/>
    <w:rsid w:val="004B1F95"/>
    <w:rPr>
      <w:rFonts w:ascii="Tahoma" w:hAnsi="Tahoma" w:cs="Tahoma"/>
      <w:sz w:val="16"/>
      <w:szCs w:val="16"/>
    </w:rPr>
  </w:style>
  <w:style w:type="character" w:styleId="Hyperlink">
    <w:name w:val="Hyperlink"/>
    <w:rsid w:val="009D3176"/>
    <w:rPr>
      <w:color w:val="0000FF"/>
      <w:u w:val="single"/>
    </w:rPr>
  </w:style>
  <w:style w:type="paragraph" w:styleId="Style" w:customStyle="1">
    <w:name w:val="Style"/>
    <w:basedOn w:val="Normal"/>
    <w:rsid w:val="00F153AC"/>
    <w:pPr>
      <w:ind w:start="72pt" w:hanging="36pt"/>
    </w:pPr>
    <w:rPr>
      <w:rFonts w:ascii="Times New Roman" w:hAnsi="Times New Roman"/>
    </w:rPr>
  </w:style>
  <w:style w:type="paragraph" w:styleId="Level1" w:customStyle="1">
    <w:name w:val="Level 1"/>
    <w:basedOn w:val="Normal"/>
    <w:rsid w:val="00F153AC"/>
    <w:pPr>
      <w:numPr>
        <w:numId w:val="35"/>
      </w:numPr>
      <w:ind w:start="36pt" w:hanging="36pt"/>
      <w:outlineLvl w:val="0"/>
    </w:pPr>
    <w:rPr>
      <w:rFonts w:ascii="Arial" w:hAnsi="Arial"/>
    </w:rPr>
  </w:style>
  <w:style w:type="table" w:styleId="TableGrid">
    <w:name w:val="Table Grid"/>
    <w:basedOn w:val="TableNormal"/>
    <w:rsid w:val="00F153AC"/>
    <w:pPr>
      <w:widowControl w:val="0"/>
    </w:pPr>
    <w:tblPr>
      <w:tblBorders>
        <w:top w:val="single" w:color="auto" w:sz="4" w:space="0"/>
        <w:start w:val="single" w:color="auto" w:sz="4" w:space="0"/>
        <w:bottom w:val="single" w:color="auto" w:sz="4" w:space="0"/>
        <w:end w:val="single" w:color="auto" w:sz="4" w:space="0"/>
        <w:insideH w:val="single" w:color="auto" w:sz="4" w:space="0"/>
        <w:insideV w:val="single" w:color="auto" w:sz="4" w:space="0"/>
      </w:tblBorders>
    </w:tblPr>
  </w:style>
  <w:style w:type="paragraph" w:styleId="NormalWeb">
    <w:name w:val="Normal (Web)"/>
    <w:basedOn w:val="Normal"/>
    <w:rsid w:val="0044305F"/>
    <w:pPr>
      <w:widowControl/>
      <w:spacing w:before="5pt" w:beforeAutospacing="1" w:after="5pt" w:afterAutospacing="1"/>
    </w:pPr>
    <w:rPr>
      <w:rFonts w:ascii="Times New Roman" w:hAnsi="Times New Roman"/>
      <w:snapToGrid/>
      <w:szCs w:val="24"/>
    </w:rPr>
  </w:style>
  <w:style w:type="character" w:styleId="CommentReference">
    <w:name w:val="annotation reference"/>
    <w:semiHidden/>
    <w:rsid w:val="000C0A0E"/>
    <w:rPr>
      <w:sz w:val="16"/>
      <w:szCs w:val="16"/>
    </w:rPr>
  </w:style>
  <w:style w:type="paragraph" w:styleId="CommentText">
    <w:name w:val="annotation text"/>
    <w:basedOn w:val="Normal"/>
    <w:semiHidden/>
    <w:rsid w:val="000C0A0E"/>
    <w:rPr>
      <w:sz w:val="20"/>
    </w:rPr>
  </w:style>
  <w:style w:type="paragraph" w:styleId="CommentSubject">
    <w:name w:val="annotation subject"/>
    <w:basedOn w:val="CommentText"/>
    <w:next w:val="CommentText"/>
    <w:semiHidden/>
    <w:rsid w:val="000C0A0E"/>
    <w:rPr>
      <w:b/>
      <w:bCs/>
    </w:rPr>
  </w:style>
  <w:style w:type="character" w:styleId="FollowedHyperlink">
    <w:name w:val="FollowedHyperlink"/>
    <w:rsid w:val="00817775"/>
    <w:rPr>
      <w:color w:val="954F72"/>
      <w:u w:val="single"/>
    </w:rPr>
  </w:style>
  <w:style w:type="paragraph" w:styleId="FootnoteText">
    <w:name w:val="footnote text"/>
    <w:basedOn w:val="Normal"/>
    <w:link w:val="FootnoteTextChar"/>
    <w:unhideWhenUsed/>
    <w:rsid w:val="001A0BDA"/>
    <w:pPr>
      <w:widowControl/>
    </w:pPr>
    <w:rPr>
      <w:rFonts w:ascii="Calibri" w:hAnsi="Calibri" w:eastAsia="Calibri" w:cs="Calibri"/>
      <w:snapToGrid/>
      <w:sz w:val="20"/>
    </w:rPr>
  </w:style>
  <w:style w:type="character" w:styleId="FootnoteTextChar" w:customStyle="1">
    <w:name w:val="Footnote Text Char"/>
    <w:link w:val="FootnoteText"/>
    <w:rsid w:val="001A0BDA"/>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593475">
      <w:bodyDiv w:val="1"/>
      <w:marLeft w:val="0pt"/>
      <w:marRight w:val="0pt"/>
      <w:marTop w:val="0pt"/>
      <w:marBottom w:val="0pt"/>
      <w:divBdr>
        <w:top w:val="none" w:color="auto" w:sz="0" w:space="0"/>
        <w:left w:val="none" w:color="auto" w:sz="0" w:space="0"/>
        <w:bottom w:val="none" w:color="auto" w:sz="0" w:space="0"/>
        <w:right w:val="none" w:color="auto" w:sz="0" w:space="0"/>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eapis.cbp.dhs.gov/"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s://eapis.cbp.dhs.gov" TargetMode="External" Id="rId9" /></Relationships>
</file>

<file path=word/_rels/footnotes.xml.rels>&#65279;<?xml version="1.0" encoding="utf-8"?><Relationships xmlns="http://schemas.openxmlformats.org/package/2006/relationships"><Relationship Type="http://schemas.openxmlformats.org/officeDocument/2006/relationships/hyperlink" Target="http://www.transportation.gov/sites/dot.gov/files/docs/Revised%20Departmental%20Guidance%20on%20Valuation%20of%20Travel%20Time%20in%20Economic%20Analysis.pdf" TargetMode="External" Id="rId3" /><Relationship Type="http://schemas.openxmlformats.org/officeDocument/2006/relationships/hyperlink" Target="http://www.transportation.gov/sites/dot.gov/files/docs/Revised%20Departmental%20Guidance%20on%20Valuation%20of%20Travel%20Time%20in%20Economic%20Analysis.pdf" TargetMode="External" Id="rId7" /><Relationship Type="http://schemas.openxmlformats.org/officeDocument/2006/relationships/hyperlink" Target="http://www.bls.gov/ncs/ect/sp/ececqrtn.pdf" TargetMode="External" Id="rId2" /><Relationship Type="http://schemas.openxmlformats.org/officeDocument/2006/relationships/hyperlink" Target="http://www.bls.gov/oes/2015/may/oes532031.htm" TargetMode="External" Id="rId1" /><Relationship Type="http://schemas.openxmlformats.org/officeDocument/2006/relationships/hyperlink" Target="http://www.bls.gov/ncs/ect/sp/ececqrtn.pdf" TargetMode="External" Id="rId6" /><Relationship Type="http://schemas.openxmlformats.org/officeDocument/2006/relationships/hyperlink" Target="http://www.bls.gov/oes/2015/may/oes_nat.htm" TargetMode="External" Id="rId5" /><Relationship Type="http://schemas.openxmlformats.org/officeDocument/2006/relationships/hyperlink" Target="http://www.transportation.gov/sites/dot.gov/files/docs/Revised%20Departmental%20Guidance%20on%20Valuation%20of%20Travel%20Time%20in%20Economic%20Analysis.pdf" TargetMode="Externa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DF87A-CD81-49F1-8D03-E08FEC04713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4</ap:TotalTime>
  <ap:Pages>8</ap:Pages>
  <ap:Words>2202</ap:Words>
  <ap:Characters>12553</ap:Characters>
  <ap:Application>Microsoft Office Word</ap:Application>
  <ap:DocSecurity>0</ap:DocSecurity>
  <ap:Lines>104</ap:Lines>
  <ap:Paragraphs>29</ap:Paragraphs>
  <ap:ScaleCrop>false</ap:ScaleCrop>
  <ap:HeadingPairs>
    <vt:vector baseType="variant" size="2">
      <vt:variant>
        <vt:lpstr>Title</vt:lpstr>
      </vt:variant>
      <vt:variant>
        <vt:i4>1</vt:i4>
      </vt:variant>
    </vt:vector>
  </ap:HeadingPairs>
  <ap:TitlesOfParts>
    <vt:vector baseType="lpstr" size="1">
      <vt:lpstr>Supporting Statement</vt:lpstr>
    </vt:vector>
  </ap:TitlesOfParts>
  <ap:Company>Dell Computer Corporation</ap:Company>
  <ap:LinksUpToDate>false</ap:LinksUpToDate>
  <ap:CharactersWithSpaces>14726</ap:CharactersWithSpaces>
  <ap:SharedDoc>false</ap:SharedDoc>
  <ap:HLinks>
    <vt:vector baseType="variant" size="54">
      <vt:variant>
        <vt:i4>8192051</vt:i4>
      </vt:variant>
      <vt:variant>
        <vt:i4>3</vt:i4>
      </vt:variant>
      <vt:variant>
        <vt:i4>0</vt:i4>
      </vt:variant>
      <vt:variant>
        <vt:i4>5</vt:i4>
      </vt:variant>
      <vt:variant>
        <vt:lpwstr>https://eapis.cbp.dhs.gov/</vt:lpwstr>
      </vt:variant>
      <vt:variant>
        <vt:lpwstr/>
      </vt:variant>
      <vt:variant>
        <vt:i4>8192051</vt:i4>
      </vt:variant>
      <vt:variant>
        <vt:i4>0</vt:i4>
      </vt:variant>
      <vt:variant>
        <vt:i4>0</vt:i4>
      </vt:variant>
      <vt:variant>
        <vt:i4>5</vt:i4>
      </vt:variant>
      <vt:variant>
        <vt:lpwstr>https://eapis.cbp.dhs.gov/</vt:lpwstr>
      </vt:variant>
      <vt:variant>
        <vt:lpwstr/>
      </vt:variant>
      <vt:variant>
        <vt:i4>5832777</vt:i4>
      </vt:variant>
      <vt:variant>
        <vt:i4>18</vt:i4>
      </vt:variant>
      <vt:variant>
        <vt:i4>0</vt:i4>
      </vt:variant>
      <vt:variant>
        <vt:i4>5</vt:i4>
      </vt:variant>
      <vt:variant>
        <vt:lpwstr>http://www.transportation.gov/sites/dot.gov/files/docs/Revised Departmental Guidance on Valuation of Travel Time in Economic Analysis.pdf</vt:lpwstr>
      </vt:variant>
      <vt:variant>
        <vt:lpwstr/>
      </vt:variant>
      <vt:variant>
        <vt:i4>7405677</vt:i4>
      </vt:variant>
      <vt:variant>
        <vt:i4>15</vt:i4>
      </vt:variant>
      <vt:variant>
        <vt:i4>0</vt:i4>
      </vt:variant>
      <vt:variant>
        <vt:i4>5</vt:i4>
      </vt:variant>
      <vt:variant>
        <vt:lpwstr>http://www.bls.gov/ncs/ect/sp/ececqrtn.pdf</vt:lpwstr>
      </vt:variant>
      <vt:variant>
        <vt:lpwstr/>
      </vt:variant>
      <vt:variant>
        <vt:i4>5505127</vt:i4>
      </vt:variant>
      <vt:variant>
        <vt:i4>12</vt:i4>
      </vt:variant>
      <vt:variant>
        <vt:i4>0</vt:i4>
      </vt:variant>
      <vt:variant>
        <vt:i4>5</vt:i4>
      </vt:variant>
      <vt:variant>
        <vt:lpwstr>http://www.bls.gov/oes/2015/may/oes_nat.htm</vt:lpwstr>
      </vt:variant>
      <vt:variant>
        <vt:lpwstr/>
      </vt:variant>
      <vt:variant>
        <vt:i4>5832777</vt:i4>
      </vt:variant>
      <vt:variant>
        <vt:i4>9</vt:i4>
      </vt:variant>
      <vt:variant>
        <vt:i4>0</vt:i4>
      </vt:variant>
      <vt:variant>
        <vt:i4>5</vt:i4>
      </vt:variant>
      <vt:variant>
        <vt:lpwstr>http://www.transportation.gov/sites/dot.gov/files/docs/Revised Departmental Guidance on Valuation of Travel Time in Economic Analysis.pdf</vt:lpwstr>
      </vt:variant>
      <vt:variant>
        <vt:lpwstr/>
      </vt:variant>
      <vt:variant>
        <vt:i4>5832777</vt:i4>
      </vt:variant>
      <vt:variant>
        <vt:i4>6</vt:i4>
      </vt:variant>
      <vt:variant>
        <vt:i4>0</vt:i4>
      </vt:variant>
      <vt:variant>
        <vt:i4>5</vt:i4>
      </vt:variant>
      <vt:variant>
        <vt:lpwstr>http://www.transportation.gov/sites/dot.gov/files/docs/Revised Departmental Guidance on Valuation of Travel Time in Economic Analysis.pdf</vt:lpwstr>
      </vt:variant>
      <vt:variant>
        <vt:lpwstr/>
      </vt:variant>
      <vt:variant>
        <vt:i4>7405677</vt:i4>
      </vt:variant>
      <vt:variant>
        <vt:i4>3</vt:i4>
      </vt:variant>
      <vt:variant>
        <vt:i4>0</vt:i4>
      </vt:variant>
      <vt:variant>
        <vt:i4>5</vt:i4>
      </vt:variant>
      <vt:variant>
        <vt:lpwstr>http://www.bls.gov/ncs/ect/sp/ececqrtn.pdf</vt:lpwstr>
      </vt:variant>
      <vt:variant>
        <vt:lpwstr/>
      </vt:variant>
      <vt:variant>
        <vt:i4>6160463</vt:i4>
      </vt:variant>
      <vt:variant>
        <vt:i4>0</vt:i4>
      </vt:variant>
      <vt:variant>
        <vt:i4>0</vt:i4>
      </vt:variant>
      <vt:variant>
        <vt:i4>5</vt:i4>
      </vt:variant>
      <vt:variant>
        <vt:lpwstr>http://www.bls.gov/oes/2015/may/oes532031.htm</vt:lpwstr>
      </vt:variant>
      <vt:variant>
        <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Zirger, Jeffrey (CDC/DDPHSS/OS/OSI)</cp:lastModifiedBy>
  <cp:revision>2</cp:revision>
  <cp:lastPrinted>2010-12-09T18:39:00Z</cp:lastPrinted>
  <dcterms:created xsi:type="dcterms:W3CDTF">2021-03-04T22:10:00Z</dcterms:created>
  <dcterms:modified xsi:type="dcterms:W3CDTF">2021-03-04T22:10:00Z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7b94a7b8-f06c-4dfe-bdcc-9b548fd58c31_Enabled">
    <vt:lpwstr>true</vt:lpwstr>
  </op:property>
  <op:property fmtid="{D5CDD505-2E9C-101B-9397-08002B2CF9AE}" pid="3" name="MSIP_Label_7b94a7b8-f06c-4dfe-bdcc-9b548fd58c31_SetDate">
    <vt:lpwstr>2021-03-04T22:10:33Z</vt:lpwstr>
  </op:property>
  <op:property fmtid="{D5CDD505-2E9C-101B-9397-08002B2CF9AE}" pid="4" name="MSIP_Label_7b94a7b8-f06c-4dfe-bdcc-9b548fd58c31_Method">
    <vt:lpwstr>Privileged</vt:lpwstr>
  </op:property>
  <op:property fmtid="{D5CDD505-2E9C-101B-9397-08002B2CF9AE}" pid="5" name="MSIP_Label_7b94a7b8-f06c-4dfe-bdcc-9b548fd58c31_Name">
    <vt:lpwstr>7b94a7b8-f06c-4dfe-bdcc-9b548fd58c31</vt:lpwstr>
  </op:property>
  <op:property fmtid="{D5CDD505-2E9C-101B-9397-08002B2CF9AE}" pid="6" name="MSIP_Label_7b94a7b8-f06c-4dfe-bdcc-9b548fd58c31_SiteId">
    <vt:lpwstr>9ce70869-60db-44fd-abe8-d2767077fc8f</vt:lpwstr>
  </op:property>
  <op:property fmtid="{D5CDD505-2E9C-101B-9397-08002B2CF9AE}" pid="7" name="MSIP_Label_7b94a7b8-f06c-4dfe-bdcc-9b548fd58c31_ActionId">
    <vt:lpwstr>724b431b-9999-44d6-acfc-bdc94cdbb8c9</vt:lpwstr>
  </op:property>
  <op:property fmtid="{D5CDD505-2E9C-101B-9397-08002B2CF9AE}" pid="8" name="MSIP_Label_7b94a7b8-f06c-4dfe-bdcc-9b548fd58c31_ContentBits">
    <vt:lpwstr>0</vt:lpwstr>
  </op:property>
</op:Properties>
</file>