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149F" w:rsidP="00BB7AA0" w:rsidRDefault="00CE149F" w14:paraId="3F651A46" w14:textId="77777777"/>
    <w:p w:rsidR="00CE149F" w:rsidP="00CE149F" w:rsidRDefault="00CE149F" w14:paraId="24ADB856" w14:textId="77777777">
      <w:pPr>
        <w:ind w:left="1440" w:firstLine="720"/>
      </w:pPr>
    </w:p>
    <w:p w:rsidRPr="00B32CF7" w:rsidR="00CE149F" w:rsidP="00AD0526" w:rsidRDefault="00AD0526" w14:paraId="37858AF7" w14:textId="23EE0D96">
      <w:pPr>
        <w:rPr>
          <w:sz w:val="32"/>
          <w:szCs w:val="32"/>
        </w:rPr>
      </w:pPr>
      <w:r>
        <w:rPr>
          <w:sz w:val="32"/>
          <w:szCs w:val="32"/>
        </w:rPr>
        <w:t xml:space="preserve">                                    </w:t>
      </w:r>
      <w:r w:rsidR="006E6830">
        <w:rPr>
          <w:sz w:val="32"/>
          <w:szCs w:val="32"/>
        </w:rPr>
        <w:t xml:space="preserve">  </w:t>
      </w:r>
      <w:r w:rsidRPr="00B32CF7" w:rsidR="00CE149F">
        <w:rPr>
          <w:sz w:val="32"/>
          <w:szCs w:val="32"/>
        </w:rPr>
        <w:t xml:space="preserve">Supporting </w:t>
      </w:r>
      <w:proofErr w:type="gramStart"/>
      <w:r w:rsidRPr="00B32CF7" w:rsidR="00CE149F">
        <w:rPr>
          <w:sz w:val="32"/>
          <w:szCs w:val="32"/>
        </w:rPr>
        <w:t>Statement</w:t>
      </w:r>
      <w:proofErr w:type="gramEnd"/>
      <w:r w:rsidRPr="00B32CF7" w:rsidR="00CE149F">
        <w:rPr>
          <w:sz w:val="32"/>
          <w:szCs w:val="32"/>
        </w:rPr>
        <w:t xml:space="preserve"> A</w:t>
      </w:r>
      <w:r w:rsidR="00397080">
        <w:rPr>
          <w:sz w:val="32"/>
          <w:szCs w:val="32"/>
        </w:rPr>
        <w:t xml:space="preserve"> for</w:t>
      </w:r>
    </w:p>
    <w:p w:rsidRPr="00D9050C" w:rsidR="00CE149F" w:rsidP="00794AC4" w:rsidRDefault="00CE149F" w14:paraId="193109C3" w14:textId="77777777">
      <w:pPr>
        <w:ind w:left="1440" w:firstLine="720"/>
        <w:jc w:val="center"/>
        <w:rPr>
          <w:sz w:val="32"/>
          <w:szCs w:val="32"/>
        </w:rPr>
      </w:pPr>
    </w:p>
    <w:p w:rsidRPr="00D9050C" w:rsidR="00CE149F" w:rsidP="00794AC4" w:rsidRDefault="00CE149F" w14:paraId="09504420" w14:textId="77777777">
      <w:pPr>
        <w:ind w:left="1440" w:firstLine="720"/>
        <w:jc w:val="center"/>
        <w:rPr>
          <w:sz w:val="32"/>
          <w:szCs w:val="32"/>
        </w:rPr>
      </w:pPr>
    </w:p>
    <w:p w:rsidRPr="00D9050C" w:rsidR="00CE149F" w:rsidP="00794AC4" w:rsidRDefault="00CE149F" w14:paraId="675241A2" w14:textId="77777777">
      <w:pPr>
        <w:ind w:left="1440" w:firstLine="720"/>
        <w:jc w:val="center"/>
        <w:rPr>
          <w:sz w:val="32"/>
          <w:szCs w:val="32"/>
        </w:rPr>
      </w:pPr>
    </w:p>
    <w:p w:rsidR="00C70B43" w:rsidP="00E70203" w:rsidRDefault="004F084F" w14:paraId="59ACE507" w14:textId="6D07E70C">
      <w:pPr>
        <w:jc w:val="center"/>
        <w:rPr>
          <w:sz w:val="32"/>
          <w:szCs w:val="32"/>
        </w:rPr>
      </w:pPr>
      <w:r>
        <w:rPr>
          <w:sz w:val="32"/>
          <w:szCs w:val="32"/>
        </w:rPr>
        <w:t>Inclusion Enrollment Form Conversion to Common Form</w:t>
      </w:r>
      <w:proofErr w:type="gramStart"/>
      <w:r w:rsidR="00FF1CB2">
        <w:rPr>
          <w:sz w:val="32"/>
          <w:szCs w:val="32"/>
        </w:rPr>
        <w:t xml:space="preserve"> </w:t>
      </w:r>
      <w:r w:rsidR="006E6830">
        <w:rPr>
          <w:sz w:val="32"/>
          <w:szCs w:val="32"/>
        </w:rPr>
        <w:t xml:space="preserve">  </w:t>
      </w:r>
      <w:r w:rsidR="00FF1CB2">
        <w:rPr>
          <w:sz w:val="32"/>
          <w:szCs w:val="32"/>
        </w:rPr>
        <w:t>[</w:t>
      </w:r>
      <w:proofErr w:type="gramEnd"/>
      <w:r w:rsidR="00FF1CB2">
        <w:rPr>
          <w:sz w:val="32"/>
          <w:szCs w:val="32"/>
        </w:rPr>
        <w:t>OD/OPERA]</w:t>
      </w:r>
    </w:p>
    <w:p w:rsidR="006E6830" w:rsidP="006E6830" w:rsidRDefault="006E6830" w14:paraId="49B1644E" w14:textId="77777777">
      <w:pPr>
        <w:ind w:left="1440"/>
        <w:rPr>
          <w:sz w:val="32"/>
          <w:szCs w:val="32"/>
        </w:rPr>
      </w:pPr>
      <w:r>
        <w:rPr>
          <w:sz w:val="32"/>
          <w:szCs w:val="32"/>
        </w:rPr>
        <w:t xml:space="preserve">                                 </w:t>
      </w:r>
    </w:p>
    <w:p w:rsidR="00B62230" w:rsidP="006E6830" w:rsidRDefault="006E6830" w14:paraId="58DB1D13" w14:textId="6337B47D">
      <w:pPr>
        <w:rPr>
          <w:sz w:val="32"/>
          <w:szCs w:val="32"/>
        </w:rPr>
      </w:pPr>
      <w:r>
        <w:rPr>
          <w:sz w:val="32"/>
          <w:szCs w:val="32"/>
        </w:rPr>
        <w:t xml:space="preserve">                                             </w:t>
      </w:r>
      <w:r w:rsidR="00F14C90">
        <w:rPr>
          <w:sz w:val="32"/>
          <w:szCs w:val="32"/>
        </w:rPr>
        <w:t xml:space="preserve">OMB# </w:t>
      </w:r>
      <w:r w:rsidR="00B62230">
        <w:rPr>
          <w:sz w:val="32"/>
          <w:szCs w:val="32"/>
        </w:rPr>
        <w:t>0</w:t>
      </w:r>
      <w:r w:rsidR="00CB4DE0">
        <w:rPr>
          <w:sz w:val="32"/>
          <w:szCs w:val="32"/>
        </w:rPr>
        <w:t>925-</w:t>
      </w:r>
      <w:r w:rsidR="004F084F">
        <w:rPr>
          <w:sz w:val="32"/>
          <w:szCs w:val="32"/>
        </w:rPr>
        <w:t>XXXX</w:t>
      </w:r>
    </w:p>
    <w:p w:rsidR="00F14C90" w:rsidP="00A87074" w:rsidRDefault="00A87074" w14:paraId="62D0676C" w14:textId="0E91BF16">
      <w:pPr>
        <w:rPr>
          <w:sz w:val="32"/>
          <w:szCs w:val="32"/>
        </w:rPr>
      </w:pPr>
      <w:r>
        <w:rPr>
          <w:sz w:val="32"/>
          <w:szCs w:val="32"/>
        </w:rPr>
        <w:t xml:space="preserve">                                            </w:t>
      </w:r>
      <w:r w:rsidR="00F14C90">
        <w:rPr>
          <w:sz w:val="32"/>
          <w:szCs w:val="32"/>
        </w:rPr>
        <w:t xml:space="preserve">Exp., date </w:t>
      </w:r>
      <w:r w:rsidR="004F084F">
        <w:rPr>
          <w:sz w:val="32"/>
          <w:szCs w:val="32"/>
        </w:rPr>
        <w:t>XX/XX/XXXX</w:t>
      </w:r>
    </w:p>
    <w:p w:rsidR="00CE149F" w:rsidP="00794AC4" w:rsidRDefault="00CE149F" w14:paraId="68F75271" w14:textId="540EAFA0">
      <w:pPr>
        <w:ind w:left="1440" w:firstLine="720"/>
        <w:jc w:val="center"/>
        <w:rPr>
          <w:sz w:val="32"/>
          <w:szCs w:val="32"/>
        </w:rPr>
      </w:pPr>
    </w:p>
    <w:p w:rsidRPr="00D9050C" w:rsidR="00F14C90" w:rsidP="00794AC4" w:rsidRDefault="00F14C90" w14:paraId="52746816" w14:textId="77777777">
      <w:pPr>
        <w:ind w:left="1440" w:firstLine="720"/>
        <w:jc w:val="center"/>
        <w:rPr>
          <w:sz w:val="32"/>
          <w:szCs w:val="32"/>
        </w:rPr>
      </w:pPr>
    </w:p>
    <w:p w:rsidRPr="006E6830" w:rsidR="00F14C90" w:rsidP="00A87074" w:rsidRDefault="00A87074" w14:paraId="13E10E98" w14:textId="085C79A0">
      <w:pPr>
        <w:ind w:left="1440" w:hanging="90"/>
        <w:rPr>
          <w:sz w:val="32"/>
          <w:szCs w:val="32"/>
        </w:rPr>
      </w:pPr>
      <w:r>
        <w:rPr>
          <w:sz w:val="32"/>
          <w:szCs w:val="32"/>
        </w:rPr>
        <w:t xml:space="preserve">                            </w:t>
      </w:r>
      <w:r w:rsidR="00397080">
        <w:rPr>
          <w:sz w:val="32"/>
          <w:szCs w:val="32"/>
        </w:rPr>
        <w:t xml:space="preserve">Date: </w:t>
      </w:r>
      <w:r w:rsidR="004F084F">
        <w:rPr>
          <w:sz w:val="32"/>
          <w:szCs w:val="32"/>
        </w:rPr>
        <w:t>July 14, 2021</w:t>
      </w:r>
    </w:p>
    <w:p w:rsidR="00F14C90" w:rsidP="00397080" w:rsidRDefault="00F14C90" w14:paraId="2BE25D33" w14:textId="261E2BCB">
      <w:pPr>
        <w:rPr>
          <w:color w:val="0000FF"/>
          <w:sz w:val="32"/>
          <w:szCs w:val="32"/>
        </w:rPr>
      </w:pPr>
    </w:p>
    <w:p w:rsidRPr="00D9050C" w:rsidR="00F14C90" w:rsidP="00397080" w:rsidRDefault="00F14C90" w14:paraId="6E82E269" w14:textId="77777777">
      <w:pPr>
        <w:rPr>
          <w:color w:val="0000FF"/>
          <w:sz w:val="32"/>
          <w:szCs w:val="32"/>
        </w:rPr>
      </w:pPr>
    </w:p>
    <w:p w:rsidRPr="009408BE" w:rsidR="00DE17EC" w:rsidP="00DE17EC" w:rsidRDefault="00DE17EC" w14:paraId="46C8A51A" w14:textId="77777777">
      <w:pPr>
        <w:jc w:val="center"/>
      </w:pPr>
      <w:r w:rsidRPr="009408BE">
        <w:t>Submitted by:</w:t>
      </w:r>
    </w:p>
    <w:p w:rsidRPr="009408BE" w:rsidR="00DE17EC" w:rsidP="00DE17EC" w:rsidRDefault="00DE17EC" w14:paraId="1A72B2E9" w14:textId="77777777">
      <w:pPr>
        <w:jc w:val="center"/>
      </w:pPr>
    </w:p>
    <w:p w:rsidRPr="009408BE" w:rsidR="00DE17EC" w:rsidP="00DE17EC" w:rsidRDefault="00DE17EC" w14:paraId="3D464DAA" w14:textId="77777777">
      <w:pPr>
        <w:jc w:val="center"/>
      </w:pPr>
    </w:p>
    <w:p w:rsidRPr="009408BE" w:rsidR="00DE17EC" w:rsidP="00DE17EC" w:rsidRDefault="00DE17EC" w14:paraId="4D1E555D" w14:textId="77777777">
      <w:pPr>
        <w:jc w:val="center"/>
      </w:pPr>
    </w:p>
    <w:p w:rsidRPr="009408BE" w:rsidR="00DE17EC" w:rsidP="00DE17EC" w:rsidRDefault="00DE17EC" w14:paraId="1FBDAC20" w14:textId="77777777">
      <w:pPr>
        <w:jc w:val="center"/>
      </w:pPr>
      <w:r>
        <w:t>Tawanda Abdelmouti</w:t>
      </w:r>
    </w:p>
    <w:p w:rsidRPr="009408BE" w:rsidR="00DE17EC" w:rsidP="00DE17EC" w:rsidRDefault="00DE17EC" w14:paraId="4A810B36" w14:textId="77777777">
      <w:pPr>
        <w:jc w:val="center"/>
      </w:pPr>
      <w:r w:rsidRPr="009408BE">
        <w:t>Assistant Project Clearance Officer</w:t>
      </w:r>
    </w:p>
    <w:p w:rsidRPr="009408BE" w:rsidR="00DE17EC" w:rsidP="00DE17EC" w:rsidRDefault="00DE17EC" w14:paraId="5397EA50" w14:textId="77777777">
      <w:pPr>
        <w:jc w:val="center"/>
      </w:pPr>
      <w:r w:rsidRPr="009408BE">
        <w:t>OPERA/OER/OD</w:t>
      </w:r>
    </w:p>
    <w:p w:rsidRPr="009408BE" w:rsidR="00DE17EC" w:rsidP="00DE17EC" w:rsidRDefault="00DE17EC" w14:paraId="0604D4C9" w14:textId="77777777">
      <w:pPr>
        <w:jc w:val="center"/>
      </w:pPr>
      <w:r w:rsidRPr="009408BE">
        <w:t>6705 Rockledge Drive Suite 350 Room 3505</w:t>
      </w:r>
    </w:p>
    <w:p w:rsidRPr="009408BE" w:rsidR="00DE17EC" w:rsidP="00DE17EC" w:rsidRDefault="00DE17EC" w14:paraId="0263CEB5" w14:textId="77777777">
      <w:pPr>
        <w:jc w:val="center"/>
      </w:pPr>
      <w:r w:rsidRPr="009408BE">
        <w:t>Desk: 301-435-09</w:t>
      </w:r>
      <w:r>
        <w:t>78</w:t>
      </w:r>
    </w:p>
    <w:p w:rsidRPr="009408BE" w:rsidR="00DE17EC" w:rsidP="00DE17EC" w:rsidRDefault="00DE17EC" w14:paraId="49FDA542" w14:textId="77777777">
      <w:pPr>
        <w:jc w:val="center"/>
      </w:pPr>
      <w:r w:rsidRPr="009408BE">
        <w:t>Fax: 301-435-3059</w:t>
      </w:r>
    </w:p>
    <w:p w:rsidRPr="00397080" w:rsidR="00397080" w:rsidP="00397080" w:rsidRDefault="00397080" w14:paraId="5923345E" w14:textId="77777777">
      <w:pPr>
        <w:spacing w:before="240" w:after="240"/>
      </w:pPr>
    </w:p>
    <w:p w:rsidRPr="00397080" w:rsidR="00397080" w:rsidP="00397080" w:rsidRDefault="00397080" w14:paraId="369CE885" w14:textId="77777777">
      <w:pPr>
        <w:pStyle w:val="P1-StandPara"/>
        <w:tabs>
          <w:tab w:val="left" w:pos="720"/>
          <w:tab w:val="right" w:leader="dot" w:pos="9504"/>
        </w:tabs>
        <w:spacing w:before="240" w:after="240" w:line="240" w:lineRule="auto"/>
        <w:ind w:firstLine="0"/>
        <w:rPr>
          <w:sz w:val="24"/>
          <w:szCs w:val="24"/>
        </w:rPr>
      </w:pPr>
      <w:r w:rsidRPr="00397080">
        <w:rPr>
          <w:sz w:val="24"/>
          <w:szCs w:val="24"/>
        </w:rPr>
        <w:t>Check off which applies:</w:t>
      </w:r>
    </w:p>
    <w:p w:rsidR="00F14C90" w:rsidP="00F14C90" w:rsidRDefault="00F14C90" w14:paraId="70C481DA" w14:textId="77777777">
      <w:pPr>
        <w:spacing w:before="240" w:after="240"/>
        <w:ind w:left="720"/>
      </w:pPr>
    </w:p>
    <w:p w:rsidRPr="00625A84" w:rsidR="00397080" w:rsidP="001560ED" w:rsidRDefault="00FC30C3" w14:paraId="21991D90" w14:textId="795069A9">
      <w:pPr>
        <w:pStyle w:val="ListParagraph"/>
        <w:numPr>
          <w:ilvl w:val="0"/>
          <w:numId w:val="11"/>
        </w:numPr>
        <w:spacing w:before="240" w:after="240"/>
        <w:rPr>
          <w:sz w:val="18"/>
          <w:szCs w:val="18"/>
        </w:rPr>
      </w:pPr>
      <w:r w:rsidRPr="00625A84">
        <w:rPr>
          <w:sz w:val="18"/>
          <w:szCs w:val="18"/>
        </w:rPr>
        <w:t>N</w:t>
      </w:r>
      <w:r w:rsidRPr="00625A84" w:rsidR="00E42845">
        <w:rPr>
          <w:sz w:val="18"/>
          <w:szCs w:val="18"/>
        </w:rPr>
        <w:t>ew</w:t>
      </w:r>
      <w:r w:rsidRPr="00625A84" w:rsidR="00397080">
        <w:rPr>
          <w:sz w:val="18"/>
          <w:szCs w:val="18"/>
        </w:rPr>
        <w:tab/>
      </w:r>
      <w:r w:rsidRPr="00625A84" w:rsidR="00397080">
        <w:rPr>
          <w:sz w:val="18"/>
          <w:szCs w:val="18"/>
        </w:rPr>
        <w:tab/>
      </w:r>
      <w:r w:rsidRPr="00625A84" w:rsidR="00397080">
        <w:rPr>
          <w:sz w:val="18"/>
          <w:szCs w:val="18"/>
        </w:rPr>
        <w:tab/>
      </w:r>
    </w:p>
    <w:p w:rsidRPr="00625A84" w:rsidR="005E5139" w:rsidP="005E5139" w:rsidRDefault="005E5139" w14:paraId="5060332E" w14:textId="77777777">
      <w:pPr>
        <w:pStyle w:val="ListParagraph"/>
        <w:numPr>
          <w:ilvl w:val="0"/>
          <w:numId w:val="3"/>
        </w:numPr>
        <w:contextualSpacing/>
        <w:rPr>
          <w:rFonts w:asciiTheme="minorHAnsi" w:hAnsiTheme="minorHAnsi"/>
          <w:sz w:val="18"/>
          <w:szCs w:val="18"/>
        </w:rPr>
      </w:pPr>
      <w:r w:rsidRPr="00625A84">
        <w:rPr>
          <w:rFonts w:asciiTheme="minorHAnsi" w:hAnsiTheme="minorHAnsi"/>
          <w:sz w:val="18"/>
          <w:szCs w:val="18"/>
        </w:rPr>
        <w:t xml:space="preserve">Revision </w:t>
      </w:r>
    </w:p>
    <w:p w:rsidRPr="00625A84" w:rsidR="005E5139" w:rsidP="005E5139" w:rsidRDefault="005E5139" w14:paraId="15985E94" w14:textId="77777777">
      <w:pPr>
        <w:numPr>
          <w:ilvl w:val="0"/>
          <w:numId w:val="3"/>
        </w:numPr>
        <w:rPr>
          <w:rFonts w:asciiTheme="minorHAnsi" w:hAnsiTheme="minorHAnsi"/>
          <w:sz w:val="18"/>
          <w:szCs w:val="18"/>
        </w:rPr>
      </w:pPr>
      <w:r w:rsidRPr="00625A84">
        <w:rPr>
          <w:rFonts w:asciiTheme="minorHAnsi" w:hAnsiTheme="minorHAnsi"/>
          <w:sz w:val="18"/>
          <w:szCs w:val="18"/>
        </w:rPr>
        <w:t>Reinstatement with Change</w:t>
      </w:r>
    </w:p>
    <w:p w:rsidRPr="00625A84" w:rsidR="005E5139" w:rsidP="005E5139" w:rsidRDefault="005E5139" w14:paraId="117118B4" w14:textId="77777777">
      <w:pPr>
        <w:numPr>
          <w:ilvl w:val="0"/>
          <w:numId w:val="3"/>
        </w:numPr>
        <w:rPr>
          <w:rFonts w:asciiTheme="minorHAnsi" w:hAnsiTheme="minorHAnsi"/>
          <w:sz w:val="18"/>
          <w:szCs w:val="18"/>
        </w:rPr>
      </w:pPr>
      <w:r w:rsidRPr="00625A84">
        <w:rPr>
          <w:rFonts w:asciiTheme="minorHAnsi" w:hAnsiTheme="minorHAnsi"/>
          <w:sz w:val="18"/>
          <w:szCs w:val="18"/>
        </w:rPr>
        <w:t>Reinstatement without Change</w:t>
      </w:r>
    </w:p>
    <w:p w:rsidRPr="00625A84" w:rsidR="005E5139" w:rsidP="005E5139" w:rsidRDefault="005E5139" w14:paraId="3ACD6910" w14:textId="77777777">
      <w:pPr>
        <w:numPr>
          <w:ilvl w:val="0"/>
          <w:numId w:val="3"/>
        </w:numPr>
        <w:rPr>
          <w:rFonts w:asciiTheme="minorHAnsi" w:hAnsiTheme="minorHAnsi"/>
          <w:sz w:val="18"/>
          <w:szCs w:val="18"/>
        </w:rPr>
      </w:pPr>
      <w:r w:rsidRPr="00625A84">
        <w:rPr>
          <w:rFonts w:asciiTheme="minorHAnsi" w:hAnsiTheme="minorHAnsi"/>
          <w:sz w:val="18"/>
          <w:szCs w:val="18"/>
        </w:rPr>
        <w:t>Extension</w:t>
      </w:r>
    </w:p>
    <w:p w:rsidRPr="00625A84" w:rsidR="005E5139" w:rsidP="005E5139" w:rsidRDefault="005E5139" w14:paraId="75446313" w14:textId="77777777">
      <w:pPr>
        <w:numPr>
          <w:ilvl w:val="0"/>
          <w:numId w:val="3"/>
        </w:numPr>
        <w:rPr>
          <w:rFonts w:asciiTheme="minorHAnsi" w:hAnsiTheme="minorHAnsi"/>
          <w:sz w:val="18"/>
          <w:szCs w:val="18"/>
        </w:rPr>
      </w:pPr>
      <w:r w:rsidRPr="00625A84">
        <w:rPr>
          <w:rFonts w:asciiTheme="minorHAnsi" w:hAnsiTheme="minorHAnsi"/>
          <w:sz w:val="18"/>
          <w:szCs w:val="18"/>
        </w:rPr>
        <w:t>Emergency</w:t>
      </w:r>
    </w:p>
    <w:p w:rsidRPr="00625A84" w:rsidR="005E5139" w:rsidP="005E5139" w:rsidRDefault="005E5139" w14:paraId="5B99CF0E" w14:textId="77777777">
      <w:pPr>
        <w:numPr>
          <w:ilvl w:val="0"/>
          <w:numId w:val="3"/>
        </w:numPr>
        <w:rPr>
          <w:rFonts w:asciiTheme="minorHAnsi" w:hAnsiTheme="minorHAnsi"/>
          <w:sz w:val="18"/>
          <w:szCs w:val="18"/>
        </w:rPr>
      </w:pPr>
      <w:r w:rsidRPr="00625A84">
        <w:rPr>
          <w:rFonts w:asciiTheme="minorHAnsi" w:hAnsiTheme="minorHAnsi"/>
          <w:sz w:val="18"/>
          <w:szCs w:val="18"/>
        </w:rPr>
        <w:t>Existing</w:t>
      </w:r>
    </w:p>
    <w:p w:rsidRPr="00625A84" w:rsidR="005E5139" w:rsidP="005E5139" w:rsidRDefault="005E5139" w14:paraId="36A92F5E" w14:textId="77777777">
      <w:pPr>
        <w:rPr>
          <w:rFonts w:asciiTheme="minorHAnsi" w:hAnsiTheme="minorHAnsi"/>
          <w:color w:val="0000FF"/>
          <w:sz w:val="18"/>
          <w:szCs w:val="18"/>
        </w:rPr>
      </w:pPr>
    </w:p>
    <w:p w:rsidRPr="00625A84" w:rsidR="00F14C90" w:rsidP="005E5139" w:rsidRDefault="00F14C90" w14:paraId="4ED6DD5A" w14:textId="77777777">
      <w:pPr>
        <w:tabs>
          <w:tab w:val="left" w:pos="3510"/>
        </w:tabs>
        <w:rPr>
          <w:sz w:val="18"/>
          <w:szCs w:val="18"/>
        </w:rPr>
      </w:pPr>
    </w:p>
    <w:p w:rsidR="00F14C90" w:rsidP="004E40C1" w:rsidRDefault="00F14C90" w14:paraId="5164DC69" w14:textId="77777777">
      <w:pPr>
        <w:tabs>
          <w:tab w:val="left" w:pos="3510"/>
        </w:tabs>
        <w:jc w:val="center"/>
      </w:pPr>
    </w:p>
    <w:p w:rsidR="00F14C90" w:rsidP="004E40C1" w:rsidRDefault="00F14C90" w14:paraId="11459D26" w14:textId="77777777">
      <w:pPr>
        <w:tabs>
          <w:tab w:val="left" w:pos="3510"/>
        </w:tabs>
        <w:jc w:val="center"/>
      </w:pPr>
    </w:p>
    <w:p w:rsidR="00F14C90" w:rsidP="004E40C1" w:rsidRDefault="00F14C90" w14:paraId="72EFA09B" w14:textId="7E8BE790">
      <w:pPr>
        <w:tabs>
          <w:tab w:val="left" w:pos="3510"/>
        </w:tabs>
        <w:jc w:val="center"/>
      </w:pPr>
    </w:p>
    <w:p w:rsidR="00A87074" w:rsidP="004E40C1" w:rsidRDefault="00A87074" w14:paraId="583F88BB" w14:textId="186D4CDF">
      <w:pPr>
        <w:tabs>
          <w:tab w:val="left" w:pos="3510"/>
        </w:tabs>
        <w:jc w:val="center"/>
      </w:pPr>
    </w:p>
    <w:p w:rsidR="00A87074" w:rsidP="004E40C1" w:rsidRDefault="00A87074" w14:paraId="342ABFCF" w14:textId="77777777">
      <w:pPr>
        <w:tabs>
          <w:tab w:val="left" w:pos="3510"/>
        </w:tabs>
        <w:jc w:val="center"/>
      </w:pPr>
    </w:p>
    <w:p w:rsidR="00F14C90" w:rsidP="004E40C1" w:rsidRDefault="00F14C90" w14:paraId="28DC7FE3" w14:textId="77777777">
      <w:pPr>
        <w:tabs>
          <w:tab w:val="left" w:pos="3510"/>
        </w:tabs>
        <w:jc w:val="center"/>
      </w:pPr>
    </w:p>
    <w:p w:rsidRPr="004E40C1" w:rsidR="00CE149F" w:rsidP="004E40C1" w:rsidRDefault="00CE149F" w14:paraId="02EC8326" w14:textId="35661911">
      <w:pPr>
        <w:tabs>
          <w:tab w:val="left" w:pos="3510"/>
        </w:tabs>
        <w:jc w:val="center"/>
      </w:pPr>
      <w:r w:rsidRPr="004E40C1">
        <w:t xml:space="preserve">Table of </w:t>
      </w:r>
      <w:r w:rsidRPr="004E40C1" w:rsidR="00EB0F7E">
        <w:t>C</w:t>
      </w:r>
      <w:r w:rsidRPr="004E40C1">
        <w:t>ontents</w:t>
      </w:r>
    </w:p>
    <w:p w:rsidRPr="004E40C1" w:rsidR="004E40C1" w:rsidRDefault="004E40C1" w14:paraId="466FE979" w14:textId="540E9FCA">
      <w:pPr>
        <w:pStyle w:val="TOC2"/>
        <w:rPr>
          <w:rFonts w:asciiTheme="minorHAnsi" w:hAnsiTheme="minorHAnsi" w:eastAsiaTheme="minorEastAsia" w:cstheme="minorBidi"/>
          <w:smallCaps w:val="0"/>
          <w:noProof/>
          <w:sz w:val="24"/>
          <w:szCs w:val="24"/>
        </w:rPr>
      </w:pPr>
      <w:r w:rsidRPr="004E40C1">
        <w:rPr>
          <w:smallCaps w:val="0"/>
          <w:sz w:val="24"/>
          <w:szCs w:val="24"/>
        </w:rPr>
        <w:fldChar w:fldCharType="begin"/>
      </w:r>
      <w:r w:rsidRPr="004E40C1">
        <w:rPr>
          <w:smallCaps w:val="0"/>
          <w:sz w:val="24"/>
          <w:szCs w:val="24"/>
        </w:rPr>
        <w:instrText xml:space="preserve"> TOC \o "1-2" \h \z \u </w:instrText>
      </w:r>
      <w:r w:rsidRPr="004E40C1">
        <w:rPr>
          <w:smallCaps w:val="0"/>
          <w:sz w:val="24"/>
          <w:szCs w:val="24"/>
        </w:rPr>
        <w:fldChar w:fldCharType="separate"/>
      </w:r>
      <w:hyperlink w:history="1" w:anchor="_Toc419964724">
        <w:r w:rsidRPr="004E40C1">
          <w:rPr>
            <w:rStyle w:val="Hyperlink"/>
            <w:bCs/>
            <w:noProof/>
            <w:sz w:val="24"/>
            <w:szCs w:val="24"/>
          </w:rPr>
          <w:t>A.</w:t>
        </w:r>
        <w:r w:rsidRPr="004E40C1">
          <w:rPr>
            <w:rFonts w:asciiTheme="minorHAnsi" w:hAnsiTheme="minorHAnsi" w:eastAsiaTheme="minorEastAsia" w:cstheme="minorBidi"/>
            <w:smallCaps w:val="0"/>
            <w:noProof/>
            <w:sz w:val="24"/>
            <w:szCs w:val="24"/>
          </w:rPr>
          <w:tab/>
        </w:r>
        <w:r w:rsidRPr="004E40C1">
          <w:rPr>
            <w:rStyle w:val="Hyperlink"/>
            <w:bCs/>
            <w:noProof/>
            <w:sz w:val="24"/>
            <w:szCs w:val="24"/>
          </w:rPr>
          <w:t>Justification</w:t>
        </w:r>
        <w:r w:rsidRPr="004E40C1">
          <w:rPr>
            <w:noProof/>
            <w:webHidden/>
            <w:sz w:val="24"/>
            <w:szCs w:val="24"/>
          </w:rPr>
          <w:tab/>
        </w:r>
        <w:r w:rsidRPr="004E40C1">
          <w:rPr>
            <w:noProof/>
            <w:webHidden/>
            <w:sz w:val="24"/>
            <w:szCs w:val="24"/>
          </w:rPr>
          <w:fldChar w:fldCharType="begin"/>
        </w:r>
        <w:r w:rsidRPr="004E40C1">
          <w:rPr>
            <w:noProof/>
            <w:webHidden/>
            <w:sz w:val="24"/>
            <w:szCs w:val="24"/>
          </w:rPr>
          <w:instrText xml:space="preserve"> PAGEREF _Toc419964724 \h </w:instrText>
        </w:r>
        <w:r w:rsidRPr="004E40C1">
          <w:rPr>
            <w:noProof/>
            <w:webHidden/>
            <w:sz w:val="24"/>
            <w:szCs w:val="24"/>
          </w:rPr>
        </w:r>
        <w:r w:rsidRPr="004E40C1">
          <w:rPr>
            <w:noProof/>
            <w:webHidden/>
            <w:sz w:val="24"/>
            <w:szCs w:val="24"/>
          </w:rPr>
          <w:fldChar w:fldCharType="separate"/>
        </w:r>
        <w:r w:rsidR="00AD0526">
          <w:rPr>
            <w:noProof/>
            <w:webHidden/>
            <w:sz w:val="24"/>
            <w:szCs w:val="24"/>
          </w:rPr>
          <w:t>5</w:t>
        </w:r>
        <w:r w:rsidRPr="004E40C1">
          <w:rPr>
            <w:noProof/>
            <w:webHidden/>
            <w:sz w:val="24"/>
            <w:szCs w:val="24"/>
          </w:rPr>
          <w:fldChar w:fldCharType="end"/>
        </w:r>
      </w:hyperlink>
    </w:p>
    <w:p w:rsidRPr="004E40C1" w:rsidR="004E40C1" w:rsidRDefault="003328EB" w14:paraId="4E5CA84A" w14:textId="0DD13463">
      <w:pPr>
        <w:pStyle w:val="TOC2"/>
        <w:rPr>
          <w:rFonts w:asciiTheme="minorHAnsi" w:hAnsiTheme="minorHAnsi" w:eastAsiaTheme="minorEastAsia" w:cstheme="minorBidi"/>
          <w:smallCaps w:val="0"/>
          <w:noProof/>
          <w:sz w:val="24"/>
          <w:szCs w:val="24"/>
        </w:rPr>
      </w:pPr>
      <w:hyperlink w:history="1" w:anchor="_Toc419964725">
        <w:r w:rsidRPr="004E40C1" w:rsidR="004E40C1">
          <w:rPr>
            <w:rStyle w:val="Hyperlink"/>
            <w:noProof/>
            <w:sz w:val="24"/>
            <w:szCs w:val="24"/>
          </w:rPr>
          <w:t>A.1. Circumstances Making the Collection of Information Necessary</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_Toc419964725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5</w:t>
        </w:r>
        <w:r w:rsidRPr="004E40C1" w:rsidR="004E40C1">
          <w:rPr>
            <w:noProof/>
            <w:webHidden/>
            <w:sz w:val="24"/>
            <w:szCs w:val="24"/>
          </w:rPr>
          <w:fldChar w:fldCharType="end"/>
        </w:r>
      </w:hyperlink>
    </w:p>
    <w:p w:rsidRPr="004E40C1" w:rsidR="004E40C1" w:rsidRDefault="003328EB" w14:paraId="53B10DDA" w14:textId="21542E29">
      <w:pPr>
        <w:pStyle w:val="TOC2"/>
        <w:rPr>
          <w:rFonts w:asciiTheme="minorHAnsi" w:hAnsiTheme="minorHAnsi" w:eastAsiaTheme="minorEastAsia" w:cstheme="minorBidi"/>
          <w:smallCaps w:val="0"/>
          <w:noProof/>
          <w:sz w:val="24"/>
          <w:szCs w:val="24"/>
        </w:rPr>
      </w:pPr>
      <w:hyperlink w:history="1" w:anchor="_Toc419964726">
        <w:r w:rsidRPr="004E40C1" w:rsidR="004E40C1">
          <w:rPr>
            <w:rStyle w:val="Hyperlink"/>
            <w:noProof/>
            <w:sz w:val="24"/>
            <w:szCs w:val="24"/>
          </w:rPr>
          <w:t>A.2. Purpose and Use of the Information Collection</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_Toc419964726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11</w:t>
        </w:r>
        <w:r w:rsidRPr="004E40C1" w:rsidR="004E40C1">
          <w:rPr>
            <w:noProof/>
            <w:webHidden/>
            <w:sz w:val="24"/>
            <w:szCs w:val="24"/>
          </w:rPr>
          <w:fldChar w:fldCharType="end"/>
        </w:r>
      </w:hyperlink>
    </w:p>
    <w:p w:rsidRPr="004E40C1" w:rsidR="004E40C1" w:rsidRDefault="003328EB" w14:paraId="4A6D3E69" w14:textId="5FD826C5">
      <w:pPr>
        <w:pStyle w:val="TOC2"/>
        <w:rPr>
          <w:rFonts w:asciiTheme="minorHAnsi" w:hAnsiTheme="minorHAnsi" w:eastAsiaTheme="minorEastAsia" w:cstheme="minorBidi"/>
          <w:smallCaps w:val="0"/>
          <w:noProof/>
          <w:sz w:val="24"/>
          <w:szCs w:val="24"/>
        </w:rPr>
      </w:pPr>
      <w:hyperlink w:history="1" w:anchor="_Toc419964727">
        <w:r w:rsidRPr="004E40C1" w:rsidR="004E40C1">
          <w:rPr>
            <w:rStyle w:val="Hyperlink"/>
            <w:noProof/>
            <w:sz w:val="24"/>
            <w:szCs w:val="24"/>
          </w:rPr>
          <w:t>A.3. Use of Information Technology and Burden Reduction</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_Toc419964727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13</w:t>
        </w:r>
        <w:r w:rsidRPr="004E40C1" w:rsidR="004E40C1">
          <w:rPr>
            <w:noProof/>
            <w:webHidden/>
            <w:sz w:val="24"/>
            <w:szCs w:val="24"/>
          </w:rPr>
          <w:fldChar w:fldCharType="end"/>
        </w:r>
      </w:hyperlink>
    </w:p>
    <w:p w:rsidRPr="004E40C1" w:rsidR="004E40C1" w:rsidRDefault="003328EB" w14:paraId="5C00104B" w14:textId="7327F766">
      <w:pPr>
        <w:pStyle w:val="TOC2"/>
        <w:rPr>
          <w:rFonts w:asciiTheme="minorHAnsi" w:hAnsiTheme="minorHAnsi" w:eastAsiaTheme="minorEastAsia" w:cstheme="minorBidi"/>
          <w:smallCaps w:val="0"/>
          <w:noProof/>
          <w:sz w:val="24"/>
          <w:szCs w:val="24"/>
        </w:rPr>
      </w:pPr>
      <w:hyperlink w:history="1" w:anchor="_Toc419964728">
        <w:r w:rsidRPr="004E40C1" w:rsidR="004E40C1">
          <w:rPr>
            <w:rStyle w:val="Hyperlink"/>
            <w:noProof/>
            <w:sz w:val="24"/>
            <w:szCs w:val="24"/>
          </w:rPr>
          <w:t>A.4. Efforts to Identify Duplication and Use of Similar Information</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_Toc419964728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18</w:t>
        </w:r>
        <w:r w:rsidRPr="004E40C1" w:rsidR="004E40C1">
          <w:rPr>
            <w:noProof/>
            <w:webHidden/>
            <w:sz w:val="24"/>
            <w:szCs w:val="24"/>
          </w:rPr>
          <w:fldChar w:fldCharType="end"/>
        </w:r>
      </w:hyperlink>
    </w:p>
    <w:p w:rsidRPr="004E40C1" w:rsidR="004E40C1" w:rsidRDefault="003328EB" w14:paraId="097DF866" w14:textId="58E163D4">
      <w:pPr>
        <w:pStyle w:val="TOC2"/>
        <w:rPr>
          <w:rFonts w:asciiTheme="minorHAnsi" w:hAnsiTheme="minorHAnsi" w:eastAsiaTheme="minorEastAsia" w:cstheme="minorBidi"/>
          <w:smallCaps w:val="0"/>
          <w:noProof/>
          <w:sz w:val="24"/>
          <w:szCs w:val="24"/>
        </w:rPr>
      </w:pPr>
      <w:hyperlink w:history="1" w:anchor="_Toc419964729">
        <w:r w:rsidRPr="004E40C1" w:rsidR="004E40C1">
          <w:rPr>
            <w:rStyle w:val="Hyperlink"/>
            <w:noProof/>
            <w:sz w:val="24"/>
            <w:szCs w:val="24"/>
          </w:rPr>
          <w:t>A.5. Impact on Small Business or other Small Entities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_Toc419964729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19</w:t>
        </w:r>
        <w:r w:rsidRPr="004E40C1" w:rsidR="004E40C1">
          <w:rPr>
            <w:noProof/>
            <w:webHidden/>
            <w:sz w:val="24"/>
            <w:szCs w:val="24"/>
          </w:rPr>
          <w:fldChar w:fldCharType="end"/>
        </w:r>
      </w:hyperlink>
    </w:p>
    <w:p w:rsidRPr="004E40C1" w:rsidR="004E40C1" w:rsidRDefault="003328EB" w14:paraId="40AF0ACA" w14:textId="25B9A62C">
      <w:pPr>
        <w:pStyle w:val="TOC2"/>
        <w:rPr>
          <w:rFonts w:asciiTheme="minorHAnsi" w:hAnsiTheme="minorHAnsi" w:eastAsiaTheme="minorEastAsia" w:cstheme="minorBidi"/>
          <w:smallCaps w:val="0"/>
          <w:noProof/>
          <w:sz w:val="24"/>
          <w:szCs w:val="24"/>
        </w:rPr>
      </w:pPr>
      <w:hyperlink w:history="1" w:anchor="_Toc419964730">
        <w:r w:rsidRPr="004E40C1" w:rsidR="004E40C1">
          <w:rPr>
            <w:rStyle w:val="Hyperlink"/>
            <w:noProof/>
            <w:sz w:val="24"/>
            <w:szCs w:val="24"/>
          </w:rPr>
          <w:t>A.6. Consequences of Collecting Information Less Frequently</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_Toc419964730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19</w:t>
        </w:r>
        <w:r w:rsidRPr="004E40C1" w:rsidR="004E40C1">
          <w:rPr>
            <w:noProof/>
            <w:webHidden/>
            <w:sz w:val="24"/>
            <w:szCs w:val="24"/>
          </w:rPr>
          <w:fldChar w:fldCharType="end"/>
        </w:r>
      </w:hyperlink>
    </w:p>
    <w:p w:rsidRPr="004E40C1" w:rsidR="004E40C1" w:rsidRDefault="003328EB" w14:paraId="163DC7E5" w14:textId="5A068DD6">
      <w:pPr>
        <w:pStyle w:val="TOC2"/>
        <w:rPr>
          <w:rFonts w:asciiTheme="minorHAnsi" w:hAnsiTheme="minorHAnsi" w:eastAsiaTheme="minorEastAsia" w:cstheme="minorBidi"/>
          <w:smallCaps w:val="0"/>
          <w:noProof/>
          <w:sz w:val="24"/>
          <w:szCs w:val="24"/>
        </w:rPr>
      </w:pPr>
      <w:hyperlink w:history="1" w:anchor="_Toc419964731">
        <w:r w:rsidRPr="004E40C1" w:rsidR="004E40C1">
          <w:rPr>
            <w:rStyle w:val="Hyperlink"/>
            <w:noProof/>
            <w:sz w:val="24"/>
            <w:szCs w:val="24"/>
          </w:rPr>
          <w:t>A.7. Special Circumstances Relating to Guidelines of 5 CFR 1320.5</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_Toc419964731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19</w:t>
        </w:r>
        <w:r w:rsidRPr="004E40C1" w:rsidR="004E40C1">
          <w:rPr>
            <w:noProof/>
            <w:webHidden/>
            <w:sz w:val="24"/>
            <w:szCs w:val="24"/>
          </w:rPr>
          <w:fldChar w:fldCharType="end"/>
        </w:r>
      </w:hyperlink>
    </w:p>
    <w:p w:rsidRPr="004E40C1" w:rsidR="004E40C1" w:rsidRDefault="003328EB" w14:paraId="5B2A4DDE" w14:textId="5DA29927">
      <w:pPr>
        <w:pStyle w:val="TOC2"/>
        <w:rPr>
          <w:rFonts w:asciiTheme="minorHAnsi" w:hAnsiTheme="minorHAnsi" w:eastAsiaTheme="minorEastAsia" w:cstheme="minorBidi"/>
          <w:smallCaps w:val="0"/>
          <w:noProof/>
          <w:sz w:val="24"/>
          <w:szCs w:val="24"/>
        </w:rPr>
      </w:pPr>
      <w:hyperlink w:history="1" w:anchor="_Toc419964732">
        <w:r w:rsidRPr="004E40C1" w:rsidR="004E40C1">
          <w:rPr>
            <w:rStyle w:val="Hyperlink"/>
            <w:noProof/>
            <w:sz w:val="24"/>
            <w:szCs w:val="24"/>
          </w:rPr>
          <w:t>A.8.1 Comments in Response to the Federal Register Notice</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_Toc419964732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20</w:t>
        </w:r>
        <w:r w:rsidRPr="004E40C1" w:rsidR="004E40C1">
          <w:rPr>
            <w:noProof/>
            <w:webHidden/>
            <w:sz w:val="24"/>
            <w:szCs w:val="24"/>
          </w:rPr>
          <w:fldChar w:fldCharType="end"/>
        </w:r>
      </w:hyperlink>
    </w:p>
    <w:p w:rsidRPr="004E40C1" w:rsidR="004E40C1" w:rsidRDefault="003328EB" w14:paraId="00FA27E7" w14:textId="707AEB86">
      <w:pPr>
        <w:pStyle w:val="TOC2"/>
        <w:rPr>
          <w:rFonts w:asciiTheme="minorHAnsi" w:hAnsiTheme="minorHAnsi" w:eastAsiaTheme="minorEastAsia" w:cstheme="minorBidi"/>
          <w:smallCaps w:val="0"/>
          <w:noProof/>
          <w:sz w:val="24"/>
          <w:szCs w:val="24"/>
        </w:rPr>
      </w:pPr>
      <w:hyperlink w:history="1" w:anchor="_Toc419964733">
        <w:r w:rsidRPr="004E40C1" w:rsidR="004E40C1">
          <w:rPr>
            <w:rStyle w:val="Hyperlink"/>
            <w:noProof/>
            <w:sz w:val="24"/>
            <w:szCs w:val="24"/>
          </w:rPr>
          <w:t>A.8.2 Efforts to Consult Outside Agency</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_Toc419964733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20</w:t>
        </w:r>
        <w:r w:rsidRPr="004E40C1" w:rsidR="004E40C1">
          <w:rPr>
            <w:noProof/>
            <w:webHidden/>
            <w:sz w:val="24"/>
            <w:szCs w:val="24"/>
          </w:rPr>
          <w:fldChar w:fldCharType="end"/>
        </w:r>
      </w:hyperlink>
    </w:p>
    <w:p w:rsidRPr="004E40C1" w:rsidR="004E40C1" w:rsidRDefault="003328EB" w14:paraId="17D96BC3" w14:textId="3F6C8D7B">
      <w:pPr>
        <w:pStyle w:val="TOC2"/>
        <w:rPr>
          <w:rFonts w:asciiTheme="minorHAnsi" w:hAnsiTheme="minorHAnsi" w:eastAsiaTheme="minorEastAsia" w:cstheme="minorBidi"/>
          <w:smallCaps w:val="0"/>
          <w:noProof/>
          <w:sz w:val="24"/>
          <w:szCs w:val="24"/>
        </w:rPr>
      </w:pPr>
      <w:hyperlink w:history="1" w:anchor="_Toc419964734">
        <w:r w:rsidRPr="004E40C1" w:rsidR="004E40C1">
          <w:rPr>
            <w:rStyle w:val="Hyperlink"/>
            <w:noProof/>
            <w:sz w:val="24"/>
            <w:szCs w:val="24"/>
          </w:rPr>
          <w:t>A.9. Explanation of Any Payment or Gift to Respondents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_Toc419964734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21</w:t>
        </w:r>
        <w:r w:rsidRPr="004E40C1" w:rsidR="004E40C1">
          <w:rPr>
            <w:noProof/>
            <w:webHidden/>
            <w:sz w:val="24"/>
            <w:szCs w:val="24"/>
          </w:rPr>
          <w:fldChar w:fldCharType="end"/>
        </w:r>
      </w:hyperlink>
    </w:p>
    <w:p w:rsidRPr="004E40C1" w:rsidR="004E40C1" w:rsidRDefault="003328EB" w14:paraId="0B07DD14" w14:textId="3A37893F">
      <w:pPr>
        <w:pStyle w:val="TOC2"/>
        <w:rPr>
          <w:rFonts w:asciiTheme="minorHAnsi" w:hAnsiTheme="minorHAnsi" w:eastAsiaTheme="minorEastAsia" w:cstheme="minorBidi"/>
          <w:smallCaps w:val="0"/>
          <w:noProof/>
          <w:sz w:val="24"/>
          <w:szCs w:val="24"/>
        </w:rPr>
      </w:pPr>
      <w:hyperlink w:history="1" w:anchor="_Toc419964735">
        <w:r w:rsidRPr="004E40C1" w:rsidR="004E40C1">
          <w:rPr>
            <w:rStyle w:val="Hyperlink"/>
            <w:noProof/>
            <w:sz w:val="24"/>
            <w:szCs w:val="24"/>
          </w:rPr>
          <w:t>A.10. Assurance of Confidentiality Provided to Respondents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_Toc419964735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21</w:t>
        </w:r>
        <w:r w:rsidRPr="004E40C1" w:rsidR="004E40C1">
          <w:rPr>
            <w:noProof/>
            <w:webHidden/>
            <w:sz w:val="24"/>
            <w:szCs w:val="24"/>
          </w:rPr>
          <w:fldChar w:fldCharType="end"/>
        </w:r>
      </w:hyperlink>
    </w:p>
    <w:p w:rsidRPr="004E40C1" w:rsidR="004E40C1" w:rsidRDefault="003328EB" w14:paraId="47B900F3" w14:textId="2AE6A7CF">
      <w:pPr>
        <w:pStyle w:val="TOC2"/>
        <w:rPr>
          <w:rFonts w:asciiTheme="minorHAnsi" w:hAnsiTheme="minorHAnsi" w:eastAsiaTheme="minorEastAsia" w:cstheme="minorBidi"/>
          <w:smallCaps w:val="0"/>
          <w:noProof/>
          <w:sz w:val="24"/>
          <w:szCs w:val="24"/>
        </w:rPr>
      </w:pPr>
      <w:hyperlink w:history="1" w:anchor="_Toc419964736">
        <w:r w:rsidRPr="004E40C1" w:rsidR="004E40C1">
          <w:rPr>
            <w:rStyle w:val="Hyperlink"/>
            <w:noProof/>
            <w:sz w:val="24"/>
            <w:szCs w:val="24"/>
          </w:rPr>
          <w:t>A.11. Justification for Sensitive Questions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_Toc419964736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21</w:t>
        </w:r>
        <w:r w:rsidRPr="004E40C1" w:rsidR="004E40C1">
          <w:rPr>
            <w:noProof/>
            <w:webHidden/>
            <w:sz w:val="24"/>
            <w:szCs w:val="24"/>
          </w:rPr>
          <w:fldChar w:fldCharType="end"/>
        </w:r>
      </w:hyperlink>
    </w:p>
    <w:p w:rsidRPr="004E40C1" w:rsidR="004E40C1" w:rsidRDefault="003328EB" w14:paraId="1F6640B6" w14:textId="0BCA9259">
      <w:pPr>
        <w:pStyle w:val="TOC2"/>
        <w:rPr>
          <w:rFonts w:asciiTheme="minorHAnsi" w:hAnsiTheme="minorHAnsi" w:eastAsiaTheme="minorEastAsia" w:cstheme="minorBidi"/>
          <w:smallCaps w:val="0"/>
          <w:noProof/>
          <w:sz w:val="24"/>
          <w:szCs w:val="24"/>
        </w:rPr>
      </w:pPr>
      <w:hyperlink w:history="1" w:anchor="_Toc419964737">
        <w:r w:rsidRPr="004E40C1" w:rsidR="004E40C1">
          <w:rPr>
            <w:rStyle w:val="Hyperlink"/>
            <w:noProof/>
            <w:sz w:val="24"/>
            <w:szCs w:val="24"/>
          </w:rPr>
          <w:t>A.12.1 Estimated Annualized Burden Hours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_Toc419964737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22</w:t>
        </w:r>
        <w:r w:rsidRPr="004E40C1" w:rsidR="004E40C1">
          <w:rPr>
            <w:noProof/>
            <w:webHidden/>
            <w:sz w:val="24"/>
            <w:szCs w:val="24"/>
          </w:rPr>
          <w:fldChar w:fldCharType="end"/>
        </w:r>
      </w:hyperlink>
    </w:p>
    <w:p w:rsidRPr="004E40C1" w:rsidR="004E40C1" w:rsidRDefault="003328EB" w14:paraId="30CD3A6B" w14:textId="0D804CE0">
      <w:pPr>
        <w:pStyle w:val="TOC2"/>
        <w:rPr>
          <w:rFonts w:asciiTheme="minorHAnsi" w:hAnsiTheme="minorHAnsi" w:eastAsiaTheme="minorEastAsia" w:cstheme="minorBidi"/>
          <w:smallCaps w:val="0"/>
          <w:noProof/>
          <w:sz w:val="24"/>
          <w:szCs w:val="24"/>
        </w:rPr>
      </w:pPr>
      <w:hyperlink w:history="1" w:anchor="_Toc419964738">
        <w:r w:rsidRPr="004E40C1" w:rsidR="004E40C1">
          <w:rPr>
            <w:rStyle w:val="Hyperlink"/>
            <w:bCs/>
            <w:noProof/>
            <w:sz w:val="24"/>
            <w:szCs w:val="24"/>
          </w:rPr>
          <w:t xml:space="preserve">A.12-2 </w:t>
        </w:r>
        <w:r w:rsidRPr="004E40C1" w:rsidR="004E40C1">
          <w:rPr>
            <w:rStyle w:val="Hyperlink"/>
            <w:noProof/>
            <w:sz w:val="24"/>
            <w:szCs w:val="24"/>
          </w:rPr>
          <w:t>Annualized Costs to Respondents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_Toc419964738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25</w:t>
        </w:r>
        <w:r w:rsidRPr="004E40C1" w:rsidR="004E40C1">
          <w:rPr>
            <w:noProof/>
            <w:webHidden/>
            <w:sz w:val="24"/>
            <w:szCs w:val="24"/>
          </w:rPr>
          <w:fldChar w:fldCharType="end"/>
        </w:r>
      </w:hyperlink>
    </w:p>
    <w:p w:rsidRPr="004E40C1" w:rsidR="004E40C1" w:rsidRDefault="003328EB" w14:paraId="4C46EC78" w14:textId="6186BEDD">
      <w:pPr>
        <w:pStyle w:val="TOC2"/>
        <w:rPr>
          <w:rFonts w:asciiTheme="minorHAnsi" w:hAnsiTheme="minorHAnsi" w:eastAsiaTheme="minorEastAsia" w:cstheme="minorBidi"/>
          <w:smallCaps w:val="0"/>
          <w:noProof/>
          <w:sz w:val="24"/>
          <w:szCs w:val="24"/>
        </w:rPr>
      </w:pPr>
      <w:hyperlink w:history="1" w:anchor="_Toc419964739">
        <w:r w:rsidRPr="004E40C1" w:rsidR="004E40C1">
          <w:rPr>
            <w:rStyle w:val="Hyperlink"/>
            <w:noProof/>
            <w:sz w:val="24"/>
            <w:szCs w:val="24"/>
          </w:rPr>
          <w:t>A.13. Estimate of Other Total Annual Cost to Respondents or Record keepers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_Toc419964739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26</w:t>
        </w:r>
        <w:r w:rsidRPr="004E40C1" w:rsidR="004E40C1">
          <w:rPr>
            <w:noProof/>
            <w:webHidden/>
            <w:sz w:val="24"/>
            <w:szCs w:val="24"/>
          </w:rPr>
          <w:fldChar w:fldCharType="end"/>
        </w:r>
      </w:hyperlink>
    </w:p>
    <w:p w:rsidRPr="004E40C1" w:rsidR="004E40C1" w:rsidRDefault="003328EB" w14:paraId="57EA8A04" w14:textId="1D079EE7">
      <w:pPr>
        <w:pStyle w:val="TOC2"/>
        <w:rPr>
          <w:rFonts w:asciiTheme="minorHAnsi" w:hAnsiTheme="minorHAnsi" w:eastAsiaTheme="minorEastAsia" w:cstheme="minorBidi"/>
          <w:smallCaps w:val="0"/>
          <w:noProof/>
          <w:sz w:val="24"/>
          <w:szCs w:val="24"/>
        </w:rPr>
      </w:pPr>
      <w:hyperlink w:history="1" w:anchor="_Toc419964740">
        <w:r w:rsidRPr="004E40C1" w:rsidR="004E40C1">
          <w:rPr>
            <w:rStyle w:val="Hyperlink"/>
            <w:noProof/>
            <w:sz w:val="24"/>
            <w:szCs w:val="24"/>
          </w:rPr>
          <w:t>A.14. Annualized Cost to the Federal Government</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_Toc419964740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26</w:t>
        </w:r>
        <w:r w:rsidRPr="004E40C1" w:rsidR="004E40C1">
          <w:rPr>
            <w:noProof/>
            <w:webHidden/>
            <w:sz w:val="24"/>
            <w:szCs w:val="24"/>
          </w:rPr>
          <w:fldChar w:fldCharType="end"/>
        </w:r>
      </w:hyperlink>
    </w:p>
    <w:p w:rsidRPr="004E40C1" w:rsidR="004E40C1" w:rsidRDefault="003328EB" w14:paraId="5BBD8DCC" w14:textId="4FE1D91E">
      <w:pPr>
        <w:pStyle w:val="TOC2"/>
        <w:rPr>
          <w:rFonts w:asciiTheme="minorHAnsi" w:hAnsiTheme="minorHAnsi" w:eastAsiaTheme="minorEastAsia" w:cstheme="minorBidi"/>
          <w:smallCaps w:val="0"/>
          <w:noProof/>
          <w:sz w:val="24"/>
          <w:szCs w:val="24"/>
        </w:rPr>
      </w:pPr>
      <w:hyperlink w:history="1" w:anchor="_Toc419964741">
        <w:r w:rsidRPr="004E40C1" w:rsidR="004E40C1">
          <w:rPr>
            <w:rStyle w:val="Hyperlink"/>
            <w:noProof/>
            <w:sz w:val="24"/>
            <w:szCs w:val="24"/>
          </w:rPr>
          <w:t>A.15. Explanation for Program Changes or Adjustments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_Toc419964741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27</w:t>
        </w:r>
        <w:r w:rsidRPr="004E40C1" w:rsidR="004E40C1">
          <w:rPr>
            <w:noProof/>
            <w:webHidden/>
            <w:sz w:val="24"/>
            <w:szCs w:val="24"/>
          </w:rPr>
          <w:fldChar w:fldCharType="end"/>
        </w:r>
      </w:hyperlink>
    </w:p>
    <w:p w:rsidRPr="004E40C1" w:rsidR="004E40C1" w:rsidRDefault="003328EB" w14:paraId="11F5BCDB" w14:textId="62FF9B72">
      <w:pPr>
        <w:pStyle w:val="TOC2"/>
        <w:rPr>
          <w:rFonts w:asciiTheme="minorHAnsi" w:hAnsiTheme="minorHAnsi" w:eastAsiaTheme="minorEastAsia" w:cstheme="minorBidi"/>
          <w:smallCaps w:val="0"/>
          <w:noProof/>
          <w:sz w:val="24"/>
          <w:szCs w:val="24"/>
        </w:rPr>
      </w:pPr>
      <w:hyperlink w:history="1" w:anchor="_Toc419964742">
        <w:r w:rsidRPr="004E40C1" w:rsidR="004E40C1">
          <w:rPr>
            <w:rStyle w:val="Hyperlink"/>
            <w:noProof/>
            <w:sz w:val="24"/>
            <w:szCs w:val="24"/>
          </w:rPr>
          <w:t>A.16. Plans for Tabulation and Publication and Project Time Schedule</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_Toc419964742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29</w:t>
        </w:r>
        <w:r w:rsidRPr="004E40C1" w:rsidR="004E40C1">
          <w:rPr>
            <w:noProof/>
            <w:webHidden/>
            <w:sz w:val="24"/>
            <w:szCs w:val="24"/>
          </w:rPr>
          <w:fldChar w:fldCharType="end"/>
        </w:r>
      </w:hyperlink>
    </w:p>
    <w:p w:rsidRPr="004E40C1" w:rsidR="004E40C1" w:rsidRDefault="003328EB" w14:paraId="1B5AC6B2" w14:textId="0069DD6C">
      <w:pPr>
        <w:pStyle w:val="TOC2"/>
        <w:rPr>
          <w:rFonts w:asciiTheme="minorHAnsi" w:hAnsiTheme="minorHAnsi" w:eastAsiaTheme="minorEastAsia" w:cstheme="minorBidi"/>
          <w:smallCaps w:val="0"/>
          <w:noProof/>
          <w:sz w:val="24"/>
          <w:szCs w:val="24"/>
        </w:rPr>
      </w:pPr>
      <w:hyperlink w:history="1" w:anchor="_Toc419964743">
        <w:r w:rsidRPr="004E40C1" w:rsidR="004E40C1">
          <w:rPr>
            <w:rStyle w:val="Hyperlink"/>
            <w:noProof/>
            <w:sz w:val="24"/>
            <w:szCs w:val="24"/>
          </w:rPr>
          <w:t>A.17. Reason(s) Display of OMB Expiration Date is Inappropriate</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_Toc419964743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29</w:t>
        </w:r>
        <w:r w:rsidRPr="004E40C1" w:rsidR="004E40C1">
          <w:rPr>
            <w:noProof/>
            <w:webHidden/>
            <w:sz w:val="24"/>
            <w:szCs w:val="24"/>
          </w:rPr>
          <w:fldChar w:fldCharType="end"/>
        </w:r>
      </w:hyperlink>
    </w:p>
    <w:p w:rsidRPr="004E40C1" w:rsidR="004E40C1" w:rsidRDefault="003328EB" w14:paraId="048569CB" w14:textId="1A12A977">
      <w:pPr>
        <w:pStyle w:val="TOC2"/>
        <w:rPr>
          <w:rFonts w:asciiTheme="minorHAnsi" w:hAnsiTheme="minorHAnsi" w:eastAsiaTheme="minorEastAsia" w:cstheme="minorBidi"/>
          <w:smallCaps w:val="0"/>
          <w:noProof/>
          <w:sz w:val="24"/>
          <w:szCs w:val="24"/>
        </w:rPr>
      </w:pPr>
      <w:hyperlink w:history="1" w:anchor="_Toc419964744">
        <w:r w:rsidRPr="004E40C1" w:rsidR="004E40C1">
          <w:rPr>
            <w:rStyle w:val="Hyperlink"/>
            <w:noProof/>
            <w:sz w:val="24"/>
            <w:szCs w:val="24"/>
          </w:rPr>
          <w:t>A.18. Exceptions to Certification for Paperwork Reduction Act Submissions</w:t>
        </w:r>
        <w:r w:rsidRPr="004E40C1" w:rsidR="004E40C1">
          <w:rPr>
            <w:noProof/>
            <w:webHidden/>
            <w:sz w:val="24"/>
            <w:szCs w:val="24"/>
          </w:rPr>
          <w:tab/>
        </w:r>
        <w:r w:rsidRPr="004E40C1" w:rsidR="004E40C1">
          <w:rPr>
            <w:noProof/>
            <w:webHidden/>
            <w:sz w:val="24"/>
            <w:szCs w:val="24"/>
          </w:rPr>
          <w:fldChar w:fldCharType="begin"/>
        </w:r>
        <w:r w:rsidRPr="004E40C1" w:rsidR="004E40C1">
          <w:rPr>
            <w:noProof/>
            <w:webHidden/>
            <w:sz w:val="24"/>
            <w:szCs w:val="24"/>
          </w:rPr>
          <w:instrText xml:space="preserve"> PAGEREF _Toc419964744 \h </w:instrText>
        </w:r>
        <w:r w:rsidRPr="004E40C1" w:rsidR="004E40C1">
          <w:rPr>
            <w:noProof/>
            <w:webHidden/>
            <w:sz w:val="24"/>
            <w:szCs w:val="24"/>
          </w:rPr>
        </w:r>
        <w:r w:rsidRPr="004E40C1" w:rsidR="004E40C1">
          <w:rPr>
            <w:noProof/>
            <w:webHidden/>
            <w:sz w:val="24"/>
            <w:szCs w:val="24"/>
          </w:rPr>
          <w:fldChar w:fldCharType="separate"/>
        </w:r>
        <w:r w:rsidR="00AD0526">
          <w:rPr>
            <w:noProof/>
            <w:webHidden/>
            <w:sz w:val="24"/>
            <w:szCs w:val="24"/>
          </w:rPr>
          <w:t>29</w:t>
        </w:r>
        <w:r w:rsidRPr="004E40C1" w:rsidR="004E40C1">
          <w:rPr>
            <w:noProof/>
            <w:webHidden/>
            <w:sz w:val="24"/>
            <w:szCs w:val="24"/>
          </w:rPr>
          <w:fldChar w:fldCharType="end"/>
        </w:r>
      </w:hyperlink>
    </w:p>
    <w:p w:rsidR="00397080" w:rsidP="00397080" w:rsidRDefault="004E40C1" w14:paraId="0D383D08" w14:textId="77777777">
      <w:pPr>
        <w:pStyle w:val="P1-StandPara"/>
        <w:ind w:firstLine="0"/>
        <w:rPr>
          <w:caps/>
          <w:noProof/>
        </w:rPr>
      </w:pPr>
      <w:r w:rsidRPr="004E40C1">
        <w:rPr>
          <w:smallCaps/>
          <w:sz w:val="24"/>
          <w:szCs w:val="24"/>
        </w:rPr>
        <w:fldChar w:fldCharType="end"/>
      </w:r>
    </w:p>
    <w:p w:rsidR="00E42845" w:rsidP="00B63942" w:rsidRDefault="00E42845" w14:paraId="22DF1F05" w14:textId="77777777">
      <w:pPr>
        <w:rPr>
          <w:bCs/>
        </w:rPr>
      </w:pPr>
    </w:p>
    <w:p w:rsidR="00E42845" w:rsidP="00B63942" w:rsidRDefault="00E42845" w14:paraId="2A83C865" w14:textId="77777777">
      <w:pPr>
        <w:rPr>
          <w:bCs/>
        </w:rPr>
      </w:pPr>
    </w:p>
    <w:p w:rsidR="00E42845" w:rsidP="00B63942" w:rsidRDefault="00E42845" w14:paraId="7B645A29" w14:textId="77777777">
      <w:pPr>
        <w:rPr>
          <w:bCs/>
        </w:rPr>
      </w:pPr>
    </w:p>
    <w:p w:rsidR="00E42845" w:rsidP="00B63942" w:rsidRDefault="00E42845" w14:paraId="6369F250" w14:textId="77777777">
      <w:pPr>
        <w:rPr>
          <w:bCs/>
        </w:rPr>
      </w:pPr>
    </w:p>
    <w:p w:rsidR="00E42845" w:rsidP="00B63942" w:rsidRDefault="00E42845" w14:paraId="784ABEA5" w14:textId="77777777">
      <w:pPr>
        <w:rPr>
          <w:bCs/>
        </w:rPr>
      </w:pPr>
    </w:p>
    <w:p w:rsidR="00E42845" w:rsidP="00B63942" w:rsidRDefault="00E42845" w14:paraId="73DF629E" w14:textId="77777777">
      <w:pPr>
        <w:rPr>
          <w:bCs/>
        </w:rPr>
      </w:pPr>
    </w:p>
    <w:p w:rsidR="00E42845" w:rsidP="00B63942" w:rsidRDefault="00E42845" w14:paraId="1855B86E" w14:textId="77777777">
      <w:pPr>
        <w:rPr>
          <w:bCs/>
        </w:rPr>
      </w:pPr>
    </w:p>
    <w:p w:rsidR="00E42845" w:rsidP="00B63942" w:rsidRDefault="00E42845" w14:paraId="76559FAA" w14:textId="77777777">
      <w:pPr>
        <w:rPr>
          <w:bCs/>
        </w:rPr>
      </w:pPr>
    </w:p>
    <w:p w:rsidR="00E42845" w:rsidP="00B63942" w:rsidRDefault="00E42845" w14:paraId="703FA9C8" w14:textId="4130F241">
      <w:pPr>
        <w:rPr>
          <w:bCs/>
        </w:rPr>
      </w:pPr>
      <w:r>
        <w:rPr>
          <w:bCs/>
        </w:rPr>
        <w:t>ATTACHMENT</w:t>
      </w:r>
    </w:p>
    <w:p w:rsidR="00E42845" w:rsidP="00B63942" w:rsidRDefault="00E42845" w14:paraId="12100178" w14:textId="77777777">
      <w:pPr>
        <w:rPr>
          <w:bCs/>
        </w:rPr>
      </w:pPr>
    </w:p>
    <w:p w:rsidR="00E42845" w:rsidP="00B63942" w:rsidRDefault="00E42845" w14:paraId="4373E994" w14:textId="77777777">
      <w:pPr>
        <w:rPr>
          <w:bCs/>
        </w:rPr>
      </w:pPr>
    </w:p>
    <w:p w:rsidR="00C4250B" w:rsidP="00B63942" w:rsidRDefault="00C4250B" w14:paraId="2F0A7232" w14:textId="77777777">
      <w:pPr>
        <w:rPr>
          <w:bCs/>
        </w:rPr>
      </w:pPr>
    </w:p>
    <w:p w:rsidR="0010166B" w:rsidP="00B63942" w:rsidRDefault="00C4250B" w14:paraId="4000FF42" w14:textId="33441789">
      <w:pPr>
        <w:rPr>
          <w:bCs/>
        </w:rPr>
      </w:pPr>
      <w:r>
        <w:rPr>
          <w:bCs/>
        </w:rPr>
        <w:t>Attach</w:t>
      </w:r>
      <w:r w:rsidR="00A30801">
        <w:rPr>
          <w:bCs/>
        </w:rPr>
        <w:t>ment 1</w:t>
      </w:r>
      <w:r w:rsidR="00E42845">
        <w:rPr>
          <w:bCs/>
        </w:rPr>
        <w:t xml:space="preserve"> </w:t>
      </w:r>
      <w:r w:rsidR="00A30801">
        <w:rPr>
          <w:bCs/>
        </w:rPr>
        <w:t xml:space="preserve">Privacy Impact </w:t>
      </w:r>
      <w:proofErr w:type="spellStart"/>
      <w:r w:rsidR="00A30801">
        <w:rPr>
          <w:bCs/>
        </w:rPr>
        <w:t>Assesment</w:t>
      </w:r>
      <w:proofErr w:type="spellEnd"/>
      <w:r w:rsidR="00A30801">
        <w:rPr>
          <w:bCs/>
        </w:rPr>
        <w:t xml:space="preserve"> </w:t>
      </w:r>
    </w:p>
    <w:p w:rsidR="0010166B" w:rsidP="00B63942" w:rsidRDefault="0010166B" w14:paraId="117978BD" w14:textId="77777777">
      <w:pPr>
        <w:rPr>
          <w:bCs/>
        </w:rPr>
      </w:pPr>
    </w:p>
    <w:p w:rsidRPr="00B63942" w:rsidR="00EC371B" w:rsidP="00B63942" w:rsidRDefault="00D53BCD" w14:paraId="1BC3F6A3" w14:textId="04002AEE">
      <w:pPr>
        <w:rPr>
          <w:bCs/>
        </w:rPr>
      </w:pPr>
      <w:r>
        <w:t>Attachment 2 Inclusion Enrollment form</w:t>
      </w:r>
      <w:r w:rsidR="00CE149F">
        <w:br w:type="page"/>
      </w:r>
    </w:p>
    <w:p w:rsidR="00B61497" w:rsidP="00E05D34" w:rsidRDefault="00B61497" w14:paraId="47D97ACB" w14:textId="77777777">
      <w:pPr>
        <w:pStyle w:val="Heading2"/>
        <w:numPr>
          <w:ilvl w:val="0"/>
          <w:numId w:val="4"/>
        </w:numPr>
        <w:spacing w:line="480" w:lineRule="auto"/>
        <w:ind w:right="-684"/>
        <w:rPr>
          <w:bCs/>
        </w:rPr>
      </w:pPr>
      <w:bookmarkStart w:name="_Toc419964724" w:id="0"/>
      <w:r w:rsidRPr="00732841">
        <w:rPr>
          <w:bCs/>
        </w:rPr>
        <w:lastRenderedPageBreak/>
        <w:t>Justification</w:t>
      </w:r>
      <w:bookmarkEnd w:id="0"/>
    </w:p>
    <w:p w:rsidR="00397080" w:rsidP="00397080" w:rsidRDefault="00397080" w14:paraId="7D48A4B2" w14:textId="77777777"/>
    <w:p w:rsidR="00397080" w:rsidP="00E42845" w:rsidRDefault="00E42845" w14:paraId="66E33088" w14:textId="3FBA4B54">
      <w:pPr>
        <w:spacing w:line="480" w:lineRule="auto"/>
        <w:rPr>
          <w:bCs/>
        </w:rPr>
      </w:pPr>
      <w:r w:rsidRPr="0084183B">
        <w:t>The Inclusion Enrollment Report</w:t>
      </w:r>
      <w:r w:rsidRPr="0084183B">
        <w:rPr>
          <w:color w:val="000000"/>
        </w:rPr>
        <w:t> is used for all applications involving NIH-defined clinical research. This form is used to report both planned and cumulative (or actual) enrollment, and describes the sex/gender, race, and ethnicity of the study participants.</w:t>
      </w:r>
      <w:r>
        <w:rPr>
          <w:color w:val="000000"/>
        </w:rPr>
        <w:t xml:space="preserve"> </w:t>
      </w:r>
      <w:r>
        <w:t xml:space="preserve">NIH is converting the Inclusion Enrollment form </w:t>
      </w:r>
      <w:proofErr w:type="gramStart"/>
      <w:r w:rsidRPr="0084183B">
        <w:t xml:space="preserve">to </w:t>
      </w:r>
      <w:r w:rsidRPr="0084183B" w:rsidR="00A87074">
        <w:t xml:space="preserve"> </w:t>
      </w:r>
      <w:bookmarkStart w:name="_Hlk74812594" w:id="1"/>
      <w:r w:rsidRPr="0084183B" w:rsidR="00A87074">
        <w:t>include</w:t>
      </w:r>
      <w:proofErr w:type="gramEnd"/>
      <w:r w:rsidRPr="0084183B" w:rsidR="00A87074">
        <w:t xml:space="preserve"> the Department of Defense (DoD). </w:t>
      </w:r>
      <w:bookmarkEnd w:id="1"/>
      <w:r w:rsidRPr="0084183B" w:rsidR="00A87074">
        <w:t xml:space="preserve"> </w:t>
      </w:r>
    </w:p>
    <w:p w:rsidRPr="00397080" w:rsidR="00397080" w:rsidP="00397080" w:rsidRDefault="00397080" w14:paraId="34C9B297" w14:textId="77777777"/>
    <w:p w:rsidR="00B61497" w:rsidP="001D5F9B" w:rsidRDefault="009524D2" w14:paraId="38D514E3" w14:textId="77777777">
      <w:pPr>
        <w:pStyle w:val="Heading2"/>
      </w:pPr>
      <w:bookmarkStart w:name="_Toc419964725" w:id="2"/>
      <w:r w:rsidRPr="009524D2">
        <w:t>A</w:t>
      </w:r>
      <w:r>
        <w:t>.</w:t>
      </w:r>
      <w:r w:rsidRPr="009524D2" w:rsidR="0026591F">
        <w:t xml:space="preserve">1. </w:t>
      </w:r>
      <w:r w:rsidRPr="009524D2" w:rsidR="00B61497">
        <w:t>Circumstances Making the Collection of Information Necessary</w:t>
      </w:r>
      <w:bookmarkEnd w:id="2"/>
    </w:p>
    <w:p w:rsidRPr="001D5F9B" w:rsidR="001D5F9B" w:rsidP="001D5F9B" w:rsidRDefault="001D5F9B" w14:paraId="618F0D9F" w14:textId="77777777"/>
    <w:p w:rsidR="00B61497" w:rsidP="00106E25" w:rsidRDefault="00BF5AA0" w14:paraId="56537CEC" w14:textId="7BFAEBA3">
      <w:pPr>
        <w:spacing w:line="480" w:lineRule="auto"/>
      </w:pPr>
      <w:r w:rsidRPr="002B62B0">
        <w:rPr>
          <w:bCs/>
        </w:rPr>
        <w:t xml:space="preserve">Information collection requirements </w:t>
      </w:r>
      <w:r w:rsidR="00AB48DE">
        <w:rPr>
          <w:bCs/>
        </w:rPr>
        <w:t xml:space="preserve">are </w:t>
      </w:r>
      <w:r w:rsidRPr="002B62B0">
        <w:rPr>
          <w:bCs/>
        </w:rPr>
        <w:t>specified in regulations governing the PHS research progr</w:t>
      </w:r>
      <w:r w:rsidR="00E44233">
        <w:rPr>
          <w:bCs/>
        </w:rPr>
        <w:t xml:space="preserve">am, including 42 CFR Part 52, </w:t>
      </w:r>
      <w:r w:rsidRPr="002B62B0">
        <w:rPr>
          <w:bCs/>
        </w:rPr>
        <w:t>42 CFR 66.204</w:t>
      </w:r>
      <w:r w:rsidR="00E44233">
        <w:rPr>
          <w:bCs/>
        </w:rPr>
        <w:t>, and 45</w:t>
      </w:r>
      <w:r w:rsidR="0078602C">
        <w:rPr>
          <w:bCs/>
        </w:rPr>
        <w:t xml:space="preserve"> </w:t>
      </w:r>
      <w:r w:rsidR="00A74C52">
        <w:rPr>
          <w:bCs/>
        </w:rPr>
        <w:t>CFR 75</w:t>
      </w:r>
      <w:r w:rsidRPr="002B62B0">
        <w:rPr>
          <w:bCs/>
        </w:rPr>
        <w:t>.</w:t>
      </w:r>
      <w:r w:rsidR="00FF16C6">
        <w:t xml:space="preserve"> for instructions and form). This applies to NIH and CDC small business applicants. </w:t>
      </w:r>
    </w:p>
    <w:p w:rsidR="00106E25" w:rsidP="00E70203" w:rsidRDefault="00106E25" w14:paraId="25407DB2" w14:textId="77777777">
      <w:pPr>
        <w:spacing w:line="480" w:lineRule="auto"/>
      </w:pPr>
    </w:p>
    <w:p w:rsidRPr="004E2A5F" w:rsidR="0039386F" w:rsidP="00530196" w:rsidRDefault="0039386F" w14:paraId="5BEC5B2D" w14:textId="77777777">
      <w:pPr>
        <w:ind w:right="-684"/>
        <w:rPr>
          <w:bCs/>
          <w:sz w:val="20"/>
          <w:szCs w:val="20"/>
        </w:rPr>
      </w:pPr>
    </w:p>
    <w:p w:rsidRPr="0084183B" w:rsidR="0084183B" w:rsidP="00530196" w:rsidRDefault="009524D2" w14:paraId="234ACA41" w14:textId="77777777">
      <w:pPr>
        <w:spacing w:line="480" w:lineRule="auto"/>
        <w:ind w:right="-684"/>
        <w:rPr>
          <w:b/>
          <w:bCs/>
        </w:rPr>
      </w:pPr>
      <w:bookmarkStart w:name="_Toc419964726" w:id="3"/>
      <w:r w:rsidRPr="0084183B">
        <w:rPr>
          <w:b/>
          <w:bCs/>
        </w:rPr>
        <w:t>A.</w:t>
      </w:r>
      <w:r w:rsidRPr="0084183B" w:rsidR="0026591F">
        <w:rPr>
          <w:b/>
          <w:bCs/>
        </w:rPr>
        <w:t xml:space="preserve">2. </w:t>
      </w:r>
      <w:r w:rsidRPr="0084183B" w:rsidR="00B61497">
        <w:rPr>
          <w:b/>
          <w:bCs/>
        </w:rPr>
        <w:t>Purpose and Use of the Information Collection</w:t>
      </w:r>
      <w:bookmarkEnd w:id="3"/>
    </w:p>
    <w:p w:rsidR="000C267D" w:rsidP="007F7C2C" w:rsidRDefault="00F506E3" w14:paraId="07387AF1" w14:textId="588A1C16">
      <w:pPr>
        <w:spacing w:line="480" w:lineRule="auto"/>
        <w:ind w:right="-684"/>
        <w:rPr>
          <w:bCs/>
        </w:rPr>
      </w:pPr>
      <w:r w:rsidRPr="003429CB">
        <w:rPr>
          <w:bCs/>
        </w:rPr>
        <w:t xml:space="preserve">Information collected is used </w:t>
      </w:r>
      <w:r w:rsidRPr="003429CB" w:rsidR="00B61497">
        <w:rPr>
          <w:bCs/>
        </w:rPr>
        <w:t>by Federal agency staff</w:t>
      </w:r>
      <w:r w:rsidRPr="003429CB">
        <w:rPr>
          <w:bCs/>
        </w:rPr>
        <w:t xml:space="preserve"> </w:t>
      </w:r>
      <w:r w:rsidRPr="003429CB" w:rsidR="00D639DB">
        <w:rPr>
          <w:bCs/>
        </w:rPr>
        <w:t xml:space="preserve">and </w:t>
      </w:r>
      <w:r w:rsidRPr="003429CB" w:rsidR="00B61497">
        <w:rPr>
          <w:bCs/>
        </w:rPr>
        <w:t xml:space="preserve">Public Advisory Committees </w:t>
      </w:r>
      <w:r w:rsidRPr="003429CB" w:rsidR="00A00325">
        <w:rPr>
          <w:bCs/>
        </w:rPr>
        <w:t xml:space="preserve">and </w:t>
      </w:r>
      <w:r w:rsidRPr="003429CB" w:rsidR="00B61497">
        <w:rPr>
          <w:bCs/>
        </w:rPr>
        <w:t>National Advisory Boards and Councils</w:t>
      </w:r>
      <w:r w:rsidRPr="003429CB" w:rsidR="00923AB3">
        <w:rPr>
          <w:bCs/>
        </w:rPr>
        <w:t xml:space="preserve"> as a b</w:t>
      </w:r>
      <w:r w:rsidRPr="003429CB" w:rsidR="00B61497">
        <w:rPr>
          <w:bCs/>
        </w:rPr>
        <w:t xml:space="preserve">asis for </w:t>
      </w:r>
      <w:r w:rsidRPr="003429CB" w:rsidR="00AB4F42">
        <w:rPr>
          <w:bCs/>
        </w:rPr>
        <w:t xml:space="preserve">evaluating </w:t>
      </w:r>
      <w:r w:rsidR="00D03C8F">
        <w:rPr>
          <w:bCs/>
        </w:rPr>
        <w:t xml:space="preserve">compliance with requirements to include women, minorities, and </w:t>
      </w:r>
      <w:proofErr w:type="spellStart"/>
      <w:r w:rsidR="00D03C8F">
        <w:rPr>
          <w:bCs/>
        </w:rPr>
        <w:t>indivudals</w:t>
      </w:r>
      <w:proofErr w:type="spellEnd"/>
      <w:r w:rsidR="00D03C8F">
        <w:rPr>
          <w:bCs/>
        </w:rPr>
        <w:t xml:space="preserve"> across the lifespan in research. </w:t>
      </w:r>
      <w:r w:rsidRPr="003429CB" w:rsidR="003530F1">
        <w:rPr>
          <w:bCs/>
        </w:rPr>
        <w:t>Information received from the current collection enable</w:t>
      </w:r>
      <w:r w:rsidRPr="003429CB" w:rsidR="009D7E9C">
        <w:rPr>
          <w:bCs/>
        </w:rPr>
        <w:t>s</w:t>
      </w:r>
      <w:r w:rsidRPr="003429CB" w:rsidR="003530F1">
        <w:rPr>
          <w:bCs/>
        </w:rPr>
        <w:t xml:space="preserve"> PHS agencies to </w:t>
      </w:r>
      <w:r w:rsidR="00D03C8F">
        <w:rPr>
          <w:bCs/>
        </w:rPr>
        <w:t xml:space="preserve">receive demographic information on the proposed and actual participants in research </w:t>
      </w:r>
      <w:proofErr w:type="spellStart"/>
      <w:r w:rsidR="00D03C8F">
        <w:rPr>
          <w:bCs/>
        </w:rPr>
        <w:t>studies</w:t>
      </w:r>
      <w:r w:rsidRPr="003429CB" w:rsidR="003530F1">
        <w:rPr>
          <w:bCs/>
        </w:rPr>
        <w:t>s</w:t>
      </w:r>
      <w:proofErr w:type="spellEnd"/>
      <w:r w:rsidRPr="003429CB" w:rsidR="009D7E9C">
        <w:rPr>
          <w:bCs/>
        </w:rPr>
        <w:t>.</w:t>
      </w:r>
      <w:r w:rsidR="00722D6A">
        <w:rPr>
          <w:bCs/>
        </w:rPr>
        <w:t xml:space="preserve">  </w:t>
      </w:r>
      <w:r w:rsidR="003C279A">
        <w:rPr>
          <w:bCs/>
        </w:rPr>
        <w:t>The Inclusion Enrollment form has</w:t>
      </w:r>
      <w:r w:rsidR="00680A34">
        <w:rPr>
          <w:bCs/>
        </w:rPr>
        <w:t xml:space="preserve"> been a part of NIH’s larger submission</w:t>
      </w:r>
      <w:r w:rsidR="008E553D">
        <w:rPr>
          <w:bCs/>
        </w:rPr>
        <w:t>s OMB # 0925-0001, “</w:t>
      </w:r>
      <w:r w:rsidR="00F831B5">
        <w:rPr>
          <w:bCs/>
        </w:rPr>
        <w:t>PHS Applications and Pre-Award Related Reporting” and OMB</w:t>
      </w:r>
      <w:r w:rsidR="00297FAE">
        <w:rPr>
          <w:bCs/>
        </w:rPr>
        <w:t xml:space="preserve"> # 0925-0002, “</w:t>
      </w:r>
      <w:r w:rsidR="00FB42E4">
        <w:rPr>
          <w:bCs/>
        </w:rPr>
        <w:t xml:space="preserve">PHS </w:t>
      </w:r>
      <w:r w:rsidR="00EE1132">
        <w:rPr>
          <w:bCs/>
        </w:rPr>
        <w:t xml:space="preserve">Research Performance </w:t>
      </w:r>
      <w:r w:rsidR="002961CE">
        <w:rPr>
          <w:bCs/>
        </w:rPr>
        <w:t>Progress Report and Other Post-</w:t>
      </w:r>
      <w:r w:rsidR="00D341AB">
        <w:rPr>
          <w:bCs/>
        </w:rPr>
        <w:t>a</w:t>
      </w:r>
      <w:r w:rsidR="002961CE">
        <w:rPr>
          <w:bCs/>
        </w:rPr>
        <w:t>ward</w:t>
      </w:r>
      <w:r w:rsidR="00D341AB">
        <w:rPr>
          <w:bCs/>
        </w:rPr>
        <w:t xml:space="preserve"> Reporting</w:t>
      </w:r>
      <w:r w:rsidR="00AE4932">
        <w:rPr>
          <w:bCs/>
        </w:rPr>
        <w:t xml:space="preserve"> and is being converted to a Common form</w:t>
      </w:r>
      <w:r w:rsidR="00CF7E70">
        <w:rPr>
          <w:bCs/>
        </w:rPr>
        <w:t xml:space="preserve"> to assist </w:t>
      </w:r>
      <w:r w:rsidR="007F7C2C">
        <w:rPr>
          <w:bCs/>
        </w:rPr>
        <w:t>t</w:t>
      </w:r>
      <w:r w:rsidR="00D03C8F">
        <w:rPr>
          <w:bCs/>
        </w:rPr>
        <w:t>he Department of Defense</w:t>
      </w:r>
      <w:r w:rsidR="007F7C2C">
        <w:rPr>
          <w:bCs/>
        </w:rPr>
        <w:t xml:space="preserve"> in</w:t>
      </w:r>
      <w:r w:rsidR="00D03C8F">
        <w:rPr>
          <w:bCs/>
        </w:rPr>
        <w:t xml:space="preserve"> its implementing </w:t>
      </w:r>
      <w:r w:rsidR="007F7C2C">
        <w:rPr>
          <w:bCs/>
        </w:rPr>
        <w:t xml:space="preserve">of </w:t>
      </w:r>
      <w:r w:rsidR="00D03C8F">
        <w:rPr>
          <w:bCs/>
        </w:rPr>
        <w:t xml:space="preserve">its new FY21 Congressionally Director Medical Research Programs (CDMRP) Policy on the Inclusion of Women and Minorities in Clinical Research modeled on NIH inclusion policies and has requested to use the Inclusion Enrollment Report. </w:t>
      </w:r>
      <w:r w:rsidR="00106E25">
        <w:rPr>
          <w:bCs/>
        </w:rPr>
        <w:t xml:space="preserve">  </w:t>
      </w:r>
      <w:r w:rsidRPr="003429CB" w:rsidR="000C267D">
        <w:rPr>
          <w:bCs/>
        </w:rPr>
        <w:t xml:space="preserve">The NIH continues to support efforts to remain a global leader in </w:t>
      </w:r>
      <w:r w:rsidRPr="003429CB" w:rsidR="000C267D">
        <w:rPr>
          <w:bCs/>
        </w:rPr>
        <w:lastRenderedPageBreak/>
        <w:t xml:space="preserve">scientific discovery and innovations by encouraging participation of individuals from groups that are underrepresented in the biomedical, clinical, </w:t>
      </w:r>
      <w:proofErr w:type="spellStart"/>
      <w:r w:rsidRPr="003429CB" w:rsidR="000C267D">
        <w:rPr>
          <w:bCs/>
        </w:rPr>
        <w:t>behaviora</w:t>
      </w:r>
      <w:proofErr w:type="spellEnd"/>
      <w:r w:rsidRPr="003429CB" w:rsidR="000C267D">
        <w:rPr>
          <w:bCs/>
        </w:rPr>
        <w:t xml:space="preserve"> and social sciences</w:t>
      </w:r>
      <w:r w:rsidRPr="003429CB" w:rsidR="00637A58">
        <w:rPr>
          <w:bCs/>
        </w:rPr>
        <w:t xml:space="preserve">. Applicants to diversity-related career development funding opportunity announcements will be required to provide a description of the candidate’s contribution to program goals. </w:t>
      </w:r>
    </w:p>
    <w:p w:rsidRPr="003429CB" w:rsidR="00727D8C" w:rsidP="00727D8C" w:rsidRDefault="00727D8C" w14:paraId="389D6BC7" w14:textId="77777777">
      <w:pPr>
        <w:ind w:right="-684"/>
        <w:rPr>
          <w:b/>
          <w:bCs/>
          <w:sz w:val="20"/>
          <w:szCs w:val="20"/>
          <w:u w:val="single"/>
        </w:rPr>
      </w:pPr>
    </w:p>
    <w:p w:rsidRPr="003429CB" w:rsidR="008A232E" w:rsidP="00727D8C" w:rsidRDefault="00727D8C" w14:paraId="6D619FA1" w14:textId="0A3C7BDA">
      <w:pPr>
        <w:spacing w:line="480" w:lineRule="auto"/>
        <w:rPr>
          <w:bCs/>
        </w:rPr>
      </w:pPr>
      <w:r w:rsidRPr="003429CB">
        <w:rPr>
          <w:bCs/>
        </w:rPr>
        <w:t xml:space="preserve">Since the last OMB approval, </w:t>
      </w:r>
      <w:r>
        <w:rPr>
          <w:bCs/>
        </w:rPr>
        <w:t>there has been no change to NIH policies on the inclusion of clinical research participants.</w:t>
      </w:r>
    </w:p>
    <w:p w:rsidRPr="006B53F2" w:rsidR="006B53F2" w:rsidP="006B53F2" w:rsidRDefault="006B53F2" w14:paraId="3A2C8531" w14:textId="77777777"/>
    <w:p w:rsidRPr="00830BEA" w:rsidR="00B61497" w:rsidP="00262E69" w:rsidRDefault="00830BEA" w14:paraId="58FE81F7" w14:textId="77777777">
      <w:pPr>
        <w:pStyle w:val="Heading2"/>
      </w:pPr>
      <w:bookmarkStart w:name="_Toc419964727" w:id="4"/>
      <w:r w:rsidRPr="00830BEA">
        <w:t>A.</w:t>
      </w:r>
      <w:r w:rsidRPr="00830BEA" w:rsidR="00B61497">
        <w:t>3.</w:t>
      </w:r>
      <w:r w:rsidRPr="00830BEA">
        <w:t xml:space="preserve"> </w:t>
      </w:r>
      <w:r w:rsidRPr="00830BEA" w:rsidR="00B61497">
        <w:t>Use of Information Technology and Burden Reduction</w:t>
      </w:r>
      <w:bookmarkEnd w:id="4"/>
    </w:p>
    <w:p w:rsidRPr="005D2CAF" w:rsidR="00B37155" w:rsidP="00262E69" w:rsidRDefault="00B37155" w14:paraId="36CCC06A" w14:textId="77777777">
      <w:pPr>
        <w:pStyle w:val="Heading2"/>
      </w:pPr>
    </w:p>
    <w:p w:rsidR="006C6F2B" w:rsidP="00262E69" w:rsidRDefault="009E2BFF" w14:paraId="67FE7A9F" w14:textId="031899E9">
      <w:pPr>
        <w:spacing w:line="480" w:lineRule="auto"/>
        <w:ind w:right="-684"/>
      </w:pPr>
      <w:r w:rsidRPr="005D2CAF">
        <w:t xml:space="preserve">PHS </w:t>
      </w:r>
      <w:r w:rsidRPr="005D2CAF" w:rsidR="007870E9">
        <w:t>is an active participant in Federal-wide electronic grant initiative</w:t>
      </w:r>
      <w:r w:rsidRPr="005D2CAF" w:rsidR="005B7E2E">
        <w:t>s</w:t>
      </w:r>
      <w:r w:rsidRPr="005D2CAF" w:rsidR="007870E9">
        <w:t xml:space="preserve"> to improve efficiencies, harmonize data collection among Federal granting agencies, </w:t>
      </w:r>
      <w:r w:rsidRPr="005D2CAF" w:rsidR="00774408">
        <w:t xml:space="preserve">and </w:t>
      </w:r>
      <w:r w:rsidRPr="005D2CAF" w:rsidR="007870E9">
        <w:t xml:space="preserve">provide one simple, unified electronic portal through which applicants may </w:t>
      </w:r>
      <w:r w:rsidRPr="005D2CAF" w:rsidR="00CA5FC7">
        <w:t xml:space="preserve">find funding opportunities for, and </w:t>
      </w:r>
      <w:r w:rsidRPr="005D2CAF" w:rsidR="007870E9">
        <w:t xml:space="preserve">request Federal support from 26 different grant-making agencies. </w:t>
      </w:r>
      <w:r w:rsidRPr="00571F01" w:rsidR="00571F01">
        <w:t>Grants.gov</w:t>
      </w:r>
      <w:r w:rsidRPr="005D2CAF" w:rsidR="007870E9">
        <w:t xml:space="preserve"> provides a standardized interface for agencies to announce their grant opportunities, and a single, secure, and reliable source for all grant applicants to find and apply for those opportunities. </w:t>
      </w:r>
      <w:r w:rsidRPr="005D2CAF" w:rsidR="000F0F80">
        <w:t>T</w:t>
      </w:r>
      <w:r w:rsidRPr="005D2CAF" w:rsidR="007870E9">
        <w:t>hese efforts ultimately eliminat</w:t>
      </w:r>
      <w:r w:rsidRPr="005D2CAF" w:rsidR="000F0F80">
        <w:t>e</w:t>
      </w:r>
      <w:r w:rsidRPr="005D2CAF" w:rsidR="007870E9">
        <w:t xml:space="preserve"> paper submissions</w:t>
      </w:r>
      <w:r w:rsidRPr="005D2CAF" w:rsidR="00774408">
        <w:t xml:space="preserve"> and unnecessary applicant burden</w:t>
      </w:r>
      <w:r w:rsidRPr="005D2CAF" w:rsidR="007870E9">
        <w:t>.</w:t>
      </w:r>
      <w:r w:rsidRPr="005D2CAF" w:rsidR="008F0E8F">
        <w:t xml:space="preserve">  </w:t>
      </w:r>
    </w:p>
    <w:p w:rsidR="006C6F2B" w:rsidP="006C6F2B" w:rsidRDefault="006C6F2B" w14:paraId="28B316FB" w14:textId="77777777"/>
    <w:p w:rsidRPr="006C6F2B" w:rsidR="006C6F2B" w:rsidP="006C6F2B" w:rsidRDefault="006C6F2B" w14:paraId="79856044" w14:textId="484C7C1D">
      <w:pPr>
        <w:spacing w:line="480" w:lineRule="auto"/>
      </w:pPr>
      <w:r w:rsidRPr="006C6F2B">
        <w:t xml:space="preserve">PHS utilizes </w:t>
      </w:r>
      <w:r w:rsidRPr="006C6F2B">
        <w:rPr>
          <w:i/>
          <w:iCs/>
        </w:rPr>
        <w:t>Grants.gov Find</w:t>
      </w:r>
      <w:r w:rsidRPr="006C6F2B">
        <w:t xml:space="preserve"> for posting 100% of all funding opportunities; </w:t>
      </w:r>
      <w:r w:rsidRPr="006C6F2B">
        <w:rPr>
          <w:i/>
          <w:iCs/>
        </w:rPr>
        <w:t>Grants.gov Apply</w:t>
      </w:r>
      <w:r w:rsidRPr="006C6F2B">
        <w:t xml:space="preserve"> is used for </w:t>
      </w:r>
      <w:proofErr w:type="gramStart"/>
      <w:r w:rsidRPr="006C6F2B">
        <w:t>the majority of</w:t>
      </w:r>
      <w:proofErr w:type="gramEnd"/>
      <w:r w:rsidRPr="006C6F2B">
        <w:t xml:space="preserve"> program opportunities. NIH worked closely with Grants.gov to develop a process for the submission of complex, multi-project applications using existing SF424 (R&amp;R) forms and the PHS 398 forms included in this collection. The new process implemented by Grants.gov, in combination with the Application Submission System &amp; Interface for Submission Tracking (ASSIST) on-line front-end implemented by NIH to support </w:t>
      </w:r>
      <w:r w:rsidR="00862F8C">
        <w:t xml:space="preserve">single- and </w:t>
      </w:r>
      <w:r w:rsidRPr="006C6F2B">
        <w:t xml:space="preserve">multi-project programs, enabled NIH to accept all competing grant applications electronically through </w:t>
      </w:r>
      <w:r w:rsidRPr="006C6F2B">
        <w:rPr>
          <w:i/>
          <w:iCs/>
        </w:rPr>
        <w:lastRenderedPageBreak/>
        <w:t>Grants.gov Apply</w:t>
      </w:r>
      <w:r w:rsidRPr="006C6F2B">
        <w:t>. Use of ASSIST as a submission option to Grants.gov is being expanded to other Public Health Service agencies and programs.</w:t>
      </w:r>
    </w:p>
    <w:p w:rsidRPr="00A96C9A" w:rsidR="00BB7AA0" w:rsidP="00BB7AA0" w:rsidRDefault="00BB7AA0" w14:paraId="0CCAFCAE" w14:textId="77777777">
      <w:pPr>
        <w:rPr>
          <w:color w:val="000000"/>
        </w:rPr>
      </w:pPr>
    </w:p>
    <w:p w:rsidR="008C6B24" w:rsidP="001D5F9B" w:rsidRDefault="008C6B24" w14:paraId="23974C6C" w14:textId="77777777">
      <w:pPr>
        <w:ind w:right="-684"/>
        <w:rPr>
          <w:bCs/>
        </w:rPr>
      </w:pPr>
    </w:p>
    <w:p w:rsidR="008C6B24" w:rsidP="001D5F9B" w:rsidRDefault="008C6B24" w14:paraId="1C939EAE" w14:textId="77777777">
      <w:pPr>
        <w:ind w:right="-684"/>
        <w:rPr>
          <w:bCs/>
        </w:rPr>
      </w:pPr>
    </w:p>
    <w:p w:rsidRPr="00262E69" w:rsidR="00C4250B" w:rsidP="00372263" w:rsidRDefault="00A30801" w14:paraId="62400749" w14:textId="42D1478F">
      <w:pPr>
        <w:spacing w:before="240" w:line="480" w:lineRule="auto"/>
      </w:pPr>
      <w:r>
        <w:rPr>
          <w:u w:val="single"/>
        </w:rPr>
        <w:t xml:space="preserve">Privacy Impact </w:t>
      </w:r>
      <w:proofErr w:type="spellStart"/>
      <w:r>
        <w:rPr>
          <w:u w:val="single"/>
        </w:rPr>
        <w:t>Assesment</w:t>
      </w:r>
      <w:proofErr w:type="spellEnd"/>
      <w:r>
        <w:rPr>
          <w:u w:val="single"/>
        </w:rPr>
        <w:t xml:space="preserve"> (PIA)</w:t>
      </w:r>
      <w:r w:rsidR="00C4250B">
        <w:t xml:space="preserve"> </w:t>
      </w:r>
      <w:r>
        <w:t xml:space="preserve">- </w:t>
      </w:r>
      <w:r w:rsidR="00177A9C">
        <w:t xml:space="preserve">NIH grant systems, such as </w:t>
      </w:r>
      <w:proofErr w:type="spellStart"/>
      <w:r w:rsidR="00177A9C">
        <w:t>eRA</w:t>
      </w:r>
      <w:proofErr w:type="spellEnd"/>
      <w:r w:rsidR="00177A9C">
        <w:t xml:space="preserve"> and IMPAC II</w:t>
      </w:r>
      <w:r>
        <w:t>) are covered by a PIA</w:t>
      </w:r>
      <w:r w:rsidR="00177A9C">
        <w:t xml:space="preserve">. See Attachment </w:t>
      </w:r>
      <w:r w:rsidR="000776DE">
        <w:t xml:space="preserve">1 </w:t>
      </w:r>
      <w:r w:rsidR="00177A9C">
        <w:t>for the latest copy</w:t>
      </w:r>
      <w:r>
        <w:t xml:space="preserve"> of NIH’s PIA</w:t>
      </w:r>
      <w:r w:rsidR="00177A9C">
        <w:t xml:space="preserve">. </w:t>
      </w:r>
    </w:p>
    <w:p w:rsidR="00C80162" w:rsidP="00530196" w:rsidRDefault="00C80162" w14:paraId="5554A64F" w14:textId="77777777">
      <w:pPr>
        <w:pStyle w:val="Heading1"/>
        <w:ind w:left="0"/>
        <w:rPr>
          <w:b/>
          <w:u w:val="none"/>
        </w:rPr>
      </w:pPr>
    </w:p>
    <w:p w:rsidRPr="00830BEA" w:rsidR="00B61497" w:rsidP="00262E69" w:rsidRDefault="00830BEA" w14:paraId="2B7D1791" w14:textId="77777777">
      <w:pPr>
        <w:pStyle w:val="Heading2"/>
      </w:pPr>
      <w:bookmarkStart w:name="_Toc419964728" w:id="5"/>
      <w:r w:rsidRPr="00830BEA">
        <w:t>A.</w:t>
      </w:r>
      <w:r w:rsidRPr="00830BEA" w:rsidR="00B61497">
        <w:t>4.</w:t>
      </w:r>
      <w:r w:rsidRPr="00830BEA">
        <w:t xml:space="preserve"> </w:t>
      </w:r>
      <w:r w:rsidRPr="00830BEA" w:rsidR="00B61497">
        <w:t>Efforts to Identify Duplication and Use of Similar Information</w:t>
      </w:r>
      <w:bookmarkEnd w:id="5"/>
    </w:p>
    <w:p w:rsidRPr="005D2CAF" w:rsidR="00676877" w:rsidP="00530196" w:rsidRDefault="00676877" w14:paraId="78FDDA9B" w14:textId="77777777"/>
    <w:p w:rsidR="003D4859" w:rsidP="00E70203" w:rsidRDefault="00A1632A" w14:paraId="4B5AC257" w14:textId="0459A456">
      <w:pPr>
        <w:spacing w:line="480" w:lineRule="auto"/>
        <w:rPr>
          <w:sz w:val="22"/>
          <w:szCs w:val="22"/>
        </w:rPr>
      </w:pPr>
      <w:r w:rsidRPr="005D2CAF">
        <w:rPr>
          <w:bCs/>
        </w:rPr>
        <w:t>Similar information does not exist, and thus t</w:t>
      </w:r>
      <w:r w:rsidRPr="005D2CAF" w:rsidR="00B61497">
        <w:rPr>
          <w:bCs/>
        </w:rPr>
        <w:t>here is no other method for collection</w:t>
      </w:r>
      <w:r w:rsidRPr="005D2CAF" w:rsidR="002E0985">
        <w:rPr>
          <w:bCs/>
        </w:rPr>
        <w:t>.</w:t>
      </w:r>
      <w:r w:rsidRPr="005D2CAF" w:rsidR="00B61497">
        <w:rPr>
          <w:bCs/>
        </w:rPr>
        <w:t xml:space="preserve"> </w:t>
      </w:r>
    </w:p>
    <w:p w:rsidR="005A0059" w:rsidP="00262E69" w:rsidRDefault="005A0059" w14:paraId="5A7EA767" w14:textId="77777777">
      <w:pPr>
        <w:ind w:right="-684"/>
        <w:rPr>
          <w:b/>
          <w:bCs/>
        </w:rPr>
      </w:pPr>
    </w:p>
    <w:p w:rsidR="00B61497" w:rsidP="00262E69" w:rsidRDefault="00830BEA" w14:paraId="47E90783" w14:textId="77777777">
      <w:pPr>
        <w:pStyle w:val="Heading2"/>
      </w:pPr>
      <w:bookmarkStart w:name="_Toc419964729" w:id="6"/>
      <w:r w:rsidRPr="00830BEA">
        <w:t>A.</w:t>
      </w:r>
      <w:r w:rsidRPr="00830BEA" w:rsidR="00B61497">
        <w:t>5.</w:t>
      </w:r>
      <w:r w:rsidRPr="00830BEA">
        <w:t xml:space="preserve"> </w:t>
      </w:r>
      <w:r w:rsidRPr="00830BEA" w:rsidR="00B61497">
        <w:t>Impact on Small Business or other Small Entities</w:t>
      </w:r>
      <w:bookmarkEnd w:id="6"/>
    </w:p>
    <w:p w:rsidRPr="00262E69" w:rsidR="00262E69" w:rsidP="00262E69" w:rsidRDefault="00262E69" w14:paraId="51D21869" w14:textId="77777777"/>
    <w:p w:rsidR="00550B47" w:rsidP="00530196" w:rsidRDefault="00550B47" w14:paraId="03FF5C99" w14:textId="538D60E3">
      <w:pPr>
        <w:pStyle w:val="BodyText"/>
        <w:ind w:right="-684"/>
        <w:rPr>
          <w:bCs/>
        </w:rPr>
      </w:pPr>
      <w:r>
        <w:t>The impact on small business or other small entities is anticipated to be negligible.</w:t>
      </w:r>
    </w:p>
    <w:p w:rsidR="009D3DC8" w:rsidP="00262E69" w:rsidRDefault="009D3DC8" w14:paraId="769014FF" w14:textId="77777777">
      <w:pPr>
        <w:ind w:right="-684"/>
        <w:rPr>
          <w:b/>
          <w:bCs/>
        </w:rPr>
      </w:pPr>
    </w:p>
    <w:p w:rsidR="00B61497" w:rsidP="00262E69" w:rsidRDefault="00830BEA" w14:paraId="10827C6A" w14:textId="77777777">
      <w:pPr>
        <w:pStyle w:val="Heading2"/>
      </w:pPr>
      <w:bookmarkStart w:name="_Toc419964730" w:id="7"/>
      <w:r w:rsidRPr="00830BEA">
        <w:t>A.</w:t>
      </w:r>
      <w:r w:rsidRPr="00830BEA" w:rsidR="00B61497">
        <w:t>6.</w:t>
      </w:r>
      <w:r w:rsidRPr="00830BEA">
        <w:t xml:space="preserve"> </w:t>
      </w:r>
      <w:r w:rsidRPr="00830BEA" w:rsidR="00B61497">
        <w:t>Consequences of Collecting Information Less Frequently</w:t>
      </w:r>
      <w:bookmarkEnd w:id="7"/>
    </w:p>
    <w:p w:rsidRPr="00262E69" w:rsidR="00262E69" w:rsidP="00262E69" w:rsidRDefault="00262E69" w14:paraId="78EBB90F" w14:textId="77777777"/>
    <w:p w:rsidR="00885520" w:rsidP="00530196" w:rsidRDefault="00581F55" w14:paraId="06276A64" w14:textId="2BF9DD43">
      <w:pPr>
        <w:spacing w:line="480" w:lineRule="auto"/>
        <w:ind w:right="-684"/>
        <w:rPr>
          <w:bCs/>
        </w:rPr>
      </w:pPr>
      <w:r w:rsidRPr="00581F55">
        <w:rPr>
          <w:bCs/>
        </w:rPr>
        <w:t xml:space="preserve">All </w:t>
      </w:r>
      <w:r>
        <w:rPr>
          <w:bCs/>
        </w:rPr>
        <w:t xml:space="preserve">other </w:t>
      </w:r>
      <w:r w:rsidRPr="00581F55" w:rsidR="004074F8">
        <w:rPr>
          <w:bCs/>
        </w:rPr>
        <w:t>f</w:t>
      </w:r>
      <w:r w:rsidRPr="00581F55" w:rsidR="00AD6ABA">
        <w:rPr>
          <w:bCs/>
        </w:rPr>
        <w:t>orms</w:t>
      </w:r>
      <w:r>
        <w:rPr>
          <w:bCs/>
        </w:rPr>
        <w:t xml:space="preserve"> in this package</w:t>
      </w:r>
      <w:r w:rsidRPr="00581F55" w:rsidR="00AD6ABA">
        <w:rPr>
          <w:bCs/>
        </w:rPr>
        <w:t xml:space="preserve"> represent </w:t>
      </w:r>
      <w:proofErr w:type="gramStart"/>
      <w:r w:rsidRPr="00581F55" w:rsidR="00AD6ABA">
        <w:rPr>
          <w:bCs/>
        </w:rPr>
        <w:t>one time</w:t>
      </w:r>
      <w:proofErr w:type="gramEnd"/>
      <w:r w:rsidRPr="00581F55" w:rsidR="00AD6ABA">
        <w:rPr>
          <w:bCs/>
        </w:rPr>
        <w:t xml:space="preserve"> information collections.</w:t>
      </w:r>
      <w:r w:rsidRPr="00581F55" w:rsidR="00882A3C">
        <w:rPr>
          <w:bCs/>
        </w:rPr>
        <w:t xml:space="preserve">  </w:t>
      </w:r>
      <w:r w:rsidRPr="00581F55" w:rsidR="00F32F80">
        <w:rPr>
          <w:bCs/>
        </w:rPr>
        <w:t>It is not possible to collect the information less frequently.</w:t>
      </w:r>
    </w:p>
    <w:p w:rsidRPr="00E27D96" w:rsidR="00F32F80" w:rsidP="00262E69" w:rsidRDefault="00F32F80" w14:paraId="31292E35" w14:textId="77777777">
      <w:pPr>
        <w:ind w:right="-684"/>
        <w:rPr>
          <w:bCs/>
        </w:rPr>
      </w:pPr>
    </w:p>
    <w:p w:rsidR="00B61497" w:rsidP="00262E69" w:rsidRDefault="00830BEA" w14:paraId="13DE83B8" w14:textId="77777777">
      <w:pPr>
        <w:pStyle w:val="Heading2"/>
      </w:pPr>
      <w:bookmarkStart w:name="_Toc419964731" w:id="8"/>
      <w:r w:rsidRPr="00830BEA">
        <w:t>A.</w:t>
      </w:r>
      <w:r w:rsidRPr="00830BEA" w:rsidR="00B61497">
        <w:t>7.</w:t>
      </w:r>
      <w:r w:rsidRPr="00830BEA">
        <w:t xml:space="preserve"> </w:t>
      </w:r>
      <w:r w:rsidRPr="00830BEA" w:rsidR="00B61497">
        <w:t>Special Circumstances Relating to Guidelines of 5 CFR 1320.5</w:t>
      </w:r>
      <w:bookmarkEnd w:id="8"/>
    </w:p>
    <w:p w:rsidRPr="00262E69" w:rsidR="00262E69" w:rsidP="00262E69" w:rsidRDefault="00262E69" w14:paraId="5A6FE2DD" w14:textId="77777777"/>
    <w:p w:rsidRPr="0052504A" w:rsidR="003D4859" w:rsidP="003D4859" w:rsidRDefault="003D4859" w14:paraId="78D6392E" w14:textId="77777777">
      <w:pPr>
        <w:tabs>
          <w:tab w:val="left" w:pos="-1440"/>
        </w:tabs>
        <w:spacing w:before="100" w:beforeAutospacing="1" w:after="100" w:afterAutospacing="1" w:line="480" w:lineRule="auto"/>
      </w:pPr>
      <w:r w:rsidRPr="0052504A">
        <w:t>This study complies fully with the guidelines of 5 CFR 1320.5. No exceptions to the guidelines are required.</w:t>
      </w:r>
    </w:p>
    <w:p w:rsidR="007C0487" w:rsidP="00262E69" w:rsidRDefault="007C0487" w14:paraId="65723DF2" w14:textId="77777777">
      <w:pPr>
        <w:pStyle w:val="Heading1"/>
        <w:ind w:left="0"/>
        <w:rPr>
          <w:b/>
          <w:u w:val="none"/>
        </w:rPr>
      </w:pPr>
    </w:p>
    <w:p w:rsidR="00262E69" w:rsidP="00262E69" w:rsidRDefault="00830BEA" w14:paraId="6ABF68FE" w14:textId="77777777">
      <w:pPr>
        <w:pStyle w:val="Heading2"/>
      </w:pPr>
      <w:bookmarkStart w:name="_Toc419964732" w:id="9"/>
      <w:r w:rsidRPr="00830BEA">
        <w:t>A.</w:t>
      </w:r>
      <w:r w:rsidRPr="00830BEA" w:rsidR="00B61497">
        <w:t>8.</w:t>
      </w:r>
      <w:r w:rsidR="00E05D34">
        <w:t>1</w:t>
      </w:r>
      <w:r w:rsidRPr="00830BEA">
        <w:t xml:space="preserve"> </w:t>
      </w:r>
      <w:r w:rsidRPr="00830BEA" w:rsidR="00B61497">
        <w:t>Comments in Response to the F</w:t>
      </w:r>
      <w:r>
        <w:t xml:space="preserve">ederal </w:t>
      </w:r>
      <w:r w:rsidRPr="00830BEA" w:rsidR="00D4388E">
        <w:t>R</w:t>
      </w:r>
      <w:r>
        <w:t>egister</w:t>
      </w:r>
      <w:r w:rsidRPr="00830BEA" w:rsidR="00521500">
        <w:t xml:space="preserve"> </w:t>
      </w:r>
      <w:r w:rsidR="00E05D34">
        <w:t>Notice</w:t>
      </w:r>
      <w:bookmarkEnd w:id="9"/>
    </w:p>
    <w:p w:rsidRPr="00830BEA" w:rsidR="00B61497" w:rsidP="00262E69" w:rsidRDefault="00E05D34" w14:paraId="4C2BD0AF" w14:textId="77777777">
      <w:pPr>
        <w:pStyle w:val="Heading2"/>
      </w:pPr>
      <w:r>
        <w:t xml:space="preserve"> </w:t>
      </w:r>
    </w:p>
    <w:p w:rsidR="00E8673B" w:rsidP="00530196" w:rsidRDefault="00B61497" w14:paraId="47F19F71" w14:textId="32AF6A21">
      <w:pPr>
        <w:spacing w:line="480" w:lineRule="auto"/>
      </w:pPr>
      <w:r w:rsidRPr="00E27D96">
        <w:t xml:space="preserve">An announcement was placed in the Federal </w:t>
      </w:r>
      <w:r w:rsidRPr="0069308A">
        <w:t>Register,</w:t>
      </w:r>
      <w:r w:rsidRPr="0069308A" w:rsidR="00E74EEF">
        <w:t xml:space="preserve"> Vol.</w:t>
      </w:r>
      <w:r w:rsidR="0084183B">
        <w:t xml:space="preserve"> </w:t>
      </w:r>
      <w:r w:rsidR="003D4859">
        <w:t xml:space="preserve">86 </w:t>
      </w:r>
      <w:r w:rsidRPr="0069308A" w:rsidR="00E74EEF">
        <w:t>No.</w:t>
      </w:r>
      <w:r w:rsidR="003D4859">
        <w:t xml:space="preserve"> 76</w:t>
      </w:r>
      <w:r w:rsidRPr="0069308A" w:rsidR="00E74EEF">
        <w:t xml:space="preserve">, </w:t>
      </w:r>
      <w:r w:rsidR="00543DF5">
        <w:t xml:space="preserve">page </w:t>
      </w:r>
      <w:r w:rsidR="003D4859">
        <w:t>21324</w:t>
      </w:r>
      <w:r w:rsidR="00543DF5">
        <w:t xml:space="preserve">, on </w:t>
      </w:r>
      <w:r w:rsidR="0010166B">
        <w:t xml:space="preserve">April </w:t>
      </w:r>
      <w:r w:rsidR="003D4859">
        <w:t>22</w:t>
      </w:r>
      <w:r w:rsidR="0010166B">
        <w:t xml:space="preserve">, </w:t>
      </w:r>
      <w:r w:rsidR="003D4859">
        <w:t xml:space="preserve">2021 </w:t>
      </w:r>
      <w:r w:rsidRPr="00D177ED" w:rsidR="00D177ED">
        <w:t xml:space="preserve">for public comment, </w:t>
      </w:r>
      <w:r w:rsidR="003D4859">
        <w:t>no comments were received.</w:t>
      </w:r>
    </w:p>
    <w:p w:rsidR="00E8673B" w:rsidP="00E8673B" w:rsidRDefault="00E8673B" w14:paraId="1B7E9209" w14:textId="77777777"/>
    <w:p w:rsidR="00E05D34" w:rsidP="00262E69" w:rsidRDefault="00E05D34" w14:paraId="61B530E5" w14:textId="77777777">
      <w:pPr>
        <w:pStyle w:val="Heading2"/>
      </w:pPr>
      <w:bookmarkStart w:name="_Toc419964733" w:id="10"/>
      <w:r>
        <w:lastRenderedPageBreak/>
        <w:t xml:space="preserve">A.8.2 </w:t>
      </w:r>
      <w:r w:rsidRPr="00830BEA">
        <w:t>Efforts to Consult Outside Agency</w:t>
      </w:r>
      <w:bookmarkEnd w:id="10"/>
    </w:p>
    <w:p w:rsidRPr="00262E69" w:rsidR="00262E69" w:rsidP="00262E69" w:rsidRDefault="00262E69" w14:paraId="7F21A1EC" w14:textId="77777777"/>
    <w:p w:rsidR="00B61497" w:rsidP="005A1355" w:rsidRDefault="009A6B2F" w14:paraId="69FE1526" w14:textId="6B5D16B2">
      <w:pPr>
        <w:spacing w:line="480" w:lineRule="auto"/>
      </w:pPr>
      <w:r>
        <w:t xml:space="preserve">In accordance with NIH policy and resulting CDMRP policy on the inclusion of Women and Minorities as Subjects in Clinical Research, submission of the "Inclusion Enrollment Report” is required by researchers at the time of proposal submission annually for funded investigators so that CDMRP may track anticipated and actual enrollment of participants by sex/gender, race and ethnicity.  The members of CDMRP/DoD reached out to NIH requesting that this be made </w:t>
      </w:r>
      <w:proofErr w:type="gramStart"/>
      <w:r>
        <w:t>into  a</w:t>
      </w:r>
      <w:proofErr w:type="gramEnd"/>
      <w:r>
        <w:t xml:space="preserve"> common form so that </w:t>
      </w:r>
      <w:r w:rsidR="0084183B">
        <w:t>they</w:t>
      </w:r>
      <w:r>
        <w:t xml:space="preserve"> can report DoD burden </w:t>
      </w:r>
      <w:r w:rsidR="005A1355">
        <w:t>.</w:t>
      </w:r>
    </w:p>
    <w:p w:rsidRPr="00E27D96" w:rsidR="005A1355" w:rsidP="005A1355" w:rsidRDefault="005A1355" w14:paraId="6D3C8F84" w14:textId="77777777">
      <w:pPr>
        <w:spacing w:line="480" w:lineRule="auto"/>
        <w:rPr>
          <w:bCs/>
        </w:rPr>
      </w:pPr>
    </w:p>
    <w:p w:rsidR="00B61497" w:rsidP="00262E69" w:rsidRDefault="00830BEA" w14:paraId="537E521B" w14:textId="77777777">
      <w:pPr>
        <w:pStyle w:val="Heading2"/>
      </w:pPr>
      <w:bookmarkStart w:name="_Toc419964734" w:id="11"/>
      <w:r w:rsidRPr="00830BEA">
        <w:t>A.</w:t>
      </w:r>
      <w:r w:rsidRPr="00830BEA" w:rsidR="00B61497">
        <w:t>9.</w:t>
      </w:r>
      <w:r w:rsidRPr="00830BEA">
        <w:t xml:space="preserve"> </w:t>
      </w:r>
      <w:r w:rsidRPr="00830BEA" w:rsidR="00B61497">
        <w:t>Explanation of Any Payment or Gift to Respondents</w:t>
      </w:r>
      <w:bookmarkEnd w:id="11"/>
    </w:p>
    <w:p w:rsidRPr="00262E69" w:rsidR="00262E69" w:rsidP="00262E69" w:rsidRDefault="00262E69" w14:paraId="3020C6F4" w14:textId="77777777"/>
    <w:p w:rsidRPr="00847667" w:rsidR="00B61497" w:rsidP="00530196" w:rsidRDefault="00B61497" w14:paraId="747D3CC1" w14:textId="77777777">
      <w:pPr>
        <w:spacing w:line="480" w:lineRule="auto"/>
        <w:ind w:right="-684"/>
        <w:rPr>
          <w:bCs/>
        </w:rPr>
      </w:pPr>
      <w:r w:rsidRPr="00847667">
        <w:rPr>
          <w:bCs/>
        </w:rPr>
        <w:t>There are no payments or gifts to respondents.</w:t>
      </w:r>
    </w:p>
    <w:p w:rsidR="00F50575" w:rsidP="00262E69" w:rsidRDefault="00F50575" w14:paraId="0390A836" w14:textId="77777777">
      <w:pPr>
        <w:ind w:right="-684"/>
        <w:rPr>
          <w:b/>
          <w:bCs/>
          <w:highlight w:val="yellow"/>
        </w:rPr>
      </w:pPr>
    </w:p>
    <w:p w:rsidR="00B61497" w:rsidP="00262E69" w:rsidRDefault="00830BEA" w14:paraId="5F91C8E7" w14:textId="77777777">
      <w:pPr>
        <w:pStyle w:val="Heading2"/>
      </w:pPr>
      <w:bookmarkStart w:name="_Toc419964735" w:id="12"/>
      <w:r w:rsidRPr="00BC28FA">
        <w:t>A.</w:t>
      </w:r>
      <w:r w:rsidRPr="00BC28FA" w:rsidR="00B61497">
        <w:t>10.</w:t>
      </w:r>
      <w:r w:rsidRPr="00BC28FA">
        <w:t xml:space="preserve"> </w:t>
      </w:r>
      <w:r w:rsidRPr="00BC28FA" w:rsidR="00B61497">
        <w:t>Assurance of Confidentiality Provided to Respondents</w:t>
      </w:r>
      <w:bookmarkEnd w:id="12"/>
    </w:p>
    <w:p w:rsidRPr="00262E69" w:rsidR="00262E69" w:rsidP="00262E69" w:rsidRDefault="00262E69" w14:paraId="76D522FA" w14:textId="77777777"/>
    <w:p w:rsidRPr="002E508C" w:rsidR="002E508C" w:rsidP="002E508C" w:rsidRDefault="00C12000" w14:paraId="69ABC196" w14:textId="5B3A71E6">
      <w:pPr>
        <w:spacing w:line="480" w:lineRule="auto"/>
        <w:rPr>
          <w:color w:val="000000"/>
        </w:rPr>
      </w:pPr>
      <w:r w:rsidRPr="00C12000">
        <w:rPr>
          <w:color w:val="000000"/>
        </w:rPr>
        <w:t>The Privacy Act applies to this collection.</w:t>
      </w:r>
      <w:r w:rsidRPr="002E508C" w:rsidR="00744DCB">
        <w:rPr>
          <w:b/>
          <w:color w:val="000000"/>
        </w:rPr>
        <w:t xml:space="preserve"> </w:t>
      </w:r>
      <w:r w:rsidRPr="002E508C" w:rsidR="00744DCB">
        <w:rPr>
          <w:color w:val="000000"/>
        </w:rPr>
        <w:t xml:space="preserve">The NIH maintains application and grant records as part of a system of records as defined by the Privacy Act:  NIH 09-25-0036, </w:t>
      </w:r>
      <w:r w:rsidRPr="002E508C" w:rsidR="00744DCB">
        <w:rPr>
          <w:i/>
          <w:color w:val="000000"/>
        </w:rPr>
        <w:t>Extramural Awards and Chartered Advisory Committees (IMPAC 2), Contract Information (DCIS), and Cooperative Agreement Information, HHS/NIH</w:t>
      </w:r>
      <w:r w:rsidRPr="002E508C" w:rsidR="00744DCB">
        <w:rPr>
          <w:color w:val="000000"/>
        </w:rPr>
        <w:t xml:space="preserve">:  </w:t>
      </w:r>
      <w:hyperlink w:history="1" r:id="rId8">
        <w:r w:rsidRPr="002E508C" w:rsidR="00744DCB">
          <w:rPr>
            <w:rStyle w:val="Hyperlink"/>
            <w:color w:val="000000"/>
          </w:rPr>
          <w:t>http://oma.od.nih.gov/ms/privacy/pa-files/0036.htm</w:t>
        </w:r>
      </w:hyperlink>
      <w:r w:rsidRPr="002E508C" w:rsidR="00744DCB">
        <w:rPr>
          <w:color w:val="000000"/>
        </w:rPr>
        <w:t>.</w:t>
      </w:r>
      <w:r w:rsidRPr="006716D1" w:rsidR="006716D1">
        <w:rPr>
          <w:color w:val="000000" w:themeColor="text1"/>
        </w:rPr>
        <w:t>The SORN was published in the Federal Register on September 26, 2002 (Vol. 67, No. 187).</w:t>
      </w:r>
      <w:r w:rsidRPr="006716D1" w:rsidR="002E508C">
        <w:rPr>
          <w:color w:val="000000" w:themeColor="text1"/>
        </w:rPr>
        <w:t xml:space="preserve"> </w:t>
      </w:r>
      <w:r w:rsidRPr="002E508C" w:rsidR="002E508C">
        <w:rPr>
          <w:color w:val="000000"/>
        </w:rPr>
        <w:t>Release of information is fully explained in all grant related information collections.</w:t>
      </w:r>
      <w:r w:rsidR="00543DF5">
        <w:rPr>
          <w:color w:val="000000"/>
        </w:rPr>
        <w:t xml:space="preserve"> </w:t>
      </w:r>
    </w:p>
    <w:p w:rsidR="00D05D8D" w:rsidP="00262E69" w:rsidRDefault="00D05D8D" w14:paraId="7D2E7F90" w14:textId="77777777">
      <w:pPr>
        <w:ind w:right="-684"/>
        <w:rPr>
          <w:b/>
          <w:bCs/>
        </w:rPr>
      </w:pPr>
    </w:p>
    <w:p w:rsidR="00B61497" w:rsidP="00262E69" w:rsidRDefault="00830BEA" w14:paraId="7BE0C2FA" w14:textId="77777777">
      <w:pPr>
        <w:pStyle w:val="Heading2"/>
      </w:pPr>
      <w:bookmarkStart w:name="_Toc419964736" w:id="13"/>
      <w:r w:rsidRPr="00830BEA">
        <w:t>A.</w:t>
      </w:r>
      <w:r w:rsidRPr="00830BEA" w:rsidR="00B61497">
        <w:t>11.</w:t>
      </w:r>
      <w:r w:rsidRPr="00830BEA">
        <w:t xml:space="preserve"> </w:t>
      </w:r>
      <w:r w:rsidRPr="00830BEA" w:rsidR="00B61497">
        <w:t>Justification for Sensitive Questions</w:t>
      </w:r>
      <w:bookmarkEnd w:id="13"/>
    </w:p>
    <w:p w:rsidR="00262E69" w:rsidP="00262E69" w:rsidRDefault="00262E69" w14:paraId="78A4E0D6" w14:textId="65A1D121"/>
    <w:p w:rsidRPr="00E70203" w:rsidR="009E65A8" w:rsidP="00E70203" w:rsidRDefault="009A6B2F" w14:paraId="15506C58" w14:textId="7FECC5C4">
      <w:pPr>
        <w:pStyle w:val="CommentText"/>
        <w:spacing w:line="480" w:lineRule="auto"/>
        <w:rPr>
          <w:bCs/>
          <w:sz w:val="24"/>
          <w:szCs w:val="24"/>
        </w:rPr>
      </w:pPr>
      <w:r w:rsidRPr="00E70203">
        <w:rPr>
          <w:sz w:val="24"/>
          <w:szCs w:val="24"/>
        </w:rPr>
        <w:t xml:space="preserve">The Inclusion Enrollment Report includes collection of de-identified data on sex/gender, race, ethnicity, and age at enrollment to ensure compliance with Section 402(b) of the Public Health Service Act (42 U.S.C. 282(b)) requirements to ensure inclusion and reporting of clinical research participants by sex/gender, race, ethnicity, and age. Provision of this information is </w:t>
      </w:r>
      <w:r w:rsidRPr="00E70203">
        <w:rPr>
          <w:sz w:val="24"/>
          <w:szCs w:val="24"/>
        </w:rPr>
        <w:lastRenderedPageBreak/>
        <w:t xml:space="preserve">voluntary for clinical research participants and no individual will be denied any right, benefit, of privilege provided by law because of refusal to disclose the information. This data is provided as part of annual progress reports and is not part of the application reviewed by the Advisory </w:t>
      </w:r>
      <w:proofErr w:type="spellStart"/>
      <w:r w:rsidRPr="00E70203">
        <w:rPr>
          <w:sz w:val="24"/>
          <w:szCs w:val="24"/>
        </w:rPr>
        <w:t>Committeees</w:t>
      </w:r>
      <w:proofErr w:type="spellEnd"/>
      <w:r w:rsidRPr="00E70203">
        <w:rPr>
          <w:sz w:val="24"/>
          <w:szCs w:val="24"/>
        </w:rPr>
        <w:t xml:space="preserve"> or funding component.</w:t>
      </w:r>
      <w:r>
        <w:rPr>
          <w:sz w:val="24"/>
          <w:szCs w:val="24"/>
        </w:rPr>
        <w:t xml:space="preserve">  </w:t>
      </w:r>
      <w:r w:rsidDel="009A6B2F">
        <w:rPr>
          <w:bCs/>
        </w:rPr>
        <w:t xml:space="preserve"> </w:t>
      </w:r>
      <w:r w:rsidR="009E65A8">
        <w:rPr>
          <w:bCs/>
        </w:rPr>
        <w:t xml:space="preserve"> </w:t>
      </w:r>
      <w:r w:rsidRPr="00E70203" w:rsidR="009E65A8">
        <w:rPr>
          <w:bCs/>
          <w:sz w:val="24"/>
          <w:szCs w:val="24"/>
        </w:rPr>
        <w:t xml:space="preserve">All analyses utilizing other voluntarily provided data such as month/year of birth, gender, </w:t>
      </w:r>
      <w:proofErr w:type="gramStart"/>
      <w:r w:rsidRPr="00E70203" w:rsidR="009E65A8">
        <w:rPr>
          <w:bCs/>
          <w:sz w:val="24"/>
          <w:szCs w:val="24"/>
        </w:rPr>
        <w:t>race</w:t>
      </w:r>
      <w:proofErr w:type="gramEnd"/>
      <w:r w:rsidRPr="00E70203" w:rsidR="009E65A8">
        <w:rPr>
          <w:bCs/>
          <w:sz w:val="24"/>
          <w:szCs w:val="24"/>
        </w:rPr>
        <w:t xml:space="preserve"> and ethnicity report aggregate statistical findings only and do not identify individuals. All sensitive data are maintained in a Privacy Act record system (</w:t>
      </w:r>
      <w:hyperlink w:history="1" r:id="rId9">
        <w:r w:rsidRPr="00E70203" w:rsidR="009E65A8">
          <w:rPr>
            <w:rStyle w:val="Hyperlink"/>
            <w:sz w:val="24"/>
            <w:szCs w:val="24"/>
          </w:rPr>
          <w:t>09-25-0036</w:t>
        </w:r>
      </w:hyperlink>
      <w:r w:rsidRPr="00E70203" w:rsidR="009E65A8">
        <w:rPr>
          <w:sz w:val="24"/>
          <w:szCs w:val="24"/>
        </w:rPr>
        <w:t>)</w:t>
      </w:r>
      <w:r w:rsidRPr="00E70203" w:rsidR="009E65A8">
        <w:rPr>
          <w:bCs/>
          <w:sz w:val="24"/>
          <w:szCs w:val="24"/>
        </w:rPr>
        <w:t xml:space="preserve">.  </w:t>
      </w:r>
    </w:p>
    <w:p w:rsidR="009E65A8" w:rsidP="009E65A8" w:rsidRDefault="009E65A8" w14:paraId="495935D9" w14:textId="77777777"/>
    <w:p w:rsidR="009E65A8" w:rsidP="00262E69" w:rsidRDefault="009E65A8" w14:paraId="0BE0C8CA" w14:textId="4983B324"/>
    <w:p w:rsidR="00830BEA" w:rsidP="00262E69" w:rsidRDefault="00830BEA" w14:paraId="3B5AC026" w14:textId="77777777">
      <w:pPr>
        <w:pStyle w:val="Heading1"/>
        <w:ind w:left="0"/>
      </w:pPr>
    </w:p>
    <w:p w:rsidR="00B61497" w:rsidP="00262E69" w:rsidRDefault="00830BEA" w14:paraId="238A3EAF" w14:textId="77777777">
      <w:pPr>
        <w:pStyle w:val="Heading2"/>
      </w:pPr>
      <w:bookmarkStart w:name="_Toc419964737" w:id="14"/>
      <w:r w:rsidRPr="00830BEA">
        <w:t>A.</w:t>
      </w:r>
      <w:r w:rsidRPr="00830BEA" w:rsidR="00B61497">
        <w:t>12.</w:t>
      </w:r>
      <w:r w:rsidR="00E05D34">
        <w:t>1</w:t>
      </w:r>
      <w:r w:rsidRPr="00830BEA">
        <w:t xml:space="preserve"> </w:t>
      </w:r>
      <w:r w:rsidR="00E05D34">
        <w:t>Estimated Annualized Burden Hours</w:t>
      </w:r>
      <w:bookmarkEnd w:id="14"/>
    </w:p>
    <w:p w:rsidRPr="00262E69" w:rsidR="00262E69" w:rsidP="00262E69" w:rsidRDefault="00262E69" w14:paraId="099380FE" w14:textId="77777777"/>
    <w:p w:rsidRPr="00F236C6" w:rsidR="00B245E4" w:rsidP="00262E69" w:rsidRDefault="00B245E4" w14:paraId="0D19E8A6" w14:textId="77777777">
      <w:pPr>
        <w:ind w:right="-684"/>
        <w:rPr>
          <w:bCs/>
        </w:rPr>
      </w:pPr>
    </w:p>
    <w:p w:rsidRPr="00AA1F92" w:rsidR="00A87074" w:rsidP="00A87074" w:rsidRDefault="00A87074" w14:paraId="01F4E3ED" w14:textId="77777777">
      <w:pPr>
        <w:spacing w:line="480" w:lineRule="auto"/>
        <w:ind w:right="-684"/>
        <w:rPr>
          <w:bCs/>
        </w:rPr>
      </w:pPr>
      <w:r>
        <w:rPr>
          <w:bCs/>
        </w:rPr>
        <w:t xml:space="preserve">                                          </w:t>
      </w:r>
      <w:r w:rsidRPr="00AA1F92">
        <w:rPr>
          <w:bCs/>
        </w:rPr>
        <w:t>Estimated Annualized Burden Hours</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44"/>
        <w:gridCol w:w="1536"/>
        <w:gridCol w:w="2527"/>
        <w:gridCol w:w="1528"/>
        <w:gridCol w:w="1720"/>
      </w:tblGrid>
      <w:tr w:rsidRPr="00AA1F92" w:rsidR="00A87074" w:rsidTr="00F02F12" w14:paraId="0B7B683C" w14:textId="77777777">
        <w:trPr>
          <w:trHeight w:val="790"/>
        </w:trPr>
        <w:tc>
          <w:tcPr>
            <w:tcW w:w="0" w:type="auto"/>
            <w:shd w:val="clear" w:color="auto" w:fill="auto"/>
            <w:vAlign w:val="center"/>
            <w:hideMark/>
          </w:tcPr>
          <w:p w:rsidRPr="00AA1F92" w:rsidR="00A87074" w:rsidP="00A87074" w:rsidRDefault="00A87074" w14:paraId="2AD8BCD0" w14:textId="77777777">
            <w:pPr>
              <w:jc w:val="center"/>
              <w:rPr>
                <w:bCs/>
                <w:color w:val="000000"/>
              </w:rPr>
            </w:pPr>
            <w:bookmarkStart w:name="RANGE!A1:E25" w:id="15"/>
            <w:r w:rsidRPr="00AA1F92">
              <w:rPr>
                <w:bCs/>
                <w:color w:val="000000"/>
              </w:rPr>
              <w:t xml:space="preserve">Information </w:t>
            </w:r>
            <w:proofErr w:type="gramStart"/>
            <w:r w:rsidRPr="00AA1F92">
              <w:rPr>
                <w:bCs/>
                <w:color w:val="000000"/>
              </w:rPr>
              <w:t>Collection  Form</w:t>
            </w:r>
            <w:bookmarkEnd w:id="15"/>
            <w:r w:rsidRPr="00AA1F92">
              <w:rPr>
                <w:bCs/>
                <w:color w:val="000000"/>
              </w:rPr>
              <w:t>s</w:t>
            </w:r>
            <w:proofErr w:type="gramEnd"/>
          </w:p>
        </w:tc>
        <w:tc>
          <w:tcPr>
            <w:tcW w:w="1536" w:type="dxa"/>
            <w:shd w:val="clear" w:color="auto" w:fill="auto"/>
            <w:vAlign w:val="center"/>
            <w:hideMark/>
          </w:tcPr>
          <w:p w:rsidRPr="00AA1F92" w:rsidR="00A87074" w:rsidP="00A87074" w:rsidRDefault="00A87074" w14:paraId="57D03681" w14:textId="77777777">
            <w:pPr>
              <w:jc w:val="center"/>
              <w:rPr>
                <w:bCs/>
                <w:color w:val="000000"/>
              </w:rPr>
            </w:pPr>
            <w:r w:rsidRPr="00AA1F92">
              <w:rPr>
                <w:bCs/>
                <w:color w:val="000000"/>
              </w:rPr>
              <w:t>Number of Respondents</w:t>
            </w:r>
          </w:p>
        </w:tc>
        <w:tc>
          <w:tcPr>
            <w:tcW w:w="2527" w:type="dxa"/>
            <w:shd w:val="clear" w:color="auto" w:fill="auto"/>
            <w:vAlign w:val="center"/>
          </w:tcPr>
          <w:p w:rsidRPr="00AA1F92" w:rsidR="00A87074" w:rsidP="00A87074" w:rsidRDefault="00A87074" w14:paraId="69C7D385" w14:textId="77777777">
            <w:pPr>
              <w:jc w:val="center"/>
              <w:rPr>
                <w:bCs/>
                <w:color w:val="000000"/>
              </w:rPr>
            </w:pPr>
            <w:r w:rsidRPr="00AA1F92">
              <w:t>Number of Responses per Respondent</w:t>
            </w:r>
          </w:p>
        </w:tc>
        <w:tc>
          <w:tcPr>
            <w:tcW w:w="0" w:type="auto"/>
            <w:shd w:val="clear" w:color="auto" w:fill="auto"/>
            <w:vAlign w:val="center"/>
            <w:hideMark/>
          </w:tcPr>
          <w:p w:rsidRPr="00AA1F92" w:rsidR="00A87074" w:rsidP="00A87074" w:rsidRDefault="00A87074" w14:paraId="320A7B4C" w14:textId="77777777">
            <w:pPr>
              <w:jc w:val="center"/>
              <w:rPr>
                <w:bCs/>
                <w:color w:val="000000"/>
              </w:rPr>
            </w:pPr>
            <w:r w:rsidRPr="00AA1F92">
              <w:rPr>
                <w:bCs/>
                <w:color w:val="000000"/>
              </w:rPr>
              <w:t xml:space="preserve">Average Burden Per Response </w:t>
            </w:r>
          </w:p>
          <w:p w:rsidRPr="00AA1F92" w:rsidR="00A87074" w:rsidP="00A87074" w:rsidRDefault="00A87074" w14:paraId="5728CE40" w14:textId="77777777">
            <w:pPr>
              <w:jc w:val="center"/>
              <w:rPr>
                <w:bCs/>
                <w:color w:val="000000"/>
              </w:rPr>
            </w:pPr>
            <w:r w:rsidRPr="00AA1F92">
              <w:rPr>
                <w:bCs/>
                <w:color w:val="000000"/>
              </w:rPr>
              <w:t>(in hours)</w:t>
            </w:r>
          </w:p>
        </w:tc>
        <w:tc>
          <w:tcPr>
            <w:tcW w:w="0" w:type="auto"/>
            <w:shd w:val="clear" w:color="auto" w:fill="auto"/>
            <w:vAlign w:val="center"/>
            <w:hideMark/>
          </w:tcPr>
          <w:p w:rsidRPr="00AA1F92" w:rsidR="00A87074" w:rsidP="00A87074" w:rsidRDefault="00A87074" w14:paraId="537D5D91" w14:textId="77777777">
            <w:pPr>
              <w:jc w:val="center"/>
              <w:rPr>
                <w:bCs/>
                <w:color w:val="000000"/>
              </w:rPr>
            </w:pPr>
            <w:r w:rsidRPr="00AA1F92">
              <w:rPr>
                <w:bCs/>
                <w:color w:val="000000"/>
              </w:rPr>
              <w:t>Total Annual Burden Hours</w:t>
            </w:r>
          </w:p>
        </w:tc>
      </w:tr>
      <w:tr w:rsidRPr="001D0FE4" w:rsidR="00A87074" w:rsidTr="00F02F12" w14:paraId="18E5B6B2" w14:textId="77777777">
        <w:trPr>
          <w:trHeight w:val="525"/>
        </w:trPr>
        <w:tc>
          <w:tcPr>
            <w:tcW w:w="0" w:type="auto"/>
            <w:shd w:val="clear" w:color="auto" w:fill="auto"/>
            <w:vAlign w:val="center"/>
          </w:tcPr>
          <w:p w:rsidRPr="001D0FE4" w:rsidR="00A87074" w:rsidP="00A87074" w:rsidRDefault="007A4FC9" w14:paraId="434A9862" w14:textId="7D858890">
            <w:r w:rsidRPr="001D0FE4">
              <w:t>Inclusion enrollment form</w:t>
            </w:r>
            <w:r w:rsidRPr="001D0FE4" w:rsidR="00A87074">
              <w:t xml:space="preserve"> </w:t>
            </w:r>
          </w:p>
        </w:tc>
        <w:tc>
          <w:tcPr>
            <w:tcW w:w="1536" w:type="dxa"/>
            <w:shd w:val="clear" w:color="auto" w:fill="auto"/>
            <w:vAlign w:val="center"/>
          </w:tcPr>
          <w:p w:rsidRPr="001D0FE4" w:rsidR="00A87074" w:rsidP="00A87074" w:rsidRDefault="00F637F7" w14:paraId="1FC4BB4C" w14:textId="06D4FA6C">
            <w:pPr>
              <w:jc w:val="center"/>
            </w:pPr>
            <w:r w:rsidRPr="001D0FE4">
              <w:t>69,888</w:t>
            </w:r>
          </w:p>
        </w:tc>
        <w:tc>
          <w:tcPr>
            <w:tcW w:w="2527" w:type="dxa"/>
            <w:shd w:val="clear" w:color="auto" w:fill="auto"/>
            <w:vAlign w:val="center"/>
          </w:tcPr>
          <w:p w:rsidRPr="001D0FE4" w:rsidR="00A87074" w:rsidP="00A87074" w:rsidRDefault="00A87074" w14:paraId="59522853" w14:textId="77777777">
            <w:pPr>
              <w:jc w:val="center"/>
              <w:rPr>
                <w:color w:val="000000"/>
              </w:rPr>
            </w:pPr>
            <w:r w:rsidRPr="001D0FE4">
              <w:rPr>
                <w:color w:val="000000"/>
              </w:rPr>
              <w:t>1</w:t>
            </w:r>
          </w:p>
        </w:tc>
        <w:tc>
          <w:tcPr>
            <w:tcW w:w="0" w:type="auto"/>
            <w:shd w:val="clear" w:color="auto" w:fill="auto"/>
            <w:vAlign w:val="center"/>
          </w:tcPr>
          <w:p w:rsidRPr="001D0FE4" w:rsidR="00A87074" w:rsidP="00A87074" w:rsidRDefault="00F637F7" w14:paraId="3FE1F090" w14:textId="3397A952">
            <w:pPr>
              <w:jc w:val="center"/>
            </w:pPr>
            <w:r w:rsidRPr="001D0FE4">
              <w:t>3</w:t>
            </w:r>
          </w:p>
        </w:tc>
        <w:tc>
          <w:tcPr>
            <w:tcW w:w="0" w:type="auto"/>
            <w:shd w:val="clear" w:color="auto" w:fill="auto"/>
            <w:vAlign w:val="center"/>
          </w:tcPr>
          <w:p w:rsidRPr="001D0FE4" w:rsidR="00A87074" w:rsidP="00A87074" w:rsidRDefault="00F637F7" w14:paraId="59D69A2E" w14:textId="62045455">
            <w:pPr>
              <w:jc w:val="center"/>
            </w:pPr>
            <w:r w:rsidRPr="001D0FE4">
              <w:t>209,664</w:t>
            </w:r>
          </w:p>
        </w:tc>
      </w:tr>
      <w:tr w:rsidRPr="001D0FE4" w:rsidR="00E70203" w:rsidTr="00F02F12" w14:paraId="6ABE6647" w14:textId="77777777">
        <w:trPr>
          <w:trHeight w:val="270"/>
        </w:trPr>
        <w:tc>
          <w:tcPr>
            <w:tcW w:w="0" w:type="auto"/>
            <w:shd w:val="clear" w:color="auto" w:fill="auto"/>
            <w:vAlign w:val="center"/>
          </w:tcPr>
          <w:p w:rsidRPr="001D0FE4" w:rsidR="00A87074" w:rsidP="00A87074" w:rsidRDefault="00A87074" w14:paraId="2D42F59B" w14:textId="5B243132"/>
        </w:tc>
        <w:tc>
          <w:tcPr>
            <w:tcW w:w="1536" w:type="dxa"/>
            <w:shd w:val="clear" w:color="auto" w:fill="auto"/>
            <w:vAlign w:val="center"/>
          </w:tcPr>
          <w:p w:rsidRPr="001D0FE4" w:rsidR="00A87074" w:rsidP="00A87074" w:rsidRDefault="00A87074" w14:paraId="7CD50509" w14:textId="16802FB8">
            <w:pPr>
              <w:jc w:val="center"/>
            </w:pPr>
          </w:p>
        </w:tc>
        <w:tc>
          <w:tcPr>
            <w:tcW w:w="2527" w:type="dxa"/>
            <w:shd w:val="clear" w:color="auto" w:fill="auto"/>
            <w:vAlign w:val="center"/>
          </w:tcPr>
          <w:p w:rsidRPr="001D0FE4" w:rsidR="00A87074" w:rsidP="00A87074" w:rsidRDefault="00A87074" w14:paraId="132F2049" w14:textId="4EB3768A">
            <w:pPr>
              <w:jc w:val="center"/>
            </w:pPr>
          </w:p>
        </w:tc>
        <w:tc>
          <w:tcPr>
            <w:tcW w:w="0" w:type="auto"/>
            <w:shd w:val="clear" w:color="auto" w:fill="auto"/>
            <w:vAlign w:val="center"/>
          </w:tcPr>
          <w:p w:rsidRPr="001D0FE4" w:rsidR="00A87074" w:rsidP="00A87074" w:rsidRDefault="00A87074" w14:paraId="11F6474C" w14:textId="55D77E06">
            <w:pPr>
              <w:jc w:val="center"/>
            </w:pPr>
          </w:p>
        </w:tc>
        <w:tc>
          <w:tcPr>
            <w:tcW w:w="0" w:type="auto"/>
            <w:shd w:val="clear" w:color="auto" w:fill="auto"/>
            <w:vAlign w:val="center"/>
          </w:tcPr>
          <w:p w:rsidRPr="001D0FE4" w:rsidR="00A87074" w:rsidP="00A87074" w:rsidRDefault="00A87074" w14:paraId="3019D99F" w14:textId="470A899D">
            <w:pPr>
              <w:jc w:val="center"/>
            </w:pPr>
          </w:p>
        </w:tc>
      </w:tr>
      <w:tr w:rsidRPr="00AA1F92" w:rsidR="00A87074" w:rsidTr="00F02F12" w14:paraId="3AD400AB" w14:textId="77777777">
        <w:trPr>
          <w:trHeight w:val="674"/>
        </w:trPr>
        <w:tc>
          <w:tcPr>
            <w:tcW w:w="0" w:type="auto"/>
            <w:shd w:val="clear" w:color="auto" w:fill="auto"/>
            <w:vAlign w:val="center"/>
          </w:tcPr>
          <w:p w:rsidRPr="001D0FE4" w:rsidR="00A87074" w:rsidP="00A87074" w:rsidRDefault="00A87074" w14:paraId="28FE7FF1" w14:textId="77777777">
            <w:pPr>
              <w:rPr>
                <w:color w:val="000000"/>
              </w:rPr>
            </w:pPr>
            <w:r w:rsidRPr="001D0FE4">
              <w:rPr>
                <w:b/>
                <w:color w:val="000000"/>
              </w:rPr>
              <w:t xml:space="preserve">Total Annual Burden Hours </w:t>
            </w:r>
          </w:p>
        </w:tc>
        <w:tc>
          <w:tcPr>
            <w:tcW w:w="1536" w:type="dxa"/>
            <w:shd w:val="clear" w:color="auto" w:fill="auto"/>
            <w:vAlign w:val="center"/>
          </w:tcPr>
          <w:p w:rsidRPr="001D0FE4" w:rsidR="00A87074" w:rsidP="00A87074" w:rsidRDefault="00A87074" w14:paraId="467F0077" w14:textId="77777777">
            <w:pPr>
              <w:rPr>
                <w:color w:val="000000"/>
              </w:rPr>
            </w:pPr>
            <w:r w:rsidRPr="001D0FE4">
              <w:rPr>
                <w:color w:val="000000"/>
              </w:rPr>
              <w:t>-----------</w:t>
            </w:r>
          </w:p>
        </w:tc>
        <w:tc>
          <w:tcPr>
            <w:tcW w:w="2527" w:type="dxa"/>
            <w:shd w:val="clear" w:color="auto" w:fill="auto"/>
            <w:vAlign w:val="center"/>
          </w:tcPr>
          <w:p w:rsidRPr="001D0FE4" w:rsidR="00A87074" w:rsidP="00A87074" w:rsidRDefault="00F637F7" w14:paraId="1141ACC0" w14:textId="25F8528E">
            <w:pPr>
              <w:jc w:val="center"/>
              <w:rPr>
                <w:b/>
                <w:color w:val="000000"/>
              </w:rPr>
            </w:pPr>
            <w:r w:rsidRPr="001D0FE4">
              <w:rPr>
                <w:b/>
                <w:color w:val="000000"/>
              </w:rPr>
              <w:t>69,888</w:t>
            </w:r>
          </w:p>
        </w:tc>
        <w:tc>
          <w:tcPr>
            <w:tcW w:w="1528" w:type="dxa"/>
            <w:shd w:val="clear" w:color="auto" w:fill="auto"/>
            <w:vAlign w:val="center"/>
          </w:tcPr>
          <w:p w:rsidRPr="001D0FE4" w:rsidR="00A87074" w:rsidP="00A87074" w:rsidRDefault="00A87074" w14:paraId="1F8CFB39" w14:textId="77777777">
            <w:pPr>
              <w:rPr>
                <w:color w:val="000000"/>
              </w:rPr>
            </w:pPr>
            <w:r w:rsidRPr="001D0FE4">
              <w:rPr>
                <w:color w:val="000000"/>
              </w:rPr>
              <w:t xml:space="preserve">   ------------</w:t>
            </w:r>
          </w:p>
        </w:tc>
        <w:tc>
          <w:tcPr>
            <w:tcW w:w="0" w:type="auto"/>
            <w:shd w:val="clear" w:color="auto" w:fill="auto"/>
            <w:vAlign w:val="center"/>
          </w:tcPr>
          <w:p w:rsidRPr="001D0FE4" w:rsidR="00A87074" w:rsidP="00E70203" w:rsidRDefault="00F637F7" w14:paraId="7E8E7965" w14:textId="4283CB81">
            <w:pPr>
              <w:jc w:val="center"/>
              <w:rPr>
                <w:color w:val="000000"/>
              </w:rPr>
            </w:pPr>
            <w:r w:rsidRPr="001D0FE4">
              <w:rPr>
                <w:b/>
                <w:bCs/>
                <w:color w:val="000000"/>
              </w:rPr>
              <w:t>209,664</w:t>
            </w:r>
          </w:p>
        </w:tc>
      </w:tr>
    </w:tbl>
    <w:p w:rsidR="00825A0E" w:rsidP="00321CDA" w:rsidRDefault="00825A0E" w14:paraId="1C7C4674" w14:textId="0F1C88F5">
      <w:pPr>
        <w:spacing w:line="480" w:lineRule="auto"/>
        <w:ind w:right="-684"/>
        <w:rPr>
          <w:bCs/>
        </w:rPr>
      </w:pPr>
    </w:p>
    <w:p w:rsidR="00F637F7" w:rsidP="00321CDA" w:rsidRDefault="00F637F7" w14:paraId="54BEDB52" w14:textId="77777777">
      <w:pPr>
        <w:spacing w:line="480" w:lineRule="auto"/>
        <w:ind w:right="-684"/>
        <w:rPr>
          <w:bCs/>
        </w:rPr>
      </w:pPr>
    </w:p>
    <w:p w:rsidR="00E05D34" w:rsidP="00262E69" w:rsidRDefault="00E05D34" w14:paraId="66A7A183" w14:textId="2BB0ED9C">
      <w:pPr>
        <w:pStyle w:val="Heading2"/>
        <w:rPr>
          <w:bCs/>
        </w:rPr>
      </w:pPr>
      <w:bookmarkStart w:name="_Toc419964738" w:id="16"/>
      <w:r w:rsidRPr="00E05D34">
        <w:rPr>
          <w:bCs/>
        </w:rPr>
        <w:t>A.12-2</w:t>
      </w:r>
      <w:r>
        <w:rPr>
          <w:bCs/>
        </w:rPr>
        <w:t xml:space="preserve"> </w:t>
      </w:r>
      <w:r w:rsidRPr="00830BEA">
        <w:t xml:space="preserve">Annualized </w:t>
      </w:r>
      <w:r>
        <w:t>Costs to Respondents</w:t>
      </w:r>
      <w:bookmarkEnd w:id="16"/>
      <w:r w:rsidRPr="00847667">
        <w:rPr>
          <w:bCs/>
        </w:rPr>
        <w:t xml:space="preserve"> </w:t>
      </w:r>
    </w:p>
    <w:p w:rsidRPr="00254A4C" w:rsidR="00254A4C" w:rsidP="00E70203" w:rsidRDefault="00254A4C" w14:paraId="3D9831DE" w14:textId="77777777"/>
    <w:p w:rsidRPr="00262E69" w:rsidR="00262E69" w:rsidP="00262E69" w:rsidRDefault="00262E69" w14:paraId="47EC0278" w14:textId="77777777"/>
    <w:p w:rsidR="00127884" w:rsidP="00127884" w:rsidRDefault="0061193A" w14:paraId="4427944E" w14:textId="2E899E94">
      <w:pPr>
        <w:spacing w:line="480" w:lineRule="auto"/>
        <w:ind w:right="-684"/>
        <w:rPr>
          <w:bCs/>
        </w:rPr>
      </w:pPr>
      <w:r w:rsidRPr="0061193A">
        <w:rPr>
          <w:bCs/>
        </w:rPr>
        <w:t>Data is from the Bureau of Labor Statistics</w:t>
      </w:r>
      <w:r w:rsidR="00225CE5">
        <w:rPr>
          <w:bCs/>
        </w:rPr>
        <w:t xml:space="preserve"> Life, Physical, and Social Sciences Occupations 19-</w:t>
      </w:r>
      <w:proofErr w:type="gramStart"/>
      <w:r w:rsidR="00225CE5">
        <w:rPr>
          <w:bCs/>
        </w:rPr>
        <w:t xml:space="preserve">0000,  </w:t>
      </w:r>
      <w:r w:rsidRPr="00F224B7" w:rsidR="00F224B7">
        <w:rPr>
          <w:bCs/>
        </w:rPr>
        <w:t>This</w:t>
      </w:r>
      <w:proofErr w:type="gramEnd"/>
      <w:r w:rsidRPr="00F224B7" w:rsidR="00F224B7">
        <w:rPr>
          <w:bCs/>
        </w:rPr>
        <w:t xml:space="preserve"> request covers many types of research institutions in both the private and public sectors, teaching and non-teaching setting etc.   </w:t>
      </w:r>
    </w:p>
    <w:p w:rsidR="00254A4C" w:rsidP="00127884" w:rsidRDefault="00254A4C" w14:paraId="7C36E249" w14:textId="1DBEA2A4">
      <w:pPr>
        <w:spacing w:line="480" w:lineRule="auto"/>
        <w:ind w:right="-684"/>
        <w:jc w:val="center"/>
      </w:pPr>
    </w:p>
    <w:p w:rsidR="00F637F7" w:rsidP="00127884" w:rsidRDefault="00F637F7" w14:paraId="35722866" w14:textId="2B434B5C">
      <w:pPr>
        <w:spacing w:line="480" w:lineRule="auto"/>
        <w:ind w:right="-684"/>
        <w:jc w:val="center"/>
      </w:pPr>
    </w:p>
    <w:p w:rsidR="00F637F7" w:rsidP="00127884" w:rsidRDefault="00F637F7" w14:paraId="4FAECEC7" w14:textId="6306ADC1">
      <w:pPr>
        <w:spacing w:line="480" w:lineRule="auto"/>
        <w:ind w:right="-684"/>
        <w:jc w:val="center"/>
      </w:pPr>
    </w:p>
    <w:p w:rsidR="00F637F7" w:rsidP="00127884" w:rsidRDefault="00F637F7" w14:paraId="1244A819" w14:textId="77777777">
      <w:pPr>
        <w:spacing w:line="480" w:lineRule="auto"/>
        <w:ind w:right="-684"/>
        <w:jc w:val="center"/>
      </w:pPr>
    </w:p>
    <w:p w:rsidR="00FC0A5A" w:rsidP="00127884" w:rsidRDefault="00FC0A5A" w14:paraId="3D713E97" w14:textId="18E3F4E6">
      <w:pPr>
        <w:spacing w:line="480" w:lineRule="auto"/>
        <w:ind w:right="-684"/>
        <w:jc w:val="center"/>
        <w:rPr>
          <w:bCs/>
        </w:rPr>
      </w:pPr>
      <w:r w:rsidRPr="00EB77CC">
        <w:t xml:space="preserve">A.12-2 </w:t>
      </w:r>
      <w:r>
        <w:t>Annualized Cost to the Respondents</w:t>
      </w:r>
    </w:p>
    <w:tbl>
      <w:tblPr>
        <w:tblW w:w="0" w:type="auto"/>
        <w:tblLook w:val="04A0" w:firstRow="1" w:lastRow="0" w:firstColumn="1" w:lastColumn="0" w:noHBand="0" w:noVBand="1"/>
      </w:tblPr>
      <w:tblGrid>
        <w:gridCol w:w="3417"/>
        <w:gridCol w:w="1656"/>
        <w:gridCol w:w="1874"/>
        <w:gridCol w:w="2393"/>
      </w:tblGrid>
      <w:tr w:rsidRPr="00FC0A5A" w:rsidR="00AF2C0A" w:rsidTr="00127884" w14:paraId="312A0434" w14:textId="77777777">
        <w:trPr>
          <w:trHeight w:val="754"/>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1A73BD" w:rsidP="00F224B7" w:rsidRDefault="001A73BD" w14:paraId="3C7B00EB" w14:textId="77777777">
            <w:pPr>
              <w:jc w:val="center"/>
              <w:rPr>
                <w:bCs/>
                <w:color w:val="000000"/>
              </w:rPr>
            </w:pPr>
            <w:bookmarkStart w:name="RANGE!A1:G25" w:id="17"/>
            <w:r w:rsidRPr="00FC0A5A">
              <w:rPr>
                <w:bCs/>
                <w:color w:val="000000"/>
              </w:rPr>
              <w:t>Information Collection Form</w:t>
            </w:r>
            <w:bookmarkEnd w:id="17"/>
            <w:r w:rsidR="00F224B7">
              <w:rPr>
                <w:bCs/>
                <w:color w:val="000000"/>
              </w:rPr>
              <w:t>s</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FC0A5A" w:rsidR="001A73BD" w:rsidP="00FC0A5A" w:rsidRDefault="001A73BD" w14:paraId="55DF1DF2" w14:textId="77777777">
            <w:pPr>
              <w:jc w:val="center"/>
              <w:rPr>
                <w:bCs/>
                <w:color w:val="000000"/>
              </w:rPr>
            </w:pPr>
            <w:r w:rsidRPr="001A73BD">
              <w:rPr>
                <w:bCs/>
                <w:color w:val="000000"/>
              </w:rPr>
              <w:t>Total Annual Burden Hours</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1A73BD" w:rsidP="00FC0A5A" w:rsidRDefault="001A73BD" w14:paraId="6B8CC04D" w14:textId="77777777">
            <w:pPr>
              <w:jc w:val="center"/>
              <w:rPr>
                <w:bCs/>
                <w:color w:val="000000"/>
              </w:rPr>
            </w:pPr>
            <w:r w:rsidRPr="00FC0A5A">
              <w:rPr>
                <w:bCs/>
                <w:color w:val="000000"/>
              </w:rPr>
              <w:t>Hourly Wage Rate</w:t>
            </w:r>
          </w:p>
        </w:tc>
        <w:tc>
          <w:tcPr>
            <w:tcW w:w="0" w:type="auto"/>
            <w:tcBorders>
              <w:top w:val="single" w:color="auto" w:sz="8" w:space="0"/>
              <w:left w:val="nil"/>
              <w:bottom w:val="single" w:color="auto" w:sz="8" w:space="0"/>
              <w:right w:val="single" w:color="auto" w:sz="8" w:space="0"/>
            </w:tcBorders>
            <w:shd w:val="clear" w:color="auto" w:fill="auto"/>
            <w:vAlign w:val="center"/>
            <w:hideMark/>
          </w:tcPr>
          <w:p w:rsidRPr="00FC0A5A" w:rsidR="001A73BD" w:rsidP="00FC0A5A" w:rsidRDefault="00F224B7" w14:paraId="11BA3FB0" w14:textId="77777777">
            <w:pPr>
              <w:jc w:val="center"/>
              <w:rPr>
                <w:bCs/>
                <w:color w:val="000000"/>
              </w:rPr>
            </w:pPr>
            <w:r>
              <w:rPr>
                <w:bCs/>
                <w:color w:val="000000"/>
              </w:rPr>
              <w:t xml:space="preserve">Total </w:t>
            </w:r>
            <w:r w:rsidRPr="00FC0A5A" w:rsidR="001A73BD">
              <w:rPr>
                <w:bCs/>
                <w:color w:val="000000"/>
              </w:rPr>
              <w:t>Respondent Cost</w:t>
            </w:r>
          </w:p>
        </w:tc>
      </w:tr>
      <w:tr w:rsidRPr="00FC0A5A" w:rsidR="00AF2C0A" w:rsidTr="00F224B7" w14:paraId="12E5007A" w14:textId="77777777">
        <w:trPr>
          <w:trHeight w:val="525"/>
        </w:trPr>
        <w:tc>
          <w:tcPr>
            <w:tcW w:w="0" w:type="auto"/>
            <w:tcBorders>
              <w:top w:val="nil"/>
              <w:left w:val="single" w:color="auto" w:sz="8" w:space="0"/>
              <w:bottom w:val="single" w:color="auto" w:sz="8" w:space="0"/>
              <w:right w:val="single" w:color="auto" w:sz="8" w:space="0"/>
            </w:tcBorders>
            <w:shd w:val="clear" w:color="auto" w:fill="auto"/>
            <w:vAlign w:val="center"/>
            <w:hideMark/>
          </w:tcPr>
          <w:p w:rsidRPr="00FC0A5A" w:rsidR="001A73BD" w:rsidP="006053D2" w:rsidRDefault="001A73BD" w14:paraId="3E0502DB" w14:textId="77777777">
            <w:r w:rsidRPr="00FC0A5A">
              <w:t>PHS Inclusion Enrollment Report</w:t>
            </w:r>
          </w:p>
        </w:tc>
        <w:tc>
          <w:tcPr>
            <w:tcW w:w="0" w:type="auto"/>
            <w:tcBorders>
              <w:top w:val="nil"/>
              <w:left w:val="nil"/>
              <w:bottom w:val="single" w:color="auto" w:sz="8" w:space="0"/>
              <w:right w:val="single" w:color="auto" w:sz="8" w:space="0"/>
            </w:tcBorders>
            <w:shd w:val="clear" w:color="auto" w:fill="auto"/>
            <w:vAlign w:val="center"/>
            <w:hideMark/>
          </w:tcPr>
          <w:p w:rsidRPr="00FC0A5A" w:rsidR="001A73BD" w:rsidP="001A73BD" w:rsidRDefault="00F637F7" w14:paraId="614B574F" w14:textId="1B33449C">
            <w:pPr>
              <w:jc w:val="center"/>
              <w:rPr>
                <w:color w:val="000000"/>
              </w:rPr>
            </w:pPr>
            <w:r>
              <w:t>209,664</w:t>
            </w:r>
          </w:p>
        </w:tc>
        <w:tc>
          <w:tcPr>
            <w:tcW w:w="0" w:type="auto"/>
            <w:tcBorders>
              <w:top w:val="single" w:color="auto" w:sz="8" w:space="0"/>
              <w:left w:val="single" w:color="auto" w:sz="8" w:space="0"/>
              <w:bottom w:val="single" w:color="auto" w:sz="8" w:space="0"/>
              <w:right w:val="single" w:color="auto" w:sz="8" w:space="0"/>
            </w:tcBorders>
            <w:shd w:val="clear" w:color="auto" w:fill="auto"/>
            <w:vAlign w:val="center"/>
            <w:hideMark/>
          </w:tcPr>
          <w:p w:rsidRPr="00FC0A5A" w:rsidR="001A73BD" w:rsidP="00FC0A5A" w:rsidRDefault="001A73BD" w14:paraId="2261640B" w14:textId="18DBDC02">
            <w:pPr>
              <w:jc w:val="center"/>
              <w:rPr>
                <w:color w:val="000000"/>
              </w:rPr>
            </w:pPr>
            <w:r w:rsidRPr="00FC0A5A">
              <w:rPr>
                <w:color w:val="000000"/>
              </w:rPr>
              <w:t>$</w:t>
            </w:r>
            <w:r w:rsidR="00225CE5">
              <w:rPr>
                <w:color w:val="000000"/>
              </w:rPr>
              <w:t>38.15</w:t>
            </w:r>
          </w:p>
        </w:tc>
        <w:tc>
          <w:tcPr>
            <w:tcW w:w="0" w:type="auto"/>
            <w:tcBorders>
              <w:top w:val="nil"/>
              <w:left w:val="nil"/>
              <w:bottom w:val="single" w:color="auto" w:sz="8" w:space="0"/>
              <w:right w:val="single" w:color="auto" w:sz="8" w:space="0"/>
            </w:tcBorders>
            <w:shd w:val="clear" w:color="auto" w:fill="auto"/>
            <w:vAlign w:val="center"/>
            <w:hideMark/>
          </w:tcPr>
          <w:p w:rsidRPr="00FC0A5A" w:rsidR="001A73BD" w:rsidP="00FC0A5A" w:rsidRDefault="001A73BD" w14:paraId="0D47B485" w14:textId="4593E935">
            <w:pPr>
              <w:jc w:val="center"/>
              <w:rPr>
                <w:color w:val="000000"/>
              </w:rPr>
            </w:pPr>
            <w:r w:rsidRPr="00FC0A5A">
              <w:rPr>
                <w:color w:val="000000"/>
              </w:rPr>
              <w:t>$</w:t>
            </w:r>
            <w:r w:rsidR="00F637F7">
              <w:rPr>
                <w:color w:val="000000"/>
              </w:rPr>
              <w:t>7,998,682</w:t>
            </w:r>
          </w:p>
        </w:tc>
      </w:tr>
      <w:tr w:rsidRPr="00FC0A5A" w:rsidR="00177A9C" w:rsidTr="00E70203" w14:paraId="301D665D" w14:textId="77777777">
        <w:trPr>
          <w:trHeight w:val="525"/>
        </w:trPr>
        <w:tc>
          <w:tcPr>
            <w:tcW w:w="0" w:type="auto"/>
            <w:tcBorders>
              <w:top w:val="single" w:color="auto" w:sz="8" w:space="0"/>
              <w:left w:val="single" w:color="auto" w:sz="8" w:space="0"/>
              <w:bottom w:val="single" w:color="auto" w:sz="8" w:space="0"/>
              <w:right w:val="single" w:color="auto" w:sz="8" w:space="0"/>
            </w:tcBorders>
            <w:shd w:val="clear" w:color="auto" w:fill="auto"/>
            <w:vAlign w:val="center"/>
          </w:tcPr>
          <w:p w:rsidRPr="00C23553" w:rsidR="00177A9C" w:rsidP="00F224B7" w:rsidRDefault="00177A9C" w14:paraId="7DD01569" w14:textId="77777777">
            <w:pPr>
              <w:rPr>
                <w:color w:val="000000"/>
              </w:rPr>
            </w:pPr>
            <w:r w:rsidRPr="00C23553">
              <w:rPr>
                <w:color w:val="000000"/>
              </w:rPr>
              <w:t>Total</w:t>
            </w:r>
          </w:p>
        </w:tc>
        <w:tc>
          <w:tcPr>
            <w:tcW w:w="1656" w:type="dxa"/>
            <w:tcBorders>
              <w:top w:val="single" w:color="auto" w:sz="8" w:space="0"/>
              <w:left w:val="single" w:color="auto" w:sz="8" w:space="0"/>
              <w:bottom w:val="single" w:color="auto" w:sz="8" w:space="0"/>
              <w:right w:val="single" w:color="auto" w:sz="8" w:space="0"/>
            </w:tcBorders>
            <w:shd w:val="clear" w:color="auto" w:fill="auto"/>
            <w:vAlign w:val="center"/>
          </w:tcPr>
          <w:p w:rsidRPr="00C23553" w:rsidR="00177A9C" w:rsidP="00F224B7" w:rsidRDefault="00177A9C" w14:paraId="32D265AA" w14:textId="56665DBC">
            <w:pPr>
              <w:rPr>
                <w:color w:val="000000"/>
              </w:rPr>
            </w:pPr>
          </w:p>
        </w:tc>
        <w:tc>
          <w:tcPr>
            <w:tcW w:w="1874" w:type="dxa"/>
            <w:tcBorders>
              <w:top w:val="single" w:color="auto" w:sz="8" w:space="0"/>
              <w:left w:val="single" w:color="auto" w:sz="8" w:space="0"/>
              <w:bottom w:val="single" w:color="auto" w:sz="8" w:space="0"/>
              <w:right w:val="single" w:color="auto" w:sz="8" w:space="0"/>
            </w:tcBorders>
            <w:shd w:val="clear" w:color="auto" w:fill="auto"/>
            <w:vAlign w:val="center"/>
          </w:tcPr>
          <w:p w:rsidRPr="00C23553" w:rsidR="00177A9C" w:rsidP="00F224B7" w:rsidRDefault="00177A9C" w14:paraId="662E228E" w14:textId="4C83F80E">
            <w:pPr>
              <w:rPr>
                <w:color w:val="000000"/>
              </w:rPr>
            </w:pPr>
          </w:p>
        </w:tc>
        <w:tc>
          <w:tcPr>
            <w:tcW w:w="0" w:type="auto"/>
            <w:tcBorders>
              <w:top w:val="single" w:color="auto" w:sz="8" w:space="0"/>
              <w:left w:val="nil"/>
              <w:bottom w:val="single" w:color="auto" w:sz="8" w:space="0"/>
              <w:right w:val="single" w:color="auto" w:sz="8" w:space="0"/>
            </w:tcBorders>
            <w:shd w:val="clear" w:color="auto" w:fill="auto"/>
            <w:vAlign w:val="center"/>
          </w:tcPr>
          <w:p w:rsidRPr="00C23553" w:rsidR="00177A9C" w:rsidP="0097099B" w:rsidRDefault="00177A9C" w14:paraId="12F084A5" w14:textId="3026DA14">
            <w:pPr>
              <w:jc w:val="center"/>
              <w:rPr>
                <w:b/>
                <w:bCs/>
                <w:color w:val="000000"/>
              </w:rPr>
            </w:pPr>
            <w:r w:rsidRPr="00C23553">
              <w:rPr>
                <w:b/>
                <w:bCs/>
                <w:color w:val="000000"/>
              </w:rPr>
              <w:t>$</w:t>
            </w:r>
            <w:r w:rsidRPr="00C23553" w:rsidR="00F637F7">
              <w:rPr>
                <w:b/>
                <w:bCs/>
                <w:color w:val="000000"/>
              </w:rPr>
              <w:t>7,998,682</w:t>
            </w:r>
          </w:p>
        </w:tc>
      </w:tr>
    </w:tbl>
    <w:bookmarkStart w:name="_Toc419964739" w:id="18"/>
    <w:p w:rsidR="005A0645" w:rsidP="00262E69" w:rsidRDefault="00230049" w14:paraId="3CEBAB80" w14:textId="1593FE40">
      <w:pPr>
        <w:pStyle w:val="Heading2"/>
      </w:pPr>
      <w:r>
        <w:fldChar w:fldCharType="begin"/>
      </w:r>
      <w:r>
        <w:instrText xml:space="preserve"> HYPERLINK "</w:instrText>
      </w:r>
      <w:r w:rsidRPr="00230049">
        <w:instrText>https://www.bls.gov/oes/2020/may/oes_nat.htm#19-0000</w:instrText>
      </w:r>
      <w:r>
        <w:instrText xml:space="preserve">" </w:instrText>
      </w:r>
      <w:r>
        <w:fldChar w:fldCharType="separate"/>
      </w:r>
      <w:r w:rsidRPr="00DB241D">
        <w:rPr>
          <w:rStyle w:val="Hyperlink"/>
        </w:rPr>
        <w:t>https://www.bls.gov/oes/2020/may/oes_nat.htm#19-0000</w:t>
      </w:r>
      <w:r>
        <w:fldChar w:fldCharType="end"/>
      </w:r>
    </w:p>
    <w:p w:rsidR="00225CE5" w:rsidP="00225CE5" w:rsidRDefault="00225CE5" w14:paraId="6DEFE7B7" w14:textId="40DD3675"/>
    <w:p w:rsidRPr="00225CE5" w:rsidR="00225CE5" w:rsidP="00E70203" w:rsidRDefault="00225CE5" w14:paraId="017F0E6F" w14:textId="77777777"/>
    <w:p w:rsidRPr="00830BEA" w:rsidR="00B61497" w:rsidP="00262E69" w:rsidRDefault="00830BEA" w14:paraId="72ECCF01" w14:textId="77777777">
      <w:pPr>
        <w:pStyle w:val="Heading2"/>
      </w:pPr>
      <w:r w:rsidRPr="00830BEA">
        <w:t>A.</w:t>
      </w:r>
      <w:r w:rsidRPr="00830BEA" w:rsidR="008B4461">
        <w:t>13.</w:t>
      </w:r>
      <w:r w:rsidRPr="00830BEA">
        <w:t xml:space="preserve"> </w:t>
      </w:r>
      <w:r w:rsidR="00FC0A5A">
        <w:t>Estimate</w:t>
      </w:r>
      <w:r w:rsidRPr="00830BEA" w:rsidR="00B61497">
        <w:t xml:space="preserve"> of Other Total Annual Cost to Respondents or Record keepers</w:t>
      </w:r>
      <w:bookmarkEnd w:id="18"/>
    </w:p>
    <w:p w:rsidRPr="00847667" w:rsidR="00DB08C8" w:rsidP="00530196" w:rsidRDefault="00DB08C8" w14:paraId="01CE55AC" w14:textId="77777777"/>
    <w:p w:rsidRPr="00847667" w:rsidR="00B61497" w:rsidP="00530196" w:rsidRDefault="0062426C" w14:paraId="63B96825" w14:textId="77777777">
      <w:pPr>
        <w:spacing w:line="480" w:lineRule="auto"/>
        <w:ind w:right="-684"/>
        <w:rPr>
          <w:bCs/>
        </w:rPr>
      </w:pPr>
      <w:r w:rsidRPr="00847667">
        <w:rPr>
          <w:bCs/>
        </w:rPr>
        <w:t>Other annual costs to respondents or record keepers are associated with customary and usual business or practices of organizations applying for PHS funding.</w:t>
      </w:r>
      <w:r w:rsidR="003E01A7">
        <w:rPr>
          <w:bCs/>
        </w:rPr>
        <w:t xml:space="preserve"> There are no additional costs to the respondents.</w:t>
      </w:r>
    </w:p>
    <w:p w:rsidRPr="00847667" w:rsidR="00B61497" w:rsidP="00530196" w:rsidRDefault="00B61497" w14:paraId="5ADD4A47" w14:textId="77777777">
      <w:pPr>
        <w:ind w:right="-684"/>
        <w:rPr>
          <w:bCs/>
        </w:rPr>
      </w:pPr>
    </w:p>
    <w:p w:rsidRPr="00830BEA" w:rsidR="00B61497" w:rsidP="00262E69" w:rsidRDefault="00830BEA" w14:paraId="767779C7" w14:textId="77777777">
      <w:pPr>
        <w:pStyle w:val="Heading2"/>
      </w:pPr>
      <w:bookmarkStart w:name="_Toc419964740" w:id="19"/>
      <w:bookmarkStart w:name="OLE_LINK3" w:id="20"/>
      <w:bookmarkStart w:name="OLE_LINK4" w:id="21"/>
      <w:r w:rsidRPr="00830BEA">
        <w:t>A.</w:t>
      </w:r>
      <w:r w:rsidRPr="00830BEA" w:rsidR="008B4461">
        <w:t>14.</w:t>
      </w:r>
      <w:r w:rsidRPr="00830BEA">
        <w:t xml:space="preserve"> </w:t>
      </w:r>
      <w:r w:rsidRPr="00830BEA" w:rsidR="00B61497">
        <w:t>Annualized Cost to the Federal Government</w:t>
      </w:r>
      <w:bookmarkEnd w:id="19"/>
    </w:p>
    <w:p w:rsidRPr="00847667" w:rsidR="00DB08C8" w:rsidP="00530196" w:rsidRDefault="00DB08C8" w14:paraId="6087CE63" w14:textId="77777777"/>
    <w:bookmarkEnd w:id="20"/>
    <w:bookmarkEnd w:id="21"/>
    <w:p w:rsidR="00AF2C0A" w:rsidP="00A427FF" w:rsidRDefault="00664182" w14:paraId="52CAE066" w14:textId="07BD9660">
      <w:pPr>
        <w:spacing w:line="480" w:lineRule="auto"/>
        <w:ind w:right="-684"/>
        <w:rPr>
          <w:bCs/>
        </w:rPr>
      </w:pPr>
      <w:r>
        <w:rPr>
          <w:bCs/>
        </w:rPr>
        <w:t>The estimated annual cost to the NIH is approximately $</w:t>
      </w:r>
      <w:r w:rsidR="00F637F7">
        <w:rPr>
          <w:bCs/>
        </w:rPr>
        <w:t>137,773</w:t>
      </w:r>
      <w:r>
        <w:rPr>
          <w:bCs/>
        </w:rPr>
        <w:t xml:space="preserve">. This information is calculated based on the NIH </w:t>
      </w:r>
      <w:r w:rsidR="00254A4C">
        <w:rPr>
          <w:bCs/>
        </w:rPr>
        <w:t xml:space="preserve">Branch Chief and Program Analyst’s </w:t>
      </w:r>
      <w:r>
        <w:rPr>
          <w:bCs/>
        </w:rPr>
        <w:t>salary and percentage of effort devoted to preparing this submission</w:t>
      </w:r>
      <w:r w:rsidR="00254A4C">
        <w:rPr>
          <w:bCs/>
        </w:rPr>
        <w:t>.  T</w:t>
      </w:r>
      <w:r>
        <w:rPr>
          <w:bCs/>
        </w:rPr>
        <w:t xml:space="preserve">hese expenses would not have been incurred without this collection of information. </w:t>
      </w:r>
    </w:p>
    <w:p w:rsidR="00133B1D" w:rsidP="00A427FF" w:rsidRDefault="00133B1D" w14:paraId="0F3E95B4" w14:textId="77777777">
      <w:pPr>
        <w:spacing w:line="480" w:lineRule="auto"/>
        <w:ind w:right="-684"/>
        <w:rPr>
          <w:bCs/>
        </w:rPr>
      </w:pPr>
    </w:p>
    <w:p w:rsidRPr="00FC0A5A" w:rsidR="001C5091" w:rsidP="001C6651" w:rsidRDefault="00FC0A5A" w14:paraId="4C0F95A0" w14:textId="77777777">
      <w:pPr>
        <w:ind w:right="-684"/>
        <w:jc w:val="center"/>
        <w:rPr>
          <w:bCs/>
        </w:rPr>
      </w:pPr>
      <w:r w:rsidRPr="00FC0A5A">
        <w:rPr>
          <w:bCs/>
          <w:color w:val="000000"/>
        </w:rPr>
        <w:t>Annualized Cost to the Federal Government</w:t>
      </w:r>
      <w:r w:rsidR="001C5091">
        <w:rPr>
          <w:bCs/>
          <w:color w:val="000000"/>
        </w:rPr>
        <w:br/>
      </w:r>
    </w:p>
    <w:tbl>
      <w:tblPr>
        <w:tblW w:w="947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Look w:val="04A0" w:firstRow="1" w:lastRow="0" w:firstColumn="1" w:lastColumn="0" w:noHBand="0" w:noVBand="1"/>
      </w:tblPr>
      <w:tblGrid>
        <w:gridCol w:w="2538"/>
        <w:gridCol w:w="1350"/>
        <w:gridCol w:w="1350"/>
        <w:gridCol w:w="1260"/>
        <w:gridCol w:w="1400"/>
        <w:gridCol w:w="1580"/>
      </w:tblGrid>
      <w:tr w:rsidRPr="001C5091" w:rsidR="00A7076A" w:rsidTr="00E70203" w14:paraId="619597C5" w14:textId="77777777">
        <w:trPr>
          <w:trHeight w:val="610"/>
        </w:trPr>
        <w:tc>
          <w:tcPr>
            <w:tcW w:w="2538" w:type="dxa"/>
            <w:shd w:val="clear" w:color="auto" w:fill="auto"/>
            <w:noWrap/>
            <w:tcMar>
              <w:top w:w="0" w:type="dxa"/>
              <w:left w:w="108" w:type="dxa"/>
              <w:bottom w:w="0" w:type="dxa"/>
              <w:right w:w="108" w:type="dxa"/>
            </w:tcMar>
            <w:vAlign w:val="bottom"/>
            <w:hideMark/>
          </w:tcPr>
          <w:p w:rsidRPr="001C5091" w:rsidR="001C6651" w:rsidP="0052692A" w:rsidRDefault="001C6651" w14:paraId="0CEBFC89" w14:textId="77777777">
            <w:pPr>
              <w:jc w:val="center"/>
              <w:rPr>
                <w:rFonts w:eastAsia="Calibri"/>
                <w:b/>
                <w:bCs/>
                <w:color w:val="000000"/>
              </w:rPr>
            </w:pPr>
            <w:r w:rsidRPr="001C5091">
              <w:rPr>
                <w:b/>
                <w:bCs/>
                <w:color w:val="000000"/>
              </w:rPr>
              <w:t>Staff</w:t>
            </w:r>
          </w:p>
        </w:tc>
        <w:tc>
          <w:tcPr>
            <w:tcW w:w="1350" w:type="dxa"/>
            <w:shd w:val="clear" w:color="auto" w:fill="auto"/>
            <w:vAlign w:val="bottom"/>
          </w:tcPr>
          <w:p w:rsidRPr="001C5091" w:rsidR="001C6651" w:rsidP="0052692A" w:rsidRDefault="001C6651" w14:paraId="5443CC57" w14:textId="77777777">
            <w:pPr>
              <w:jc w:val="center"/>
              <w:rPr>
                <w:rFonts w:eastAsia="Calibri"/>
                <w:b/>
                <w:bCs/>
                <w:color w:val="1F497D"/>
              </w:rPr>
            </w:pPr>
          </w:p>
          <w:p w:rsidRPr="001C5091" w:rsidR="001C6651" w:rsidP="0052692A" w:rsidRDefault="001C6651" w14:paraId="480304C4" w14:textId="77777777">
            <w:pPr>
              <w:jc w:val="center"/>
              <w:rPr>
                <w:rFonts w:eastAsia="Calibri"/>
                <w:b/>
                <w:bCs/>
                <w:color w:val="000000"/>
              </w:rPr>
            </w:pPr>
            <w:r w:rsidRPr="001C5091">
              <w:rPr>
                <w:b/>
                <w:bCs/>
                <w:color w:val="000000"/>
              </w:rPr>
              <w:t>Grade/Step</w:t>
            </w:r>
          </w:p>
        </w:tc>
        <w:tc>
          <w:tcPr>
            <w:tcW w:w="1350" w:type="dxa"/>
            <w:shd w:val="clear" w:color="auto" w:fill="auto"/>
            <w:tcMar>
              <w:top w:w="0" w:type="dxa"/>
              <w:left w:w="108" w:type="dxa"/>
              <w:bottom w:w="0" w:type="dxa"/>
              <w:right w:w="108" w:type="dxa"/>
            </w:tcMar>
            <w:vAlign w:val="bottom"/>
            <w:hideMark/>
          </w:tcPr>
          <w:p w:rsidRPr="001C5091" w:rsidR="001C6651" w:rsidP="0052692A" w:rsidRDefault="001C6651" w14:paraId="36DAA0E8" w14:textId="77777777">
            <w:pPr>
              <w:jc w:val="center"/>
              <w:rPr>
                <w:rFonts w:eastAsia="Calibri"/>
                <w:b/>
                <w:bCs/>
              </w:rPr>
            </w:pPr>
            <w:r w:rsidRPr="001C5091">
              <w:rPr>
                <w:b/>
                <w:bCs/>
              </w:rPr>
              <w:t>Salary</w:t>
            </w:r>
          </w:p>
        </w:tc>
        <w:tc>
          <w:tcPr>
            <w:tcW w:w="1260" w:type="dxa"/>
            <w:shd w:val="clear" w:color="auto" w:fill="auto"/>
            <w:tcMar>
              <w:top w:w="0" w:type="dxa"/>
              <w:left w:w="108" w:type="dxa"/>
              <w:bottom w:w="0" w:type="dxa"/>
              <w:right w:w="108" w:type="dxa"/>
            </w:tcMar>
            <w:vAlign w:val="bottom"/>
            <w:hideMark/>
          </w:tcPr>
          <w:p w:rsidRPr="001C5091" w:rsidR="001C6651" w:rsidP="0052692A" w:rsidRDefault="001C6651" w14:paraId="7C5BA59E" w14:textId="77777777">
            <w:pPr>
              <w:jc w:val="center"/>
              <w:rPr>
                <w:rFonts w:eastAsia="Calibri"/>
                <w:b/>
                <w:bCs/>
              </w:rPr>
            </w:pPr>
            <w:r w:rsidRPr="001C5091">
              <w:rPr>
                <w:b/>
                <w:bCs/>
              </w:rPr>
              <w:t>% of Effort</w:t>
            </w:r>
          </w:p>
        </w:tc>
        <w:tc>
          <w:tcPr>
            <w:tcW w:w="1400" w:type="dxa"/>
            <w:shd w:val="clear" w:color="auto" w:fill="auto"/>
            <w:vAlign w:val="bottom"/>
          </w:tcPr>
          <w:p w:rsidRPr="001C5091" w:rsidR="001C6651" w:rsidP="0052692A" w:rsidRDefault="001C6651" w14:paraId="62ED8739" w14:textId="77777777">
            <w:pPr>
              <w:jc w:val="center"/>
              <w:rPr>
                <w:b/>
                <w:bCs/>
              </w:rPr>
            </w:pPr>
            <w:r w:rsidRPr="001C5091">
              <w:rPr>
                <w:b/>
                <w:bCs/>
              </w:rPr>
              <w:t>Fringe (if applicable)</w:t>
            </w:r>
          </w:p>
        </w:tc>
        <w:tc>
          <w:tcPr>
            <w:tcW w:w="1580" w:type="dxa"/>
            <w:shd w:val="clear" w:color="auto" w:fill="auto"/>
            <w:vAlign w:val="bottom"/>
          </w:tcPr>
          <w:p w:rsidRPr="001C5091" w:rsidR="001C6651" w:rsidP="0052692A" w:rsidRDefault="001C6651" w14:paraId="4D69740B" w14:textId="77777777">
            <w:pPr>
              <w:jc w:val="center"/>
              <w:rPr>
                <w:b/>
                <w:bCs/>
              </w:rPr>
            </w:pPr>
            <w:r>
              <w:rPr>
                <w:b/>
                <w:bCs/>
              </w:rPr>
              <w:t>Total Cost to Governmen</w:t>
            </w:r>
            <w:r w:rsidRPr="001C5091">
              <w:rPr>
                <w:b/>
                <w:bCs/>
              </w:rPr>
              <w:t>t</w:t>
            </w:r>
          </w:p>
        </w:tc>
      </w:tr>
      <w:tr w:rsidRPr="001C5091" w:rsidR="00A7076A" w:rsidTr="00E70203" w14:paraId="0836378C" w14:textId="77777777">
        <w:trPr>
          <w:trHeight w:val="300"/>
        </w:trPr>
        <w:tc>
          <w:tcPr>
            <w:tcW w:w="2538" w:type="dxa"/>
            <w:noWrap/>
            <w:tcMar>
              <w:top w:w="0" w:type="dxa"/>
              <w:left w:w="108" w:type="dxa"/>
              <w:bottom w:w="0" w:type="dxa"/>
              <w:right w:w="108" w:type="dxa"/>
            </w:tcMar>
            <w:vAlign w:val="bottom"/>
          </w:tcPr>
          <w:p w:rsidRPr="001C5091" w:rsidR="001C6651" w:rsidP="0052692A" w:rsidRDefault="001C6651" w14:paraId="42EC4F3C" w14:textId="77777777">
            <w:pPr>
              <w:jc w:val="center"/>
              <w:rPr>
                <w:rFonts w:eastAsia="Calibri"/>
                <w:b/>
                <w:color w:val="000000"/>
                <w:highlight w:val="yellow"/>
              </w:rPr>
            </w:pPr>
            <w:r w:rsidRPr="001C5091">
              <w:rPr>
                <w:rFonts w:eastAsia="Calibri"/>
                <w:b/>
                <w:color w:val="000000"/>
              </w:rPr>
              <w:t>Federal Oversight</w:t>
            </w:r>
          </w:p>
        </w:tc>
        <w:tc>
          <w:tcPr>
            <w:tcW w:w="1350" w:type="dxa"/>
            <w:vAlign w:val="bottom"/>
          </w:tcPr>
          <w:p w:rsidRPr="001C5091" w:rsidR="001C6651" w:rsidP="0052692A" w:rsidRDefault="001C6651" w14:paraId="7EA8957F" w14:textId="77777777">
            <w:pPr>
              <w:jc w:val="center"/>
              <w:rPr>
                <w:rFonts w:eastAsia="Calibri"/>
                <w:color w:val="000000"/>
                <w:highlight w:val="yellow"/>
              </w:rPr>
            </w:pPr>
          </w:p>
        </w:tc>
        <w:tc>
          <w:tcPr>
            <w:tcW w:w="1350" w:type="dxa"/>
            <w:noWrap/>
            <w:tcMar>
              <w:top w:w="0" w:type="dxa"/>
              <w:left w:w="108" w:type="dxa"/>
              <w:bottom w:w="0" w:type="dxa"/>
              <w:right w:w="108" w:type="dxa"/>
            </w:tcMar>
            <w:vAlign w:val="bottom"/>
          </w:tcPr>
          <w:p w:rsidRPr="001C5091" w:rsidR="001C6651" w:rsidP="0052692A" w:rsidRDefault="001C6651" w14:paraId="247C2E23" w14:textId="77777777">
            <w:pPr>
              <w:jc w:val="center"/>
            </w:pPr>
          </w:p>
        </w:tc>
        <w:tc>
          <w:tcPr>
            <w:tcW w:w="1260" w:type="dxa"/>
            <w:noWrap/>
            <w:tcMar>
              <w:top w:w="0" w:type="dxa"/>
              <w:left w:w="108" w:type="dxa"/>
              <w:bottom w:w="0" w:type="dxa"/>
              <w:right w:w="108" w:type="dxa"/>
            </w:tcMar>
            <w:vAlign w:val="bottom"/>
          </w:tcPr>
          <w:p w:rsidRPr="001C5091" w:rsidR="001C6651" w:rsidP="0052692A" w:rsidRDefault="001C6651" w14:paraId="4B02B813" w14:textId="77777777">
            <w:pPr>
              <w:jc w:val="center"/>
            </w:pPr>
          </w:p>
        </w:tc>
        <w:tc>
          <w:tcPr>
            <w:tcW w:w="1400" w:type="dxa"/>
            <w:shd w:val="clear" w:color="auto" w:fill="auto"/>
            <w:vAlign w:val="bottom"/>
          </w:tcPr>
          <w:p w:rsidRPr="001C5091" w:rsidR="001C6651" w:rsidP="0052692A" w:rsidRDefault="001C6651" w14:paraId="425C960E" w14:textId="77777777">
            <w:pPr>
              <w:jc w:val="center"/>
            </w:pPr>
          </w:p>
        </w:tc>
        <w:tc>
          <w:tcPr>
            <w:tcW w:w="1580" w:type="dxa"/>
            <w:vAlign w:val="bottom"/>
          </w:tcPr>
          <w:p w:rsidRPr="001C5091" w:rsidR="001C6651" w:rsidP="0052692A" w:rsidRDefault="001C6651" w14:paraId="74F5792A" w14:textId="77777777">
            <w:pPr>
              <w:jc w:val="center"/>
            </w:pPr>
          </w:p>
        </w:tc>
      </w:tr>
      <w:tr w:rsidRPr="001C5091" w:rsidR="00A7076A" w:rsidTr="00E70203" w14:paraId="07C027AF" w14:textId="77777777">
        <w:trPr>
          <w:trHeight w:val="300"/>
        </w:trPr>
        <w:tc>
          <w:tcPr>
            <w:tcW w:w="2538" w:type="dxa"/>
            <w:noWrap/>
            <w:tcMar>
              <w:top w:w="0" w:type="dxa"/>
              <w:left w:w="108" w:type="dxa"/>
              <w:bottom w:w="0" w:type="dxa"/>
              <w:right w:w="108" w:type="dxa"/>
            </w:tcMar>
            <w:vAlign w:val="bottom"/>
          </w:tcPr>
          <w:p w:rsidRPr="001C5091" w:rsidR="001C6651" w:rsidP="0052692A" w:rsidRDefault="00254A4C" w14:paraId="22FDAFEE" w14:textId="6AC1D58D">
            <w:pPr>
              <w:jc w:val="center"/>
              <w:rPr>
                <w:rFonts w:eastAsia="Calibri"/>
              </w:rPr>
            </w:pPr>
            <w:r>
              <w:rPr>
                <w:rFonts w:eastAsia="Calibri"/>
              </w:rPr>
              <w:t>Branch Chief</w:t>
            </w:r>
          </w:p>
        </w:tc>
        <w:tc>
          <w:tcPr>
            <w:tcW w:w="1350" w:type="dxa"/>
            <w:vAlign w:val="bottom"/>
          </w:tcPr>
          <w:p w:rsidRPr="001C5091" w:rsidR="001C6651" w:rsidP="0052692A" w:rsidRDefault="001C6651" w14:paraId="79530E88" w14:textId="292A7610">
            <w:pPr>
              <w:jc w:val="center"/>
              <w:rPr>
                <w:rFonts w:eastAsia="Calibri"/>
              </w:rPr>
            </w:pPr>
            <w:r>
              <w:rPr>
                <w:rFonts w:eastAsia="Calibri"/>
              </w:rPr>
              <w:t>14/</w:t>
            </w:r>
            <w:r w:rsidR="00254A4C">
              <w:rPr>
                <w:rFonts w:eastAsia="Calibri"/>
              </w:rPr>
              <w:t>8</w:t>
            </w:r>
          </w:p>
        </w:tc>
        <w:tc>
          <w:tcPr>
            <w:tcW w:w="1350" w:type="dxa"/>
            <w:noWrap/>
            <w:tcMar>
              <w:top w:w="0" w:type="dxa"/>
              <w:left w:w="108" w:type="dxa"/>
              <w:bottom w:w="0" w:type="dxa"/>
              <w:right w:w="108" w:type="dxa"/>
            </w:tcMar>
            <w:vAlign w:val="bottom"/>
          </w:tcPr>
          <w:p w:rsidRPr="001C5091" w:rsidR="001C6651" w:rsidP="0052692A" w:rsidRDefault="00254A4C" w14:paraId="026165C8" w14:textId="558E3E46">
            <w:pPr>
              <w:jc w:val="center"/>
              <w:rPr>
                <w:rFonts w:eastAsia="Calibri"/>
              </w:rPr>
            </w:pPr>
            <w:r>
              <w:rPr>
                <w:rFonts w:eastAsia="Calibri"/>
              </w:rPr>
              <w:t>151,118</w:t>
            </w:r>
          </w:p>
        </w:tc>
        <w:tc>
          <w:tcPr>
            <w:tcW w:w="1260" w:type="dxa"/>
            <w:noWrap/>
            <w:tcMar>
              <w:top w:w="0" w:type="dxa"/>
              <w:left w:w="108" w:type="dxa"/>
              <w:bottom w:w="0" w:type="dxa"/>
              <w:right w:w="108" w:type="dxa"/>
            </w:tcMar>
            <w:vAlign w:val="bottom"/>
          </w:tcPr>
          <w:p w:rsidRPr="001C5091" w:rsidR="001C6651" w:rsidP="0052692A" w:rsidRDefault="00285ACF" w14:paraId="6D8A4C32" w14:textId="6F0E2A8C">
            <w:pPr>
              <w:jc w:val="center"/>
              <w:rPr>
                <w:rFonts w:eastAsia="Calibri"/>
              </w:rPr>
            </w:pPr>
            <w:r>
              <w:rPr>
                <w:rFonts w:eastAsia="Calibri"/>
              </w:rPr>
              <w:t>50</w:t>
            </w:r>
            <w:r w:rsidR="001C6651">
              <w:rPr>
                <w:rFonts w:eastAsia="Calibri"/>
              </w:rPr>
              <w:t>%</w:t>
            </w:r>
          </w:p>
        </w:tc>
        <w:tc>
          <w:tcPr>
            <w:tcW w:w="1400" w:type="dxa"/>
            <w:shd w:val="clear" w:color="auto" w:fill="BFBFBF" w:themeFill="background1" w:themeFillShade="BF"/>
            <w:vAlign w:val="bottom"/>
          </w:tcPr>
          <w:p w:rsidRPr="001C5091" w:rsidR="001C6651" w:rsidP="0052692A" w:rsidRDefault="001C6651" w14:paraId="6D9A1040" w14:textId="77777777">
            <w:pPr>
              <w:jc w:val="center"/>
            </w:pPr>
          </w:p>
        </w:tc>
        <w:tc>
          <w:tcPr>
            <w:tcW w:w="1580" w:type="dxa"/>
            <w:vAlign w:val="bottom"/>
          </w:tcPr>
          <w:p w:rsidRPr="001C5091" w:rsidR="001C6651" w:rsidP="0052692A" w:rsidRDefault="00254A4C" w14:paraId="4A6E625B" w14:textId="4CF7D4CD">
            <w:pPr>
              <w:jc w:val="center"/>
            </w:pPr>
            <w:r>
              <w:t>75,559</w:t>
            </w:r>
          </w:p>
        </w:tc>
      </w:tr>
      <w:tr w:rsidRPr="001C5091" w:rsidR="00381FF3" w:rsidTr="00E70203" w14:paraId="2BD2E8A4" w14:textId="77777777">
        <w:trPr>
          <w:trHeight w:val="421"/>
        </w:trPr>
        <w:tc>
          <w:tcPr>
            <w:tcW w:w="2538" w:type="dxa"/>
            <w:noWrap/>
            <w:tcMar>
              <w:top w:w="0" w:type="dxa"/>
              <w:left w:w="108" w:type="dxa"/>
              <w:bottom w:w="0" w:type="dxa"/>
              <w:right w:w="108" w:type="dxa"/>
            </w:tcMar>
            <w:vAlign w:val="bottom"/>
          </w:tcPr>
          <w:p w:rsidRPr="00381FF3" w:rsidR="00381FF3" w:rsidP="00381FF3" w:rsidRDefault="00381FF3" w14:paraId="4FFEA505" w14:textId="269DDD5D">
            <w:pPr>
              <w:jc w:val="center"/>
              <w:rPr>
                <w:color w:val="000000"/>
              </w:rPr>
            </w:pPr>
            <w:r>
              <w:rPr>
                <w:color w:val="000000"/>
              </w:rPr>
              <w:t>NIH Health Scientist Administrator</w:t>
            </w:r>
          </w:p>
        </w:tc>
        <w:tc>
          <w:tcPr>
            <w:tcW w:w="1350" w:type="dxa"/>
            <w:vAlign w:val="bottom"/>
          </w:tcPr>
          <w:p w:rsidR="00381FF3" w:rsidP="0052692A" w:rsidRDefault="00254A4C" w14:paraId="770D8854" w14:textId="5AABA05A">
            <w:pPr>
              <w:jc w:val="center"/>
              <w:rPr>
                <w:rFonts w:eastAsia="Calibri"/>
              </w:rPr>
            </w:pPr>
            <w:r>
              <w:rPr>
                <w:rFonts w:eastAsia="Calibri"/>
              </w:rPr>
              <w:t>13/</w:t>
            </w:r>
            <w:r w:rsidR="00F637F7">
              <w:rPr>
                <w:rFonts w:eastAsia="Calibri"/>
              </w:rPr>
              <w:t>7</w:t>
            </w:r>
          </w:p>
        </w:tc>
        <w:tc>
          <w:tcPr>
            <w:tcW w:w="1350" w:type="dxa"/>
            <w:noWrap/>
            <w:tcMar>
              <w:top w:w="0" w:type="dxa"/>
              <w:left w:w="108" w:type="dxa"/>
              <w:bottom w:w="0" w:type="dxa"/>
              <w:right w:w="108" w:type="dxa"/>
            </w:tcMar>
            <w:vAlign w:val="bottom"/>
          </w:tcPr>
          <w:p w:rsidRPr="00285ACF" w:rsidR="00381FF3" w:rsidP="0052692A" w:rsidRDefault="00254A4C" w14:paraId="5D3404B6" w14:textId="05337B69">
            <w:pPr>
              <w:jc w:val="center"/>
              <w:rPr>
                <w:rFonts w:eastAsia="Calibri"/>
              </w:rPr>
            </w:pPr>
            <w:r>
              <w:rPr>
                <w:rFonts w:eastAsia="Calibri"/>
              </w:rPr>
              <w:t>124,428</w:t>
            </w:r>
          </w:p>
        </w:tc>
        <w:tc>
          <w:tcPr>
            <w:tcW w:w="1260" w:type="dxa"/>
            <w:noWrap/>
            <w:tcMar>
              <w:top w:w="0" w:type="dxa"/>
              <w:left w:w="108" w:type="dxa"/>
              <w:bottom w:w="0" w:type="dxa"/>
              <w:right w:w="108" w:type="dxa"/>
            </w:tcMar>
            <w:vAlign w:val="bottom"/>
          </w:tcPr>
          <w:p w:rsidR="00381FF3" w:rsidDel="00285ACF" w:rsidP="0052692A" w:rsidRDefault="00381FF3" w14:paraId="2FA5A03F" w14:textId="24E2620C">
            <w:pPr>
              <w:jc w:val="center"/>
              <w:rPr>
                <w:rFonts w:eastAsia="Calibri"/>
              </w:rPr>
            </w:pPr>
            <w:r>
              <w:rPr>
                <w:rFonts w:eastAsia="Calibri"/>
              </w:rPr>
              <w:t>50%</w:t>
            </w:r>
          </w:p>
        </w:tc>
        <w:tc>
          <w:tcPr>
            <w:tcW w:w="1400" w:type="dxa"/>
            <w:shd w:val="clear" w:color="auto" w:fill="BFBFBF" w:themeFill="background1" w:themeFillShade="BF"/>
            <w:vAlign w:val="bottom"/>
          </w:tcPr>
          <w:p w:rsidRPr="001C5091" w:rsidR="00381FF3" w:rsidP="0052692A" w:rsidRDefault="00381FF3" w14:paraId="00015A78" w14:textId="77777777">
            <w:pPr>
              <w:jc w:val="center"/>
            </w:pPr>
          </w:p>
        </w:tc>
        <w:tc>
          <w:tcPr>
            <w:tcW w:w="1580" w:type="dxa"/>
            <w:vAlign w:val="bottom"/>
          </w:tcPr>
          <w:p w:rsidR="00381FF3" w:rsidDel="00285ACF" w:rsidP="0052692A" w:rsidRDefault="00F637F7" w14:paraId="4EF86F4E" w14:textId="23120F0A">
            <w:pPr>
              <w:jc w:val="center"/>
            </w:pPr>
            <w:r>
              <w:t>62,214</w:t>
            </w:r>
          </w:p>
        </w:tc>
      </w:tr>
      <w:tr w:rsidRPr="001C5091" w:rsidR="00A7076A" w:rsidTr="00E70203" w14:paraId="411B2E6B" w14:textId="77777777">
        <w:trPr>
          <w:trHeight w:val="300"/>
        </w:trPr>
        <w:tc>
          <w:tcPr>
            <w:tcW w:w="2538" w:type="dxa"/>
            <w:noWrap/>
            <w:tcMar>
              <w:top w:w="0" w:type="dxa"/>
              <w:left w:w="108" w:type="dxa"/>
              <w:bottom w:w="0" w:type="dxa"/>
              <w:right w:w="108" w:type="dxa"/>
            </w:tcMar>
            <w:vAlign w:val="bottom"/>
          </w:tcPr>
          <w:p w:rsidRPr="001C5091" w:rsidR="001C6651" w:rsidP="0052692A" w:rsidRDefault="001C6651" w14:paraId="71BF2A41" w14:textId="77777777">
            <w:pPr>
              <w:jc w:val="center"/>
              <w:rPr>
                <w:rFonts w:eastAsia="Calibri"/>
              </w:rPr>
            </w:pPr>
          </w:p>
        </w:tc>
        <w:tc>
          <w:tcPr>
            <w:tcW w:w="1350" w:type="dxa"/>
            <w:vAlign w:val="bottom"/>
          </w:tcPr>
          <w:p w:rsidRPr="001C5091" w:rsidR="001C6651" w:rsidP="0052692A" w:rsidRDefault="001C6651" w14:paraId="4DC4FCF8" w14:textId="77777777">
            <w:pPr>
              <w:jc w:val="center"/>
              <w:rPr>
                <w:rFonts w:eastAsia="Calibri"/>
              </w:rPr>
            </w:pPr>
          </w:p>
        </w:tc>
        <w:tc>
          <w:tcPr>
            <w:tcW w:w="1350" w:type="dxa"/>
            <w:noWrap/>
            <w:tcMar>
              <w:top w:w="0" w:type="dxa"/>
              <w:left w:w="108" w:type="dxa"/>
              <w:bottom w:w="0" w:type="dxa"/>
              <w:right w:w="108" w:type="dxa"/>
            </w:tcMar>
            <w:vAlign w:val="bottom"/>
          </w:tcPr>
          <w:p w:rsidRPr="001C5091" w:rsidR="001C6651" w:rsidP="0052692A" w:rsidRDefault="001C6651" w14:paraId="19298B97" w14:textId="77777777">
            <w:pPr>
              <w:jc w:val="center"/>
              <w:rPr>
                <w:rFonts w:eastAsia="Calibri"/>
              </w:rPr>
            </w:pPr>
          </w:p>
        </w:tc>
        <w:tc>
          <w:tcPr>
            <w:tcW w:w="1260" w:type="dxa"/>
            <w:noWrap/>
            <w:tcMar>
              <w:top w:w="0" w:type="dxa"/>
              <w:left w:w="108" w:type="dxa"/>
              <w:bottom w:w="0" w:type="dxa"/>
              <w:right w:w="108" w:type="dxa"/>
            </w:tcMar>
            <w:vAlign w:val="bottom"/>
          </w:tcPr>
          <w:p w:rsidRPr="001C5091" w:rsidR="001C6651" w:rsidP="0052692A" w:rsidRDefault="001C6651" w14:paraId="69DCDCFF" w14:textId="77777777">
            <w:pPr>
              <w:jc w:val="center"/>
              <w:rPr>
                <w:rFonts w:eastAsia="Calibri"/>
              </w:rPr>
            </w:pPr>
          </w:p>
        </w:tc>
        <w:tc>
          <w:tcPr>
            <w:tcW w:w="1400" w:type="dxa"/>
            <w:shd w:val="clear" w:color="auto" w:fill="auto"/>
            <w:vAlign w:val="bottom"/>
          </w:tcPr>
          <w:p w:rsidRPr="001C5091" w:rsidR="001C6651" w:rsidP="0052692A" w:rsidRDefault="001C6651" w14:paraId="591704DE" w14:textId="77777777">
            <w:pPr>
              <w:jc w:val="center"/>
            </w:pPr>
          </w:p>
        </w:tc>
        <w:tc>
          <w:tcPr>
            <w:tcW w:w="1580" w:type="dxa"/>
            <w:vAlign w:val="bottom"/>
          </w:tcPr>
          <w:p w:rsidRPr="001C5091" w:rsidR="001C6651" w:rsidP="0052692A" w:rsidRDefault="001C6651" w14:paraId="63229781" w14:textId="77777777">
            <w:pPr>
              <w:jc w:val="center"/>
            </w:pPr>
          </w:p>
        </w:tc>
      </w:tr>
      <w:tr w:rsidRPr="001C5091" w:rsidR="00A7076A" w:rsidTr="00E70203" w14:paraId="516DEB62" w14:textId="77777777">
        <w:trPr>
          <w:trHeight w:val="300"/>
        </w:trPr>
        <w:tc>
          <w:tcPr>
            <w:tcW w:w="2538" w:type="dxa"/>
            <w:noWrap/>
            <w:tcMar>
              <w:top w:w="0" w:type="dxa"/>
              <w:left w:w="108" w:type="dxa"/>
              <w:bottom w:w="0" w:type="dxa"/>
              <w:right w:w="108" w:type="dxa"/>
            </w:tcMar>
            <w:vAlign w:val="bottom"/>
          </w:tcPr>
          <w:p w:rsidRPr="001C5091" w:rsidR="001C6651" w:rsidP="0052692A" w:rsidRDefault="001C6651" w14:paraId="4AD090B1" w14:textId="77777777">
            <w:pPr>
              <w:jc w:val="center"/>
              <w:rPr>
                <w:rFonts w:eastAsia="Calibri"/>
                <w:b/>
              </w:rPr>
            </w:pPr>
            <w:r w:rsidRPr="001C5091">
              <w:rPr>
                <w:rFonts w:eastAsia="Calibri"/>
                <w:b/>
              </w:rPr>
              <w:t>Contractor Cost</w:t>
            </w:r>
          </w:p>
        </w:tc>
        <w:tc>
          <w:tcPr>
            <w:tcW w:w="1350" w:type="dxa"/>
            <w:shd w:val="clear" w:color="auto" w:fill="auto"/>
            <w:vAlign w:val="bottom"/>
          </w:tcPr>
          <w:p w:rsidRPr="001C5091" w:rsidR="001C6651" w:rsidP="0052692A" w:rsidRDefault="001C6651" w14:paraId="3E4BBDA1" w14:textId="77777777">
            <w:pPr>
              <w:jc w:val="center"/>
              <w:rPr>
                <w:rFonts w:eastAsia="Calibri"/>
              </w:rPr>
            </w:pPr>
          </w:p>
        </w:tc>
        <w:tc>
          <w:tcPr>
            <w:tcW w:w="1350" w:type="dxa"/>
            <w:noWrap/>
            <w:tcMar>
              <w:top w:w="0" w:type="dxa"/>
              <w:left w:w="108" w:type="dxa"/>
              <w:bottom w:w="0" w:type="dxa"/>
              <w:right w:w="108" w:type="dxa"/>
            </w:tcMar>
            <w:vAlign w:val="bottom"/>
          </w:tcPr>
          <w:p w:rsidRPr="001C5091" w:rsidR="001C6651" w:rsidP="0052692A" w:rsidRDefault="001C6651" w14:paraId="7AB68F78" w14:textId="77777777">
            <w:pPr>
              <w:jc w:val="center"/>
              <w:rPr>
                <w:rFonts w:eastAsia="Calibri"/>
              </w:rPr>
            </w:pPr>
          </w:p>
        </w:tc>
        <w:tc>
          <w:tcPr>
            <w:tcW w:w="1260" w:type="dxa"/>
            <w:noWrap/>
            <w:tcMar>
              <w:top w:w="0" w:type="dxa"/>
              <w:left w:w="108" w:type="dxa"/>
              <w:bottom w:w="0" w:type="dxa"/>
              <w:right w:w="108" w:type="dxa"/>
            </w:tcMar>
            <w:vAlign w:val="bottom"/>
          </w:tcPr>
          <w:p w:rsidRPr="001C5091" w:rsidR="001C6651" w:rsidP="0052692A" w:rsidRDefault="001C6651" w14:paraId="48AAE175" w14:textId="77777777">
            <w:pPr>
              <w:jc w:val="center"/>
              <w:rPr>
                <w:rFonts w:eastAsia="Calibri"/>
              </w:rPr>
            </w:pPr>
          </w:p>
        </w:tc>
        <w:tc>
          <w:tcPr>
            <w:tcW w:w="1400" w:type="dxa"/>
            <w:vAlign w:val="bottom"/>
          </w:tcPr>
          <w:p w:rsidRPr="001C5091" w:rsidR="001C6651" w:rsidP="0052692A" w:rsidRDefault="001C6651" w14:paraId="5E9830E0" w14:textId="77777777">
            <w:pPr>
              <w:jc w:val="center"/>
            </w:pPr>
          </w:p>
        </w:tc>
        <w:tc>
          <w:tcPr>
            <w:tcW w:w="1580" w:type="dxa"/>
            <w:vAlign w:val="bottom"/>
          </w:tcPr>
          <w:p w:rsidRPr="001C5091" w:rsidR="001C6651" w:rsidP="0052692A" w:rsidRDefault="001C6651" w14:paraId="0F97E662" w14:textId="77777777">
            <w:pPr>
              <w:jc w:val="center"/>
            </w:pPr>
          </w:p>
        </w:tc>
      </w:tr>
      <w:tr w:rsidRPr="001C5091" w:rsidR="00A7076A" w:rsidTr="00E70203" w14:paraId="54E452F4" w14:textId="77777777">
        <w:trPr>
          <w:trHeight w:val="300"/>
        </w:trPr>
        <w:tc>
          <w:tcPr>
            <w:tcW w:w="2538" w:type="dxa"/>
            <w:noWrap/>
            <w:tcMar>
              <w:top w:w="0" w:type="dxa"/>
              <w:left w:w="108" w:type="dxa"/>
              <w:bottom w:w="0" w:type="dxa"/>
              <w:right w:w="108" w:type="dxa"/>
            </w:tcMar>
            <w:vAlign w:val="bottom"/>
          </w:tcPr>
          <w:p w:rsidRPr="001C5091" w:rsidR="001C6651" w:rsidP="0052692A" w:rsidRDefault="001C6651" w14:paraId="00EBE7C5" w14:textId="35224AC2">
            <w:pPr>
              <w:jc w:val="center"/>
              <w:rPr>
                <w:rFonts w:eastAsia="Calibri"/>
                <w:b/>
              </w:rPr>
            </w:pPr>
          </w:p>
        </w:tc>
        <w:tc>
          <w:tcPr>
            <w:tcW w:w="1350" w:type="dxa"/>
            <w:shd w:val="clear" w:color="auto" w:fill="BFBFBF" w:themeFill="background1" w:themeFillShade="BF"/>
            <w:vAlign w:val="bottom"/>
          </w:tcPr>
          <w:p w:rsidRPr="001C5091" w:rsidR="001C6651" w:rsidP="0052692A" w:rsidRDefault="001C6651" w14:paraId="752729E2" w14:textId="77777777">
            <w:pPr>
              <w:jc w:val="center"/>
              <w:rPr>
                <w:rFonts w:eastAsia="Calibri"/>
              </w:rPr>
            </w:pPr>
          </w:p>
        </w:tc>
        <w:tc>
          <w:tcPr>
            <w:tcW w:w="1350" w:type="dxa"/>
            <w:noWrap/>
            <w:tcMar>
              <w:top w:w="0" w:type="dxa"/>
              <w:left w:w="108" w:type="dxa"/>
              <w:bottom w:w="0" w:type="dxa"/>
              <w:right w:w="108" w:type="dxa"/>
            </w:tcMar>
            <w:vAlign w:val="bottom"/>
          </w:tcPr>
          <w:p w:rsidRPr="001C5091" w:rsidR="001C6651" w:rsidP="0052692A" w:rsidRDefault="001C6651" w14:paraId="7A7EC194" w14:textId="7F9AB5A9">
            <w:pPr>
              <w:jc w:val="center"/>
              <w:rPr>
                <w:rFonts w:eastAsia="Calibri"/>
              </w:rPr>
            </w:pPr>
          </w:p>
        </w:tc>
        <w:tc>
          <w:tcPr>
            <w:tcW w:w="1260" w:type="dxa"/>
            <w:noWrap/>
            <w:tcMar>
              <w:top w:w="0" w:type="dxa"/>
              <w:left w:w="108" w:type="dxa"/>
              <w:bottom w:w="0" w:type="dxa"/>
              <w:right w:w="108" w:type="dxa"/>
            </w:tcMar>
            <w:vAlign w:val="bottom"/>
          </w:tcPr>
          <w:p w:rsidRPr="001C5091" w:rsidR="001C6651" w:rsidP="0052692A" w:rsidRDefault="001C6651" w14:paraId="6BD54785" w14:textId="1BA34185">
            <w:pPr>
              <w:jc w:val="center"/>
              <w:rPr>
                <w:rFonts w:eastAsia="Calibri"/>
              </w:rPr>
            </w:pPr>
          </w:p>
        </w:tc>
        <w:tc>
          <w:tcPr>
            <w:tcW w:w="1400" w:type="dxa"/>
            <w:shd w:val="clear" w:color="auto" w:fill="BFBFBF" w:themeFill="background1" w:themeFillShade="BF"/>
            <w:vAlign w:val="bottom"/>
          </w:tcPr>
          <w:p w:rsidRPr="001C5091" w:rsidR="001C6651" w:rsidP="0052692A" w:rsidRDefault="001C6651" w14:paraId="7025A3C9" w14:textId="77777777">
            <w:pPr>
              <w:jc w:val="center"/>
            </w:pPr>
          </w:p>
        </w:tc>
        <w:tc>
          <w:tcPr>
            <w:tcW w:w="1580" w:type="dxa"/>
            <w:vAlign w:val="bottom"/>
          </w:tcPr>
          <w:p w:rsidRPr="001C5091" w:rsidR="001C6651" w:rsidP="0052692A" w:rsidRDefault="001C6651" w14:paraId="6F095A91" w14:textId="6115586A">
            <w:pPr>
              <w:jc w:val="center"/>
            </w:pPr>
          </w:p>
        </w:tc>
      </w:tr>
      <w:tr w:rsidRPr="001C5091" w:rsidR="00A7076A" w:rsidTr="00E70203" w14:paraId="4FAB93A0" w14:textId="77777777">
        <w:trPr>
          <w:trHeight w:val="300"/>
        </w:trPr>
        <w:tc>
          <w:tcPr>
            <w:tcW w:w="2538" w:type="dxa"/>
            <w:noWrap/>
            <w:tcMar>
              <w:top w:w="0" w:type="dxa"/>
              <w:left w:w="108" w:type="dxa"/>
              <w:bottom w:w="0" w:type="dxa"/>
              <w:right w:w="108" w:type="dxa"/>
            </w:tcMar>
            <w:vAlign w:val="bottom"/>
          </w:tcPr>
          <w:p w:rsidRPr="001C5091" w:rsidR="001C6651" w:rsidP="0052692A" w:rsidRDefault="001C6651" w14:paraId="564F323B" w14:textId="77777777">
            <w:pPr>
              <w:jc w:val="center"/>
              <w:rPr>
                <w:rFonts w:eastAsia="Calibri"/>
              </w:rPr>
            </w:pPr>
          </w:p>
        </w:tc>
        <w:tc>
          <w:tcPr>
            <w:tcW w:w="1350" w:type="dxa"/>
            <w:vAlign w:val="bottom"/>
          </w:tcPr>
          <w:p w:rsidRPr="001C5091" w:rsidR="001C6651" w:rsidP="0052692A" w:rsidRDefault="001C6651" w14:paraId="3746E83C" w14:textId="77777777">
            <w:pPr>
              <w:jc w:val="center"/>
              <w:rPr>
                <w:rFonts w:eastAsia="Calibri"/>
              </w:rPr>
            </w:pPr>
          </w:p>
        </w:tc>
        <w:tc>
          <w:tcPr>
            <w:tcW w:w="1350" w:type="dxa"/>
            <w:noWrap/>
            <w:tcMar>
              <w:top w:w="0" w:type="dxa"/>
              <w:left w:w="108" w:type="dxa"/>
              <w:bottom w:w="0" w:type="dxa"/>
              <w:right w:w="108" w:type="dxa"/>
            </w:tcMar>
            <w:vAlign w:val="bottom"/>
          </w:tcPr>
          <w:p w:rsidRPr="001C5091" w:rsidR="001C6651" w:rsidP="0052692A" w:rsidRDefault="001C6651" w14:paraId="364827BB" w14:textId="77777777">
            <w:pPr>
              <w:jc w:val="center"/>
              <w:rPr>
                <w:rFonts w:eastAsia="Calibri"/>
              </w:rPr>
            </w:pPr>
          </w:p>
        </w:tc>
        <w:tc>
          <w:tcPr>
            <w:tcW w:w="1260" w:type="dxa"/>
            <w:noWrap/>
            <w:tcMar>
              <w:top w:w="0" w:type="dxa"/>
              <w:left w:w="108" w:type="dxa"/>
              <w:bottom w:w="0" w:type="dxa"/>
              <w:right w:w="108" w:type="dxa"/>
            </w:tcMar>
            <w:vAlign w:val="bottom"/>
          </w:tcPr>
          <w:p w:rsidRPr="001C5091" w:rsidR="001C6651" w:rsidP="0052692A" w:rsidRDefault="001C6651" w14:paraId="0928F3EC" w14:textId="77777777">
            <w:pPr>
              <w:jc w:val="center"/>
              <w:rPr>
                <w:rFonts w:eastAsia="Calibri"/>
              </w:rPr>
            </w:pPr>
          </w:p>
        </w:tc>
        <w:tc>
          <w:tcPr>
            <w:tcW w:w="1400" w:type="dxa"/>
            <w:vAlign w:val="bottom"/>
          </w:tcPr>
          <w:p w:rsidRPr="001C5091" w:rsidR="001C6651" w:rsidP="0052692A" w:rsidRDefault="001C6651" w14:paraId="0322670D" w14:textId="77777777">
            <w:pPr>
              <w:jc w:val="center"/>
            </w:pPr>
          </w:p>
        </w:tc>
        <w:tc>
          <w:tcPr>
            <w:tcW w:w="1580" w:type="dxa"/>
            <w:vAlign w:val="bottom"/>
          </w:tcPr>
          <w:p w:rsidRPr="001C5091" w:rsidR="001C6651" w:rsidP="0052692A" w:rsidRDefault="001C6651" w14:paraId="59D807AE" w14:textId="77777777">
            <w:pPr>
              <w:jc w:val="center"/>
            </w:pPr>
          </w:p>
        </w:tc>
      </w:tr>
      <w:tr w:rsidRPr="001C5091" w:rsidR="00A7076A" w:rsidTr="00E70203" w14:paraId="68F80C97" w14:textId="77777777">
        <w:trPr>
          <w:trHeight w:val="300"/>
        </w:trPr>
        <w:tc>
          <w:tcPr>
            <w:tcW w:w="2538" w:type="dxa"/>
            <w:noWrap/>
            <w:tcMar>
              <w:top w:w="0" w:type="dxa"/>
              <w:left w:w="108" w:type="dxa"/>
              <w:bottom w:w="0" w:type="dxa"/>
              <w:right w:w="108" w:type="dxa"/>
            </w:tcMar>
            <w:vAlign w:val="bottom"/>
          </w:tcPr>
          <w:p w:rsidRPr="001C5091" w:rsidR="001C6651" w:rsidP="0052692A" w:rsidRDefault="001C6651" w14:paraId="044B43CF" w14:textId="77777777">
            <w:pPr>
              <w:jc w:val="center"/>
              <w:rPr>
                <w:rFonts w:eastAsia="Calibri"/>
              </w:rPr>
            </w:pPr>
            <w:r w:rsidRPr="001C5091">
              <w:rPr>
                <w:rFonts w:eastAsia="Calibri"/>
              </w:rPr>
              <w:t>Travel</w:t>
            </w:r>
          </w:p>
        </w:tc>
        <w:tc>
          <w:tcPr>
            <w:tcW w:w="1350" w:type="dxa"/>
            <w:shd w:val="clear" w:color="auto" w:fill="BFBFBF" w:themeFill="background1" w:themeFillShade="BF"/>
            <w:vAlign w:val="bottom"/>
          </w:tcPr>
          <w:p w:rsidRPr="001C5091" w:rsidR="001C6651" w:rsidP="0052692A" w:rsidRDefault="001C6651" w14:paraId="56751824" w14:textId="77777777">
            <w:pPr>
              <w:jc w:val="center"/>
              <w:rPr>
                <w:rFonts w:eastAsia="Calibri"/>
              </w:rPr>
            </w:pPr>
          </w:p>
        </w:tc>
        <w:tc>
          <w:tcPr>
            <w:tcW w:w="1350" w:type="dxa"/>
            <w:shd w:val="clear" w:color="auto" w:fill="BFBFBF" w:themeFill="background1" w:themeFillShade="BF"/>
            <w:noWrap/>
            <w:tcMar>
              <w:top w:w="0" w:type="dxa"/>
              <w:left w:w="108" w:type="dxa"/>
              <w:bottom w:w="0" w:type="dxa"/>
              <w:right w:w="108" w:type="dxa"/>
            </w:tcMar>
            <w:vAlign w:val="bottom"/>
          </w:tcPr>
          <w:p w:rsidRPr="001C5091" w:rsidR="001C6651" w:rsidP="0052692A" w:rsidRDefault="001C6651" w14:paraId="652C02E7" w14:textId="77777777">
            <w:pPr>
              <w:jc w:val="center"/>
              <w:rPr>
                <w:rFonts w:eastAsia="Calibri"/>
              </w:rPr>
            </w:pPr>
          </w:p>
        </w:tc>
        <w:tc>
          <w:tcPr>
            <w:tcW w:w="1260" w:type="dxa"/>
            <w:shd w:val="clear" w:color="auto" w:fill="BFBFBF" w:themeFill="background1" w:themeFillShade="BF"/>
            <w:noWrap/>
            <w:tcMar>
              <w:top w:w="0" w:type="dxa"/>
              <w:left w:w="108" w:type="dxa"/>
              <w:bottom w:w="0" w:type="dxa"/>
              <w:right w:w="108" w:type="dxa"/>
            </w:tcMar>
            <w:vAlign w:val="bottom"/>
          </w:tcPr>
          <w:p w:rsidRPr="001C5091" w:rsidR="001C6651" w:rsidP="0052692A" w:rsidRDefault="001C6651" w14:paraId="64785259" w14:textId="77777777">
            <w:pPr>
              <w:jc w:val="center"/>
              <w:rPr>
                <w:rFonts w:eastAsia="Calibri"/>
              </w:rPr>
            </w:pPr>
          </w:p>
        </w:tc>
        <w:tc>
          <w:tcPr>
            <w:tcW w:w="1400" w:type="dxa"/>
            <w:shd w:val="clear" w:color="auto" w:fill="BFBFBF" w:themeFill="background1" w:themeFillShade="BF"/>
            <w:vAlign w:val="bottom"/>
          </w:tcPr>
          <w:p w:rsidRPr="001C5091" w:rsidR="001C6651" w:rsidP="0052692A" w:rsidRDefault="001C6651" w14:paraId="76FC18E3" w14:textId="77777777">
            <w:pPr>
              <w:jc w:val="center"/>
            </w:pPr>
          </w:p>
        </w:tc>
        <w:tc>
          <w:tcPr>
            <w:tcW w:w="1580" w:type="dxa"/>
            <w:shd w:val="clear" w:color="auto" w:fill="BFBFBF" w:themeFill="background1" w:themeFillShade="BF"/>
            <w:vAlign w:val="bottom"/>
          </w:tcPr>
          <w:p w:rsidRPr="001C5091" w:rsidR="001C6651" w:rsidP="0052692A" w:rsidRDefault="001C6651" w14:paraId="4053C6A2" w14:textId="77777777">
            <w:pPr>
              <w:jc w:val="center"/>
            </w:pPr>
          </w:p>
        </w:tc>
      </w:tr>
      <w:tr w:rsidRPr="001C5091" w:rsidR="00A7076A" w:rsidTr="00E70203" w14:paraId="7E9B1713" w14:textId="77777777">
        <w:trPr>
          <w:trHeight w:val="300"/>
        </w:trPr>
        <w:tc>
          <w:tcPr>
            <w:tcW w:w="2538" w:type="dxa"/>
            <w:noWrap/>
            <w:tcMar>
              <w:top w:w="0" w:type="dxa"/>
              <w:left w:w="108" w:type="dxa"/>
              <w:bottom w:w="0" w:type="dxa"/>
              <w:right w:w="108" w:type="dxa"/>
            </w:tcMar>
            <w:vAlign w:val="bottom"/>
          </w:tcPr>
          <w:p w:rsidRPr="001C5091" w:rsidR="001C6651" w:rsidP="0052692A" w:rsidRDefault="001C6651" w14:paraId="0F07F199" w14:textId="77777777">
            <w:pPr>
              <w:jc w:val="center"/>
              <w:rPr>
                <w:rFonts w:eastAsia="Calibri"/>
                <w:color w:val="1F497D"/>
                <w:highlight w:val="yellow"/>
              </w:rPr>
            </w:pPr>
            <w:r w:rsidRPr="001C5091">
              <w:rPr>
                <w:rFonts w:eastAsia="Calibri"/>
              </w:rPr>
              <w:t>Other Cost</w:t>
            </w:r>
          </w:p>
        </w:tc>
        <w:tc>
          <w:tcPr>
            <w:tcW w:w="1350" w:type="dxa"/>
            <w:shd w:val="clear" w:color="auto" w:fill="BFBFBF" w:themeFill="background1" w:themeFillShade="BF"/>
            <w:vAlign w:val="bottom"/>
          </w:tcPr>
          <w:p w:rsidRPr="001C5091" w:rsidR="001C6651" w:rsidP="0052692A" w:rsidRDefault="001C6651" w14:paraId="3ECC2DE9" w14:textId="77777777">
            <w:pPr>
              <w:jc w:val="center"/>
              <w:rPr>
                <w:rFonts w:eastAsia="Calibri"/>
                <w:color w:val="000000"/>
              </w:rPr>
            </w:pPr>
          </w:p>
        </w:tc>
        <w:tc>
          <w:tcPr>
            <w:tcW w:w="1350" w:type="dxa"/>
            <w:shd w:val="clear" w:color="auto" w:fill="BFBFBF" w:themeFill="background1" w:themeFillShade="BF"/>
            <w:noWrap/>
            <w:tcMar>
              <w:top w:w="0" w:type="dxa"/>
              <w:left w:w="108" w:type="dxa"/>
              <w:bottom w:w="0" w:type="dxa"/>
              <w:right w:w="108" w:type="dxa"/>
            </w:tcMar>
            <w:vAlign w:val="bottom"/>
          </w:tcPr>
          <w:p w:rsidRPr="001C5091" w:rsidR="001C6651" w:rsidP="0052692A" w:rsidRDefault="001C6651" w14:paraId="3A0A0761" w14:textId="77777777">
            <w:pPr>
              <w:jc w:val="center"/>
              <w:rPr>
                <w:rFonts w:eastAsia="Calibri"/>
              </w:rPr>
            </w:pPr>
          </w:p>
        </w:tc>
        <w:tc>
          <w:tcPr>
            <w:tcW w:w="1260" w:type="dxa"/>
            <w:shd w:val="clear" w:color="auto" w:fill="BFBFBF" w:themeFill="background1" w:themeFillShade="BF"/>
            <w:noWrap/>
            <w:tcMar>
              <w:top w:w="0" w:type="dxa"/>
              <w:left w:w="108" w:type="dxa"/>
              <w:bottom w:w="0" w:type="dxa"/>
              <w:right w:w="108" w:type="dxa"/>
            </w:tcMar>
            <w:vAlign w:val="bottom"/>
          </w:tcPr>
          <w:p w:rsidRPr="001C5091" w:rsidR="001C6651" w:rsidP="0052692A" w:rsidRDefault="001C6651" w14:paraId="2DC9F5DF" w14:textId="77777777">
            <w:pPr>
              <w:jc w:val="center"/>
              <w:rPr>
                <w:rFonts w:eastAsia="Calibri"/>
              </w:rPr>
            </w:pPr>
          </w:p>
        </w:tc>
        <w:tc>
          <w:tcPr>
            <w:tcW w:w="1400" w:type="dxa"/>
            <w:shd w:val="clear" w:color="auto" w:fill="BFBFBF" w:themeFill="background1" w:themeFillShade="BF"/>
            <w:vAlign w:val="bottom"/>
          </w:tcPr>
          <w:p w:rsidRPr="001C5091" w:rsidR="001C6651" w:rsidP="0052692A" w:rsidRDefault="001C6651" w14:paraId="37EA397D" w14:textId="77777777">
            <w:pPr>
              <w:jc w:val="center"/>
              <w:rPr>
                <w:rFonts w:eastAsia="Calibri"/>
              </w:rPr>
            </w:pPr>
          </w:p>
        </w:tc>
        <w:tc>
          <w:tcPr>
            <w:tcW w:w="1580" w:type="dxa"/>
            <w:shd w:val="clear" w:color="auto" w:fill="BFBFBF" w:themeFill="background1" w:themeFillShade="BF"/>
            <w:vAlign w:val="bottom"/>
          </w:tcPr>
          <w:p w:rsidRPr="001C5091" w:rsidR="001C6651" w:rsidP="0052692A" w:rsidRDefault="001C6651" w14:paraId="2FAC4335" w14:textId="77777777">
            <w:pPr>
              <w:jc w:val="center"/>
              <w:rPr>
                <w:rFonts w:eastAsia="Calibri"/>
              </w:rPr>
            </w:pPr>
          </w:p>
        </w:tc>
      </w:tr>
      <w:tr w:rsidRPr="001C5091" w:rsidR="00A7076A" w:rsidTr="00E70203" w14:paraId="4986F5FF" w14:textId="77777777">
        <w:trPr>
          <w:trHeight w:val="300"/>
        </w:trPr>
        <w:tc>
          <w:tcPr>
            <w:tcW w:w="2538" w:type="dxa"/>
            <w:noWrap/>
            <w:tcMar>
              <w:top w:w="0" w:type="dxa"/>
              <w:left w:w="108" w:type="dxa"/>
              <w:bottom w:w="0" w:type="dxa"/>
              <w:right w:w="108" w:type="dxa"/>
            </w:tcMar>
            <w:vAlign w:val="bottom"/>
            <w:hideMark/>
          </w:tcPr>
          <w:p w:rsidRPr="001C5091" w:rsidR="001C6651" w:rsidP="0052692A" w:rsidRDefault="001C6651" w14:paraId="32744165" w14:textId="77777777">
            <w:pPr>
              <w:jc w:val="center"/>
            </w:pPr>
            <w:r>
              <w:t>Total</w:t>
            </w:r>
          </w:p>
        </w:tc>
        <w:tc>
          <w:tcPr>
            <w:tcW w:w="1350" w:type="dxa"/>
            <w:vAlign w:val="bottom"/>
          </w:tcPr>
          <w:p w:rsidRPr="001C5091" w:rsidR="001C6651" w:rsidP="0052692A" w:rsidRDefault="001C6651" w14:paraId="30FD7D6F" w14:textId="77777777">
            <w:pPr>
              <w:jc w:val="center"/>
              <w:rPr>
                <w:rFonts w:eastAsia="Calibri"/>
              </w:rPr>
            </w:pPr>
          </w:p>
        </w:tc>
        <w:tc>
          <w:tcPr>
            <w:tcW w:w="1350" w:type="dxa"/>
            <w:noWrap/>
            <w:tcMar>
              <w:top w:w="0" w:type="dxa"/>
              <w:left w:w="108" w:type="dxa"/>
              <w:bottom w:w="0" w:type="dxa"/>
              <w:right w:w="108" w:type="dxa"/>
            </w:tcMar>
            <w:vAlign w:val="bottom"/>
            <w:hideMark/>
          </w:tcPr>
          <w:p w:rsidRPr="001C5091" w:rsidR="001C6651" w:rsidP="0052692A" w:rsidRDefault="001C6651" w14:paraId="07C1D894" w14:textId="77777777">
            <w:pPr>
              <w:jc w:val="center"/>
            </w:pPr>
          </w:p>
        </w:tc>
        <w:tc>
          <w:tcPr>
            <w:tcW w:w="1260" w:type="dxa"/>
            <w:noWrap/>
            <w:tcMar>
              <w:top w:w="0" w:type="dxa"/>
              <w:left w:w="108" w:type="dxa"/>
              <w:bottom w:w="0" w:type="dxa"/>
              <w:right w:w="108" w:type="dxa"/>
            </w:tcMar>
            <w:vAlign w:val="bottom"/>
            <w:hideMark/>
          </w:tcPr>
          <w:p w:rsidRPr="001C5091" w:rsidR="001C6651" w:rsidP="0052692A" w:rsidRDefault="001C6651" w14:paraId="329E63A8" w14:textId="77777777">
            <w:pPr>
              <w:jc w:val="center"/>
            </w:pPr>
          </w:p>
        </w:tc>
        <w:tc>
          <w:tcPr>
            <w:tcW w:w="1400" w:type="dxa"/>
            <w:vAlign w:val="bottom"/>
          </w:tcPr>
          <w:p w:rsidRPr="001C5091" w:rsidR="001C6651" w:rsidP="0052692A" w:rsidRDefault="001C6651" w14:paraId="0161FF39" w14:textId="77777777">
            <w:pPr>
              <w:jc w:val="center"/>
            </w:pPr>
          </w:p>
        </w:tc>
        <w:tc>
          <w:tcPr>
            <w:tcW w:w="1580" w:type="dxa"/>
            <w:vAlign w:val="bottom"/>
          </w:tcPr>
          <w:p w:rsidRPr="001C5091" w:rsidR="001C6651" w:rsidP="0052692A" w:rsidRDefault="00F637F7" w14:paraId="2788E35C" w14:textId="0AEDD731">
            <w:pPr>
              <w:jc w:val="center"/>
            </w:pPr>
            <w:r>
              <w:t>137,773</w:t>
            </w:r>
          </w:p>
        </w:tc>
      </w:tr>
    </w:tbl>
    <w:p w:rsidR="00E73675" w:rsidP="00530196" w:rsidRDefault="00E73675" w14:paraId="5998181B" w14:textId="77777777">
      <w:pPr>
        <w:ind w:right="-684"/>
        <w:rPr>
          <w:b/>
          <w:bCs/>
        </w:rPr>
      </w:pPr>
    </w:p>
    <w:p w:rsidR="00FC0A5A" w:rsidP="00530196" w:rsidRDefault="00FC0A5A" w14:paraId="3AE1AB83" w14:textId="77777777">
      <w:pPr>
        <w:ind w:right="-684"/>
        <w:rPr>
          <w:b/>
          <w:bCs/>
        </w:rPr>
      </w:pPr>
    </w:p>
    <w:p w:rsidRPr="00420406" w:rsidR="00B61497" w:rsidP="00262E69" w:rsidRDefault="00830BEA" w14:paraId="7E7D830C" w14:textId="77777777">
      <w:pPr>
        <w:pStyle w:val="Heading2"/>
        <w:rPr>
          <w:highlight w:val="yellow"/>
          <w:u w:val="single"/>
        </w:rPr>
      </w:pPr>
      <w:bookmarkStart w:name="_Toc419964741" w:id="22"/>
      <w:r w:rsidRPr="00DE17C5">
        <w:t>A.</w:t>
      </w:r>
      <w:r w:rsidRPr="00DE17C5" w:rsidR="00067FB0">
        <w:t>15.</w:t>
      </w:r>
      <w:r w:rsidRPr="00DE17C5">
        <w:t xml:space="preserve"> </w:t>
      </w:r>
      <w:r w:rsidRPr="00DE17C5" w:rsidR="00B61497">
        <w:t xml:space="preserve">Explanation for Program Changes </w:t>
      </w:r>
      <w:r w:rsidR="00A61C0C">
        <w:t>or Adjustments</w:t>
      </w:r>
      <w:bookmarkEnd w:id="22"/>
    </w:p>
    <w:p w:rsidRPr="003D769D" w:rsidR="00D172F4" w:rsidP="00530196" w:rsidRDefault="00D172F4" w14:paraId="301967FC" w14:textId="77777777">
      <w:pPr>
        <w:ind w:right="-684"/>
      </w:pPr>
    </w:p>
    <w:p w:rsidRPr="00F236C6" w:rsidR="00DC5BF1" w:rsidP="00E2475A" w:rsidRDefault="00E2475A" w14:paraId="59B6F581" w14:textId="3511A67A">
      <w:pPr>
        <w:spacing w:line="480" w:lineRule="auto"/>
        <w:ind w:right="-684"/>
      </w:pPr>
      <w:r w:rsidRPr="006446DC">
        <w:t xml:space="preserve">This </w:t>
      </w:r>
      <w:r w:rsidRPr="006446DC" w:rsidR="00E70203">
        <w:t>is a new s</w:t>
      </w:r>
      <w:r w:rsidRPr="006446DC">
        <w:t xml:space="preserve">ubmission </w:t>
      </w:r>
      <w:r w:rsidRPr="006446DC" w:rsidR="00E70203">
        <w:t xml:space="preserve">to convert </w:t>
      </w:r>
      <w:r w:rsidRPr="006446DC" w:rsidR="003429CB">
        <w:t xml:space="preserve">the Inclusion Enrollment Report form to a Common form to include the Department of Defense (DoD). </w:t>
      </w:r>
    </w:p>
    <w:p w:rsidRPr="00420406" w:rsidR="00BD03CE" w:rsidP="00530196" w:rsidRDefault="00BD03CE" w14:paraId="0B47FD29" w14:textId="77777777">
      <w:pPr>
        <w:ind w:right="-684"/>
        <w:rPr>
          <w:highlight w:val="yellow"/>
        </w:rPr>
      </w:pPr>
    </w:p>
    <w:p w:rsidR="00B61497" w:rsidP="00262E69" w:rsidRDefault="00830BEA" w14:paraId="470CA717" w14:textId="77777777">
      <w:pPr>
        <w:pStyle w:val="Heading2"/>
      </w:pPr>
      <w:bookmarkStart w:name="_Toc419964742" w:id="23"/>
      <w:r w:rsidRPr="00D84552">
        <w:t>A.</w:t>
      </w:r>
      <w:r w:rsidRPr="00D84552" w:rsidR="00067FB0">
        <w:t>16.</w:t>
      </w:r>
      <w:r w:rsidRPr="00D84552">
        <w:t xml:space="preserve"> </w:t>
      </w:r>
      <w:r w:rsidRPr="00D84552" w:rsidR="00B61497">
        <w:t>Plans for Tabulation and Publication and Project Time Schedule</w:t>
      </w:r>
      <w:bookmarkEnd w:id="23"/>
    </w:p>
    <w:p w:rsidRPr="00262E69" w:rsidR="00262E69" w:rsidP="00262E69" w:rsidRDefault="00262E69" w14:paraId="4B730189" w14:textId="77777777"/>
    <w:p w:rsidRPr="00847667" w:rsidR="00B61497" w:rsidP="00530196" w:rsidRDefault="0072367D" w14:paraId="160ECFFF" w14:textId="37130C46">
      <w:pPr>
        <w:pStyle w:val="BodyTextIndent"/>
        <w:spacing w:line="480" w:lineRule="auto"/>
        <w:ind w:left="0" w:right="-684"/>
        <w:rPr>
          <w:bCs/>
        </w:rPr>
      </w:pPr>
      <w:r w:rsidRPr="00847667">
        <w:rPr>
          <w:bCs/>
        </w:rPr>
        <w:t>T</w:t>
      </w:r>
      <w:r w:rsidRPr="00847667" w:rsidR="003C7B8B">
        <w:rPr>
          <w:bCs/>
        </w:rPr>
        <w:t>here is no tabulation, publication, or project time schedule</w:t>
      </w:r>
      <w:r w:rsidRPr="00847667" w:rsidR="008E347F">
        <w:rPr>
          <w:bCs/>
        </w:rPr>
        <w:t xml:space="preserve"> associated with use of </w:t>
      </w:r>
      <w:r w:rsidR="00E70203">
        <w:rPr>
          <w:bCs/>
        </w:rPr>
        <w:t>this f</w:t>
      </w:r>
      <w:r w:rsidRPr="00847667" w:rsidR="008E347F">
        <w:rPr>
          <w:bCs/>
        </w:rPr>
        <w:t>orm</w:t>
      </w:r>
      <w:r w:rsidRPr="00847667" w:rsidR="003C7B8B">
        <w:rPr>
          <w:bCs/>
        </w:rPr>
        <w:t xml:space="preserve">.  </w:t>
      </w:r>
    </w:p>
    <w:p w:rsidR="00D84552" w:rsidP="00262E69" w:rsidRDefault="00D84552" w14:paraId="514E1A57" w14:textId="77777777">
      <w:pPr>
        <w:pStyle w:val="BodyTextIndent"/>
        <w:ind w:left="0" w:right="-684"/>
      </w:pPr>
    </w:p>
    <w:p w:rsidR="00B61497" w:rsidP="00262E69" w:rsidRDefault="00830BEA" w14:paraId="3C5557FE" w14:textId="77777777">
      <w:pPr>
        <w:pStyle w:val="Heading2"/>
      </w:pPr>
      <w:bookmarkStart w:name="_Toc419964743" w:id="24"/>
      <w:r w:rsidRPr="00D84552">
        <w:t>A.</w:t>
      </w:r>
      <w:r w:rsidRPr="00D84552" w:rsidR="00067FB0">
        <w:t>17.</w:t>
      </w:r>
      <w:r w:rsidRPr="00D84552">
        <w:t xml:space="preserve"> </w:t>
      </w:r>
      <w:r w:rsidRPr="00D84552" w:rsidR="00B61497">
        <w:t>Reason(s) Display of OMB Expiration Date is Inappropriate</w:t>
      </w:r>
      <w:bookmarkEnd w:id="24"/>
    </w:p>
    <w:p w:rsidRPr="00262E69" w:rsidR="00262E69" w:rsidP="00262E69" w:rsidRDefault="00262E69" w14:paraId="311D83B1" w14:textId="77777777"/>
    <w:p w:rsidRPr="00847667" w:rsidR="00B61497" w:rsidP="00530196" w:rsidRDefault="00B61497" w14:paraId="5451DDAA" w14:textId="2C66671A">
      <w:pPr>
        <w:spacing w:line="480" w:lineRule="auto"/>
        <w:ind w:right="-684"/>
        <w:rPr>
          <w:bCs/>
        </w:rPr>
      </w:pPr>
      <w:r w:rsidRPr="004C642A">
        <w:rPr>
          <w:bCs/>
        </w:rPr>
        <w:t xml:space="preserve">The OMB </w:t>
      </w:r>
      <w:r w:rsidRPr="004C642A" w:rsidR="0072367D">
        <w:rPr>
          <w:bCs/>
        </w:rPr>
        <w:t>n</w:t>
      </w:r>
      <w:r w:rsidRPr="004C642A">
        <w:rPr>
          <w:bCs/>
        </w:rPr>
        <w:t xml:space="preserve">umber </w:t>
      </w:r>
      <w:r w:rsidR="007A0573">
        <w:rPr>
          <w:bCs/>
        </w:rPr>
        <w:t xml:space="preserve">and expiration date </w:t>
      </w:r>
      <w:r w:rsidR="002123DC">
        <w:rPr>
          <w:bCs/>
        </w:rPr>
        <w:t xml:space="preserve">will be </w:t>
      </w:r>
      <w:r w:rsidR="00E70203">
        <w:rPr>
          <w:bCs/>
        </w:rPr>
        <w:t>appropriately displayed o</w:t>
      </w:r>
      <w:r w:rsidR="002123DC">
        <w:rPr>
          <w:bCs/>
        </w:rPr>
        <w:t xml:space="preserve">n all </w:t>
      </w:r>
      <w:r w:rsidR="00E70203">
        <w:rPr>
          <w:bCs/>
        </w:rPr>
        <w:t>information collection instrument</w:t>
      </w:r>
      <w:r w:rsidRPr="00032804">
        <w:rPr>
          <w:bCs/>
        </w:rPr>
        <w:t>.</w:t>
      </w:r>
      <w:r w:rsidRPr="00032804" w:rsidR="00A42107">
        <w:rPr>
          <w:bCs/>
        </w:rPr>
        <w:t xml:space="preserve"> </w:t>
      </w:r>
    </w:p>
    <w:p w:rsidR="00DF554D" w:rsidP="00262E69" w:rsidRDefault="00DF554D" w14:paraId="63B19DB8" w14:textId="77777777">
      <w:pPr>
        <w:ind w:right="-684"/>
        <w:rPr>
          <w:b/>
          <w:bCs/>
        </w:rPr>
      </w:pPr>
    </w:p>
    <w:p w:rsidR="00B61497" w:rsidP="00262E69" w:rsidRDefault="00D84552" w14:paraId="2FFC8951" w14:textId="77777777">
      <w:pPr>
        <w:pStyle w:val="Heading2"/>
      </w:pPr>
      <w:bookmarkStart w:name="_Toc419964744" w:id="25"/>
      <w:r w:rsidRPr="00D84552">
        <w:t>A.</w:t>
      </w:r>
      <w:r w:rsidRPr="00D84552" w:rsidR="00067FB0">
        <w:t>18.</w:t>
      </w:r>
      <w:r w:rsidRPr="00D84552">
        <w:t xml:space="preserve"> </w:t>
      </w:r>
      <w:r w:rsidRPr="00D84552" w:rsidR="00B61497">
        <w:t>Exceptions to Certification for Paperwork Reduction Act Submissions</w:t>
      </w:r>
      <w:bookmarkEnd w:id="25"/>
    </w:p>
    <w:p w:rsidRPr="00262E69" w:rsidR="00262E69" w:rsidP="00262E69" w:rsidRDefault="00262E69" w14:paraId="062CAA5E" w14:textId="77777777"/>
    <w:p w:rsidRPr="004E0735" w:rsidR="00C4468E" w:rsidP="00B71078" w:rsidRDefault="008E482F" w14:paraId="7A9085A0" w14:textId="2731643A">
      <w:pPr>
        <w:pStyle w:val="BodyTextIndent"/>
        <w:pBdr>
          <w:bottom w:val="single" w:color="auto" w:sz="6" w:space="1"/>
        </w:pBdr>
        <w:spacing w:line="480" w:lineRule="auto"/>
        <w:ind w:left="0" w:right="-684"/>
        <w:rPr>
          <w:bCs/>
        </w:rPr>
      </w:pPr>
      <w:r w:rsidRPr="004E0735">
        <w:rPr>
          <w:bCs/>
        </w:rPr>
        <w:t>n</w:t>
      </w:r>
      <w:r w:rsidRPr="004E0735" w:rsidR="00B61497">
        <w:rPr>
          <w:bCs/>
        </w:rPr>
        <w:t>o exceptions are requested.</w:t>
      </w:r>
      <w:r w:rsidRPr="004E0735" w:rsidR="007E232C">
        <w:rPr>
          <w:bCs/>
        </w:rPr>
        <w:t xml:space="preserve"> </w:t>
      </w:r>
    </w:p>
    <w:sectPr w:rsidRPr="004E0735" w:rsidR="00C4468E" w:rsidSect="006D28E1">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E84E1" w14:textId="77777777" w:rsidR="003328EB" w:rsidRDefault="003328EB">
      <w:r>
        <w:separator/>
      </w:r>
    </w:p>
  </w:endnote>
  <w:endnote w:type="continuationSeparator" w:id="0">
    <w:p w14:paraId="7FC1D547" w14:textId="77777777" w:rsidR="003328EB" w:rsidRDefault="0033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235B8" w14:textId="77777777" w:rsidR="004F084F" w:rsidRDefault="004F084F" w:rsidP="001476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73A31F" w14:textId="77777777" w:rsidR="004F084F" w:rsidRDefault="004F0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ACBB2" w14:textId="2DC17E86" w:rsidR="004F084F" w:rsidRDefault="004F084F" w:rsidP="001476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7552B6E" w14:textId="77777777" w:rsidR="004F084F" w:rsidRDefault="004F0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FB2C7" w14:textId="77777777" w:rsidR="003328EB" w:rsidRDefault="003328EB">
      <w:r>
        <w:separator/>
      </w:r>
    </w:p>
  </w:footnote>
  <w:footnote w:type="continuationSeparator" w:id="0">
    <w:p w14:paraId="79BA5AA9" w14:textId="77777777" w:rsidR="003328EB" w:rsidRDefault="00332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41811"/>
    <w:multiLevelType w:val="hybridMultilevel"/>
    <w:tmpl w:val="DFB0F7E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9F365D"/>
    <w:multiLevelType w:val="hybridMultilevel"/>
    <w:tmpl w:val="A6C6A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82FCE"/>
    <w:multiLevelType w:val="hybridMultilevel"/>
    <w:tmpl w:val="327C19A4"/>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263156"/>
    <w:multiLevelType w:val="multilevel"/>
    <w:tmpl w:val="B73273D0"/>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BAB4210"/>
    <w:multiLevelType w:val="hybridMultilevel"/>
    <w:tmpl w:val="3078CB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BC6E77"/>
    <w:multiLevelType w:val="hybridMultilevel"/>
    <w:tmpl w:val="2C1E04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865BAA"/>
    <w:multiLevelType w:val="multilevel"/>
    <w:tmpl w:val="446E8B56"/>
    <w:lvl w:ilvl="0">
      <w:start w:val="1"/>
      <w:numFmt w:val="upp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B82195E"/>
    <w:multiLevelType w:val="hybridMultilevel"/>
    <w:tmpl w:val="DFB0F7E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A84079"/>
    <w:multiLevelType w:val="hybridMultilevel"/>
    <w:tmpl w:val="20C203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BE3743B"/>
    <w:multiLevelType w:val="hybridMultilevel"/>
    <w:tmpl w:val="81DE7F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
  </w:num>
  <w:num w:numId="3">
    <w:abstractNumId w:val="3"/>
  </w:num>
  <w:num w:numId="4">
    <w:abstractNumId w:val="10"/>
  </w:num>
  <w:num w:numId="5">
    <w:abstractNumId w:val="7"/>
  </w:num>
  <w:num w:numId="6">
    <w:abstractNumId w:val="4"/>
  </w:num>
  <w:num w:numId="7">
    <w:abstractNumId w:val="5"/>
  </w:num>
  <w:num w:numId="8">
    <w:abstractNumId w:val="1"/>
  </w:num>
  <w:num w:numId="9">
    <w:abstractNumId w:val="0"/>
  </w:num>
  <w:num w:numId="10">
    <w:abstractNumId w:val="8"/>
  </w:num>
  <w:num w:numId="1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CDB"/>
    <w:rsid w:val="0000020B"/>
    <w:rsid w:val="00000615"/>
    <w:rsid w:val="000007FC"/>
    <w:rsid w:val="00000D8A"/>
    <w:rsid w:val="0000111C"/>
    <w:rsid w:val="00001229"/>
    <w:rsid w:val="00001DDB"/>
    <w:rsid w:val="000020F0"/>
    <w:rsid w:val="0000375C"/>
    <w:rsid w:val="000043A1"/>
    <w:rsid w:val="00010E72"/>
    <w:rsid w:val="000116FC"/>
    <w:rsid w:val="00011E60"/>
    <w:rsid w:val="00015335"/>
    <w:rsid w:val="00015754"/>
    <w:rsid w:val="00020988"/>
    <w:rsid w:val="00020AF6"/>
    <w:rsid w:val="00020D90"/>
    <w:rsid w:val="000229AE"/>
    <w:rsid w:val="00022E00"/>
    <w:rsid w:val="00024970"/>
    <w:rsid w:val="00025045"/>
    <w:rsid w:val="00025D00"/>
    <w:rsid w:val="0002642F"/>
    <w:rsid w:val="00027FB6"/>
    <w:rsid w:val="000307E6"/>
    <w:rsid w:val="00030C36"/>
    <w:rsid w:val="000314CD"/>
    <w:rsid w:val="00032031"/>
    <w:rsid w:val="00032804"/>
    <w:rsid w:val="00034CE4"/>
    <w:rsid w:val="00035EDF"/>
    <w:rsid w:val="00037981"/>
    <w:rsid w:val="00037D28"/>
    <w:rsid w:val="00041C44"/>
    <w:rsid w:val="00042229"/>
    <w:rsid w:val="00044484"/>
    <w:rsid w:val="00046634"/>
    <w:rsid w:val="00047A07"/>
    <w:rsid w:val="00047CDF"/>
    <w:rsid w:val="000503D7"/>
    <w:rsid w:val="00050581"/>
    <w:rsid w:val="0005071D"/>
    <w:rsid w:val="00052179"/>
    <w:rsid w:val="00054901"/>
    <w:rsid w:val="00055D7A"/>
    <w:rsid w:val="0005792F"/>
    <w:rsid w:val="00061364"/>
    <w:rsid w:val="000628D9"/>
    <w:rsid w:val="0006666E"/>
    <w:rsid w:val="00066B84"/>
    <w:rsid w:val="00067AE3"/>
    <w:rsid w:val="00067FB0"/>
    <w:rsid w:val="000702DD"/>
    <w:rsid w:val="00071E3F"/>
    <w:rsid w:val="00072078"/>
    <w:rsid w:val="000738E8"/>
    <w:rsid w:val="00076C08"/>
    <w:rsid w:val="000775AB"/>
    <w:rsid w:val="000776DE"/>
    <w:rsid w:val="00080B4C"/>
    <w:rsid w:val="000827CE"/>
    <w:rsid w:val="000842B7"/>
    <w:rsid w:val="00085C31"/>
    <w:rsid w:val="000864E7"/>
    <w:rsid w:val="000873D5"/>
    <w:rsid w:val="000873E8"/>
    <w:rsid w:val="000914AA"/>
    <w:rsid w:val="0009210B"/>
    <w:rsid w:val="000925EC"/>
    <w:rsid w:val="00093C07"/>
    <w:rsid w:val="00094DF6"/>
    <w:rsid w:val="00095A23"/>
    <w:rsid w:val="000A0521"/>
    <w:rsid w:val="000A068F"/>
    <w:rsid w:val="000A13B9"/>
    <w:rsid w:val="000A2660"/>
    <w:rsid w:val="000A499C"/>
    <w:rsid w:val="000A5484"/>
    <w:rsid w:val="000A567C"/>
    <w:rsid w:val="000A61D0"/>
    <w:rsid w:val="000A7437"/>
    <w:rsid w:val="000B16AB"/>
    <w:rsid w:val="000B4D45"/>
    <w:rsid w:val="000B6DF2"/>
    <w:rsid w:val="000C1272"/>
    <w:rsid w:val="000C1E9E"/>
    <w:rsid w:val="000C267D"/>
    <w:rsid w:val="000C304A"/>
    <w:rsid w:val="000C3B16"/>
    <w:rsid w:val="000C53F9"/>
    <w:rsid w:val="000C7044"/>
    <w:rsid w:val="000D16C0"/>
    <w:rsid w:val="000D1DAE"/>
    <w:rsid w:val="000D1E26"/>
    <w:rsid w:val="000D2B36"/>
    <w:rsid w:val="000D3CB0"/>
    <w:rsid w:val="000D52DD"/>
    <w:rsid w:val="000D55B9"/>
    <w:rsid w:val="000D696D"/>
    <w:rsid w:val="000D75BB"/>
    <w:rsid w:val="000D77A3"/>
    <w:rsid w:val="000E0E14"/>
    <w:rsid w:val="000E19AE"/>
    <w:rsid w:val="000E41F8"/>
    <w:rsid w:val="000E4882"/>
    <w:rsid w:val="000E7136"/>
    <w:rsid w:val="000F0F80"/>
    <w:rsid w:val="000F1585"/>
    <w:rsid w:val="000F2515"/>
    <w:rsid w:val="000F3621"/>
    <w:rsid w:val="000F3798"/>
    <w:rsid w:val="000F383A"/>
    <w:rsid w:val="000F389D"/>
    <w:rsid w:val="000F46C6"/>
    <w:rsid w:val="000F6AE2"/>
    <w:rsid w:val="000F73DE"/>
    <w:rsid w:val="0010166B"/>
    <w:rsid w:val="00101B1D"/>
    <w:rsid w:val="00103706"/>
    <w:rsid w:val="0010435D"/>
    <w:rsid w:val="0010497D"/>
    <w:rsid w:val="00105967"/>
    <w:rsid w:val="00105D36"/>
    <w:rsid w:val="00106C25"/>
    <w:rsid w:val="00106E25"/>
    <w:rsid w:val="0010795C"/>
    <w:rsid w:val="0011269B"/>
    <w:rsid w:val="00112C6B"/>
    <w:rsid w:val="00113CE7"/>
    <w:rsid w:val="00113CF7"/>
    <w:rsid w:val="001149CC"/>
    <w:rsid w:val="001163EC"/>
    <w:rsid w:val="00116477"/>
    <w:rsid w:val="001202D8"/>
    <w:rsid w:val="00120382"/>
    <w:rsid w:val="00121319"/>
    <w:rsid w:val="00123773"/>
    <w:rsid w:val="0012467E"/>
    <w:rsid w:val="00127884"/>
    <w:rsid w:val="0013144A"/>
    <w:rsid w:val="00131B51"/>
    <w:rsid w:val="00133B1D"/>
    <w:rsid w:val="00134376"/>
    <w:rsid w:val="00134C4B"/>
    <w:rsid w:val="00136477"/>
    <w:rsid w:val="00140692"/>
    <w:rsid w:val="00142DE9"/>
    <w:rsid w:val="001434BB"/>
    <w:rsid w:val="0014392E"/>
    <w:rsid w:val="00144BF1"/>
    <w:rsid w:val="001476C1"/>
    <w:rsid w:val="00147DAB"/>
    <w:rsid w:val="001507D8"/>
    <w:rsid w:val="00152744"/>
    <w:rsid w:val="00152D9A"/>
    <w:rsid w:val="00153C0A"/>
    <w:rsid w:val="0015545A"/>
    <w:rsid w:val="00155AE3"/>
    <w:rsid w:val="0015602F"/>
    <w:rsid w:val="001560ED"/>
    <w:rsid w:val="001565F1"/>
    <w:rsid w:val="00156DFC"/>
    <w:rsid w:val="00156E91"/>
    <w:rsid w:val="00157848"/>
    <w:rsid w:val="00160515"/>
    <w:rsid w:val="001608E0"/>
    <w:rsid w:val="001615CC"/>
    <w:rsid w:val="001622B8"/>
    <w:rsid w:val="0016325B"/>
    <w:rsid w:val="00163C99"/>
    <w:rsid w:val="00166578"/>
    <w:rsid w:val="00171FE7"/>
    <w:rsid w:val="001756EE"/>
    <w:rsid w:val="0017790A"/>
    <w:rsid w:val="00177A9C"/>
    <w:rsid w:val="00177F88"/>
    <w:rsid w:val="001811E6"/>
    <w:rsid w:val="001811FE"/>
    <w:rsid w:val="001816B2"/>
    <w:rsid w:val="001827AE"/>
    <w:rsid w:val="00182BB0"/>
    <w:rsid w:val="00183AAB"/>
    <w:rsid w:val="00183E92"/>
    <w:rsid w:val="00184EE2"/>
    <w:rsid w:val="001918BF"/>
    <w:rsid w:val="00191E2B"/>
    <w:rsid w:val="00193D0C"/>
    <w:rsid w:val="001948E7"/>
    <w:rsid w:val="0019644F"/>
    <w:rsid w:val="00196899"/>
    <w:rsid w:val="00197831"/>
    <w:rsid w:val="001A31AF"/>
    <w:rsid w:val="001A574C"/>
    <w:rsid w:val="001A596F"/>
    <w:rsid w:val="001A73BD"/>
    <w:rsid w:val="001A7A36"/>
    <w:rsid w:val="001B04FE"/>
    <w:rsid w:val="001B0A4A"/>
    <w:rsid w:val="001B0D9D"/>
    <w:rsid w:val="001B23AD"/>
    <w:rsid w:val="001B3A49"/>
    <w:rsid w:val="001B4671"/>
    <w:rsid w:val="001B5C15"/>
    <w:rsid w:val="001B6DF8"/>
    <w:rsid w:val="001C0B76"/>
    <w:rsid w:val="001C1FD2"/>
    <w:rsid w:val="001C2FB7"/>
    <w:rsid w:val="001C322F"/>
    <w:rsid w:val="001C3799"/>
    <w:rsid w:val="001C435E"/>
    <w:rsid w:val="001C5091"/>
    <w:rsid w:val="001C568A"/>
    <w:rsid w:val="001C5FD0"/>
    <w:rsid w:val="001C62A7"/>
    <w:rsid w:val="001C6642"/>
    <w:rsid w:val="001C6651"/>
    <w:rsid w:val="001C7116"/>
    <w:rsid w:val="001C7C46"/>
    <w:rsid w:val="001C7C9A"/>
    <w:rsid w:val="001D0FE4"/>
    <w:rsid w:val="001D51C7"/>
    <w:rsid w:val="001D5214"/>
    <w:rsid w:val="001D5F9B"/>
    <w:rsid w:val="001D6617"/>
    <w:rsid w:val="001E05C4"/>
    <w:rsid w:val="001E0705"/>
    <w:rsid w:val="001E1CBF"/>
    <w:rsid w:val="001E2E02"/>
    <w:rsid w:val="001E3676"/>
    <w:rsid w:val="001E46D2"/>
    <w:rsid w:val="001E4DF1"/>
    <w:rsid w:val="001E68D2"/>
    <w:rsid w:val="001E6F58"/>
    <w:rsid w:val="001F1121"/>
    <w:rsid w:val="001F340D"/>
    <w:rsid w:val="001F42C8"/>
    <w:rsid w:val="001F4C27"/>
    <w:rsid w:val="001F688D"/>
    <w:rsid w:val="002001A2"/>
    <w:rsid w:val="00200511"/>
    <w:rsid w:val="00200BC3"/>
    <w:rsid w:val="002010E2"/>
    <w:rsid w:val="00201F98"/>
    <w:rsid w:val="002066D8"/>
    <w:rsid w:val="002123DC"/>
    <w:rsid w:val="00212908"/>
    <w:rsid w:val="00212DD3"/>
    <w:rsid w:val="00215BF9"/>
    <w:rsid w:val="00217C3B"/>
    <w:rsid w:val="00221EE0"/>
    <w:rsid w:val="00223421"/>
    <w:rsid w:val="0022517C"/>
    <w:rsid w:val="00225CE5"/>
    <w:rsid w:val="0022605A"/>
    <w:rsid w:val="00226F3B"/>
    <w:rsid w:val="002277C3"/>
    <w:rsid w:val="00230049"/>
    <w:rsid w:val="00230836"/>
    <w:rsid w:val="00230A80"/>
    <w:rsid w:val="00231343"/>
    <w:rsid w:val="002324CF"/>
    <w:rsid w:val="00233D2B"/>
    <w:rsid w:val="00234BA0"/>
    <w:rsid w:val="0023532F"/>
    <w:rsid w:val="0023670A"/>
    <w:rsid w:val="00237BB6"/>
    <w:rsid w:val="00237D3B"/>
    <w:rsid w:val="0024024C"/>
    <w:rsid w:val="00242EE0"/>
    <w:rsid w:val="0024361C"/>
    <w:rsid w:val="00243C75"/>
    <w:rsid w:val="002445CE"/>
    <w:rsid w:val="00245FB7"/>
    <w:rsid w:val="00251F20"/>
    <w:rsid w:val="00254A4C"/>
    <w:rsid w:val="0025524C"/>
    <w:rsid w:val="00256C34"/>
    <w:rsid w:val="00257244"/>
    <w:rsid w:val="0025732F"/>
    <w:rsid w:val="00257C9D"/>
    <w:rsid w:val="00260339"/>
    <w:rsid w:val="00260CD0"/>
    <w:rsid w:val="00260D7D"/>
    <w:rsid w:val="0026242F"/>
    <w:rsid w:val="00262E69"/>
    <w:rsid w:val="00263037"/>
    <w:rsid w:val="0026591F"/>
    <w:rsid w:val="00265EEE"/>
    <w:rsid w:val="00265EFA"/>
    <w:rsid w:val="00267D97"/>
    <w:rsid w:val="00267FEA"/>
    <w:rsid w:val="0027010F"/>
    <w:rsid w:val="00270927"/>
    <w:rsid w:val="0027164B"/>
    <w:rsid w:val="00277A09"/>
    <w:rsid w:val="002803E4"/>
    <w:rsid w:val="00280F95"/>
    <w:rsid w:val="0028189E"/>
    <w:rsid w:val="00282B33"/>
    <w:rsid w:val="002845C3"/>
    <w:rsid w:val="00285ACF"/>
    <w:rsid w:val="00287B88"/>
    <w:rsid w:val="002907AE"/>
    <w:rsid w:val="002908BA"/>
    <w:rsid w:val="00292924"/>
    <w:rsid w:val="00293260"/>
    <w:rsid w:val="0029358B"/>
    <w:rsid w:val="00295A11"/>
    <w:rsid w:val="002961CE"/>
    <w:rsid w:val="00297FAE"/>
    <w:rsid w:val="002A16FA"/>
    <w:rsid w:val="002A1C0A"/>
    <w:rsid w:val="002A20D8"/>
    <w:rsid w:val="002A2945"/>
    <w:rsid w:val="002A2BAD"/>
    <w:rsid w:val="002A2C8A"/>
    <w:rsid w:val="002A39CD"/>
    <w:rsid w:val="002A3D1A"/>
    <w:rsid w:val="002A688F"/>
    <w:rsid w:val="002B011C"/>
    <w:rsid w:val="002B0E92"/>
    <w:rsid w:val="002B1215"/>
    <w:rsid w:val="002B24BD"/>
    <w:rsid w:val="002B62B0"/>
    <w:rsid w:val="002B6304"/>
    <w:rsid w:val="002B6568"/>
    <w:rsid w:val="002B73A4"/>
    <w:rsid w:val="002B7D46"/>
    <w:rsid w:val="002C364E"/>
    <w:rsid w:val="002C41C7"/>
    <w:rsid w:val="002C4252"/>
    <w:rsid w:val="002C5658"/>
    <w:rsid w:val="002C6D64"/>
    <w:rsid w:val="002C6DA4"/>
    <w:rsid w:val="002C7744"/>
    <w:rsid w:val="002D2FD8"/>
    <w:rsid w:val="002D3793"/>
    <w:rsid w:val="002D39BC"/>
    <w:rsid w:val="002D60D7"/>
    <w:rsid w:val="002D6383"/>
    <w:rsid w:val="002D742F"/>
    <w:rsid w:val="002D7688"/>
    <w:rsid w:val="002D7E05"/>
    <w:rsid w:val="002E0985"/>
    <w:rsid w:val="002E1B66"/>
    <w:rsid w:val="002E2858"/>
    <w:rsid w:val="002E2F3E"/>
    <w:rsid w:val="002E334F"/>
    <w:rsid w:val="002E3557"/>
    <w:rsid w:val="002E40D9"/>
    <w:rsid w:val="002E42C1"/>
    <w:rsid w:val="002E508C"/>
    <w:rsid w:val="002E5253"/>
    <w:rsid w:val="002E5EF4"/>
    <w:rsid w:val="002E6134"/>
    <w:rsid w:val="002E61C9"/>
    <w:rsid w:val="002E6578"/>
    <w:rsid w:val="002E712F"/>
    <w:rsid w:val="002E7400"/>
    <w:rsid w:val="002F1D69"/>
    <w:rsid w:val="002F3F5F"/>
    <w:rsid w:val="002F43A2"/>
    <w:rsid w:val="002F5294"/>
    <w:rsid w:val="002F562F"/>
    <w:rsid w:val="002F6CA8"/>
    <w:rsid w:val="002F6F1C"/>
    <w:rsid w:val="002F7CF3"/>
    <w:rsid w:val="003003AE"/>
    <w:rsid w:val="003007F8"/>
    <w:rsid w:val="003041CE"/>
    <w:rsid w:val="00304570"/>
    <w:rsid w:val="003047B1"/>
    <w:rsid w:val="003048A3"/>
    <w:rsid w:val="00304D43"/>
    <w:rsid w:val="003071CA"/>
    <w:rsid w:val="00307C0B"/>
    <w:rsid w:val="00307C2E"/>
    <w:rsid w:val="00313158"/>
    <w:rsid w:val="00313A13"/>
    <w:rsid w:val="00313FFE"/>
    <w:rsid w:val="0031424C"/>
    <w:rsid w:val="0031463E"/>
    <w:rsid w:val="00316D76"/>
    <w:rsid w:val="00317AC3"/>
    <w:rsid w:val="003207DA"/>
    <w:rsid w:val="0032092D"/>
    <w:rsid w:val="00321CDA"/>
    <w:rsid w:val="00322763"/>
    <w:rsid w:val="00323989"/>
    <w:rsid w:val="003258D9"/>
    <w:rsid w:val="003266F7"/>
    <w:rsid w:val="003279F0"/>
    <w:rsid w:val="00330D8C"/>
    <w:rsid w:val="00330E76"/>
    <w:rsid w:val="003328EB"/>
    <w:rsid w:val="00332A87"/>
    <w:rsid w:val="00332B13"/>
    <w:rsid w:val="003343BF"/>
    <w:rsid w:val="00334EDE"/>
    <w:rsid w:val="00335630"/>
    <w:rsid w:val="00335D3F"/>
    <w:rsid w:val="0033700A"/>
    <w:rsid w:val="00337940"/>
    <w:rsid w:val="00340353"/>
    <w:rsid w:val="003404E9"/>
    <w:rsid w:val="00340D14"/>
    <w:rsid w:val="003429CB"/>
    <w:rsid w:val="00343A38"/>
    <w:rsid w:val="0034503E"/>
    <w:rsid w:val="003507FC"/>
    <w:rsid w:val="003530F1"/>
    <w:rsid w:val="0035397D"/>
    <w:rsid w:val="00361DFB"/>
    <w:rsid w:val="00361F73"/>
    <w:rsid w:val="0036232E"/>
    <w:rsid w:val="00364DD9"/>
    <w:rsid w:val="00364E74"/>
    <w:rsid w:val="00365E42"/>
    <w:rsid w:val="00367649"/>
    <w:rsid w:val="00372263"/>
    <w:rsid w:val="003722F9"/>
    <w:rsid w:val="003746DC"/>
    <w:rsid w:val="00374A30"/>
    <w:rsid w:val="00380581"/>
    <w:rsid w:val="00381FF3"/>
    <w:rsid w:val="0038217A"/>
    <w:rsid w:val="00382274"/>
    <w:rsid w:val="00383A37"/>
    <w:rsid w:val="00385C96"/>
    <w:rsid w:val="00386ABE"/>
    <w:rsid w:val="00386D2D"/>
    <w:rsid w:val="00390176"/>
    <w:rsid w:val="00390DDF"/>
    <w:rsid w:val="00391B4F"/>
    <w:rsid w:val="00392147"/>
    <w:rsid w:val="0039288A"/>
    <w:rsid w:val="00392FBB"/>
    <w:rsid w:val="00393077"/>
    <w:rsid w:val="00393814"/>
    <w:rsid w:val="0039386F"/>
    <w:rsid w:val="003943AD"/>
    <w:rsid w:val="00396137"/>
    <w:rsid w:val="00396E0A"/>
    <w:rsid w:val="00397080"/>
    <w:rsid w:val="003971BD"/>
    <w:rsid w:val="00397F84"/>
    <w:rsid w:val="003A0553"/>
    <w:rsid w:val="003A0BFD"/>
    <w:rsid w:val="003A0D7E"/>
    <w:rsid w:val="003A20FF"/>
    <w:rsid w:val="003A2AB8"/>
    <w:rsid w:val="003A4872"/>
    <w:rsid w:val="003A4D4A"/>
    <w:rsid w:val="003A5ADD"/>
    <w:rsid w:val="003A6CAA"/>
    <w:rsid w:val="003A7125"/>
    <w:rsid w:val="003A7E42"/>
    <w:rsid w:val="003B21A1"/>
    <w:rsid w:val="003B4152"/>
    <w:rsid w:val="003B422E"/>
    <w:rsid w:val="003B510B"/>
    <w:rsid w:val="003B6F40"/>
    <w:rsid w:val="003B6F50"/>
    <w:rsid w:val="003C1010"/>
    <w:rsid w:val="003C121C"/>
    <w:rsid w:val="003C23D6"/>
    <w:rsid w:val="003C245A"/>
    <w:rsid w:val="003C2601"/>
    <w:rsid w:val="003C279A"/>
    <w:rsid w:val="003C29CE"/>
    <w:rsid w:val="003C6EC7"/>
    <w:rsid w:val="003C7810"/>
    <w:rsid w:val="003C7B8B"/>
    <w:rsid w:val="003D1088"/>
    <w:rsid w:val="003D1991"/>
    <w:rsid w:val="003D2B41"/>
    <w:rsid w:val="003D4859"/>
    <w:rsid w:val="003D546F"/>
    <w:rsid w:val="003D578E"/>
    <w:rsid w:val="003D769D"/>
    <w:rsid w:val="003E00D7"/>
    <w:rsid w:val="003E01A7"/>
    <w:rsid w:val="003E01CB"/>
    <w:rsid w:val="003E0D30"/>
    <w:rsid w:val="003E1BEC"/>
    <w:rsid w:val="003E1EBC"/>
    <w:rsid w:val="003E3DE2"/>
    <w:rsid w:val="003E53EC"/>
    <w:rsid w:val="003E5899"/>
    <w:rsid w:val="003E5931"/>
    <w:rsid w:val="003E742D"/>
    <w:rsid w:val="003F34B9"/>
    <w:rsid w:val="003F4131"/>
    <w:rsid w:val="003F449A"/>
    <w:rsid w:val="003F455E"/>
    <w:rsid w:val="003F5532"/>
    <w:rsid w:val="003F6C80"/>
    <w:rsid w:val="00400272"/>
    <w:rsid w:val="00401260"/>
    <w:rsid w:val="00401E76"/>
    <w:rsid w:val="00402847"/>
    <w:rsid w:val="00402A36"/>
    <w:rsid w:val="004030A5"/>
    <w:rsid w:val="004055A7"/>
    <w:rsid w:val="0040690F"/>
    <w:rsid w:val="004074F8"/>
    <w:rsid w:val="0041073C"/>
    <w:rsid w:val="00410D25"/>
    <w:rsid w:val="00410EE2"/>
    <w:rsid w:val="0041164D"/>
    <w:rsid w:val="0041229D"/>
    <w:rsid w:val="004127AE"/>
    <w:rsid w:val="00412BE6"/>
    <w:rsid w:val="0041304D"/>
    <w:rsid w:val="0041339A"/>
    <w:rsid w:val="00413D71"/>
    <w:rsid w:val="004145A7"/>
    <w:rsid w:val="004152CA"/>
    <w:rsid w:val="004152E6"/>
    <w:rsid w:val="00415FE1"/>
    <w:rsid w:val="004167AB"/>
    <w:rsid w:val="00416B96"/>
    <w:rsid w:val="00416EEB"/>
    <w:rsid w:val="00420406"/>
    <w:rsid w:val="00421C0D"/>
    <w:rsid w:val="00425536"/>
    <w:rsid w:val="004263C5"/>
    <w:rsid w:val="00426422"/>
    <w:rsid w:val="00426B59"/>
    <w:rsid w:val="004313C0"/>
    <w:rsid w:val="00431C48"/>
    <w:rsid w:val="0043260C"/>
    <w:rsid w:val="00433028"/>
    <w:rsid w:val="00433E45"/>
    <w:rsid w:val="00434610"/>
    <w:rsid w:val="00434727"/>
    <w:rsid w:val="004348DA"/>
    <w:rsid w:val="004352F3"/>
    <w:rsid w:val="00437F35"/>
    <w:rsid w:val="00440202"/>
    <w:rsid w:val="00441004"/>
    <w:rsid w:val="00442636"/>
    <w:rsid w:val="00445118"/>
    <w:rsid w:val="0044511D"/>
    <w:rsid w:val="004515B5"/>
    <w:rsid w:val="00451A9F"/>
    <w:rsid w:val="00452085"/>
    <w:rsid w:val="004528F6"/>
    <w:rsid w:val="00452A50"/>
    <w:rsid w:val="00452C77"/>
    <w:rsid w:val="00454568"/>
    <w:rsid w:val="00460243"/>
    <w:rsid w:val="00460C80"/>
    <w:rsid w:val="00462122"/>
    <w:rsid w:val="00464549"/>
    <w:rsid w:val="004648F4"/>
    <w:rsid w:val="00466644"/>
    <w:rsid w:val="004677B4"/>
    <w:rsid w:val="00467C88"/>
    <w:rsid w:val="00470128"/>
    <w:rsid w:val="00471BFC"/>
    <w:rsid w:val="00473351"/>
    <w:rsid w:val="00473615"/>
    <w:rsid w:val="004739C5"/>
    <w:rsid w:val="00476DF6"/>
    <w:rsid w:val="004775C6"/>
    <w:rsid w:val="00477E5D"/>
    <w:rsid w:val="0048025C"/>
    <w:rsid w:val="0048157E"/>
    <w:rsid w:val="00482A5F"/>
    <w:rsid w:val="00482B80"/>
    <w:rsid w:val="004831A0"/>
    <w:rsid w:val="00485870"/>
    <w:rsid w:val="00485D2C"/>
    <w:rsid w:val="00485F7B"/>
    <w:rsid w:val="0048639A"/>
    <w:rsid w:val="00490C4D"/>
    <w:rsid w:val="00491903"/>
    <w:rsid w:val="004923A9"/>
    <w:rsid w:val="00492561"/>
    <w:rsid w:val="00494726"/>
    <w:rsid w:val="0049482A"/>
    <w:rsid w:val="00494D38"/>
    <w:rsid w:val="00495294"/>
    <w:rsid w:val="0049547A"/>
    <w:rsid w:val="00495B7D"/>
    <w:rsid w:val="0049638D"/>
    <w:rsid w:val="00496F27"/>
    <w:rsid w:val="0049752C"/>
    <w:rsid w:val="004A02D6"/>
    <w:rsid w:val="004A0380"/>
    <w:rsid w:val="004A0EE7"/>
    <w:rsid w:val="004A2C0D"/>
    <w:rsid w:val="004A4649"/>
    <w:rsid w:val="004A5A9C"/>
    <w:rsid w:val="004B0D3D"/>
    <w:rsid w:val="004B0D5D"/>
    <w:rsid w:val="004B191A"/>
    <w:rsid w:val="004B3E89"/>
    <w:rsid w:val="004B41BC"/>
    <w:rsid w:val="004B54B8"/>
    <w:rsid w:val="004B55B1"/>
    <w:rsid w:val="004B5759"/>
    <w:rsid w:val="004B5B23"/>
    <w:rsid w:val="004B5EE7"/>
    <w:rsid w:val="004B7534"/>
    <w:rsid w:val="004C2DA8"/>
    <w:rsid w:val="004C4125"/>
    <w:rsid w:val="004C4DB7"/>
    <w:rsid w:val="004C642A"/>
    <w:rsid w:val="004C6AFB"/>
    <w:rsid w:val="004C7514"/>
    <w:rsid w:val="004C75B7"/>
    <w:rsid w:val="004C79C8"/>
    <w:rsid w:val="004C7EE8"/>
    <w:rsid w:val="004D1BC9"/>
    <w:rsid w:val="004D1FE7"/>
    <w:rsid w:val="004D2786"/>
    <w:rsid w:val="004D2BD6"/>
    <w:rsid w:val="004D41D5"/>
    <w:rsid w:val="004D4BE6"/>
    <w:rsid w:val="004D5EC0"/>
    <w:rsid w:val="004E0735"/>
    <w:rsid w:val="004E0C66"/>
    <w:rsid w:val="004E11A3"/>
    <w:rsid w:val="004E1BBF"/>
    <w:rsid w:val="004E2A5F"/>
    <w:rsid w:val="004E2A7D"/>
    <w:rsid w:val="004E40C1"/>
    <w:rsid w:val="004E41C6"/>
    <w:rsid w:val="004E447E"/>
    <w:rsid w:val="004E4969"/>
    <w:rsid w:val="004E4AB0"/>
    <w:rsid w:val="004E5395"/>
    <w:rsid w:val="004E6EC7"/>
    <w:rsid w:val="004E70CC"/>
    <w:rsid w:val="004E7481"/>
    <w:rsid w:val="004E7C0A"/>
    <w:rsid w:val="004F084F"/>
    <w:rsid w:val="004F0D4F"/>
    <w:rsid w:val="004F11D4"/>
    <w:rsid w:val="004F158B"/>
    <w:rsid w:val="004F29EA"/>
    <w:rsid w:val="004F399D"/>
    <w:rsid w:val="004F52F6"/>
    <w:rsid w:val="004F70BC"/>
    <w:rsid w:val="004F73D2"/>
    <w:rsid w:val="0050091A"/>
    <w:rsid w:val="0050216F"/>
    <w:rsid w:val="005030F4"/>
    <w:rsid w:val="00504FEC"/>
    <w:rsid w:val="00506A04"/>
    <w:rsid w:val="005071C8"/>
    <w:rsid w:val="0050741B"/>
    <w:rsid w:val="00507D97"/>
    <w:rsid w:val="00507EA1"/>
    <w:rsid w:val="005118B4"/>
    <w:rsid w:val="00512ABB"/>
    <w:rsid w:val="00513971"/>
    <w:rsid w:val="00515814"/>
    <w:rsid w:val="00515C32"/>
    <w:rsid w:val="00516785"/>
    <w:rsid w:val="005206DA"/>
    <w:rsid w:val="00521500"/>
    <w:rsid w:val="0052692A"/>
    <w:rsid w:val="005277E3"/>
    <w:rsid w:val="00527BDD"/>
    <w:rsid w:val="005300A8"/>
    <w:rsid w:val="00530196"/>
    <w:rsid w:val="00530864"/>
    <w:rsid w:val="00531DB3"/>
    <w:rsid w:val="00532CFC"/>
    <w:rsid w:val="005353A1"/>
    <w:rsid w:val="00535C12"/>
    <w:rsid w:val="00537B6F"/>
    <w:rsid w:val="00537D22"/>
    <w:rsid w:val="0054015E"/>
    <w:rsid w:val="00541B57"/>
    <w:rsid w:val="00542A0E"/>
    <w:rsid w:val="005438A4"/>
    <w:rsid w:val="00543DF5"/>
    <w:rsid w:val="005467D5"/>
    <w:rsid w:val="005470D5"/>
    <w:rsid w:val="00547B45"/>
    <w:rsid w:val="00550B47"/>
    <w:rsid w:val="00551C11"/>
    <w:rsid w:val="00552446"/>
    <w:rsid w:val="005524C8"/>
    <w:rsid w:val="0055361A"/>
    <w:rsid w:val="00554C2C"/>
    <w:rsid w:val="00560524"/>
    <w:rsid w:val="005607DA"/>
    <w:rsid w:val="005618D8"/>
    <w:rsid w:val="00562A1D"/>
    <w:rsid w:val="00563B23"/>
    <w:rsid w:val="005657C6"/>
    <w:rsid w:val="00567047"/>
    <w:rsid w:val="00567802"/>
    <w:rsid w:val="0056791D"/>
    <w:rsid w:val="005717C6"/>
    <w:rsid w:val="00571F01"/>
    <w:rsid w:val="005758A5"/>
    <w:rsid w:val="00575EBC"/>
    <w:rsid w:val="00577652"/>
    <w:rsid w:val="00577D46"/>
    <w:rsid w:val="005805D6"/>
    <w:rsid w:val="00581F55"/>
    <w:rsid w:val="005824B9"/>
    <w:rsid w:val="00584A42"/>
    <w:rsid w:val="00585E3E"/>
    <w:rsid w:val="00586D88"/>
    <w:rsid w:val="005872A7"/>
    <w:rsid w:val="00587825"/>
    <w:rsid w:val="00587CCA"/>
    <w:rsid w:val="005915B0"/>
    <w:rsid w:val="00592F3E"/>
    <w:rsid w:val="005936FA"/>
    <w:rsid w:val="00594249"/>
    <w:rsid w:val="0059450B"/>
    <w:rsid w:val="00594A1F"/>
    <w:rsid w:val="00596153"/>
    <w:rsid w:val="00596B5C"/>
    <w:rsid w:val="00597F4A"/>
    <w:rsid w:val="005A0059"/>
    <w:rsid w:val="005A0645"/>
    <w:rsid w:val="005A06E1"/>
    <w:rsid w:val="005A08FE"/>
    <w:rsid w:val="005A0D41"/>
    <w:rsid w:val="005A1355"/>
    <w:rsid w:val="005A403F"/>
    <w:rsid w:val="005A5615"/>
    <w:rsid w:val="005A5C18"/>
    <w:rsid w:val="005B0D97"/>
    <w:rsid w:val="005B1555"/>
    <w:rsid w:val="005B4099"/>
    <w:rsid w:val="005B4FE8"/>
    <w:rsid w:val="005B77B6"/>
    <w:rsid w:val="005B7E2E"/>
    <w:rsid w:val="005C117F"/>
    <w:rsid w:val="005C1D48"/>
    <w:rsid w:val="005C1F50"/>
    <w:rsid w:val="005C1F78"/>
    <w:rsid w:val="005C3737"/>
    <w:rsid w:val="005C65E0"/>
    <w:rsid w:val="005D241C"/>
    <w:rsid w:val="005D255D"/>
    <w:rsid w:val="005D2CAF"/>
    <w:rsid w:val="005D446A"/>
    <w:rsid w:val="005D48B4"/>
    <w:rsid w:val="005D7495"/>
    <w:rsid w:val="005D7B11"/>
    <w:rsid w:val="005E061E"/>
    <w:rsid w:val="005E20CD"/>
    <w:rsid w:val="005E40A9"/>
    <w:rsid w:val="005E5139"/>
    <w:rsid w:val="005E5673"/>
    <w:rsid w:val="005E6997"/>
    <w:rsid w:val="005F182E"/>
    <w:rsid w:val="005F24E0"/>
    <w:rsid w:val="005F3670"/>
    <w:rsid w:val="005F6117"/>
    <w:rsid w:val="005F70D5"/>
    <w:rsid w:val="005F7200"/>
    <w:rsid w:val="005F76EC"/>
    <w:rsid w:val="00600BC6"/>
    <w:rsid w:val="0060217C"/>
    <w:rsid w:val="006027C8"/>
    <w:rsid w:val="00602918"/>
    <w:rsid w:val="00602BD7"/>
    <w:rsid w:val="006034DB"/>
    <w:rsid w:val="006043D4"/>
    <w:rsid w:val="006053D2"/>
    <w:rsid w:val="00605EED"/>
    <w:rsid w:val="0060743D"/>
    <w:rsid w:val="0061193A"/>
    <w:rsid w:val="00611D85"/>
    <w:rsid w:val="00611DA2"/>
    <w:rsid w:val="00611DB3"/>
    <w:rsid w:val="0061294B"/>
    <w:rsid w:val="00612BB8"/>
    <w:rsid w:val="006143E4"/>
    <w:rsid w:val="00614721"/>
    <w:rsid w:val="006155B9"/>
    <w:rsid w:val="00616659"/>
    <w:rsid w:val="006206D8"/>
    <w:rsid w:val="00620B94"/>
    <w:rsid w:val="0062329C"/>
    <w:rsid w:val="00623433"/>
    <w:rsid w:val="0062426C"/>
    <w:rsid w:val="006246D3"/>
    <w:rsid w:val="0062520A"/>
    <w:rsid w:val="0062573A"/>
    <w:rsid w:val="00625A84"/>
    <w:rsid w:val="0062758B"/>
    <w:rsid w:val="00627C1A"/>
    <w:rsid w:val="006306EF"/>
    <w:rsid w:val="00630A89"/>
    <w:rsid w:val="00633317"/>
    <w:rsid w:val="00633887"/>
    <w:rsid w:val="00633FF9"/>
    <w:rsid w:val="00634CBF"/>
    <w:rsid w:val="00635A87"/>
    <w:rsid w:val="00637A58"/>
    <w:rsid w:val="0064071F"/>
    <w:rsid w:val="006427FE"/>
    <w:rsid w:val="00644621"/>
    <w:rsid w:val="006446DC"/>
    <w:rsid w:val="00644C6A"/>
    <w:rsid w:val="00645CFF"/>
    <w:rsid w:val="00646785"/>
    <w:rsid w:val="00647528"/>
    <w:rsid w:val="0064769F"/>
    <w:rsid w:val="00647CF8"/>
    <w:rsid w:val="00651225"/>
    <w:rsid w:val="00651881"/>
    <w:rsid w:val="0065293E"/>
    <w:rsid w:val="00652CDA"/>
    <w:rsid w:val="00654691"/>
    <w:rsid w:val="00656B2A"/>
    <w:rsid w:val="006621E0"/>
    <w:rsid w:val="00664182"/>
    <w:rsid w:val="00665478"/>
    <w:rsid w:val="00665D10"/>
    <w:rsid w:val="006664F5"/>
    <w:rsid w:val="006716D1"/>
    <w:rsid w:val="00671C05"/>
    <w:rsid w:val="006725C0"/>
    <w:rsid w:val="00673D7E"/>
    <w:rsid w:val="00676877"/>
    <w:rsid w:val="00680A34"/>
    <w:rsid w:val="00680FF8"/>
    <w:rsid w:val="00681043"/>
    <w:rsid w:val="00682550"/>
    <w:rsid w:val="00682B5E"/>
    <w:rsid w:val="00682FD5"/>
    <w:rsid w:val="00683535"/>
    <w:rsid w:val="00684214"/>
    <w:rsid w:val="00684300"/>
    <w:rsid w:val="0068498D"/>
    <w:rsid w:val="00684CDB"/>
    <w:rsid w:val="00684DDA"/>
    <w:rsid w:val="006850B7"/>
    <w:rsid w:val="00685636"/>
    <w:rsid w:val="006868BD"/>
    <w:rsid w:val="006873C6"/>
    <w:rsid w:val="00692CC6"/>
    <w:rsid w:val="0069308A"/>
    <w:rsid w:val="00694A00"/>
    <w:rsid w:val="006950BA"/>
    <w:rsid w:val="00696697"/>
    <w:rsid w:val="006A2497"/>
    <w:rsid w:val="006A24A8"/>
    <w:rsid w:val="006A2DDB"/>
    <w:rsid w:val="006A3256"/>
    <w:rsid w:val="006A3EFD"/>
    <w:rsid w:val="006A6997"/>
    <w:rsid w:val="006B11FA"/>
    <w:rsid w:val="006B12E4"/>
    <w:rsid w:val="006B1655"/>
    <w:rsid w:val="006B1B0E"/>
    <w:rsid w:val="006B1E77"/>
    <w:rsid w:val="006B25C8"/>
    <w:rsid w:val="006B2A9B"/>
    <w:rsid w:val="006B3500"/>
    <w:rsid w:val="006B37B5"/>
    <w:rsid w:val="006B3911"/>
    <w:rsid w:val="006B4282"/>
    <w:rsid w:val="006B53F2"/>
    <w:rsid w:val="006B559B"/>
    <w:rsid w:val="006B7963"/>
    <w:rsid w:val="006C0532"/>
    <w:rsid w:val="006C190F"/>
    <w:rsid w:val="006C1D48"/>
    <w:rsid w:val="006C51EF"/>
    <w:rsid w:val="006C6F2B"/>
    <w:rsid w:val="006C7F23"/>
    <w:rsid w:val="006D0829"/>
    <w:rsid w:val="006D2140"/>
    <w:rsid w:val="006D27A1"/>
    <w:rsid w:val="006D28E1"/>
    <w:rsid w:val="006D2C39"/>
    <w:rsid w:val="006D4934"/>
    <w:rsid w:val="006D4AEB"/>
    <w:rsid w:val="006D4B96"/>
    <w:rsid w:val="006D7C5E"/>
    <w:rsid w:val="006E0D1C"/>
    <w:rsid w:val="006E24CF"/>
    <w:rsid w:val="006E2853"/>
    <w:rsid w:val="006E3875"/>
    <w:rsid w:val="006E3C05"/>
    <w:rsid w:val="006E5210"/>
    <w:rsid w:val="006E5CBF"/>
    <w:rsid w:val="006E6830"/>
    <w:rsid w:val="006E71B3"/>
    <w:rsid w:val="006E7A0F"/>
    <w:rsid w:val="006F03E1"/>
    <w:rsid w:val="006F1576"/>
    <w:rsid w:val="006F211F"/>
    <w:rsid w:val="006F28B3"/>
    <w:rsid w:val="006F46DE"/>
    <w:rsid w:val="006F57EC"/>
    <w:rsid w:val="006F66B1"/>
    <w:rsid w:val="006F6C52"/>
    <w:rsid w:val="00700BB6"/>
    <w:rsid w:val="00700D91"/>
    <w:rsid w:val="00703021"/>
    <w:rsid w:val="00703089"/>
    <w:rsid w:val="007046FC"/>
    <w:rsid w:val="00704924"/>
    <w:rsid w:val="007061AC"/>
    <w:rsid w:val="00710420"/>
    <w:rsid w:val="007106CB"/>
    <w:rsid w:val="00711A1C"/>
    <w:rsid w:val="00712F36"/>
    <w:rsid w:val="00715772"/>
    <w:rsid w:val="00715E5D"/>
    <w:rsid w:val="007177E0"/>
    <w:rsid w:val="00722D6A"/>
    <w:rsid w:val="00723643"/>
    <w:rsid w:val="0072367D"/>
    <w:rsid w:val="00724C48"/>
    <w:rsid w:val="00724D57"/>
    <w:rsid w:val="007279A6"/>
    <w:rsid w:val="00727D8C"/>
    <w:rsid w:val="00730C9E"/>
    <w:rsid w:val="00730D98"/>
    <w:rsid w:val="00730EA7"/>
    <w:rsid w:val="00732703"/>
    <w:rsid w:val="00732841"/>
    <w:rsid w:val="00732A92"/>
    <w:rsid w:val="00733590"/>
    <w:rsid w:val="007345D6"/>
    <w:rsid w:val="007361C6"/>
    <w:rsid w:val="007366D7"/>
    <w:rsid w:val="00737BBC"/>
    <w:rsid w:val="00740ED6"/>
    <w:rsid w:val="00743622"/>
    <w:rsid w:val="00744BEA"/>
    <w:rsid w:val="00744CC3"/>
    <w:rsid w:val="00744DCB"/>
    <w:rsid w:val="00745615"/>
    <w:rsid w:val="007462BD"/>
    <w:rsid w:val="007475C5"/>
    <w:rsid w:val="00747613"/>
    <w:rsid w:val="00747C14"/>
    <w:rsid w:val="00752152"/>
    <w:rsid w:val="007532E8"/>
    <w:rsid w:val="00753479"/>
    <w:rsid w:val="007535C1"/>
    <w:rsid w:val="00753CC5"/>
    <w:rsid w:val="007567B3"/>
    <w:rsid w:val="007603AA"/>
    <w:rsid w:val="007614C2"/>
    <w:rsid w:val="0076221E"/>
    <w:rsid w:val="00762C3A"/>
    <w:rsid w:val="007632BC"/>
    <w:rsid w:val="0076355B"/>
    <w:rsid w:val="00764919"/>
    <w:rsid w:val="00766637"/>
    <w:rsid w:val="00766EC7"/>
    <w:rsid w:val="0077074E"/>
    <w:rsid w:val="00770EAA"/>
    <w:rsid w:val="0077128E"/>
    <w:rsid w:val="00771D9F"/>
    <w:rsid w:val="00773155"/>
    <w:rsid w:val="00773F98"/>
    <w:rsid w:val="00774208"/>
    <w:rsid w:val="00774408"/>
    <w:rsid w:val="00776870"/>
    <w:rsid w:val="0078179A"/>
    <w:rsid w:val="0078185C"/>
    <w:rsid w:val="007828F8"/>
    <w:rsid w:val="00782BF5"/>
    <w:rsid w:val="00783CE7"/>
    <w:rsid w:val="00783DFB"/>
    <w:rsid w:val="00785E1C"/>
    <w:rsid w:val="0078602C"/>
    <w:rsid w:val="007866E2"/>
    <w:rsid w:val="007870E9"/>
    <w:rsid w:val="0078724E"/>
    <w:rsid w:val="007905BE"/>
    <w:rsid w:val="00794108"/>
    <w:rsid w:val="007943CC"/>
    <w:rsid w:val="0079469F"/>
    <w:rsid w:val="00794AC4"/>
    <w:rsid w:val="007A0146"/>
    <w:rsid w:val="007A0573"/>
    <w:rsid w:val="007A35EC"/>
    <w:rsid w:val="007A4FC9"/>
    <w:rsid w:val="007A55B6"/>
    <w:rsid w:val="007A6832"/>
    <w:rsid w:val="007A6CA6"/>
    <w:rsid w:val="007B0929"/>
    <w:rsid w:val="007B1255"/>
    <w:rsid w:val="007B2B9F"/>
    <w:rsid w:val="007B5A7E"/>
    <w:rsid w:val="007B69CB"/>
    <w:rsid w:val="007B7609"/>
    <w:rsid w:val="007B7A6E"/>
    <w:rsid w:val="007C0487"/>
    <w:rsid w:val="007C0596"/>
    <w:rsid w:val="007C2255"/>
    <w:rsid w:val="007C239D"/>
    <w:rsid w:val="007C2D84"/>
    <w:rsid w:val="007C40F2"/>
    <w:rsid w:val="007C429E"/>
    <w:rsid w:val="007C4982"/>
    <w:rsid w:val="007D0226"/>
    <w:rsid w:val="007D1600"/>
    <w:rsid w:val="007D1CD4"/>
    <w:rsid w:val="007D2F7D"/>
    <w:rsid w:val="007D3D0A"/>
    <w:rsid w:val="007D4C21"/>
    <w:rsid w:val="007D4FB9"/>
    <w:rsid w:val="007D671F"/>
    <w:rsid w:val="007D7014"/>
    <w:rsid w:val="007E082B"/>
    <w:rsid w:val="007E232C"/>
    <w:rsid w:val="007E2E5A"/>
    <w:rsid w:val="007E3172"/>
    <w:rsid w:val="007E3629"/>
    <w:rsid w:val="007E3997"/>
    <w:rsid w:val="007E44CA"/>
    <w:rsid w:val="007E54FE"/>
    <w:rsid w:val="007E5786"/>
    <w:rsid w:val="007E695E"/>
    <w:rsid w:val="007E6986"/>
    <w:rsid w:val="007F0554"/>
    <w:rsid w:val="007F13BC"/>
    <w:rsid w:val="007F1900"/>
    <w:rsid w:val="007F2EAA"/>
    <w:rsid w:val="007F4474"/>
    <w:rsid w:val="007F77F6"/>
    <w:rsid w:val="007F791F"/>
    <w:rsid w:val="007F7C2C"/>
    <w:rsid w:val="00801624"/>
    <w:rsid w:val="00802B27"/>
    <w:rsid w:val="00803D9F"/>
    <w:rsid w:val="008103BF"/>
    <w:rsid w:val="00810D1A"/>
    <w:rsid w:val="00812C0A"/>
    <w:rsid w:val="00812EEE"/>
    <w:rsid w:val="008130F8"/>
    <w:rsid w:val="00814CDC"/>
    <w:rsid w:val="00815AAA"/>
    <w:rsid w:val="00816DAF"/>
    <w:rsid w:val="00817616"/>
    <w:rsid w:val="008179EE"/>
    <w:rsid w:val="00817D5F"/>
    <w:rsid w:val="00817DBC"/>
    <w:rsid w:val="00820EAF"/>
    <w:rsid w:val="00821564"/>
    <w:rsid w:val="00821690"/>
    <w:rsid w:val="00825A0E"/>
    <w:rsid w:val="00826242"/>
    <w:rsid w:val="00827AAC"/>
    <w:rsid w:val="00827C16"/>
    <w:rsid w:val="00827D12"/>
    <w:rsid w:val="00827D29"/>
    <w:rsid w:val="00830BEA"/>
    <w:rsid w:val="00831560"/>
    <w:rsid w:val="008318E3"/>
    <w:rsid w:val="00831A4E"/>
    <w:rsid w:val="00831D01"/>
    <w:rsid w:val="0083250D"/>
    <w:rsid w:val="0083321E"/>
    <w:rsid w:val="0083325F"/>
    <w:rsid w:val="00835068"/>
    <w:rsid w:val="00840BB3"/>
    <w:rsid w:val="00840DD0"/>
    <w:rsid w:val="0084183B"/>
    <w:rsid w:val="00842F1E"/>
    <w:rsid w:val="00842F30"/>
    <w:rsid w:val="008445A7"/>
    <w:rsid w:val="00844CF3"/>
    <w:rsid w:val="00847667"/>
    <w:rsid w:val="0085066E"/>
    <w:rsid w:val="00850E19"/>
    <w:rsid w:val="008520E7"/>
    <w:rsid w:val="008528A8"/>
    <w:rsid w:val="00853211"/>
    <w:rsid w:val="0085338B"/>
    <w:rsid w:val="0085366E"/>
    <w:rsid w:val="00854986"/>
    <w:rsid w:val="008554E7"/>
    <w:rsid w:val="008554FB"/>
    <w:rsid w:val="0086098F"/>
    <w:rsid w:val="00862F8C"/>
    <w:rsid w:val="008713E0"/>
    <w:rsid w:val="00871BBE"/>
    <w:rsid w:val="00872AD0"/>
    <w:rsid w:val="00875777"/>
    <w:rsid w:val="00875A42"/>
    <w:rsid w:val="008772DA"/>
    <w:rsid w:val="008800E8"/>
    <w:rsid w:val="008801E9"/>
    <w:rsid w:val="008817C4"/>
    <w:rsid w:val="008821C9"/>
    <w:rsid w:val="0088264B"/>
    <w:rsid w:val="00882A3C"/>
    <w:rsid w:val="00883048"/>
    <w:rsid w:val="008839BA"/>
    <w:rsid w:val="00885520"/>
    <w:rsid w:val="0088731C"/>
    <w:rsid w:val="008877F6"/>
    <w:rsid w:val="00887F1D"/>
    <w:rsid w:val="00891E56"/>
    <w:rsid w:val="008920AE"/>
    <w:rsid w:val="00893637"/>
    <w:rsid w:val="008957C0"/>
    <w:rsid w:val="008A08AB"/>
    <w:rsid w:val="008A155E"/>
    <w:rsid w:val="008A232E"/>
    <w:rsid w:val="008A2371"/>
    <w:rsid w:val="008A3786"/>
    <w:rsid w:val="008A4065"/>
    <w:rsid w:val="008A543A"/>
    <w:rsid w:val="008A78B7"/>
    <w:rsid w:val="008B0574"/>
    <w:rsid w:val="008B19B0"/>
    <w:rsid w:val="008B2487"/>
    <w:rsid w:val="008B4461"/>
    <w:rsid w:val="008B70CA"/>
    <w:rsid w:val="008C1805"/>
    <w:rsid w:val="008C2015"/>
    <w:rsid w:val="008C36B8"/>
    <w:rsid w:val="008C3DEB"/>
    <w:rsid w:val="008C41CB"/>
    <w:rsid w:val="008C4464"/>
    <w:rsid w:val="008C469F"/>
    <w:rsid w:val="008C6B24"/>
    <w:rsid w:val="008D04FD"/>
    <w:rsid w:val="008D0A42"/>
    <w:rsid w:val="008D1C78"/>
    <w:rsid w:val="008D1C9B"/>
    <w:rsid w:val="008D1E68"/>
    <w:rsid w:val="008D2397"/>
    <w:rsid w:val="008D283B"/>
    <w:rsid w:val="008D2EEC"/>
    <w:rsid w:val="008D566E"/>
    <w:rsid w:val="008D7930"/>
    <w:rsid w:val="008D7A78"/>
    <w:rsid w:val="008E02F9"/>
    <w:rsid w:val="008E0A45"/>
    <w:rsid w:val="008E31B7"/>
    <w:rsid w:val="008E347F"/>
    <w:rsid w:val="008E373D"/>
    <w:rsid w:val="008E3B6D"/>
    <w:rsid w:val="008E3C83"/>
    <w:rsid w:val="008E4144"/>
    <w:rsid w:val="008E482F"/>
    <w:rsid w:val="008E553D"/>
    <w:rsid w:val="008E7300"/>
    <w:rsid w:val="008E7773"/>
    <w:rsid w:val="008F078A"/>
    <w:rsid w:val="008F0E8F"/>
    <w:rsid w:val="008F0FA7"/>
    <w:rsid w:val="008F1AEA"/>
    <w:rsid w:val="008F24B4"/>
    <w:rsid w:val="008F3666"/>
    <w:rsid w:val="008F3D30"/>
    <w:rsid w:val="008F472C"/>
    <w:rsid w:val="008F4E95"/>
    <w:rsid w:val="008F5AE4"/>
    <w:rsid w:val="008F5BE4"/>
    <w:rsid w:val="008F671F"/>
    <w:rsid w:val="008F7434"/>
    <w:rsid w:val="008F75A5"/>
    <w:rsid w:val="00900570"/>
    <w:rsid w:val="00902E20"/>
    <w:rsid w:val="00903438"/>
    <w:rsid w:val="009058B7"/>
    <w:rsid w:val="00906A24"/>
    <w:rsid w:val="00907F7A"/>
    <w:rsid w:val="00911627"/>
    <w:rsid w:val="009145ED"/>
    <w:rsid w:val="009146C1"/>
    <w:rsid w:val="009150B6"/>
    <w:rsid w:val="00917B93"/>
    <w:rsid w:val="00920396"/>
    <w:rsid w:val="00920B64"/>
    <w:rsid w:val="0092158E"/>
    <w:rsid w:val="00921D23"/>
    <w:rsid w:val="0092293F"/>
    <w:rsid w:val="00922AFE"/>
    <w:rsid w:val="00923AB3"/>
    <w:rsid w:val="0092424A"/>
    <w:rsid w:val="009247EC"/>
    <w:rsid w:val="00925326"/>
    <w:rsid w:val="009263D5"/>
    <w:rsid w:val="009271D9"/>
    <w:rsid w:val="00927418"/>
    <w:rsid w:val="00927D66"/>
    <w:rsid w:val="00927E22"/>
    <w:rsid w:val="00930417"/>
    <w:rsid w:val="00931583"/>
    <w:rsid w:val="009337F1"/>
    <w:rsid w:val="009339C9"/>
    <w:rsid w:val="009347CF"/>
    <w:rsid w:val="00934E5B"/>
    <w:rsid w:val="00935A4B"/>
    <w:rsid w:val="009376BB"/>
    <w:rsid w:val="00937802"/>
    <w:rsid w:val="00940A62"/>
    <w:rsid w:val="0094122B"/>
    <w:rsid w:val="0094169A"/>
    <w:rsid w:val="00941FFE"/>
    <w:rsid w:val="009433F3"/>
    <w:rsid w:val="00943745"/>
    <w:rsid w:val="0094603D"/>
    <w:rsid w:val="0095101E"/>
    <w:rsid w:val="00951B31"/>
    <w:rsid w:val="009524D2"/>
    <w:rsid w:val="00953BD3"/>
    <w:rsid w:val="009550A0"/>
    <w:rsid w:val="00957246"/>
    <w:rsid w:val="009576BC"/>
    <w:rsid w:val="00957F2C"/>
    <w:rsid w:val="00962680"/>
    <w:rsid w:val="00962B02"/>
    <w:rsid w:val="009651EC"/>
    <w:rsid w:val="009657AC"/>
    <w:rsid w:val="00967E07"/>
    <w:rsid w:val="0097099B"/>
    <w:rsid w:val="00970CC2"/>
    <w:rsid w:val="00970F84"/>
    <w:rsid w:val="00972892"/>
    <w:rsid w:val="00972E50"/>
    <w:rsid w:val="00973429"/>
    <w:rsid w:val="009735F0"/>
    <w:rsid w:val="00974BD5"/>
    <w:rsid w:val="00975B9F"/>
    <w:rsid w:val="00975F89"/>
    <w:rsid w:val="00976B38"/>
    <w:rsid w:val="0098177D"/>
    <w:rsid w:val="00981B03"/>
    <w:rsid w:val="00982061"/>
    <w:rsid w:val="00982724"/>
    <w:rsid w:val="0098314B"/>
    <w:rsid w:val="009837AB"/>
    <w:rsid w:val="009853A9"/>
    <w:rsid w:val="0098680C"/>
    <w:rsid w:val="00986EDA"/>
    <w:rsid w:val="009928C1"/>
    <w:rsid w:val="0099516C"/>
    <w:rsid w:val="009962AC"/>
    <w:rsid w:val="00997BC6"/>
    <w:rsid w:val="009A0BD0"/>
    <w:rsid w:val="009A0DE2"/>
    <w:rsid w:val="009A1A23"/>
    <w:rsid w:val="009A329B"/>
    <w:rsid w:val="009A4E42"/>
    <w:rsid w:val="009A6470"/>
    <w:rsid w:val="009A6B2F"/>
    <w:rsid w:val="009B2B7A"/>
    <w:rsid w:val="009B3715"/>
    <w:rsid w:val="009B38CA"/>
    <w:rsid w:val="009B3BDB"/>
    <w:rsid w:val="009B40A6"/>
    <w:rsid w:val="009B4F04"/>
    <w:rsid w:val="009B7516"/>
    <w:rsid w:val="009B79B0"/>
    <w:rsid w:val="009C0276"/>
    <w:rsid w:val="009C29B9"/>
    <w:rsid w:val="009C395D"/>
    <w:rsid w:val="009C48CE"/>
    <w:rsid w:val="009C4EA5"/>
    <w:rsid w:val="009C5362"/>
    <w:rsid w:val="009C5CC7"/>
    <w:rsid w:val="009C6A10"/>
    <w:rsid w:val="009D2221"/>
    <w:rsid w:val="009D3DC8"/>
    <w:rsid w:val="009D4B19"/>
    <w:rsid w:val="009D4C64"/>
    <w:rsid w:val="009D5849"/>
    <w:rsid w:val="009D676F"/>
    <w:rsid w:val="009D7E9C"/>
    <w:rsid w:val="009E18E7"/>
    <w:rsid w:val="009E2795"/>
    <w:rsid w:val="009E2BFF"/>
    <w:rsid w:val="009E54EC"/>
    <w:rsid w:val="009E65A8"/>
    <w:rsid w:val="009E6FD8"/>
    <w:rsid w:val="009E7CD7"/>
    <w:rsid w:val="009F0966"/>
    <w:rsid w:val="009F213D"/>
    <w:rsid w:val="009F237C"/>
    <w:rsid w:val="009F25F9"/>
    <w:rsid w:val="009F2779"/>
    <w:rsid w:val="009F2F56"/>
    <w:rsid w:val="009F3083"/>
    <w:rsid w:val="009F3843"/>
    <w:rsid w:val="009F3CF8"/>
    <w:rsid w:val="009F5238"/>
    <w:rsid w:val="009F5BBB"/>
    <w:rsid w:val="009F6192"/>
    <w:rsid w:val="009F655A"/>
    <w:rsid w:val="009F67A0"/>
    <w:rsid w:val="009F6D9D"/>
    <w:rsid w:val="009F6EC3"/>
    <w:rsid w:val="009F7172"/>
    <w:rsid w:val="009F7297"/>
    <w:rsid w:val="009F74FB"/>
    <w:rsid w:val="00A00325"/>
    <w:rsid w:val="00A006F5"/>
    <w:rsid w:val="00A00F24"/>
    <w:rsid w:val="00A01587"/>
    <w:rsid w:val="00A05C90"/>
    <w:rsid w:val="00A06A7C"/>
    <w:rsid w:val="00A1100E"/>
    <w:rsid w:val="00A11F9D"/>
    <w:rsid w:val="00A145E7"/>
    <w:rsid w:val="00A15A88"/>
    <w:rsid w:val="00A1632A"/>
    <w:rsid w:val="00A16376"/>
    <w:rsid w:val="00A1752A"/>
    <w:rsid w:val="00A17840"/>
    <w:rsid w:val="00A223EF"/>
    <w:rsid w:val="00A2281C"/>
    <w:rsid w:val="00A232B8"/>
    <w:rsid w:val="00A25B82"/>
    <w:rsid w:val="00A27B96"/>
    <w:rsid w:val="00A30801"/>
    <w:rsid w:val="00A33016"/>
    <w:rsid w:val="00A349DC"/>
    <w:rsid w:val="00A35E37"/>
    <w:rsid w:val="00A36509"/>
    <w:rsid w:val="00A375E6"/>
    <w:rsid w:val="00A3785A"/>
    <w:rsid w:val="00A37865"/>
    <w:rsid w:val="00A37F21"/>
    <w:rsid w:val="00A41E86"/>
    <w:rsid w:val="00A42107"/>
    <w:rsid w:val="00A427FF"/>
    <w:rsid w:val="00A4410C"/>
    <w:rsid w:val="00A44C87"/>
    <w:rsid w:val="00A4683E"/>
    <w:rsid w:val="00A47A9B"/>
    <w:rsid w:val="00A47D38"/>
    <w:rsid w:val="00A52CF7"/>
    <w:rsid w:val="00A52D9B"/>
    <w:rsid w:val="00A53164"/>
    <w:rsid w:val="00A5319B"/>
    <w:rsid w:val="00A546EB"/>
    <w:rsid w:val="00A57769"/>
    <w:rsid w:val="00A61C0C"/>
    <w:rsid w:val="00A62302"/>
    <w:rsid w:val="00A62BC1"/>
    <w:rsid w:val="00A62ED7"/>
    <w:rsid w:val="00A63081"/>
    <w:rsid w:val="00A63FC9"/>
    <w:rsid w:val="00A64064"/>
    <w:rsid w:val="00A67E59"/>
    <w:rsid w:val="00A70198"/>
    <w:rsid w:val="00A7076A"/>
    <w:rsid w:val="00A709CF"/>
    <w:rsid w:val="00A70A63"/>
    <w:rsid w:val="00A72216"/>
    <w:rsid w:val="00A74C52"/>
    <w:rsid w:val="00A7566C"/>
    <w:rsid w:val="00A75A1A"/>
    <w:rsid w:val="00A77433"/>
    <w:rsid w:val="00A77974"/>
    <w:rsid w:val="00A80BA5"/>
    <w:rsid w:val="00A80C13"/>
    <w:rsid w:val="00A80F24"/>
    <w:rsid w:val="00A8232E"/>
    <w:rsid w:val="00A83FB5"/>
    <w:rsid w:val="00A858FC"/>
    <w:rsid w:val="00A86320"/>
    <w:rsid w:val="00A87074"/>
    <w:rsid w:val="00A9038B"/>
    <w:rsid w:val="00A9281B"/>
    <w:rsid w:val="00A944EA"/>
    <w:rsid w:val="00A947AB"/>
    <w:rsid w:val="00A95A13"/>
    <w:rsid w:val="00A9616C"/>
    <w:rsid w:val="00A96776"/>
    <w:rsid w:val="00A96C9A"/>
    <w:rsid w:val="00A97833"/>
    <w:rsid w:val="00AA038E"/>
    <w:rsid w:val="00AA2406"/>
    <w:rsid w:val="00AA43C2"/>
    <w:rsid w:val="00AA52E8"/>
    <w:rsid w:val="00AA535A"/>
    <w:rsid w:val="00AA5640"/>
    <w:rsid w:val="00AA5D0A"/>
    <w:rsid w:val="00AB027C"/>
    <w:rsid w:val="00AB0C9B"/>
    <w:rsid w:val="00AB1900"/>
    <w:rsid w:val="00AB2453"/>
    <w:rsid w:val="00AB2B12"/>
    <w:rsid w:val="00AB3E8B"/>
    <w:rsid w:val="00AB48DE"/>
    <w:rsid w:val="00AB4F42"/>
    <w:rsid w:val="00AB64D1"/>
    <w:rsid w:val="00AB6D4C"/>
    <w:rsid w:val="00AB71A8"/>
    <w:rsid w:val="00AC1012"/>
    <w:rsid w:val="00AC11BF"/>
    <w:rsid w:val="00AC36E0"/>
    <w:rsid w:val="00AC38DD"/>
    <w:rsid w:val="00AC3E86"/>
    <w:rsid w:val="00AC4B38"/>
    <w:rsid w:val="00AC5453"/>
    <w:rsid w:val="00AC5EF3"/>
    <w:rsid w:val="00AC602A"/>
    <w:rsid w:val="00AC7D3A"/>
    <w:rsid w:val="00AC7D96"/>
    <w:rsid w:val="00AD0526"/>
    <w:rsid w:val="00AD13D8"/>
    <w:rsid w:val="00AD25A2"/>
    <w:rsid w:val="00AD37C0"/>
    <w:rsid w:val="00AD537A"/>
    <w:rsid w:val="00AD576D"/>
    <w:rsid w:val="00AD5A7E"/>
    <w:rsid w:val="00AD617B"/>
    <w:rsid w:val="00AD6553"/>
    <w:rsid w:val="00AD6ABA"/>
    <w:rsid w:val="00AE00D2"/>
    <w:rsid w:val="00AE07F3"/>
    <w:rsid w:val="00AE0EC2"/>
    <w:rsid w:val="00AE1999"/>
    <w:rsid w:val="00AE1AC9"/>
    <w:rsid w:val="00AE1BDA"/>
    <w:rsid w:val="00AE4932"/>
    <w:rsid w:val="00AE49EA"/>
    <w:rsid w:val="00AE5274"/>
    <w:rsid w:val="00AE597A"/>
    <w:rsid w:val="00AF0BFC"/>
    <w:rsid w:val="00AF0DC3"/>
    <w:rsid w:val="00AF2C0A"/>
    <w:rsid w:val="00AF3E64"/>
    <w:rsid w:val="00AF52B3"/>
    <w:rsid w:val="00AF5EF9"/>
    <w:rsid w:val="00AF7767"/>
    <w:rsid w:val="00B0036C"/>
    <w:rsid w:val="00B0070B"/>
    <w:rsid w:val="00B009EE"/>
    <w:rsid w:val="00B01DF4"/>
    <w:rsid w:val="00B02D5F"/>
    <w:rsid w:val="00B066DC"/>
    <w:rsid w:val="00B06D07"/>
    <w:rsid w:val="00B0724E"/>
    <w:rsid w:val="00B1216B"/>
    <w:rsid w:val="00B12440"/>
    <w:rsid w:val="00B1417A"/>
    <w:rsid w:val="00B1580A"/>
    <w:rsid w:val="00B159E6"/>
    <w:rsid w:val="00B21622"/>
    <w:rsid w:val="00B21BC3"/>
    <w:rsid w:val="00B21E2C"/>
    <w:rsid w:val="00B23453"/>
    <w:rsid w:val="00B2345B"/>
    <w:rsid w:val="00B23567"/>
    <w:rsid w:val="00B2368B"/>
    <w:rsid w:val="00B245E4"/>
    <w:rsid w:val="00B24969"/>
    <w:rsid w:val="00B26226"/>
    <w:rsid w:val="00B26DC1"/>
    <w:rsid w:val="00B3216B"/>
    <w:rsid w:val="00B32486"/>
    <w:rsid w:val="00B32CF7"/>
    <w:rsid w:val="00B32F7E"/>
    <w:rsid w:val="00B33618"/>
    <w:rsid w:val="00B34A7F"/>
    <w:rsid w:val="00B37155"/>
    <w:rsid w:val="00B37274"/>
    <w:rsid w:val="00B40AC6"/>
    <w:rsid w:val="00B4185B"/>
    <w:rsid w:val="00B41EA4"/>
    <w:rsid w:val="00B430D9"/>
    <w:rsid w:val="00B43693"/>
    <w:rsid w:val="00B436EA"/>
    <w:rsid w:val="00B4478B"/>
    <w:rsid w:val="00B44A5C"/>
    <w:rsid w:val="00B46405"/>
    <w:rsid w:val="00B46ED0"/>
    <w:rsid w:val="00B51B89"/>
    <w:rsid w:val="00B523D3"/>
    <w:rsid w:val="00B53132"/>
    <w:rsid w:val="00B535B2"/>
    <w:rsid w:val="00B53D73"/>
    <w:rsid w:val="00B558DE"/>
    <w:rsid w:val="00B568CE"/>
    <w:rsid w:val="00B57CDB"/>
    <w:rsid w:val="00B60F8F"/>
    <w:rsid w:val="00B61250"/>
    <w:rsid w:val="00B61497"/>
    <w:rsid w:val="00B619AB"/>
    <w:rsid w:val="00B62230"/>
    <w:rsid w:val="00B63942"/>
    <w:rsid w:val="00B64B87"/>
    <w:rsid w:val="00B653C3"/>
    <w:rsid w:val="00B67835"/>
    <w:rsid w:val="00B71078"/>
    <w:rsid w:val="00B71D30"/>
    <w:rsid w:val="00B729E3"/>
    <w:rsid w:val="00B730A2"/>
    <w:rsid w:val="00B73540"/>
    <w:rsid w:val="00B75486"/>
    <w:rsid w:val="00B76F80"/>
    <w:rsid w:val="00B77060"/>
    <w:rsid w:val="00B77267"/>
    <w:rsid w:val="00B77C3B"/>
    <w:rsid w:val="00B77DFF"/>
    <w:rsid w:val="00B818DA"/>
    <w:rsid w:val="00B81DB4"/>
    <w:rsid w:val="00B832C6"/>
    <w:rsid w:val="00B840AE"/>
    <w:rsid w:val="00B8437F"/>
    <w:rsid w:val="00B848D3"/>
    <w:rsid w:val="00B848DE"/>
    <w:rsid w:val="00B87E64"/>
    <w:rsid w:val="00B91D4D"/>
    <w:rsid w:val="00B922FC"/>
    <w:rsid w:val="00B93431"/>
    <w:rsid w:val="00B94E00"/>
    <w:rsid w:val="00B954E1"/>
    <w:rsid w:val="00B95CC0"/>
    <w:rsid w:val="00B962B1"/>
    <w:rsid w:val="00BA1592"/>
    <w:rsid w:val="00BA1D9E"/>
    <w:rsid w:val="00BA2D52"/>
    <w:rsid w:val="00BA2F8A"/>
    <w:rsid w:val="00BA334B"/>
    <w:rsid w:val="00BA3E1A"/>
    <w:rsid w:val="00BA574F"/>
    <w:rsid w:val="00BA6209"/>
    <w:rsid w:val="00BA660D"/>
    <w:rsid w:val="00BA6663"/>
    <w:rsid w:val="00BA6B62"/>
    <w:rsid w:val="00BB055C"/>
    <w:rsid w:val="00BB26CC"/>
    <w:rsid w:val="00BB38E6"/>
    <w:rsid w:val="00BB446D"/>
    <w:rsid w:val="00BB4CEB"/>
    <w:rsid w:val="00BB52D2"/>
    <w:rsid w:val="00BB58A6"/>
    <w:rsid w:val="00BB64FD"/>
    <w:rsid w:val="00BB7747"/>
    <w:rsid w:val="00BB7AA0"/>
    <w:rsid w:val="00BB7D50"/>
    <w:rsid w:val="00BC0036"/>
    <w:rsid w:val="00BC1E41"/>
    <w:rsid w:val="00BC23AF"/>
    <w:rsid w:val="00BC249F"/>
    <w:rsid w:val="00BC28FA"/>
    <w:rsid w:val="00BC5FA7"/>
    <w:rsid w:val="00BC6329"/>
    <w:rsid w:val="00BC6EB3"/>
    <w:rsid w:val="00BD03CE"/>
    <w:rsid w:val="00BD1451"/>
    <w:rsid w:val="00BD24D1"/>
    <w:rsid w:val="00BD256B"/>
    <w:rsid w:val="00BD53A2"/>
    <w:rsid w:val="00BD7633"/>
    <w:rsid w:val="00BE1ED4"/>
    <w:rsid w:val="00BE3104"/>
    <w:rsid w:val="00BE4382"/>
    <w:rsid w:val="00BE4B28"/>
    <w:rsid w:val="00BE53EC"/>
    <w:rsid w:val="00BE6FAF"/>
    <w:rsid w:val="00BF0CB1"/>
    <w:rsid w:val="00BF1933"/>
    <w:rsid w:val="00BF1A9E"/>
    <w:rsid w:val="00BF24D5"/>
    <w:rsid w:val="00BF252E"/>
    <w:rsid w:val="00BF28EB"/>
    <w:rsid w:val="00BF3F63"/>
    <w:rsid w:val="00BF46C1"/>
    <w:rsid w:val="00BF5AA0"/>
    <w:rsid w:val="00BF6BF5"/>
    <w:rsid w:val="00BF7526"/>
    <w:rsid w:val="00BF7931"/>
    <w:rsid w:val="00C00572"/>
    <w:rsid w:val="00C0363F"/>
    <w:rsid w:val="00C06C1E"/>
    <w:rsid w:val="00C078EE"/>
    <w:rsid w:val="00C079E7"/>
    <w:rsid w:val="00C07A97"/>
    <w:rsid w:val="00C100B9"/>
    <w:rsid w:val="00C12000"/>
    <w:rsid w:val="00C135DB"/>
    <w:rsid w:val="00C1472D"/>
    <w:rsid w:val="00C163C6"/>
    <w:rsid w:val="00C17690"/>
    <w:rsid w:val="00C204A8"/>
    <w:rsid w:val="00C20760"/>
    <w:rsid w:val="00C211AC"/>
    <w:rsid w:val="00C221A3"/>
    <w:rsid w:val="00C22762"/>
    <w:rsid w:val="00C22C2F"/>
    <w:rsid w:val="00C22C55"/>
    <w:rsid w:val="00C22CFE"/>
    <w:rsid w:val="00C23553"/>
    <w:rsid w:val="00C24D3E"/>
    <w:rsid w:val="00C256F7"/>
    <w:rsid w:val="00C26AD8"/>
    <w:rsid w:val="00C27DD0"/>
    <w:rsid w:val="00C27F4C"/>
    <w:rsid w:val="00C3018D"/>
    <w:rsid w:val="00C30A36"/>
    <w:rsid w:val="00C31AF6"/>
    <w:rsid w:val="00C32800"/>
    <w:rsid w:val="00C32AA1"/>
    <w:rsid w:val="00C35C46"/>
    <w:rsid w:val="00C36104"/>
    <w:rsid w:val="00C365C6"/>
    <w:rsid w:val="00C36CA4"/>
    <w:rsid w:val="00C37C52"/>
    <w:rsid w:val="00C40C69"/>
    <w:rsid w:val="00C4250B"/>
    <w:rsid w:val="00C4468E"/>
    <w:rsid w:val="00C44DC6"/>
    <w:rsid w:val="00C462B9"/>
    <w:rsid w:val="00C463C9"/>
    <w:rsid w:val="00C46B55"/>
    <w:rsid w:val="00C4719E"/>
    <w:rsid w:val="00C47C8E"/>
    <w:rsid w:val="00C5144C"/>
    <w:rsid w:val="00C51829"/>
    <w:rsid w:val="00C51942"/>
    <w:rsid w:val="00C531EF"/>
    <w:rsid w:val="00C54F12"/>
    <w:rsid w:val="00C55248"/>
    <w:rsid w:val="00C55334"/>
    <w:rsid w:val="00C5704E"/>
    <w:rsid w:val="00C57BED"/>
    <w:rsid w:val="00C57C2C"/>
    <w:rsid w:val="00C60DB2"/>
    <w:rsid w:val="00C60FF2"/>
    <w:rsid w:val="00C62D0E"/>
    <w:rsid w:val="00C62DAF"/>
    <w:rsid w:val="00C633FA"/>
    <w:rsid w:val="00C63A7C"/>
    <w:rsid w:val="00C65100"/>
    <w:rsid w:val="00C65195"/>
    <w:rsid w:val="00C65ED5"/>
    <w:rsid w:val="00C6635B"/>
    <w:rsid w:val="00C6755C"/>
    <w:rsid w:val="00C67B42"/>
    <w:rsid w:val="00C67E0D"/>
    <w:rsid w:val="00C703A2"/>
    <w:rsid w:val="00C70B43"/>
    <w:rsid w:val="00C715EC"/>
    <w:rsid w:val="00C716D9"/>
    <w:rsid w:val="00C73A4C"/>
    <w:rsid w:val="00C73BD1"/>
    <w:rsid w:val="00C74AC0"/>
    <w:rsid w:val="00C75F8D"/>
    <w:rsid w:val="00C80162"/>
    <w:rsid w:val="00C815A3"/>
    <w:rsid w:val="00C85485"/>
    <w:rsid w:val="00C865F9"/>
    <w:rsid w:val="00C86B92"/>
    <w:rsid w:val="00C8751E"/>
    <w:rsid w:val="00C87679"/>
    <w:rsid w:val="00C87AD0"/>
    <w:rsid w:val="00C9054B"/>
    <w:rsid w:val="00C91386"/>
    <w:rsid w:val="00C96B5C"/>
    <w:rsid w:val="00C97251"/>
    <w:rsid w:val="00C9739B"/>
    <w:rsid w:val="00CA0D9D"/>
    <w:rsid w:val="00CA11E9"/>
    <w:rsid w:val="00CA15FA"/>
    <w:rsid w:val="00CA3E0A"/>
    <w:rsid w:val="00CA52D7"/>
    <w:rsid w:val="00CA5C7D"/>
    <w:rsid w:val="00CA5E48"/>
    <w:rsid w:val="00CA5FC7"/>
    <w:rsid w:val="00CB11F2"/>
    <w:rsid w:val="00CB260C"/>
    <w:rsid w:val="00CB390C"/>
    <w:rsid w:val="00CB4DE0"/>
    <w:rsid w:val="00CB6596"/>
    <w:rsid w:val="00CB663F"/>
    <w:rsid w:val="00CB7097"/>
    <w:rsid w:val="00CB70D7"/>
    <w:rsid w:val="00CC0A65"/>
    <w:rsid w:val="00CC2252"/>
    <w:rsid w:val="00CC4368"/>
    <w:rsid w:val="00CC4905"/>
    <w:rsid w:val="00CC5BCF"/>
    <w:rsid w:val="00CD19EC"/>
    <w:rsid w:val="00CD21D5"/>
    <w:rsid w:val="00CD2640"/>
    <w:rsid w:val="00CD3A8A"/>
    <w:rsid w:val="00CD4123"/>
    <w:rsid w:val="00CD5062"/>
    <w:rsid w:val="00CD6C72"/>
    <w:rsid w:val="00CD6DBE"/>
    <w:rsid w:val="00CD77D5"/>
    <w:rsid w:val="00CD78B3"/>
    <w:rsid w:val="00CD7F25"/>
    <w:rsid w:val="00CE149F"/>
    <w:rsid w:val="00CE2AB3"/>
    <w:rsid w:val="00CE373B"/>
    <w:rsid w:val="00CE3BEC"/>
    <w:rsid w:val="00CE644F"/>
    <w:rsid w:val="00CE7634"/>
    <w:rsid w:val="00CF1049"/>
    <w:rsid w:val="00CF1EDD"/>
    <w:rsid w:val="00CF2D95"/>
    <w:rsid w:val="00CF4037"/>
    <w:rsid w:val="00CF4496"/>
    <w:rsid w:val="00CF4CA1"/>
    <w:rsid w:val="00CF643B"/>
    <w:rsid w:val="00CF6BE8"/>
    <w:rsid w:val="00CF7E70"/>
    <w:rsid w:val="00D00B32"/>
    <w:rsid w:val="00D02D9C"/>
    <w:rsid w:val="00D03C8F"/>
    <w:rsid w:val="00D05D8D"/>
    <w:rsid w:val="00D0673C"/>
    <w:rsid w:val="00D11958"/>
    <w:rsid w:val="00D11EAB"/>
    <w:rsid w:val="00D14481"/>
    <w:rsid w:val="00D1466B"/>
    <w:rsid w:val="00D172F4"/>
    <w:rsid w:val="00D177ED"/>
    <w:rsid w:val="00D2111B"/>
    <w:rsid w:val="00D2115C"/>
    <w:rsid w:val="00D21B92"/>
    <w:rsid w:val="00D23EEF"/>
    <w:rsid w:val="00D23F72"/>
    <w:rsid w:val="00D26DC2"/>
    <w:rsid w:val="00D313CF"/>
    <w:rsid w:val="00D31B46"/>
    <w:rsid w:val="00D32CA7"/>
    <w:rsid w:val="00D33A73"/>
    <w:rsid w:val="00D33BD0"/>
    <w:rsid w:val="00D33DA0"/>
    <w:rsid w:val="00D341AB"/>
    <w:rsid w:val="00D34D78"/>
    <w:rsid w:val="00D352B7"/>
    <w:rsid w:val="00D37C55"/>
    <w:rsid w:val="00D401AF"/>
    <w:rsid w:val="00D40234"/>
    <w:rsid w:val="00D41E8D"/>
    <w:rsid w:val="00D422B9"/>
    <w:rsid w:val="00D425AE"/>
    <w:rsid w:val="00D429AD"/>
    <w:rsid w:val="00D437CF"/>
    <w:rsid w:val="00D4388E"/>
    <w:rsid w:val="00D4464B"/>
    <w:rsid w:val="00D47DA4"/>
    <w:rsid w:val="00D502D0"/>
    <w:rsid w:val="00D50A79"/>
    <w:rsid w:val="00D50B9F"/>
    <w:rsid w:val="00D5136C"/>
    <w:rsid w:val="00D524D2"/>
    <w:rsid w:val="00D532E3"/>
    <w:rsid w:val="00D53BCD"/>
    <w:rsid w:val="00D541B9"/>
    <w:rsid w:val="00D543D7"/>
    <w:rsid w:val="00D565A6"/>
    <w:rsid w:val="00D56660"/>
    <w:rsid w:val="00D56AAF"/>
    <w:rsid w:val="00D57287"/>
    <w:rsid w:val="00D57ED8"/>
    <w:rsid w:val="00D6050B"/>
    <w:rsid w:val="00D60DE7"/>
    <w:rsid w:val="00D60E4D"/>
    <w:rsid w:val="00D62364"/>
    <w:rsid w:val="00D639DB"/>
    <w:rsid w:val="00D648EB"/>
    <w:rsid w:val="00D64C88"/>
    <w:rsid w:val="00D65663"/>
    <w:rsid w:val="00D66046"/>
    <w:rsid w:val="00D67692"/>
    <w:rsid w:val="00D67CA7"/>
    <w:rsid w:val="00D70B18"/>
    <w:rsid w:val="00D70CEA"/>
    <w:rsid w:val="00D7311A"/>
    <w:rsid w:val="00D73CE3"/>
    <w:rsid w:val="00D74F98"/>
    <w:rsid w:val="00D74FAD"/>
    <w:rsid w:val="00D750CB"/>
    <w:rsid w:val="00D7738E"/>
    <w:rsid w:val="00D778B5"/>
    <w:rsid w:val="00D77C79"/>
    <w:rsid w:val="00D77D94"/>
    <w:rsid w:val="00D80D05"/>
    <w:rsid w:val="00D81168"/>
    <w:rsid w:val="00D8352F"/>
    <w:rsid w:val="00D84552"/>
    <w:rsid w:val="00D84AF7"/>
    <w:rsid w:val="00D8653A"/>
    <w:rsid w:val="00D86C89"/>
    <w:rsid w:val="00D902F7"/>
    <w:rsid w:val="00D9050C"/>
    <w:rsid w:val="00D90BD5"/>
    <w:rsid w:val="00D91436"/>
    <w:rsid w:val="00D92E5F"/>
    <w:rsid w:val="00D942B9"/>
    <w:rsid w:val="00D94B2C"/>
    <w:rsid w:val="00D9546F"/>
    <w:rsid w:val="00D97C86"/>
    <w:rsid w:val="00DA052A"/>
    <w:rsid w:val="00DA2B85"/>
    <w:rsid w:val="00DA619F"/>
    <w:rsid w:val="00DA64B1"/>
    <w:rsid w:val="00DA6703"/>
    <w:rsid w:val="00DA7AB3"/>
    <w:rsid w:val="00DB0685"/>
    <w:rsid w:val="00DB08C8"/>
    <w:rsid w:val="00DB214A"/>
    <w:rsid w:val="00DB2FCE"/>
    <w:rsid w:val="00DB5CDF"/>
    <w:rsid w:val="00DC06C1"/>
    <w:rsid w:val="00DC0FF3"/>
    <w:rsid w:val="00DC2BDD"/>
    <w:rsid w:val="00DC489B"/>
    <w:rsid w:val="00DC5BF1"/>
    <w:rsid w:val="00DC6A6B"/>
    <w:rsid w:val="00DC7D14"/>
    <w:rsid w:val="00DD0F35"/>
    <w:rsid w:val="00DD4D19"/>
    <w:rsid w:val="00DD5046"/>
    <w:rsid w:val="00DD5C06"/>
    <w:rsid w:val="00DD642F"/>
    <w:rsid w:val="00DD7C31"/>
    <w:rsid w:val="00DE0949"/>
    <w:rsid w:val="00DE0C24"/>
    <w:rsid w:val="00DE17C5"/>
    <w:rsid w:val="00DE17EC"/>
    <w:rsid w:val="00DE2001"/>
    <w:rsid w:val="00DE24AC"/>
    <w:rsid w:val="00DE2789"/>
    <w:rsid w:val="00DE4658"/>
    <w:rsid w:val="00DE4CB9"/>
    <w:rsid w:val="00DE500A"/>
    <w:rsid w:val="00DE5689"/>
    <w:rsid w:val="00DE5AC2"/>
    <w:rsid w:val="00DE6054"/>
    <w:rsid w:val="00DE63B9"/>
    <w:rsid w:val="00DE6637"/>
    <w:rsid w:val="00DE66A2"/>
    <w:rsid w:val="00DE68A8"/>
    <w:rsid w:val="00DE6FE9"/>
    <w:rsid w:val="00DF09BB"/>
    <w:rsid w:val="00DF2823"/>
    <w:rsid w:val="00DF2972"/>
    <w:rsid w:val="00DF403D"/>
    <w:rsid w:val="00DF554D"/>
    <w:rsid w:val="00DF6CD1"/>
    <w:rsid w:val="00DF7C1D"/>
    <w:rsid w:val="00E00E0C"/>
    <w:rsid w:val="00E0301E"/>
    <w:rsid w:val="00E03973"/>
    <w:rsid w:val="00E04E1B"/>
    <w:rsid w:val="00E050EB"/>
    <w:rsid w:val="00E05D34"/>
    <w:rsid w:val="00E06ABF"/>
    <w:rsid w:val="00E12737"/>
    <w:rsid w:val="00E13D3F"/>
    <w:rsid w:val="00E15DE0"/>
    <w:rsid w:val="00E16242"/>
    <w:rsid w:val="00E167CB"/>
    <w:rsid w:val="00E179C5"/>
    <w:rsid w:val="00E203CA"/>
    <w:rsid w:val="00E208D1"/>
    <w:rsid w:val="00E22578"/>
    <w:rsid w:val="00E2270F"/>
    <w:rsid w:val="00E22862"/>
    <w:rsid w:val="00E23142"/>
    <w:rsid w:val="00E23DA5"/>
    <w:rsid w:val="00E23F58"/>
    <w:rsid w:val="00E2475A"/>
    <w:rsid w:val="00E24B50"/>
    <w:rsid w:val="00E255E5"/>
    <w:rsid w:val="00E264A5"/>
    <w:rsid w:val="00E27D96"/>
    <w:rsid w:val="00E30DA5"/>
    <w:rsid w:val="00E31313"/>
    <w:rsid w:val="00E32F89"/>
    <w:rsid w:val="00E34154"/>
    <w:rsid w:val="00E35A4F"/>
    <w:rsid w:val="00E37EC4"/>
    <w:rsid w:val="00E42845"/>
    <w:rsid w:val="00E435C0"/>
    <w:rsid w:val="00E441B8"/>
    <w:rsid w:val="00E44233"/>
    <w:rsid w:val="00E446C0"/>
    <w:rsid w:val="00E45903"/>
    <w:rsid w:val="00E470C1"/>
    <w:rsid w:val="00E47470"/>
    <w:rsid w:val="00E47BD0"/>
    <w:rsid w:val="00E47F75"/>
    <w:rsid w:val="00E50F04"/>
    <w:rsid w:val="00E52643"/>
    <w:rsid w:val="00E535E3"/>
    <w:rsid w:val="00E542B5"/>
    <w:rsid w:val="00E56BE3"/>
    <w:rsid w:val="00E56DA9"/>
    <w:rsid w:val="00E56EAD"/>
    <w:rsid w:val="00E5725F"/>
    <w:rsid w:val="00E60278"/>
    <w:rsid w:val="00E61205"/>
    <w:rsid w:val="00E61EB8"/>
    <w:rsid w:val="00E623EB"/>
    <w:rsid w:val="00E62FFE"/>
    <w:rsid w:val="00E64F02"/>
    <w:rsid w:val="00E66C07"/>
    <w:rsid w:val="00E66CBB"/>
    <w:rsid w:val="00E67C0C"/>
    <w:rsid w:val="00E70203"/>
    <w:rsid w:val="00E709BA"/>
    <w:rsid w:val="00E7327D"/>
    <w:rsid w:val="00E73675"/>
    <w:rsid w:val="00E746B1"/>
    <w:rsid w:val="00E74C78"/>
    <w:rsid w:val="00E74EEF"/>
    <w:rsid w:val="00E753D7"/>
    <w:rsid w:val="00E7575C"/>
    <w:rsid w:val="00E75EC4"/>
    <w:rsid w:val="00E76552"/>
    <w:rsid w:val="00E76A65"/>
    <w:rsid w:val="00E80705"/>
    <w:rsid w:val="00E80A17"/>
    <w:rsid w:val="00E833A4"/>
    <w:rsid w:val="00E8549D"/>
    <w:rsid w:val="00E8673B"/>
    <w:rsid w:val="00E870EB"/>
    <w:rsid w:val="00E91E14"/>
    <w:rsid w:val="00E933A3"/>
    <w:rsid w:val="00E94340"/>
    <w:rsid w:val="00E94431"/>
    <w:rsid w:val="00EA1E0F"/>
    <w:rsid w:val="00EA1EBD"/>
    <w:rsid w:val="00EA2520"/>
    <w:rsid w:val="00EA58D1"/>
    <w:rsid w:val="00EA5D0E"/>
    <w:rsid w:val="00EA6F32"/>
    <w:rsid w:val="00EB0D17"/>
    <w:rsid w:val="00EB0F7E"/>
    <w:rsid w:val="00EB27BF"/>
    <w:rsid w:val="00EB33C5"/>
    <w:rsid w:val="00EB6511"/>
    <w:rsid w:val="00EC016B"/>
    <w:rsid w:val="00EC064E"/>
    <w:rsid w:val="00EC0FE2"/>
    <w:rsid w:val="00EC2848"/>
    <w:rsid w:val="00EC371B"/>
    <w:rsid w:val="00ED299F"/>
    <w:rsid w:val="00ED2C39"/>
    <w:rsid w:val="00ED317A"/>
    <w:rsid w:val="00ED32DA"/>
    <w:rsid w:val="00ED3D14"/>
    <w:rsid w:val="00ED557A"/>
    <w:rsid w:val="00EE0133"/>
    <w:rsid w:val="00EE0387"/>
    <w:rsid w:val="00EE0F81"/>
    <w:rsid w:val="00EE1132"/>
    <w:rsid w:val="00EE1F6B"/>
    <w:rsid w:val="00EE412E"/>
    <w:rsid w:val="00EE4440"/>
    <w:rsid w:val="00EE449F"/>
    <w:rsid w:val="00EE4843"/>
    <w:rsid w:val="00EE60E3"/>
    <w:rsid w:val="00EE64F3"/>
    <w:rsid w:val="00EE72E1"/>
    <w:rsid w:val="00EF08A6"/>
    <w:rsid w:val="00EF357D"/>
    <w:rsid w:val="00EF4A3E"/>
    <w:rsid w:val="00EF62B4"/>
    <w:rsid w:val="00EF6F6A"/>
    <w:rsid w:val="00EF761F"/>
    <w:rsid w:val="00EF7E1E"/>
    <w:rsid w:val="00F00511"/>
    <w:rsid w:val="00F02F12"/>
    <w:rsid w:val="00F055E3"/>
    <w:rsid w:val="00F05F7D"/>
    <w:rsid w:val="00F061BD"/>
    <w:rsid w:val="00F06495"/>
    <w:rsid w:val="00F109F9"/>
    <w:rsid w:val="00F119B6"/>
    <w:rsid w:val="00F12BCC"/>
    <w:rsid w:val="00F13F99"/>
    <w:rsid w:val="00F14541"/>
    <w:rsid w:val="00F147D8"/>
    <w:rsid w:val="00F14C34"/>
    <w:rsid w:val="00F14C90"/>
    <w:rsid w:val="00F15024"/>
    <w:rsid w:val="00F151D3"/>
    <w:rsid w:val="00F15422"/>
    <w:rsid w:val="00F15E21"/>
    <w:rsid w:val="00F2156A"/>
    <w:rsid w:val="00F224B7"/>
    <w:rsid w:val="00F236C6"/>
    <w:rsid w:val="00F254B5"/>
    <w:rsid w:val="00F26D67"/>
    <w:rsid w:val="00F30497"/>
    <w:rsid w:val="00F30CE3"/>
    <w:rsid w:val="00F30E2F"/>
    <w:rsid w:val="00F316C2"/>
    <w:rsid w:val="00F320E5"/>
    <w:rsid w:val="00F32977"/>
    <w:rsid w:val="00F32F80"/>
    <w:rsid w:val="00F338B7"/>
    <w:rsid w:val="00F3473A"/>
    <w:rsid w:val="00F36F11"/>
    <w:rsid w:val="00F4033C"/>
    <w:rsid w:val="00F405C6"/>
    <w:rsid w:val="00F41B6D"/>
    <w:rsid w:val="00F42624"/>
    <w:rsid w:val="00F42A3C"/>
    <w:rsid w:val="00F43D75"/>
    <w:rsid w:val="00F44811"/>
    <w:rsid w:val="00F45376"/>
    <w:rsid w:val="00F465C4"/>
    <w:rsid w:val="00F479CF"/>
    <w:rsid w:val="00F50414"/>
    <w:rsid w:val="00F50575"/>
    <w:rsid w:val="00F505AC"/>
    <w:rsid w:val="00F506E3"/>
    <w:rsid w:val="00F50B78"/>
    <w:rsid w:val="00F512AC"/>
    <w:rsid w:val="00F5218D"/>
    <w:rsid w:val="00F5258D"/>
    <w:rsid w:val="00F54F7B"/>
    <w:rsid w:val="00F55618"/>
    <w:rsid w:val="00F60C0E"/>
    <w:rsid w:val="00F617B8"/>
    <w:rsid w:val="00F61F3B"/>
    <w:rsid w:val="00F6244E"/>
    <w:rsid w:val="00F637F7"/>
    <w:rsid w:val="00F6522F"/>
    <w:rsid w:val="00F65E69"/>
    <w:rsid w:val="00F66BC2"/>
    <w:rsid w:val="00F67278"/>
    <w:rsid w:val="00F705EB"/>
    <w:rsid w:val="00F717A7"/>
    <w:rsid w:val="00F72D9A"/>
    <w:rsid w:val="00F73587"/>
    <w:rsid w:val="00F741D1"/>
    <w:rsid w:val="00F75A9A"/>
    <w:rsid w:val="00F76132"/>
    <w:rsid w:val="00F76CAE"/>
    <w:rsid w:val="00F770A9"/>
    <w:rsid w:val="00F7766B"/>
    <w:rsid w:val="00F80615"/>
    <w:rsid w:val="00F813ED"/>
    <w:rsid w:val="00F831B5"/>
    <w:rsid w:val="00F83E09"/>
    <w:rsid w:val="00F84552"/>
    <w:rsid w:val="00F8491F"/>
    <w:rsid w:val="00F9060B"/>
    <w:rsid w:val="00F90B56"/>
    <w:rsid w:val="00F93564"/>
    <w:rsid w:val="00F935CA"/>
    <w:rsid w:val="00F9413D"/>
    <w:rsid w:val="00F94377"/>
    <w:rsid w:val="00F95605"/>
    <w:rsid w:val="00F95688"/>
    <w:rsid w:val="00F95714"/>
    <w:rsid w:val="00F969D3"/>
    <w:rsid w:val="00FA0FE3"/>
    <w:rsid w:val="00FA14E4"/>
    <w:rsid w:val="00FA4798"/>
    <w:rsid w:val="00FA4F32"/>
    <w:rsid w:val="00FA5A73"/>
    <w:rsid w:val="00FB0230"/>
    <w:rsid w:val="00FB0BDF"/>
    <w:rsid w:val="00FB42E4"/>
    <w:rsid w:val="00FB4E23"/>
    <w:rsid w:val="00FB4FED"/>
    <w:rsid w:val="00FB76EB"/>
    <w:rsid w:val="00FB7886"/>
    <w:rsid w:val="00FC0A5A"/>
    <w:rsid w:val="00FC0C2D"/>
    <w:rsid w:val="00FC0E1B"/>
    <w:rsid w:val="00FC0FE5"/>
    <w:rsid w:val="00FC2242"/>
    <w:rsid w:val="00FC2DBC"/>
    <w:rsid w:val="00FC30C3"/>
    <w:rsid w:val="00FC6066"/>
    <w:rsid w:val="00FD1363"/>
    <w:rsid w:val="00FD1802"/>
    <w:rsid w:val="00FD2E43"/>
    <w:rsid w:val="00FD5BC3"/>
    <w:rsid w:val="00FD61B9"/>
    <w:rsid w:val="00FD690B"/>
    <w:rsid w:val="00FD6A08"/>
    <w:rsid w:val="00FD7530"/>
    <w:rsid w:val="00FD77CD"/>
    <w:rsid w:val="00FE136F"/>
    <w:rsid w:val="00FE1568"/>
    <w:rsid w:val="00FE2C62"/>
    <w:rsid w:val="00FE3BD8"/>
    <w:rsid w:val="00FE5E10"/>
    <w:rsid w:val="00FE76EE"/>
    <w:rsid w:val="00FE7DC7"/>
    <w:rsid w:val="00FF04CF"/>
    <w:rsid w:val="00FF16C6"/>
    <w:rsid w:val="00FF1CB2"/>
    <w:rsid w:val="00FF1EA1"/>
    <w:rsid w:val="00FF29EF"/>
    <w:rsid w:val="00FF2CFD"/>
    <w:rsid w:val="00FF2D56"/>
    <w:rsid w:val="00FF4BB8"/>
    <w:rsid w:val="00FF5F1F"/>
    <w:rsid w:val="00FF6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6F6C18"/>
  <w15:docId w15:val="{2E915AF7-D22C-4D8D-BE16-D9FB3760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5E42"/>
    <w:rPr>
      <w:sz w:val="24"/>
      <w:szCs w:val="24"/>
    </w:rPr>
  </w:style>
  <w:style w:type="paragraph" w:styleId="Heading1">
    <w:name w:val="heading 1"/>
    <w:basedOn w:val="Normal"/>
    <w:next w:val="Normal"/>
    <w:qFormat/>
    <w:rsid w:val="00DE0949"/>
    <w:pPr>
      <w:keepNext/>
      <w:ind w:left="360"/>
      <w:outlineLvl w:val="0"/>
    </w:pPr>
    <w:rPr>
      <w:u w:val="words"/>
    </w:rPr>
  </w:style>
  <w:style w:type="paragraph" w:styleId="Heading2">
    <w:name w:val="heading 2"/>
    <w:basedOn w:val="Normal"/>
    <w:next w:val="Normal"/>
    <w:qFormat/>
    <w:rsid w:val="00DE0949"/>
    <w:pPr>
      <w:keepNext/>
      <w:outlineLvl w:val="1"/>
    </w:pPr>
    <w:rPr>
      <w:b/>
    </w:rPr>
  </w:style>
  <w:style w:type="paragraph" w:styleId="Heading6">
    <w:name w:val="heading 6"/>
    <w:basedOn w:val="Normal"/>
    <w:next w:val="Normal"/>
    <w:qFormat/>
    <w:rsid w:val="00DE0949"/>
    <w:pPr>
      <w:keepNext/>
      <w:ind w:left="720" w:right="-7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E0949"/>
    <w:pPr>
      <w:ind w:left="360"/>
    </w:pPr>
  </w:style>
  <w:style w:type="character" w:customStyle="1" w:styleId="emailstyle17">
    <w:name w:val="emailstyle17"/>
    <w:rsid w:val="00DE0949"/>
    <w:rPr>
      <w:rFonts w:ascii="Arial" w:hAnsi="Arial" w:cs="Arial" w:hint="default"/>
      <w:color w:val="auto"/>
    </w:rPr>
  </w:style>
  <w:style w:type="character" w:styleId="FollowedHyperlink">
    <w:name w:val="FollowedHyperlink"/>
    <w:rsid w:val="00DE0949"/>
    <w:rPr>
      <w:color w:val="800080"/>
      <w:u w:val="single"/>
    </w:rPr>
  </w:style>
  <w:style w:type="character" w:styleId="Hyperlink">
    <w:name w:val="Hyperlink"/>
    <w:uiPriority w:val="99"/>
    <w:rsid w:val="00DE0949"/>
    <w:rPr>
      <w:color w:val="0000FF"/>
      <w:u w:val="single"/>
    </w:rPr>
  </w:style>
  <w:style w:type="paragraph" w:styleId="BodyTextIndent3">
    <w:name w:val="Body Text Indent 3"/>
    <w:basedOn w:val="Normal"/>
    <w:rsid w:val="00DE0949"/>
    <w:pPr>
      <w:ind w:left="720"/>
    </w:pPr>
  </w:style>
  <w:style w:type="paragraph" w:styleId="BlockText">
    <w:name w:val="Block Text"/>
    <w:basedOn w:val="Normal"/>
    <w:rsid w:val="00DE0949"/>
    <w:pPr>
      <w:ind w:left="720" w:right="720"/>
    </w:pPr>
  </w:style>
  <w:style w:type="paragraph" w:styleId="Footer">
    <w:name w:val="footer"/>
    <w:basedOn w:val="Normal"/>
    <w:rsid w:val="00DE0949"/>
    <w:pPr>
      <w:tabs>
        <w:tab w:val="center" w:pos="4320"/>
        <w:tab w:val="right" w:pos="8640"/>
      </w:tabs>
    </w:pPr>
  </w:style>
  <w:style w:type="character" w:styleId="PageNumber">
    <w:name w:val="page number"/>
    <w:basedOn w:val="DefaultParagraphFont"/>
    <w:rsid w:val="00DE0949"/>
  </w:style>
  <w:style w:type="paragraph" w:styleId="BodyText">
    <w:name w:val="Body Text"/>
    <w:basedOn w:val="Normal"/>
    <w:rsid w:val="00DE0949"/>
    <w:pPr>
      <w:spacing w:line="480" w:lineRule="auto"/>
    </w:pPr>
    <w:rPr>
      <w:color w:val="000000"/>
    </w:rPr>
  </w:style>
  <w:style w:type="paragraph" w:styleId="HTMLPreformatted">
    <w:name w:val="HTML Preformatted"/>
    <w:basedOn w:val="Normal"/>
    <w:rsid w:val="00DE0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aketd">
    <w:name w:val="faketd"/>
    <w:basedOn w:val="DefaultParagraphFont"/>
    <w:rsid w:val="00DE0949"/>
  </w:style>
  <w:style w:type="paragraph" w:styleId="BalloonText">
    <w:name w:val="Balloon Text"/>
    <w:basedOn w:val="Normal"/>
    <w:semiHidden/>
    <w:rsid w:val="00B57CDB"/>
    <w:rPr>
      <w:rFonts w:ascii="Tahoma" w:hAnsi="Tahoma" w:cs="Tahoma"/>
      <w:sz w:val="16"/>
      <w:szCs w:val="16"/>
    </w:rPr>
  </w:style>
  <w:style w:type="character" w:styleId="CommentReference">
    <w:name w:val="annotation reference"/>
    <w:semiHidden/>
    <w:rsid w:val="00295A11"/>
    <w:rPr>
      <w:sz w:val="16"/>
      <w:szCs w:val="16"/>
    </w:rPr>
  </w:style>
  <w:style w:type="paragraph" w:styleId="CommentText">
    <w:name w:val="annotation text"/>
    <w:basedOn w:val="Normal"/>
    <w:semiHidden/>
    <w:rsid w:val="00295A11"/>
    <w:rPr>
      <w:sz w:val="20"/>
      <w:szCs w:val="20"/>
    </w:rPr>
  </w:style>
  <w:style w:type="paragraph" w:styleId="CommentSubject">
    <w:name w:val="annotation subject"/>
    <w:basedOn w:val="CommentText"/>
    <w:next w:val="CommentText"/>
    <w:semiHidden/>
    <w:rsid w:val="00295A11"/>
    <w:rPr>
      <w:b/>
      <w:bCs/>
    </w:rPr>
  </w:style>
  <w:style w:type="table" w:styleId="TableGrid">
    <w:name w:val="Table Grid"/>
    <w:basedOn w:val="TableNormal"/>
    <w:rsid w:val="00D47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155B9"/>
    <w:pPr>
      <w:shd w:val="clear" w:color="auto" w:fill="000080"/>
    </w:pPr>
    <w:rPr>
      <w:rFonts w:ascii="Tahoma" w:hAnsi="Tahoma" w:cs="Tahoma"/>
      <w:sz w:val="20"/>
      <w:szCs w:val="20"/>
    </w:rPr>
  </w:style>
  <w:style w:type="paragraph" w:styleId="TOC1">
    <w:name w:val="toc 1"/>
    <w:autoRedefine/>
    <w:uiPriority w:val="39"/>
    <w:rsid w:val="00CE149F"/>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uiPriority w:val="39"/>
    <w:rsid w:val="00CE149F"/>
    <w:pPr>
      <w:tabs>
        <w:tab w:val="left" w:pos="720"/>
        <w:tab w:val="right" w:leader="dot" w:pos="9494"/>
      </w:tabs>
      <w:spacing w:before="120" w:after="120" w:line="240" w:lineRule="atLeast"/>
      <w:ind w:left="720" w:hanging="720"/>
    </w:pPr>
    <w:rPr>
      <w:smallCaps/>
    </w:rPr>
  </w:style>
  <w:style w:type="paragraph" w:customStyle="1" w:styleId="ColorfulList-Accent11">
    <w:name w:val="Colorful List - Accent 11"/>
    <w:basedOn w:val="Normal"/>
    <w:uiPriority w:val="34"/>
    <w:qFormat/>
    <w:rsid w:val="0077128E"/>
    <w:pPr>
      <w:ind w:left="720"/>
    </w:pPr>
  </w:style>
  <w:style w:type="paragraph" w:styleId="NormalWeb">
    <w:name w:val="Normal (Web)"/>
    <w:basedOn w:val="Normal"/>
    <w:unhideWhenUsed/>
    <w:rsid w:val="00957F2C"/>
    <w:pPr>
      <w:spacing w:before="100" w:beforeAutospacing="1" w:after="100" w:afterAutospacing="1"/>
    </w:pPr>
    <w:rPr>
      <w:rFonts w:eastAsia="Calibri"/>
    </w:rPr>
  </w:style>
  <w:style w:type="paragraph" w:customStyle="1" w:styleId="regulartext">
    <w:name w:val="regulartext"/>
    <w:basedOn w:val="Normal"/>
    <w:uiPriority w:val="99"/>
    <w:rsid w:val="00774208"/>
    <w:pPr>
      <w:spacing w:before="100" w:beforeAutospacing="1" w:after="100" w:afterAutospacing="1"/>
    </w:pPr>
    <w:rPr>
      <w:rFonts w:ascii="Arial" w:eastAsia="Calibri" w:hAnsi="Arial" w:cs="Arial"/>
      <w:color w:val="000000"/>
    </w:rPr>
  </w:style>
  <w:style w:type="character" w:styleId="Strong">
    <w:name w:val="Strong"/>
    <w:uiPriority w:val="22"/>
    <w:qFormat/>
    <w:rsid w:val="00F813ED"/>
    <w:rPr>
      <w:b/>
      <w:bCs/>
    </w:rPr>
  </w:style>
  <w:style w:type="character" w:customStyle="1" w:styleId="regulartextbold1">
    <w:name w:val="regulartextbold1"/>
    <w:rsid w:val="002D39BC"/>
    <w:rPr>
      <w:rFonts w:ascii="Arial" w:hAnsi="Arial" w:cs="Arial" w:hint="default"/>
      <w:b/>
      <w:bCs/>
      <w:color w:val="000000"/>
      <w:sz w:val="24"/>
      <w:szCs w:val="24"/>
    </w:rPr>
  </w:style>
  <w:style w:type="character" w:customStyle="1" w:styleId="title1">
    <w:name w:val="title1"/>
    <w:rsid w:val="00665478"/>
    <w:rPr>
      <w:b/>
      <w:bCs/>
      <w:color w:val="993366"/>
      <w:sz w:val="38"/>
      <w:szCs w:val="38"/>
    </w:rPr>
  </w:style>
  <w:style w:type="character" w:customStyle="1" w:styleId="heading31">
    <w:name w:val="heading31"/>
    <w:rsid w:val="005657C6"/>
    <w:rPr>
      <w:rFonts w:ascii="Verdana" w:hAnsi="Verdana" w:hint="default"/>
      <w:b/>
      <w:bCs/>
      <w:sz w:val="32"/>
      <w:szCs w:val="32"/>
    </w:rPr>
  </w:style>
  <w:style w:type="paragraph" w:customStyle="1" w:styleId="ColorfulShading-Accent11">
    <w:name w:val="Colorful Shading - Accent 11"/>
    <w:hidden/>
    <w:uiPriority w:val="99"/>
    <w:semiHidden/>
    <w:rsid w:val="007D0226"/>
    <w:rPr>
      <w:sz w:val="24"/>
      <w:szCs w:val="24"/>
    </w:rPr>
  </w:style>
  <w:style w:type="paragraph" w:styleId="ListParagraph">
    <w:name w:val="List Paragraph"/>
    <w:basedOn w:val="Normal"/>
    <w:uiPriority w:val="34"/>
    <w:qFormat/>
    <w:rsid w:val="0078602C"/>
    <w:pPr>
      <w:ind w:left="720"/>
    </w:pPr>
  </w:style>
  <w:style w:type="paragraph" w:styleId="Header">
    <w:name w:val="header"/>
    <w:basedOn w:val="Normal"/>
    <w:link w:val="HeaderChar"/>
    <w:rsid w:val="00B430D9"/>
    <w:pPr>
      <w:tabs>
        <w:tab w:val="center" w:pos="4680"/>
        <w:tab w:val="right" w:pos="9360"/>
      </w:tabs>
    </w:pPr>
  </w:style>
  <w:style w:type="character" w:customStyle="1" w:styleId="HeaderChar">
    <w:name w:val="Header Char"/>
    <w:basedOn w:val="DefaultParagraphFont"/>
    <w:link w:val="Header"/>
    <w:rsid w:val="00B430D9"/>
    <w:rPr>
      <w:sz w:val="24"/>
      <w:szCs w:val="24"/>
    </w:rPr>
  </w:style>
  <w:style w:type="paragraph" w:customStyle="1" w:styleId="P1-StandPara">
    <w:name w:val="P1-Stand Para"/>
    <w:rsid w:val="00397080"/>
    <w:pPr>
      <w:spacing w:line="480" w:lineRule="auto"/>
      <w:ind w:firstLine="720"/>
    </w:pPr>
    <w:rPr>
      <w:sz w:val="22"/>
    </w:rPr>
  </w:style>
  <w:style w:type="paragraph" w:styleId="Revision">
    <w:name w:val="Revision"/>
    <w:hidden/>
    <w:uiPriority w:val="99"/>
    <w:semiHidden/>
    <w:rsid w:val="003C23D6"/>
    <w:rPr>
      <w:sz w:val="24"/>
      <w:szCs w:val="24"/>
    </w:rPr>
  </w:style>
  <w:style w:type="character" w:styleId="UnresolvedMention">
    <w:name w:val="Unresolved Mention"/>
    <w:basedOn w:val="DefaultParagraphFont"/>
    <w:uiPriority w:val="99"/>
    <w:semiHidden/>
    <w:unhideWhenUsed/>
    <w:rsid w:val="00225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66771">
      <w:bodyDiv w:val="1"/>
      <w:marLeft w:val="0"/>
      <w:marRight w:val="0"/>
      <w:marTop w:val="0"/>
      <w:marBottom w:val="0"/>
      <w:divBdr>
        <w:top w:val="none" w:sz="0" w:space="0" w:color="auto"/>
        <w:left w:val="none" w:sz="0" w:space="0" w:color="auto"/>
        <w:bottom w:val="none" w:sz="0" w:space="0" w:color="auto"/>
        <w:right w:val="none" w:sz="0" w:space="0" w:color="auto"/>
      </w:divBdr>
    </w:div>
    <w:div w:id="75055639">
      <w:bodyDiv w:val="1"/>
      <w:marLeft w:val="0"/>
      <w:marRight w:val="0"/>
      <w:marTop w:val="0"/>
      <w:marBottom w:val="0"/>
      <w:divBdr>
        <w:top w:val="none" w:sz="0" w:space="0" w:color="auto"/>
        <w:left w:val="none" w:sz="0" w:space="0" w:color="auto"/>
        <w:bottom w:val="none" w:sz="0" w:space="0" w:color="auto"/>
        <w:right w:val="none" w:sz="0" w:space="0" w:color="auto"/>
      </w:divBdr>
    </w:div>
    <w:div w:id="130293258">
      <w:bodyDiv w:val="1"/>
      <w:marLeft w:val="0"/>
      <w:marRight w:val="0"/>
      <w:marTop w:val="0"/>
      <w:marBottom w:val="0"/>
      <w:divBdr>
        <w:top w:val="none" w:sz="0" w:space="0" w:color="auto"/>
        <w:left w:val="none" w:sz="0" w:space="0" w:color="auto"/>
        <w:bottom w:val="none" w:sz="0" w:space="0" w:color="auto"/>
        <w:right w:val="none" w:sz="0" w:space="0" w:color="auto"/>
      </w:divBdr>
    </w:div>
    <w:div w:id="182328048">
      <w:bodyDiv w:val="1"/>
      <w:marLeft w:val="0"/>
      <w:marRight w:val="0"/>
      <w:marTop w:val="0"/>
      <w:marBottom w:val="0"/>
      <w:divBdr>
        <w:top w:val="none" w:sz="0" w:space="0" w:color="auto"/>
        <w:left w:val="none" w:sz="0" w:space="0" w:color="auto"/>
        <w:bottom w:val="none" w:sz="0" w:space="0" w:color="auto"/>
        <w:right w:val="none" w:sz="0" w:space="0" w:color="auto"/>
      </w:divBdr>
    </w:div>
    <w:div w:id="197789928">
      <w:bodyDiv w:val="1"/>
      <w:marLeft w:val="0"/>
      <w:marRight w:val="0"/>
      <w:marTop w:val="0"/>
      <w:marBottom w:val="0"/>
      <w:divBdr>
        <w:top w:val="none" w:sz="0" w:space="0" w:color="auto"/>
        <w:left w:val="none" w:sz="0" w:space="0" w:color="auto"/>
        <w:bottom w:val="none" w:sz="0" w:space="0" w:color="auto"/>
        <w:right w:val="none" w:sz="0" w:space="0" w:color="auto"/>
      </w:divBdr>
    </w:div>
    <w:div w:id="210120835">
      <w:bodyDiv w:val="1"/>
      <w:marLeft w:val="0"/>
      <w:marRight w:val="0"/>
      <w:marTop w:val="0"/>
      <w:marBottom w:val="0"/>
      <w:divBdr>
        <w:top w:val="none" w:sz="0" w:space="0" w:color="auto"/>
        <w:left w:val="none" w:sz="0" w:space="0" w:color="auto"/>
        <w:bottom w:val="none" w:sz="0" w:space="0" w:color="auto"/>
        <w:right w:val="none" w:sz="0" w:space="0" w:color="auto"/>
      </w:divBdr>
      <w:divsChild>
        <w:div w:id="266737683">
          <w:marLeft w:val="547"/>
          <w:marRight w:val="0"/>
          <w:marTop w:val="134"/>
          <w:marBottom w:val="0"/>
          <w:divBdr>
            <w:top w:val="none" w:sz="0" w:space="0" w:color="auto"/>
            <w:left w:val="none" w:sz="0" w:space="0" w:color="auto"/>
            <w:bottom w:val="none" w:sz="0" w:space="0" w:color="auto"/>
            <w:right w:val="none" w:sz="0" w:space="0" w:color="auto"/>
          </w:divBdr>
        </w:div>
        <w:div w:id="517741892">
          <w:marLeft w:val="547"/>
          <w:marRight w:val="0"/>
          <w:marTop w:val="134"/>
          <w:marBottom w:val="0"/>
          <w:divBdr>
            <w:top w:val="none" w:sz="0" w:space="0" w:color="auto"/>
            <w:left w:val="none" w:sz="0" w:space="0" w:color="auto"/>
            <w:bottom w:val="none" w:sz="0" w:space="0" w:color="auto"/>
            <w:right w:val="none" w:sz="0" w:space="0" w:color="auto"/>
          </w:divBdr>
        </w:div>
        <w:div w:id="1030187709">
          <w:marLeft w:val="547"/>
          <w:marRight w:val="0"/>
          <w:marTop w:val="134"/>
          <w:marBottom w:val="0"/>
          <w:divBdr>
            <w:top w:val="none" w:sz="0" w:space="0" w:color="auto"/>
            <w:left w:val="none" w:sz="0" w:space="0" w:color="auto"/>
            <w:bottom w:val="none" w:sz="0" w:space="0" w:color="auto"/>
            <w:right w:val="none" w:sz="0" w:space="0" w:color="auto"/>
          </w:divBdr>
        </w:div>
      </w:divsChild>
    </w:div>
    <w:div w:id="263000061">
      <w:bodyDiv w:val="1"/>
      <w:marLeft w:val="0"/>
      <w:marRight w:val="0"/>
      <w:marTop w:val="0"/>
      <w:marBottom w:val="0"/>
      <w:divBdr>
        <w:top w:val="none" w:sz="0" w:space="0" w:color="auto"/>
        <w:left w:val="none" w:sz="0" w:space="0" w:color="auto"/>
        <w:bottom w:val="none" w:sz="0" w:space="0" w:color="auto"/>
        <w:right w:val="none" w:sz="0" w:space="0" w:color="auto"/>
      </w:divBdr>
    </w:div>
    <w:div w:id="338429349">
      <w:bodyDiv w:val="1"/>
      <w:marLeft w:val="0"/>
      <w:marRight w:val="0"/>
      <w:marTop w:val="0"/>
      <w:marBottom w:val="0"/>
      <w:divBdr>
        <w:top w:val="none" w:sz="0" w:space="0" w:color="auto"/>
        <w:left w:val="none" w:sz="0" w:space="0" w:color="auto"/>
        <w:bottom w:val="none" w:sz="0" w:space="0" w:color="auto"/>
        <w:right w:val="none" w:sz="0" w:space="0" w:color="auto"/>
      </w:divBdr>
    </w:div>
    <w:div w:id="415637500">
      <w:bodyDiv w:val="1"/>
      <w:marLeft w:val="0"/>
      <w:marRight w:val="0"/>
      <w:marTop w:val="0"/>
      <w:marBottom w:val="0"/>
      <w:divBdr>
        <w:top w:val="none" w:sz="0" w:space="0" w:color="auto"/>
        <w:left w:val="none" w:sz="0" w:space="0" w:color="auto"/>
        <w:bottom w:val="none" w:sz="0" w:space="0" w:color="auto"/>
        <w:right w:val="none" w:sz="0" w:space="0" w:color="auto"/>
      </w:divBdr>
    </w:div>
    <w:div w:id="551039902">
      <w:bodyDiv w:val="1"/>
      <w:marLeft w:val="0"/>
      <w:marRight w:val="0"/>
      <w:marTop w:val="0"/>
      <w:marBottom w:val="0"/>
      <w:divBdr>
        <w:top w:val="none" w:sz="0" w:space="0" w:color="auto"/>
        <w:left w:val="none" w:sz="0" w:space="0" w:color="auto"/>
        <w:bottom w:val="none" w:sz="0" w:space="0" w:color="auto"/>
        <w:right w:val="none" w:sz="0" w:space="0" w:color="auto"/>
      </w:divBdr>
    </w:div>
    <w:div w:id="554782270">
      <w:bodyDiv w:val="1"/>
      <w:marLeft w:val="0"/>
      <w:marRight w:val="0"/>
      <w:marTop w:val="0"/>
      <w:marBottom w:val="0"/>
      <w:divBdr>
        <w:top w:val="none" w:sz="0" w:space="0" w:color="auto"/>
        <w:left w:val="none" w:sz="0" w:space="0" w:color="auto"/>
        <w:bottom w:val="none" w:sz="0" w:space="0" w:color="auto"/>
        <w:right w:val="none" w:sz="0" w:space="0" w:color="auto"/>
      </w:divBdr>
    </w:div>
    <w:div w:id="573659400">
      <w:bodyDiv w:val="1"/>
      <w:marLeft w:val="0"/>
      <w:marRight w:val="0"/>
      <w:marTop w:val="0"/>
      <w:marBottom w:val="0"/>
      <w:divBdr>
        <w:top w:val="none" w:sz="0" w:space="0" w:color="auto"/>
        <w:left w:val="none" w:sz="0" w:space="0" w:color="auto"/>
        <w:bottom w:val="none" w:sz="0" w:space="0" w:color="auto"/>
        <w:right w:val="none" w:sz="0" w:space="0" w:color="auto"/>
      </w:divBdr>
    </w:div>
    <w:div w:id="725882299">
      <w:bodyDiv w:val="1"/>
      <w:marLeft w:val="0"/>
      <w:marRight w:val="0"/>
      <w:marTop w:val="0"/>
      <w:marBottom w:val="0"/>
      <w:divBdr>
        <w:top w:val="none" w:sz="0" w:space="0" w:color="auto"/>
        <w:left w:val="none" w:sz="0" w:space="0" w:color="auto"/>
        <w:bottom w:val="none" w:sz="0" w:space="0" w:color="auto"/>
        <w:right w:val="none" w:sz="0" w:space="0" w:color="auto"/>
      </w:divBdr>
    </w:div>
    <w:div w:id="733358306">
      <w:bodyDiv w:val="1"/>
      <w:marLeft w:val="0"/>
      <w:marRight w:val="0"/>
      <w:marTop w:val="0"/>
      <w:marBottom w:val="0"/>
      <w:divBdr>
        <w:top w:val="none" w:sz="0" w:space="0" w:color="auto"/>
        <w:left w:val="none" w:sz="0" w:space="0" w:color="auto"/>
        <w:bottom w:val="none" w:sz="0" w:space="0" w:color="auto"/>
        <w:right w:val="none" w:sz="0" w:space="0" w:color="auto"/>
      </w:divBdr>
      <w:divsChild>
        <w:div w:id="692144928">
          <w:marLeft w:val="720"/>
          <w:marRight w:val="720"/>
          <w:marTop w:val="0"/>
          <w:marBottom w:val="720"/>
          <w:divBdr>
            <w:top w:val="none" w:sz="0" w:space="0" w:color="auto"/>
            <w:left w:val="none" w:sz="0" w:space="0" w:color="auto"/>
            <w:bottom w:val="none" w:sz="0" w:space="0" w:color="auto"/>
            <w:right w:val="none" w:sz="0" w:space="0" w:color="auto"/>
          </w:divBdr>
        </w:div>
      </w:divsChild>
    </w:div>
    <w:div w:id="873346979">
      <w:bodyDiv w:val="1"/>
      <w:marLeft w:val="0"/>
      <w:marRight w:val="0"/>
      <w:marTop w:val="0"/>
      <w:marBottom w:val="0"/>
      <w:divBdr>
        <w:top w:val="none" w:sz="0" w:space="0" w:color="auto"/>
        <w:left w:val="none" w:sz="0" w:space="0" w:color="auto"/>
        <w:bottom w:val="none" w:sz="0" w:space="0" w:color="auto"/>
        <w:right w:val="none" w:sz="0" w:space="0" w:color="auto"/>
      </w:divBdr>
    </w:div>
    <w:div w:id="890389418">
      <w:bodyDiv w:val="1"/>
      <w:marLeft w:val="0"/>
      <w:marRight w:val="0"/>
      <w:marTop w:val="0"/>
      <w:marBottom w:val="0"/>
      <w:divBdr>
        <w:top w:val="none" w:sz="0" w:space="0" w:color="auto"/>
        <w:left w:val="none" w:sz="0" w:space="0" w:color="auto"/>
        <w:bottom w:val="none" w:sz="0" w:space="0" w:color="auto"/>
        <w:right w:val="none" w:sz="0" w:space="0" w:color="auto"/>
      </w:divBdr>
    </w:div>
    <w:div w:id="1004168302">
      <w:bodyDiv w:val="1"/>
      <w:marLeft w:val="0"/>
      <w:marRight w:val="0"/>
      <w:marTop w:val="0"/>
      <w:marBottom w:val="0"/>
      <w:divBdr>
        <w:top w:val="none" w:sz="0" w:space="0" w:color="auto"/>
        <w:left w:val="none" w:sz="0" w:space="0" w:color="auto"/>
        <w:bottom w:val="none" w:sz="0" w:space="0" w:color="auto"/>
        <w:right w:val="none" w:sz="0" w:space="0" w:color="auto"/>
      </w:divBdr>
      <w:divsChild>
        <w:div w:id="1940674694">
          <w:marLeft w:val="720"/>
          <w:marRight w:val="720"/>
          <w:marTop w:val="0"/>
          <w:marBottom w:val="720"/>
          <w:divBdr>
            <w:top w:val="none" w:sz="0" w:space="0" w:color="auto"/>
            <w:left w:val="none" w:sz="0" w:space="0" w:color="auto"/>
            <w:bottom w:val="none" w:sz="0" w:space="0" w:color="auto"/>
            <w:right w:val="none" w:sz="0" w:space="0" w:color="auto"/>
          </w:divBdr>
        </w:div>
      </w:divsChild>
    </w:div>
    <w:div w:id="1013150886">
      <w:bodyDiv w:val="1"/>
      <w:marLeft w:val="0"/>
      <w:marRight w:val="0"/>
      <w:marTop w:val="0"/>
      <w:marBottom w:val="0"/>
      <w:divBdr>
        <w:top w:val="none" w:sz="0" w:space="0" w:color="auto"/>
        <w:left w:val="none" w:sz="0" w:space="0" w:color="auto"/>
        <w:bottom w:val="none" w:sz="0" w:space="0" w:color="auto"/>
        <w:right w:val="none" w:sz="0" w:space="0" w:color="auto"/>
      </w:divBdr>
      <w:divsChild>
        <w:div w:id="2049065436">
          <w:marLeft w:val="720"/>
          <w:marRight w:val="720"/>
          <w:marTop w:val="0"/>
          <w:marBottom w:val="720"/>
          <w:divBdr>
            <w:top w:val="none" w:sz="0" w:space="0" w:color="auto"/>
            <w:left w:val="none" w:sz="0" w:space="0" w:color="auto"/>
            <w:bottom w:val="none" w:sz="0" w:space="0" w:color="auto"/>
            <w:right w:val="none" w:sz="0" w:space="0" w:color="auto"/>
          </w:divBdr>
        </w:div>
      </w:divsChild>
    </w:div>
    <w:div w:id="1054698839">
      <w:bodyDiv w:val="1"/>
      <w:marLeft w:val="0"/>
      <w:marRight w:val="0"/>
      <w:marTop w:val="0"/>
      <w:marBottom w:val="0"/>
      <w:divBdr>
        <w:top w:val="none" w:sz="0" w:space="0" w:color="auto"/>
        <w:left w:val="none" w:sz="0" w:space="0" w:color="auto"/>
        <w:bottom w:val="none" w:sz="0" w:space="0" w:color="auto"/>
        <w:right w:val="none" w:sz="0" w:space="0" w:color="auto"/>
      </w:divBdr>
    </w:div>
    <w:div w:id="1066687117">
      <w:bodyDiv w:val="1"/>
      <w:marLeft w:val="0"/>
      <w:marRight w:val="0"/>
      <w:marTop w:val="0"/>
      <w:marBottom w:val="0"/>
      <w:divBdr>
        <w:top w:val="none" w:sz="0" w:space="0" w:color="auto"/>
        <w:left w:val="none" w:sz="0" w:space="0" w:color="auto"/>
        <w:bottom w:val="none" w:sz="0" w:space="0" w:color="auto"/>
        <w:right w:val="none" w:sz="0" w:space="0" w:color="auto"/>
      </w:divBdr>
    </w:div>
    <w:div w:id="1076249468">
      <w:bodyDiv w:val="1"/>
      <w:marLeft w:val="0"/>
      <w:marRight w:val="0"/>
      <w:marTop w:val="0"/>
      <w:marBottom w:val="0"/>
      <w:divBdr>
        <w:top w:val="none" w:sz="0" w:space="0" w:color="auto"/>
        <w:left w:val="none" w:sz="0" w:space="0" w:color="auto"/>
        <w:bottom w:val="none" w:sz="0" w:space="0" w:color="auto"/>
        <w:right w:val="none" w:sz="0" w:space="0" w:color="auto"/>
      </w:divBdr>
    </w:div>
    <w:div w:id="1100178662">
      <w:bodyDiv w:val="1"/>
      <w:marLeft w:val="0"/>
      <w:marRight w:val="0"/>
      <w:marTop w:val="0"/>
      <w:marBottom w:val="0"/>
      <w:divBdr>
        <w:top w:val="none" w:sz="0" w:space="0" w:color="auto"/>
        <w:left w:val="none" w:sz="0" w:space="0" w:color="auto"/>
        <w:bottom w:val="none" w:sz="0" w:space="0" w:color="auto"/>
        <w:right w:val="none" w:sz="0" w:space="0" w:color="auto"/>
      </w:divBdr>
    </w:div>
    <w:div w:id="1176770807">
      <w:bodyDiv w:val="1"/>
      <w:marLeft w:val="0"/>
      <w:marRight w:val="0"/>
      <w:marTop w:val="0"/>
      <w:marBottom w:val="0"/>
      <w:divBdr>
        <w:top w:val="none" w:sz="0" w:space="0" w:color="auto"/>
        <w:left w:val="none" w:sz="0" w:space="0" w:color="auto"/>
        <w:bottom w:val="none" w:sz="0" w:space="0" w:color="auto"/>
        <w:right w:val="none" w:sz="0" w:space="0" w:color="auto"/>
      </w:divBdr>
    </w:div>
    <w:div w:id="1191534922">
      <w:bodyDiv w:val="1"/>
      <w:marLeft w:val="0"/>
      <w:marRight w:val="0"/>
      <w:marTop w:val="0"/>
      <w:marBottom w:val="0"/>
      <w:divBdr>
        <w:top w:val="none" w:sz="0" w:space="0" w:color="auto"/>
        <w:left w:val="none" w:sz="0" w:space="0" w:color="auto"/>
        <w:bottom w:val="none" w:sz="0" w:space="0" w:color="auto"/>
        <w:right w:val="none" w:sz="0" w:space="0" w:color="auto"/>
      </w:divBdr>
      <w:divsChild>
        <w:div w:id="793526548">
          <w:marLeft w:val="720"/>
          <w:marRight w:val="720"/>
          <w:marTop w:val="0"/>
          <w:marBottom w:val="720"/>
          <w:divBdr>
            <w:top w:val="none" w:sz="0" w:space="0" w:color="auto"/>
            <w:left w:val="none" w:sz="0" w:space="0" w:color="auto"/>
            <w:bottom w:val="none" w:sz="0" w:space="0" w:color="auto"/>
            <w:right w:val="none" w:sz="0" w:space="0" w:color="auto"/>
          </w:divBdr>
        </w:div>
      </w:divsChild>
    </w:div>
    <w:div w:id="1211307949">
      <w:bodyDiv w:val="1"/>
      <w:marLeft w:val="0"/>
      <w:marRight w:val="0"/>
      <w:marTop w:val="0"/>
      <w:marBottom w:val="0"/>
      <w:divBdr>
        <w:top w:val="none" w:sz="0" w:space="0" w:color="auto"/>
        <w:left w:val="none" w:sz="0" w:space="0" w:color="auto"/>
        <w:bottom w:val="none" w:sz="0" w:space="0" w:color="auto"/>
        <w:right w:val="none" w:sz="0" w:space="0" w:color="auto"/>
      </w:divBdr>
    </w:div>
    <w:div w:id="1254432854">
      <w:bodyDiv w:val="1"/>
      <w:marLeft w:val="0"/>
      <w:marRight w:val="0"/>
      <w:marTop w:val="0"/>
      <w:marBottom w:val="0"/>
      <w:divBdr>
        <w:top w:val="none" w:sz="0" w:space="0" w:color="auto"/>
        <w:left w:val="none" w:sz="0" w:space="0" w:color="auto"/>
        <w:bottom w:val="none" w:sz="0" w:space="0" w:color="auto"/>
        <w:right w:val="none" w:sz="0" w:space="0" w:color="auto"/>
      </w:divBdr>
      <w:divsChild>
        <w:div w:id="1358044981">
          <w:marLeft w:val="720"/>
          <w:marRight w:val="720"/>
          <w:marTop w:val="0"/>
          <w:marBottom w:val="720"/>
          <w:divBdr>
            <w:top w:val="none" w:sz="0" w:space="0" w:color="auto"/>
            <w:left w:val="none" w:sz="0" w:space="0" w:color="auto"/>
            <w:bottom w:val="none" w:sz="0" w:space="0" w:color="auto"/>
            <w:right w:val="none" w:sz="0" w:space="0" w:color="auto"/>
          </w:divBdr>
        </w:div>
      </w:divsChild>
    </w:div>
    <w:div w:id="1336224670">
      <w:bodyDiv w:val="1"/>
      <w:marLeft w:val="0"/>
      <w:marRight w:val="0"/>
      <w:marTop w:val="0"/>
      <w:marBottom w:val="0"/>
      <w:divBdr>
        <w:top w:val="none" w:sz="0" w:space="0" w:color="auto"/>
        <w:left w:val="none" w:sz="0" w:space="0" w:color="auto"/>
        <w:bottom w:val="none" w:sz="0" w:space="0" w:color="auto"/>
        <w:right w:val="none" w:sz="0" w:space="0" w:color="auto"/>
      </w:divBdr>
    </w:div>
    <w:div w:id="1348023111">
      <w:bodyDiv w:val="1"/>
      <w:marLeft w:val="0"/>
      <w:marRight w:val="0"/>
      <w:marTop w:val="0"/>
      <w:marBottom w:val="0"/>
      <w:divBdr>
        <w:top w:val="none" w:sz="0" w:space="0" w:color="auto"/>
        <w:left w:val="none" w:sz="0" w:space="0" w:color="auto"/>
        <w:bottom w:val="none" w:sz="0" w:space="0" w:color="auto"/>
        <w:right w:val="none" w:sz="0" w:space="0" w:color="auto"/>
      </w:divBdr>
    </w:div>
    <w:div w:id="1362129572">
      <w:bodyDiv w:val="1"/>
      <w:marLeft w:val="0"/>
      <w:marRight w:val="0"/>
      <w:marTop w:val="0"/>
      <w:marBottom w:val="0"/>
      <w:divBdr>
        <w:top w:val="none" w:sz="0" w:space="0" w:color="auto"/>
        <w:left w:val="none" w:sz="0" w:space="0" w:color="auto"/>
        <w:bottom w:val="none" w:sz="0" w:space="0" w:color="auto"/>
        <w:right w:val="none" w:sz="0" w:space="0" w:color="auto"/>
      </w:divBdr>
    </w:div>
    <w:div w:id="1385175789">
      <w:bodyDiv w:val="1"/>
      <w:marLeft w:val="0"/>
      <w:marRight w:val="0"/>
      <w:marTop w:val="0"/>
      <w:marBottom w:val="0"/>
      <w:divBdr>
        <w:top w:val="none" w:sz="0" w:space="0" w:color="auto"/>
        <w:left w:val="none" w:sz="0" w:space="0" w:color="auto"/>
        <w:bottom w:val="none" w:sz="0" w:space="0" w:color="auto"/>
        <w:right w:val="none" w:sz="0" w:space="0" w:color="auto"/>
      </w:divBdr>
    </w:div>
    <w:div w:id="1387224440">
      <w:bodyDiv w:val="1"/>
      <w:marLeft w:val="750"/>
      <w:marRight w:val="750"/>
      <w:marTop w:val="0"/>
      <w:marBottom w:val="0"/>
      <w:divBdr>
        <w:top w:val="none" w:sz="0" w:space="0" w:color="auto"/>
        <w:left w:val="none" w:sz="0" w:space="0" w:color="auto"/>
        <w:bottom w:val="none" w:sz="0" w:space="0" w:color="auto"/>
        <w:right w:val="none" w:sz="0" w:space="0" w:color="auto"/>
      </w:divBdr>
    </w:div>
    <w:div w:id="1490752666">
      <w:bodyDiv w:val="1"/>
      <w:marLeft w:val="0"/>
      <w:marRight w:val="0"/>
      <w:marTop w:val="0"/>
      <w:marBottom w:val="0"/>
      <w:divBdr>
        <w:top w:val="none" w:sz="0" w:space="0" w:color="auto"/>
        <w:left w:val="none" w:sz="0" w:space="0" w:color="auto"/>
        <w:bottom w:val="none" w:sz="0" w:space="0" w:color="auto"/>
        <w:right w:val="none" w:sz="0" w:space="0" w:color="auto"/>
      </w:divBdr>
    </w:div>
    <w:div w:id="1496384787">
      <w:bodyDiv w:val="1"/>
      <w:marLeft w:val="0"/>
      <w:marRight w:val="0"/>
      <w:marTop w:val="0"/>
      <w:marBottom w:val="0"/>
      <w:divBdr>
        <w:top w:val="none" w:sz="0" w:space="0" w:color="auto"/>
        <w:left w:val="none" w:sz="0" w:space="0" w:color="auto"/>
        <w:bottom w:val="none" w:sz="0" w:space="0" w:color="auto"/>
        <w:right w:val="none" w:sz="0" w:space="0" w:color="auto"/>
      </w:divBdr>
    </w:div>
    <w:div w:id="1507943575">
      <w:bodyDiv w:val="1"/>
      <w:marLeft w:val="0"/>
      <w:marRight w:val="0"/>
      <w:marTop w:val="0"/>
      <w:marBottom w:val="0"/>
      <w:divBdr>
        <w:top w:val="none" w:sz="0" w:space="0" w:color="auto"/>
        <w:left w:val="none" w:sz="0" w:space="0" w:color="auto"/>
        <w:bottom w:val="none" w:sz="0" w:space="0" w:color="auto"/>
        <w:right w:val="none" w:sz="0" w:space="0" w:color="auto"/>
      </w:divBdr>
    </w:div>
    <w:div w:id="1511481310">
      <w:bodyDiv w:val="1"/>
      <w:marLeft w:val="0"/>
      <w:marRight w:val="0"/>
      <w:marTop w:val="0"/>
      <w:marBottom w:val="0"/>
      <w:divBdr>
        <w:top w:val="none" w:sz="0" w:space="0" w:color="auto"/>
        <w:left w:val="none" w:sz="0" w:space="0" w:color="auto"/>
        <w:bottom w:val="none" w:sz="0" w:space="0" w:color="auto"/>
        <w:right w:val="none" w:sz="0" w:space="0" w:color="auto"/>
      </w:divBdr>
    </w:div>
    <w:div w:id="1522816210">
      <w:bodyDiv w:val="1"/>
      <w:marLeft w:val="0"/>
      <w:marRight w:val="0"/>
      <w:marTop w:val="0"/>
      <w:marBottom w:val="0"/>
      <w:divBdr>
        <w:top w:val="none" w:sz="0" w:space="0" w:color="auto"/>
        <w:left w:val="none" w:sz="0" w:space="0" w:color="auto"/>
        <w:bottom w:val="none" w:sz="0" w:space="0" w:color="auto"/>
        <w:right w:val="none" w:sz="0" w:space="0" w:color="auto"/>
      </w:divBdr>
      <w:divsChild>
        <w:div w:id="637150700">
          <w:marLeft w:val="720"/>
          <w:marRight w:val="720"/>
          <w:marTop w:val="0"/>
          <w:marBottom w:val="720"/>
          <w:divBdr>
            <w:top w:val="none" w:sz="0" w:space="0" w:color="auto"/>
            <w:left w:val="none" w:sz="0" w:space="0" w:color="auto"/>
            <w:bottom w:val="none" w:sz="0" w:space="0" w:color="auto"/>
            <w:right w:val="none" w:sz="0" w:space="0" w:color="auto"/>
          </w:divBdr>
        </w:div>
      </w:divsChild>
    </w:div>
    <w:div w:id="1540434487">
      <w:bodyDiv w:val="1"/>
      <w:marLeft w:val="0"/>
      <w:marRight w:val="0"/>
      <w:marTop w:val="0"/>
      <w:marBottom w:val="0"/>
      <w:divBdr>
        <w:top w:val="none" w:sz="0" w:space="0" w:color="auto"/>
        <w:left w:val="none" w:sz="0" w:space="0" w:color="auto"/>
        <w:bottom w:val="none" w:sz="0" w:space="0" w:color="auto"/>
        <w:right w:val="none" w:sz="0" w:space="0" w:color="auto"/>
      </w:divBdr>
    </w:div>
    <w:div w:id="1582449639">
      <w:bodyDiv w:val="1"/>
      <w:marLeft w:val="0"/>
      <w:marRight w:val="0"/>
      <w:marTop w:val="0"/>
      <w:marBottom w:val="0"/>
      <w:divBdr>
        <w:top w:val="none" w:sz="0" w:space="0" w:color="auto"/>
        <w:left w:val="none" w:sz="0" w:space="0" w:color="auto"/>
        <w:bottom w:val="none" w:sz="0" w:space="0" w:color="auto"/>
        <w:right w:val="none" w:sz="0" w:space="0" w:color="auto"/>
      </w:divBdr>
    </w:div>
    <w:div w:id="1700007104">
      <w:bodyDiv w:val="1"/>
      <w:marLeft w:val="0"/>
      <w:marRight w:val="0"/>
      <w:marTop w:val="0"/>
      <w:marBottom w:val="0"/>
      <w:divBdr>
        <w:top w:val="none" w:sz="0" w:space="0" w:color="auto"/>
        <w:left w:val="none" w:sz="0" w:space="0" w:color="auto"/>
        <w:bottom w:val="none" w:sz="0" w:space="0" w:color="auto"/>
        <w:right w:val="none" w:sz="0" w:space="0" w:color="auto"/>
      </w:divBdr>
    </w:div>
    <w:div w:id="1708485043">
      <w:bodyDiv w:val="1"/>
      <w:marLeft w:val="0"/>
      <w:marRight w:val="0"/>
      <w:marTop w:val="0"/>
      <w:marBottom w:val="0"/>
      <w:divBdr>
        <w:top w:val="none" w:sz="0" w:space="0" w:color="auto"/>
        <w:left w:val="none" w:sz="0" w:space="0" w:color="auto"/>
        <w:bottom w:val="none" w:sz="0" w:space="0" w:color="auto"/>
        <w:right w:val="none" w:sz="0" w:space="0" w:color="auto"/>
      </w:divBdr>
    </w:div>
    <w:div w:id="1741058770">
      <w:bodyDiv w:val="1"/>
      <w:marLeft w:val="0"/>
      <w:marRight w:val="0"/>
      <w:marTop w:val="0"/>
      <w:marBottom w:val="0"/>
      <w:divBdr>
        <w:top w:val="none" w:sz="0" w:space="0" w:color="auto"/>
        <w:left w:val="none" w:sz="0" w:space="0" w:color="auto"/>
        <w:bottom w:val="none" w:sz="0" w:space="0" w:color="auto"/>
        <w:right w:val="none" w:sz="0" w:space="0" w:color="auto"/>
      </w:divBdr>
    </w:div>
    <w:div w:id="1743599782">
      <w:bodyDiv w:val="1"/>
      <w:marLeft w:val="0"/>
      <w:marRight w:val="0"/>
      <w:marTop w:val="0"/>
      <w:marBottom w:val="0"/>
      <w:divBdr>
        <w:top w:val="none" w:sz="0" w:space="0" w:color="auto"/>
        <w:left w:val="none" w:sz="0" w:space="0" w:color="auto"/>
        <w:bottom w:val="none" w:sz="0" w:space="0" w:color="auto"/>
        <w:right w:val="none" w:sz="0" w:space="0" w:color="auto"/>
      </w:divBdr>
    </w:div>
    <w:div w:id="1758093446">
      <w:bodyDiv w:val="1"/>
      <w:marLeft w:val="0"/>
      <w:marRight w:val="0"/>
      <w:marTop w:val="0"/>
      <w:marBottom w:val="0"/>
      <w:divBdr>
        <w:top w:val="none" w:sz="0" w:space="0" w:color="auto"/>
        <w:left w:val="none" w:sz="0" w:space="0" w:color="auto"/>
        <w:bottom w:val="none" w:sz="0" w:space="0" w:color="auto"/>
        <w:right w:val="none" w:sz="0" w:space="0" w:color="auto"/>
      </w:divBdr>
    </w:div>
    <w:div w:id="1822304085">
      <w:bodyDiv w:val="1"/>
      <w:marLeft w:val="0"/>
      <w:marRight w:val="0"/>
      <w:marTop w:val="0"/>
      <w:marBottom w:val="0"/>
      <w:divBdr>
        <w:top w:val="none" w:sz="0" w:space="0" w:color="auto"/>
        <w:left w:val="none" w:sz="0" w:space="0" w:color="auto"/>
        <w:bottom w:val="none" w:sz="0" w:space="0" w:color="auto"/>
        <w:right w:val="none" w:sz="0" w:space="0" w:color="auto"/>
      </w:divBdr>
    </w:div>
    <w:div w:id="1883328003">
      <w:bodyDiv w:val="1"/>
      <w:marLeft w:val="0"/>
      <w:marRight w:val="0"/>
      <w:marTop w:val="0"/>
      <w:marBottom w:val="0"/>
      <w:divBdr>
        <w:top w:val="none" w:sz="0" w:space="0" w:color="auto"/>
        <w:left w:val="none" w:sz="0" w:space="0" w:color="auto"/>
        <w:bottom w:val="none" w:sz="0" w:space="0" w:color="auto"/>
        <w:right w:val="none" w:sz="0" w:space="0" w:color="auto"/>
      </w:divBdr>
    </w:div>
    <w:div w:id="1907714984">
      <w:bodyDiv w:val="1"/>
      <w:marLeft w:val="0"/>
      <w:marRight w:val="0"/>
      <w:marTop w:val="0"/>
      <w:marBottom w:val="0"/>
      <w:divBdr>
        <w:top w:val="none" w:sz="0" w:space="0" w:color="auto"/>
        <w:left w:val="none" w:sz="0" w:space="0" w:color="auto"/>
        <w:bottom w:val="none" w:sz="0" w:space="0" w:color="auto"/>
        <w:right w:val="none" w:sz="0" w:space="0" w:color="auto"/>
      </w:divBdr>
      <w:divsChild>
        <w:div w:id="807211599">
          <w:marLeft w:val="720"/>
          <w:marRight w:val="720"/>
          <w:marTop w:val="0"/>
          <w:marBottom w:val="720"/>
          <w:divBdr>
            <w:top w:val="none" w:sz="0" w:space="0" w:color="auto"/>
            <w:left w:val="none" w:sz="0" w:space="0" w:color="auto"/>
            <w:bottom w:val="none" w:sz="0" w:space="0" w:color="auto"/>
            <w:right w:val="none" w:sz="0" w:space="0" w:color="auto"/>
          </w:divBdr>
        </w:div>
      </w:divsChild>
    </w:div>
    <w:div w:id="1919748448">
      <w:bodyDiv w:val="1"/>
      <w:marLeft w:val="0"/>
      <w:marRight w:val="0"/>
      <w:marTop w:val="0"/>
      <w:marBottom w:val="0"/>
      <w:divBdr>
        <w:top w:val="none" w:sz="0" w:space="0" w:color="auto"/>
        <w:left w:val="none" w:sz="0" w:space="0" w:color="auto"/>
        <w:bottom w:val="none" w:sz="0" w:space="0" w:color="auto"/>
        <w:right w:val="none" w:sz="0" w:space="0" w:color="auto"/>
      </w:divBdr>
    </w:div>
    <w:div w:id="1992363820">
      <w:bodyDiv w:val="1"/>
      <w:marLeft w:val="0"/>
      <w:marRight w:val="0"/>
      <w:marTop w:val="0"/>
      <w:marBottom w:val="0"/>
      <w:divBdr>
        <w:top w:val="none" w:sz="0" w:space="0" w:color="auto"/>
        <w:left w:val="none" w:sz="0" w:space="0" w:color="auto"/>
        <w:bottom w:val="none" w:sz="0" w:space="0" w:color="auto"/>
        <w:right w:val="none" w:sz="0" w:space="0" w:color="auto"/>
      </w:divBdr>
    </w:div>
    <w:div w:id="2028483977">
      <w:bodyDiv w:val="1"/>
      <w:marLeft w:val="0"/>
      <w:marRight w:val="0"/>
      <w:marTop w:val="0"/>
      <w:marBottom w:val="0"/>
      <w:divBdr>
        <w:top w:val="none" w:sz="0" w:space="0" w:color="auto"/>
        <w:left w:val="none" w:sz="0" w:space="0" w:color="auto"/>
        <w:bottom w:val="none" w:sz="0" w:space="0" w:color="auto"/>
        <w:right w:val="none" w:sz="0" w:space="0" w:color="auto"/>
      </w:divBdr>
    </w:div>
    <w:div w:id="208348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ma.od.nih.gov/ms/privacy/pa-files/0036.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oma.od.nih.gov/ms/privacy/pa-files/003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CEF84-317D-4D55-BEE4-8098B0D31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1969</Words>
  <Characters>11228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NIH\OD</Company>
  <LinksUpToDate>false</LinksUpToDate>
  <CharactersWithSpaces>13171</CharactersWithSpaces>
  <SharedDoc>false</SharedDoc>
  <HLinks>
    <vt:vector size="12" baseType="variant">
      <vt:variant>
        <vt:i4>7078002</vt:i4>
      </vt:variant>
      <vt:variant>
        <vt:i4>6</vt:i4>
      </vt:variant>
      <vt:variant>
        <vt:i4>0</vt:i4>
      </vt:variant>
      <vt:variant>
        <vt:i4>5</vt:i4>
      </vt:variant>
      <vt:variant>
        <vt:lpwstr>http://oma.od.nih.gov/ms/privacy/pa-files/0036.htm</vt:lpwstr>
      </vt:variant>
      <vt:variant>
        <vt:lpwstr/>
      </vt:variant>
      <vt:variant>
        <vt:i4>7078002</vt:i4>
      </vt:variant>
      <vt:variant>
        <vt:i4>3</vt:i4>
      </vt:variant>
      <vt:variant>
        <vt:i4>0</vt:i4>
      </vt:variant>
      <vt:variant>
        <vt:i4>5</vt:i4>
      </vt:variant>
      <vt:variant>
        <vt:lpwstr>http://oma.od.nih.gov/ms/privacy/pa-files/0036.htm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Charles MacKay</dc:creator>
  <cp:lastModifiedBy>Abdelmouti, Tawanda (NIH/OD) [E]</cp:lastModifiedBy>
  <cp:revision>32</cp:revision>
  <cp:lastPrinted>2019-12-27T14:15:00Z</cp:lastPrinted>
  <dcterms:created xsi:type="dcterms:W3CDTF">2021-07-14T23:10:00Z</dcterms:created>
  <dcterms:modified xsi:type="dcterms:W3CDTF">2021-07-21T17:36:00Z</dcterms:modified>
</cp:coreProperties>
</file>