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4B5F" w:rsidR="004059EC" w:rsidP="00ED2BE0" w:rsidRDefault="00870D59">
      <w:pPr>
        <w:pStyle w:val="Title"/>
        <w:spacing w:before="0"/>
        <w:rPr>
          <w:rFonts w:ascii="Times New Roman" w:hAnsi="Times New Roman"/>
          <w:sz w:val="24"/>
          <w:szCs w:val="24"/>
          <w:u w:val="single"/>
        </w:rPr>
      </w:pPr>
      <w:r w:rsidRPr="006A4B5F">
        <w:rPr>
          <w:rFonts w:ascii="Times New Roman" w:hAnsi="Times New Roman"/>
          <w:sz w:val="24"/>
          <w:szCs w:val="24"/>
          <w:u w:val="single"/>
        </w:rPr>
        <w:t>Supporting Statement – Part A</w:t>
      </w:r>
    </w:p>
    <w:p w:rsidRPr="00DE484E" w:rsidR="00887A20" w:rsidP="00ED2BE0" w:rsidRDefault="00AA252C">
      <w:pPr>
        <w:pStyle w:val="Subtitle"/>
        <w:spacing w:after="0"/>
        <w:rPr>
          <w:rFonts w:ascii="Times New Roman" w:hAnsi="Times New Roman"/>
          <w:b/>
        </w:rPr>
      </w:pPr>
      <w:r w:rsidRPr="00DE484E">
        <w:rPr>
          <w:rFonts w:ascii="Times New Roman" w:hAnsi="Times New Roman"/>
          <w:b/>
        </w:rPr>
        <w:t>Disclosure of State Rating Requirements</w:t>
      </w:r>
    </w:p>
    <w:p w:rsidRPr="00DE484E" w:rsidR="00870D59" w:rsidP="00ED2BE0" w:rsidRDefault="00AA252C">
      <w:pPr>
        <w:pStyle w:val="Subtitle"/>
        <w:spacing w:after="240"/>
        <w:rPr>
          <w:rFonts w:ascii="Times New Roman" w:hAnsi="Times New Roman"/>
          <w:b/>
        </w:rPr>
      </w:pPr>
      <w:r w:rsidRPr="00DE484E">
        <w:rPr>
          <w:rFonts w:ascii="Times New Roman" w:hAnsi="Times New Roman"/>
          <w:b/>
        </w:rPr>
        <w:t>(</w:t>
      </w:r>
      <w:r w:rsidRPr="00DE484E" w:rsidR="006C284E">
        <w:rPr>
          <w:rFonts w:ascii="Times New Roman" w:hAnsi="Times New Roman"/>
          <w:b/>
        </w:rPr>
        <w:t>CMS-10454</w:t>
      </w:r>
      <w:r w:rsidR="00F84217">
        <w:rPr>
          <w:rFonts w:ascii="Times New Roman" w:hAnsi="Times New Roman"/>
          <w:b/>
          <w:lang w:val="en-US"/>
        </w:rPr>
        <w:t>/</w:t>
      </w:r>
      <w:r w:rsidRPr="001E11A4" w:rsidR="00F84217">
        <w:rPr>
          <w:rFonts w:ascii="Times New Roman" w:hAnsi="Times New Roman"/>
          <w:b/>
          <w:lang w:val="en-US"/>
        </w:rPr>
        <w:t>OMB Control Number:</w:t>
      </w:r>
      <w:r w:rsidRPr="001E11A4" w:rsidR="005D7A71">
        <w:rPr>
          <w:rFonts w:ascii="Shruti" w:hAnsi="Shruti" w:cs="Shruti"/>
          <w:b/>
          <w:sz w:val="16"/>
          <w:szCs w:val="14"/>
          <w:lang w:val="en-US" w:eastAsia="en-US"/>
        </w:rPr>
        <w:t xml:space="preserve"> </w:t>
      </w:r>
      <w:r w:rsidRPr="001E11A4" w:rsidR="005D7A71">
        <w:rPr>
          <w:rFonts w:ascii="Times New Roman" w:hAnsi="Times New Roman"/>
          <w:b/>
          <w:lang w:val="en-US"/>
        </w:rPr>
        <w:t>0938-1258</w:t>
      </w:r>
      <w:r w:rsidRPr="001E11A4" w:rsidR="00F84217">
        <w:rPr>
          <w:rFonts w:ascii="Times New Roman" w:hAnsi="Times New Roman"/>
          <w:b/>
          <w:lang w:val="en-US"/>
        </w:rPr>
        <w:t xml:space="preserve"> </w:t>
      </w:r>
      <w:r w:rsidRPr="001E11A4">
        <w:rPr>
          <w:rFonts w:ascii="Times New Roman" w:hAnsi="Times New Roman"/>
          <w:b/>
        </w:rPr>
        <w:t>)</w:t>
      </w:r>
    </w:p>
    <w:p w:rsidRPr="006A4B5F" w:rsidR="008F1EB4" w:rsidP="00ED2BE0" w:rsidRDefault="008F1EB4">
      <w:pPr>
        <w:pStyle w:val="Heading1"/>
      </w:pPr>
      <w:r w:rsidRPr="006A4B5F">
        <w:t>Background</w:t>
      </w:r>
    </w:p>
    <w:p w:rsidR="00157316" w:rsidP="00ED2BE0" w:rsidRDefault="001A29C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sidRPr="001A29C7">
        <w:rPr>
          <w:sz w:val="24"/>
        </w:rPr>
        <w:t xml:space="preserve">The Patient Protection and Affordable Care Act, Pub. L. 111-148, was enacted on March 23, 2010; and the Health Care and Education Reconciliation Act of 2010, Pub. L. 111-152, was enacted on March 30, 2010 (collectively known as the “Affordable Care Act”).  The Affordable Care Act reorganizes, amends, and adds to the provisions of title XXVII of the </w:t>
      </w:r>
      <w:r w:rsidR="00A820B5">
        <w:rPr>
          <w:sz w:val="24"/>
        </w:rPr>
        <w:t>Public Health Service Act (</w:t>
      </w:r>
      <w:r w:rsidRPr="001A29C7">
        <w:rPr>
          <w:sz w:val="24"/>
        </w:rPr>
        <w:t>PHS Act</w:t>
      </w:r>
      <w:r w:rsidR="00A820B5">
        <w:rPr>
          <w:sz w:val="24"/>
        </w:rPr>
        <w:t>)</w:t>
      </w:r>
      <w:r w:rsidRPr="001A29C7">
        <w:rPr>
          <w:sz w:val="24"/>
        </w:rPr>
        <w:t xml:space="preserve"> relating to group health plans and health insurance issuers in the group and individual markets.</w:t>
      </w:r>
    </w:p>
    <w:p w:rsidR="007B15D5" w:rsidP="00ED2BE0" w:rsidRDefault="006E33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Pr>
          <w:sz w:val="24"/>
        </w:rPr>
        <w:t>The</w:t>
      </w:r>
      <w:r w:rsidRPr="00100ED1" w:rsidR="00157316">
        <w:rPr>
          <w:sz w:val="24"/>
        </w:rPr>
        <w:t xml:space="preserve"> </w:t>
      </w:r>
      <w:r w:rsidR="005F10EB">
        <w:rPr>
          <w:sz w:val="24"/>
        </w:rPr>
        <w:t>final</w:t>
      </w:r>
      <w:r w:rsidRPr="00100ED1" w:rsidR="00157316">
        <w:rPr>
          <w:sz w:val="24"/>
        </w:rPr>
        <w:t xml:space="preserve"> rule</w:t>
      </w:r>
      <w:r w:rsidR="00100ED1">
        <w:rPr>
          <w:sz w:val="24"/>
        </w:rPr>
        <w:t xml:space="preserve"> </w:t>
      </w:r>
      <w:r w:rsidRPr="00100ED1" w:rsidR="006D2D93">
        <w:rPr>
          <w:sz w:val="24"/>
        </w:rPr>
        <w:t>“</w:t>
      </w:r>
      <w:r w:rsidRPr="00100ED1" w:rsidR="002D01AE">
        <w:rPr>
          <w:sz w:val="24"/>
        </w:rPr>
        <w:t>Patient Protection and Affordable Care Act; Health Insurance Market Rules</w:t>
      </w:r>
      <w:r w:rsidRPr="00100ED1" w:rsidR="00D65FE9">
        <w:rPr>
          <w:sz w:val="24"/>
        </w:rPr>
        <w:t>; Rate Review</w:t>
      </w:r>
      <w:r w:rsidR="006D2D93">
        <w:rPr>
          <w:sz w:val="24"/>
        </w:rPr>
        <w:t>”</w:t>
      </w:r>
      <w:r w:rsidRPr="001E11A4" w:rsidR="00EA5F0E">
        <w:rPr>
          <w:rStyle w:val="FootnoteReference"/>
          <w:sz w:val="24"/>
          <w:vertAlign w:val="superscript"/>
        </w:rPr>
        <w:footnoteReference w:id="1"/>
      </w:r>
      <w:r w:rsidR="00100ED1">
        <w:rPr>
          <w:sz w:val="24"/>
        </w:rPr>
        <w:t xml:space="preserve"> </w:t>
      </w:r>
      <w:r w:rsidRPr="00157316" w:rsidR="00157316">
        <w:rPr>
          <w:sz w:val="24"/>
        </w:rPr>
        <w:t>implement</w:t>
      </w:r>
      <w:r w:rsidR="00CE3378">
        <w:rPr>
          <w:sz w:val="24"/>
        </w:rPr>
        <w:t>s</w:t>
      </w:r>
      <w:r w:rsidR="00157316">
        <w:rPr>
          <w:sz w:val="24"/>
        </w:rPr>
        <w:t xml:space="preserve"> </w:t>
      </w:r>
      <w:r w:rsidRPr="00157316" w:rsidR="00157316">
        <w:rPr>
          <w:sz w:val="24"/>
        </w:rPr>
        <w:t>important consumer protections included in sections 2701, 2702, and 2703 of the PHS Act</w:t>
      </w:r>
      <w:r w:rsidR="00A820B5">
        <w:rPr>
          <w:sz w:val="24"/>
        </w:rPr>
        <w:t>, as added and amended by the Affordable Care Act,</w:t>
      </w:r>
      <w:r w:rsidRPr="00157316" w:rsidR="00157316">
        <w:rPr>
          <w:sz w:val="24"/>
        </w:rPr>
        <w:t xml:space="preserve"> and section</w:t>
      </w:r>
      <w:r w:rsidR="00CE3378">
        <w:rPr>
          <w:sz w:val="24"/>
        </w:rPr>
        <w:t>s 1302(e) and</w:t>
      </w:r>
      <w:r w:rsidRPr="00157316" w:rsidR="00157316">
        <w:rPr>
          <w:sz w:val="24"/>
        </w:rPr>
        <w:t xml:space="preserve"> 1312(c) of the Affordable Care Act.</w:t>
      </w:r>
    </w:p>
    <w:p w:rsidR="00502205" w:rsidP="00ED2BE0" w:rsidRDefault="00676DD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sidRPr="00676DDF">
        <w:rPr>
          <w:sz w:val="24"/>
        </w:rPr>
        <w:t xml:space="preserve">PHS Act section </w:t>
      </w:r>
      <w:r w:rsidRPr="00EA5F0E">
        <w:rPr>
          <w:sz w:val="24"/>
        </w:rPr>
        <w:t>2701</w:t>
      </w:r>
      <w:r w:rsidRPr="00676DDF">
        <w:rPr>
          <w:sz w:val="24"/>
        </w:rPr>
        <w:t xml:space="preserve"> provides that health insurance issuers may vary premium rates for </w:t>
      </w:r>
      <w:r w:rsidR="00264EE8">
        <w:rPr>
          <w:sz w:val="24"/>
        </w:rPr>
        <w:t xml:space="preserve">non-grandfathered </w:t>
      </w:r>
      <w:r w:rsidRPr="00676DDF">
        <w:rPr>
          <w:sz w:val="24"/>
        </w:rPr>
        <w:t>health insurance coverage in the individual and small group markets</w:t>
      </w:r>
      <w:r>
        <w:rPr>
          <w:sz w:val="24"/>
        </w:rPr>
        <w:t xml:space="preserve"> </w:t>
      </w:r>
      <w:r w:rsidRPr="00676DDF">
        <w:rPr>
          <w:sz w:val="24"/>
        </w:rPr>
        <w:t>based on a limited set of factors.  The factors are, with respect to a particular plan or coverage: (1) whether the plan or coverage applies to an individual or family; (2) rating area; (3) age, limited to a variation of 3:1 for adults; and (4) tobacco use, limited to a variation of 1.5:1.</w:t>
      </w:r>
      <w:r>
        <w:rPr>
          <w:sz w:val="24"/>
        </w:rPr>
        <w:t xml:space="preserve"> </w:t>
      </w:r>
      <w:r w:rsidRPr="00676DDF">
        <w:rPr>
          <w:sz w:val="24"/>
        </w:rPr>
        <w:t xml:space="preserve"> </w:t>
      </w:r>
      <w:r w:rsidRPr="00B47AC5">
        <w:rPr>
          <w:sz w:val="24"/>
        </w:rPr>
        <w:t xml:space="preserve">The </w:t>
      </w:r>
      <w:r w:rsidRPr="00B47AC5" w:rsidR="005F10EB">
        <w:rPr>
          <w:sz w:val="24"/>
        </w:rPr>
        <w:t>final</w:t>
      </w:r>
      <w:r w:rsidRPr="00B47AC5">
        <w:rPr>
          <w:sz w:val="24"/>
        </w:rPr>
        <w:t xml:space="preserve"> rule </w:t>
      </w:r>
      <w:r w:rsidRPr="00B25B4A">
        <w:rPr>
          <w:sz w:val="24"/>
        </w:rPr>
        <w:t>standardiz</w:t>
      </w:r>
      <w:r w:rsidRPr="00B25B4A" w:rsidR="00A820B5">
        <w:rPr>
          <w:sz w:val="24"/>
        </w:rPr>
        <w:t>e</w:t>
      </w:r>
      <w:r w:rsidRPr="00B25B4A" w:rsidR="005F10EB">
        <w:rPr>
          <w:sz w:val="24"/>
        </w:rPr>
        <w:t>s</w:t>
      </w:r>
      <w:r w:rsidRPr="00B25B4A">
        <w:rPr>
          <w:sz w:val="24"/>
        </w:rPr>
        <w:t xml:space="preserve"> rating methodologies, particularly with respect to age rating and certain aspects of family rating</w:t>
      </w:r>
      <w:r w:rsidRPr="00EA5F0E" w:rsidR="00AE02F2">
        <w:rPr>
          <w:sz w:val="24"/>
        </w:rPr>
        <w:t xml:space="preserve"> and </w:t>
      </w:r>
      <w:r w:rsidRPr="00EA5F0E" w:rsidR="00A820B5">
        <w:rPr>
          <w:sz w:val="24"/>
        </w:rPr>
        <w:t>allow</w:t>
      </w:r>
      <w:r w:rsidRPr="00EA5F0E" w:rsidR="005F10EB">
        <w:rPr>
          <w:sz w:val="24"/>
        </w:rPr>
        <w:t>s</w:t>
      </w:r>
      <w:r w:rsidRPr="00EA5F0E" w:rsidR="00A820B5">
        <w:rPr>
          <w:sz w:val="24"/>
        </w:rPr>
        <w:t xml:space="preserve"> flexibility for states when it comes to certain aspects of family, tobacco, age, geography, and small group rating.</w:t>
      </w:r>
      <w:r w:rsidR="006604C5">
        <w:rPr>
          <w:sz w:val="24"/>
        </w:rPr>
        <w:t xml:space="preserve">  </w:t>
      </w:r>
      <w:r w:rsidRPr="00EA5F0E" w:rsidR="003B7696">
        <w:rPr>
          <w:sz w:val="24"/>
        </w:rPr>
        <w:t xml:space="preserve">The </w:t>
      </w:r>
      <w:r w:rsidRPr="00EA5F0E" w:rsidR="005F10EB">
        <w:rPr>
          <w:sz w:val="24"/>
        </w:rPr>
        <w:t>final</w:t>
      </w:r>
      <w:r w:rsidRPr="00EA5F0E" w:rsidR="003B7696">
        <w:rPr>
          <w:sz w:val="24"/>
        </w:rPr>
        <w:t xml:space="preserve"> rule </w:t>
      </w:r>
      <w:r w:rsidRPr="00EA5F0E" w:rsidR="00A820B5">
        <w:rPr>
          <w:sz w:val="24"/>
        </w:rPr>
        <w:t>require</w:t>
      </w:r>
      <w:r w:rsidRPr="00EA5F0E" w:rsidR="005F10EB">
        <w:rPr>
          <w:sz w:val="24"/>
        </w:rPr>
        <w:t>s</w:t>
      </w:r>
      <w:r w:rsidRPr="00EA5F0E" w:rsidR="00A820B5">
        <w:rPr>
          <w:sz w:val="24"/>
        </w:rPr>
        <w:t xml:space="preserve"> </w:t>
      </w:r>
      <w:r w:rsidRPr="00EA5F0E" w:rsidR="003B7696">
        <w:rPr>
          <w:sz w:val="24"/>
        </w:rPr>
        <w:t>health insurance issuers in a market in a state to use a uniform age rating curve</w:t>
      </w:r>
      <w:r w:rsidRPr="00EA5F0E" w:rsidR="0044592F">
        <w:rPr>
          <w:sz w:val="24"/>
        </w:rPr>
        <w:t xml:space="preserve">. </w:t>
      </w:r>
      <w:r w:rsidRPr="00EA5F0E" w:rsidR="003B7696">
        <w:rPr>
          <w:sz w:val="24"/>
        </w:rPr>
        <w:t xml:space="preserve"> </w:t>
      </w:r>
      <w:r w:rsidRPr="00EA5F0E" w:rsidR="0044592F">
        <w:rPr>
          <w:sz w:val="24"/>
        </w:rPr>
        <w:t xml:space="preserve">A </w:t>
      </w:r>
      <w:r w:rsidRPr="00EA5F0E" w:rsidR="003B7696">
        <w:rPr>
          <w:sz w:val="24"/>
        </w:rPr>
        <w:t>default age curve</w:t>
      </w:r>
      <w:r w:rsidRPr="00EA5F0E" w:rsidR="0044592F">
        <w:rPr>
          <w:sz w:val="24"/>
        </w:rPr>
        <w:t xml:space="preserve"> established by CMS</w:t>
      </w:r>
      <w:r w:rsidRPr="00EA5F0E" w:rsidR="003B7696">
        <w:rPr>
          <w:sz w:val="24"/>
        </w:rPr>
        <w:t xml:space="preserve"> w</w:t>
      </w:r>
      <w:r w:rsidRPr="00EA5F0E" w:rsidR="005F10EB">
        <w:rPr>
          <w:sz w:val="24"/>
        </w:rPr>
        <w:t>ill</w:t>
      </w:r>
      <w:r w:rsidRPr="00EA5F0E" w:rsidR="003B7696">
        <w:rPr>
          <w:sz w:val="24"/>
        </w:rPr>
        <w:t xml:space="preserve"> apply in</w:t>
      </w:r>
      <w:r w:rsidRPr="00EA5F0E" w:rsidR="005F10EB">
        <w:rPr>
          <w:sz w:val="24"/>
        </w:rPr>
        <w:t xml:space="preserve"> a state, unless a state adopts</w:t>
      </w:r>
      <w:r w:rsidRPr="00EA5F0E" w:rsidR="003B7696">
        <w:rPr>
          <w:sz w:val="24"/>
        </w:rPr>
        <w:t xml:space="preserve"> a different uniform age curve.</w:t>
      </w:r>
      <w:r w:rsidRPr="003B7696" w:rsidR="003B7696">
        <w:rPr>
          <w:sz w:val="24"/>
        </w:rPr>
        <w:t xml:space="preserve">  </w:t>
      </w:r>
      <w:r w:rsidR="00B25B4A">
        <w:rPr>
          <w:sz w:val="24"/>
        </w:rPr>
        <w:t>The HHS Notice of Benefits and Payment Parameters for 2018 Final Rule (“2018 Payment Notice”)</w:t>
      </w:r>
      <w:r w:rsidRPr="001E11A4" w:rsidR="00EA5F0E">
        <w:rPr>
          <w:rStyle w:val="FootnoteReference"/>
          <w:sz w:val="24"/>
          <w:vertAlign w:val="superscript"/>
        </w:rPr>
        <w:footnoteReference w:id="2"/>
      </w:r>
      <w:r w:rsidR="00EA5F0E">
        <w:t xml:space="preserve"> </w:t>
      </w:r>
      <w:r w:rsidRPr="00EA5F0E" w:rsidR="00EA5F0E">
        <w:rPr>
          <w:sz w:val="24"/>
        </w:rPr>
        <w:t>amends the provisions related to age rating for children for plan or policy years beginning on or after January 1, 2018</w:t>
      </w:r>
      <w:r w:rsidR="00502205">
        <w:rPr>
          <w:sz w:val="24"/>
        </w:rPr>
        <w:t xml:space="preserve">.  </w:t>
      </w:r>
    </w:p>
    <w:p w:rsidR="00B25B4A" w:rsidP="00ED2BE0" w:rsidRDefault="0050220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Pr>
          <w:sz w:val="24"/>
        </w:rPr>
        <w:t>T</w:t>
      </w:r>
      <w:r w:rsidRPr="00B25B4A" w:rsidR="00B25B4A">
        <w:rPr>
          <w:sz w:val="24"/>
        </w:rPr>
        <w:t>he uniform age bands for rating purposes under section 2701</w:t>
      </w:r>
      <w:r>
        <w:rPr>
          <w:sz w:val="24"/>
        </w:rPr>
        <w:t xml:space="preserve">, as amended by the 2018 Payment Notice, are </w:t>
      </w:r>
      <w:r w:rsidRPr="00B25B4A" w:rsidR="00B25B4A">
        <w:rPr>
          <w:sz w:val="24"/>
        </w:rPr>
        <w:t xml:space="preserve">as follows:  </w:t>
      </w:r>
    </w:p>
    <w:p w:rsidRPr="00B25B4A" w:rsidR="00B25B4A" w:rsidP="00DB26E6" w:rsidRDefault="00B25B4A">
      <w:pPr>
        <w:numPr>
          <w:ilvl w:val="0"/>
          <w:numId w:val="8"/>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170"/>
        <w:rPr>
          <w:sz w:val="24"/>
        </w:rPr>
      </w:pPr>
      <w:r w:rsidRPr="00B25B4A">
        <w:rPr>
          <w:sz w:val="24"/>
        </w:rPr>
        <w:t xml:space="preserve">Children:  A single age band for individuals age 0 through 14; and </w:t>
      </w:r>
      <w:r w:rsidR="00264EE8">
        <w:rPr>
          <w:sz w:val="24"/>
        </w:rPr>
        <w:t>o</w:t>
      </w:r>
      <w:r w:rsidRPr="00B25B4A">
        <w:rPr>
          <w:sz w:val="24"/>
        </w:rPr>
        <w:t>ne-year age bands for individuals age 15 through 20.</w:t>
      </w:r>
    </w:p>
    <w:p w:rsidRPr="00B25B4A" w:rsidR="00B25B4A" w:rsidP="00DB26E6" w:rsidRDefault="00B25B4A">
      <w:pPr>
        <w:numPr>
          <w:ilvl w:val="0"/>
          <w:numId w:val="8"/>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170"/>
        <w:rPr>
          <w:sz w:val="24"/>
        </w:rPr>
      </w:pPr>
      <w:r w:rsidRPr="00B25B4A">
        <w:rPr>
          <w:sz w:val="24"/>
        </w:rPr>
        <w:t>Adults: One-year age bands for individuals age 21 through 63.</w:t>
      </w:r>
    </w:p>
    <w:p w:rsidR="00B25B4A" w:rsidP="00DB26E6" w:rsidRDefault="00B25B4A">
      <w:pPr>
        <w:numPr>
          <w:ilvl w:val="0"/>
          <w:numId w:val="8"/>
        </w:numPr>
        <w:tabs>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1170"/>
        <w:rPr>
          <w:sz w:val="24"/>
        </w:rPr>
      </w:pPr>
      <w:r w:rsidRPr="00B25B4A">
        <w:rPr>
          <w:sz w:val="24"/>
        </w:rPr>
        <w:t>Older adults: A single age band for individuals age 64 and older.</w:t>
      </w:r>
    </w:p>
    <w:p w:rsidR="00CE353F" w:rsidP="00ED2BE0" w:rsidRDefault="006604C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sidRPr="00EA5F0E">
        <w:rPr>
          <w:sz w:val="24"/>
        </w:rPr>
        <w:t>A</w:t>
      </w:r>
      <w:r>
        <w:rPr>
          <w:sz w:val="24"/>
        </w:rPr>
        <w:t xml:space="preserve"> state may </w:t>
      </w:r>
      <w:r w:rsidR="003B1FC5">
        <w:rPr>
          <w:sz w:val="24"/>
        </w:rPr>
        <w:t xml:space="preserve">also </w:t>
      </w:r>
      <w:r>
        <w:rPr>
          <w:sz w:val="24"/>
        </w:rPr>
        <w:t xml:space="preserve">elect to have </w:t>
      </w:r>
      <w:r w:rsidR="00502205">
        <w:rPr>
          <w:sz w:val="24"/>
        </w:rPr>
        <w:t xml:space="preserve">a </w:t>
      </w:r>
      <w:r>
        <w:rPr>
          <w:sz w:val="24"/>
        </w:rPr>
        <w:t>narrower age rating ratio than 3:1 and a narrower tobacco</w:t>
      </w:r>
      <w:r w:rsidR="006C15FA">
        <w:rPr>
          <w:sz w:val="24"/>
        </w:rPr>
        <w:t xml:space="preserve"> use</w:t>
      </w:r>
      <w:r>
        <w:rPr>
          <w:sz w:val="24"/>
        </w:rPr>
        <w:t xml:space="preserve"> rating ratio than 1.5:1.  </w:t>
      </w:r>
      <w:r w:rsidRPr="003B7696" w:rsidR="003B7696">
        <w:rPr>
          <w:sz w:val="24"/>
        </w:rPr>
        <w:t xml:space="preserve">PHS Act section 2701(a)(2) </w:t>
      </w:r>
      <w:r w:rsidR="0044592F">
        <w:rPr>
          <w:sz w:val="24"/>
        </w:rPr>
        <w:t>require</w:t>
      </w:r>
      <w:r w:rsidR="005F10EB">
        <w:rPr>
          <w:sz w:val="24"/>
        </w:rPr>
        <w:t>s</w:t>
      </w:r>
      <w:r w:rsidR="0044592F">
        <w:rPr>
          <w:sz w:val="24"/>
        </w:rPr>
        <w:t xml:space="preserve"> </w:t>
      </w:r>
      <w:r w:rsidRPr="003B7696" w:rsidR="003B7696">
        <w:rPr>
          <w:sz w:val="24"/>
        </w:rPr>
        <w:t xml:space="preserve">a state </w:t>
      </w:r>
      <w:r w:rsidR="0044592F">
        <w:rPr>
          <w:sz w:val="24"/>
        </w:rPr>
        <w:t xml:space="preserve">to </w:t>
      </w:r>
      <w:r w:rsidRPr="003B7696" w:rsidR="003B7696">
        <w:rPr>
          <w:sz w:val="24"/>
        </w:rPr>
        <w:t xml:space="preserve">establish one or more rating areas within that state.  In the event that a state does not establish rating areas consistent with the standards, </w:t>
      </w:r>
      <w:r w:rsidR="00D46EBD">
        <w:rPr>
          <w:sz w:val="24"/>
        </w:rPr>
        <w:t xml:space="preserve">the default will be one rating area for each metropolitan </w:t>
      </w:r>
      <w:r w:rsidR="00D46EBD">
        <w:rPr>
          <w:sz w:val="24"/>
        </w:rPr>
        <w:lastRenderedPageBreak/>
        <w:t>statistical area (MSA) and one rating areas comprising all non-MSAs of the state</w:t>
      </w:r>
      <w:r w:rsidR="00BD4016">
        <w:rPr>
          <w:sz w:val="24"/>
        </w:rPr>
        <w:t>.</w:t>
      </w:r>
      <w:r w:rsidR="00FE7802">
        <w:rPr>
          <w:sz w:val="24"/>
        </w:rPr>
        <w:t xml:space="preserve"> </w:t>
      </w:r>
      <w:r w:rsidR="00BD4016">
        <w:rPr>
          <w:sz w:val="24"/>
        </w:rPr>
        <w:t xml:space="preserve"> </w:t>
      </w:r>
      <w:r w:rsidR="007B15D5">
        <w:rPr>
          <w:sz w:val="24"/>
        </w:rPr>
        <w:t xml:space="preserve">In addition, the </w:t>
      </w:r>
      <w:r w:rsidR="005F10EB">
        <w:rPr>
          <w:sz w:val="24"/>
        </w:rPr>
        <w:t>final</w:t>
      </w:r>
      <w:r w:rsidR="007B15D5">
        <w:rPr>
          <w:sz w:val="24"/>
        </w:rPr>
        <w:t xml:space="preserve"> rule</w:t>
      </w:r>
      <w:r w:rsidRPr="007B15D5" w:rsidR="007B15D5">
        <w:rPr>
          <w:sz w:val="24"/>
        </w:rPr>
        <w:t xml:space="preserve"> permit</w:t>
      </w:r>
      <w:r w:rsidR="005F10EB">
        <w:rPr>
          <w:sz w:val="24"/>
        </w:rPr>
        <w:t>s</w:t>
      </w:r>
      <w:r w:rsidRPr="007B15D5" w:rsidR="007B15D5">
        <w:rPr>
          <w:sz w:val="24"/>
        </w:rPr>
        <w:t xml:space="preserve"> a state to require issuers to use a standard family tier methodology if the state requires pure community rating, without any adjustments for age or tobacco use</w:t>
      </w:r>
      <w:r w:rsidRPr="00A734E4" w:rsidR="007B15D5">
        <w:rPr>
          <w:sz w:val="24"/>
        </w:rPr>
        <w:t xml:space="preserve">.  </w:t>
      </w:r>
      <w:r w:rsidRPr="00A734E4" w:rsidR="003C4DFF">
        <w:rPr>
          <w:sz w:val="24"/>
        </w:rPr>
        <w:t xml:space="preserve">These rules </w:t>
      </w:r>
      <w:r w:rsidRPr="00A734E4" w:rsidR="005F10EB">
        <w:rPr>
          <w:sz w:val="24"/>
        </w:rPr>
        <w:t>will</w:t>
      </w:r>
      <w:r w:rsidRPr="00A734E4" w:rsidR="003C4DFF">
        <w:rPr>
          <w:sz w:val="24"/>
        </w:rPr>
        <w:t xml:space="preserve"> apply to the large group market, if, beginning in 2017, a state permits </w:t>
      </w:r>
      <w:r w:rsidRPr="0019075E" w:rsidR="003B4B10">
        <w:rPr>
          <w:sz w:val="24"/>
        </w:rPr>
        <w:t>issuers that offer coverage in the large group market in the state to offer such coverage through the Exchange pursuant to section 1312(f)(2)(B) of the Affordable Care Act</w:t>
      </w:r>
      <w:r w:rsidRPr="0019075E" w:rsidR="003C4DFF">
        <w:rPr>
          <w:sz w:val="24"/>
        </w:rPr>
        <w:t>.</w:t>
      </w:r>
      <w:r w:rsidR="00EF62EB">
        <w:rPr>
          <w:sz w:val="24"/>
        </w:rPr>
        <w:t xml:space="preserve">  The </w:t>
      </w:r>
      <w:r w:rsidR="005F10EB">
        <w:rPr>
          <w:sz w:val="24"/>
        </w:rPr>
        <w:t>final</w:t>
      </w:r>
      <w:r w:rsidR="00EF62EB">
        <w:rPr>
          <w:sz w:val="24"/>
        </w:rPr>
        <w:t xml:space="preserve"> rule </w:t>
      </w:r>
      <w:r w:rsidR="00AA5949">
        <w:rPr>
          <w:sz w:val="24"/>
        </w:rPr>
        <w:t xml:space="preserve">also </w:t>
      </w:r>
      <w:r>
        <w:rPr>
          <w:sz w:val="24"/>
        </w:rPr>
        <w:t>require</w:t>
      </w:r>
      <w:r w:rsidR="005F10EB">
        <w:rPr>
          <w:sz w:val="24"/>
        </w:rPr>
        <w:t>s</w:t>
      </w:r>
      <w:r>
        <w:rPr>
          <w:sz w:val="24"/>
        </w:rPr>
        <w:t xml:space="preserve"> </w:t>
      </w:r>
      <w:r w:rsidRPr="00EF62EB" w:rsidR="00EF62EB">
        <w:rPr>
          <w:sz w:val="24"/>
        </w:rPr>
        <w:t>that issuers calculate rates for employee and dependent coverage in the small group market on a per-member basis, in the same manner that they calculate rates for persons in the individual market, and then calculate the group premium by totaling the premiums attributable to each covered individual</w:t>
      </w:r>
      <w:r w:rsidR="00EF62EB">
        <w:rPr>
          <w:sz w:val="24"/>
        </w:rPr>
        <w:t xml:space="preserve">.  However, </w:t>
      </w:r>
      <w:r>
        <w:rPr>
          <w:sz w:val="24"/>
        </w:rPr>
        <w:t>a state m</w:t>
      </w:r>
      <w:r w:rsidR="00EF62EB">
        <w:rPr>
          <w:sz w:val="24"/>
        </w:rPr>
        <w:t xml:space="preserve">ay require issuers to offer </w:t>
      </w:r>
      <w:r w:rsidRPr="00EF62EB" w:rsidR="00EF62EB">
        <w:rPr>
          <w:sz w:val="24"/>
        </w:rPr>
        <w:t>to a group premiums that are based on average enrollee amounts</w:t>
      </w:r>
      <w:r w:rsidR="00502205">
        <w:rPr>
          <w:sz w:val="24"/>
        </w:rPr>
        <w:t xml:space="preserve"> (composite premiums)</w:t>
      </w:r>
      <w:r w:rsidRPr="00D46EBD" w:rsidR="00D46EBD">
        <w:rPr>
          <w:sz w:val="24"/>
        </w:rPr>
        <w:t>, provided that the total group premium equals the premium that would be derived through the per-member-rating approach</w:t>
      </w:r>
      <w:r w:rsidR="00EF62EB">
        <w:rPr>
          <w:sz w:val="24"/>
        </w:rPr>
        <w:t>.</w:t>
      </w:r>
    </w:p>
    <w:p w:rsidR="007B15D5" w:rsidP="00ED2BE0" w:rsidRDefault="00CE353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Pr>
          <w:sz w:val="24"/>
        </w:rPr>
        <w:t>S</w:t>
      </w:r>
      <w:r w:rsidRPr="00CE353F">
        <w:rPr>
          <w:sz w:val="24"/>
        </w:rPr>
        <w:t>ection 131</w:t>
      </w:r>
      <w:r>
        <w:rPr>
          <w:sz w:val="24"/>
        </w:rPr>
        <w:t>2(c) of the Affordable Care Act</w:t>
      </w:r>
      <w:r w:rsidRPr="00CE353F">
        <w:rPr>
          <w:sz w:val="24"/>
        </w:rPr>
        <w:t xml:space="preserve"> </w:t>
      </w:r>
      <w:r w:rsidR="00667153">
        <w:rPr>
          <w:sz w:val="24"/>
        </w:rPr>
        <w:t>provides</w:t>
      </w:r>
      <w:r w:rsidRPr="00CE353F" w:rsidR="002635DD">
        <w:rPr>
          <w:sz w:val="24"/>
        </w:rPr>
        <w:t xml:space="preserve"> </w:t>
      </w:r>
      <w:r w:rsidRPr="00CE353F">
        <w:rPr>
          <w:sz w:val="24"/>
        </w:rPr>
        <w:t>that a health insurance issuer must consider all of its enrollees in all health plans (other than grandfathered health plans) offered by the issuer to be members of a single risk pool in the individual market and small group market, respectively</w:t>
      </w:r>
      <w:r w:rsidR="009A1C77">
        <w:rPr>
          <w:sz w:val="24"/>
        </w:rPr>
        <w:t xml:space="preserve">. </w:t>
      </w:r>
      <w:r w:rsidR="00FE7802">
        <w:rPr>
          <w:sz w:val="24"/>
        </w:rPr>
        <w:t xml:space="preserve"> </w:t>
      </w:r>
      <w:r w:rsidR="009A1C77">
        <w:rPr>
          <w:sz w:val="24"/>
        </w:rPr>
        <w:t xml:space="preserve">A state may also elect to </w:t>
      </w:r>
      <w:r w:rsidRPr="009A1C77" w:rsidR="009A1C77">
        <w:rPr>
          <w:sz w:val="24"/>
        </w:rPr>
        <w:t>merge its individual and small group market risk pools</w:t>
      </w:r>
      <w:r w:rsidR="009A1C77">
        <w:rPr>
          <w:sz w:val="24"/>
        </w:rPr>
        <w:t>.</w:t>
      </w:r>
    </w:p>
    <w:p w:rsidR="008F1EB4" w:rsidP="00ED2BE0" w:rsidRDefault="008F1EB4">
      <w:pPr>
        <w:pStyle w:val="Heading1"/>
      </w:pPr>
      <w:r>
        <w:t>Justification</w:t>
      </w:r>
    </w:p>
    <w:p w:rsidRPr="00A12A02" w:rsidR="00641AA4" w:rsidP="00ED2BE0" w:rsidRDefault="008F1EB4">
      <w:pPr>
        <w:pStyle w:val="Heading2"/>
      </w:pPr>
      <w:r w:rsidRPr="00A12A02">
        <w:t>Need and Legal Basis</w:t>
      </w:r>
    </w:p>
    <w:p w:rsidRPr="00894E36" w:rsidR="00894E36" w:rsidP="00ED2BE0" w:rsidRDefault="00894E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outlineLvl w:val="0"/>
        <w:rPr>
          <w:sz w:val="24"/>
        </w:rPr>
      </w:pPr>
      <w:r w:rsidRPr="00326C12">
        <w:rPr>
          <w:sz w:val="24"/>
        </w:rPr>
        <w:t xml:space="preserve">Statutory Basis:  Section 2701 of the PHS Act, as </w:t>
      </w:r>
      <w:r w:rsidR="00264EE8">
        <w:rPr>
          <w:sz w:val="24"/>
        </w:rPr>
        <w:t>added</w:t>
      </w:r>
      <w:r w:rsidRPr="00326C12" w:rsidR="00264EE8">
        <w:rPr>
          <w:sz w:val="24"/>
        </w:rPr>
        <w:t xml:space="preserve"> </w:t>
      </w:r>
      <w:r w:rsidRPr="00326C12">
        <w:rPr>
          <w:sz w:val="24"/>
        </w:rPr>
        <w:t>by the Affordable Care Act</w:t>
      </w:r>
      <w:r w:rsidR="00264EE8">
        <w:rPr>
          <w:sz w:val="24"/>
        </w:rPr>
        <w:t>, and section 1312(c) of the Affordable Care Act</w:t>
      </w:r>
      <w:r w:rsidR="008815ED">
        <w:rPr>
          <w:sz w:val="24"/>
        </w:rPr>
        <w:t>.</w:t>
      </w:r>
    </w:p>
    <w:p w:rsidRPr="00894E36" w:rsidR="00894E36" w:rsidP="00ED2BE0" w:rsidRDefault="008524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Pr>
          <w:sz w:val="24"/>
        </w:rPr>
        <w:t>Section 2701 of the PHS Act</w:t>
      </w:r>
      <w:r w:rsidRPr="00894E36" w:rsidR="00894E36">
        <w:rPr>
          <w:sz w:val="24"/>
        </w:rPr>
        <w:t xml:space="preserve"> requires health insurance issuers to limit premium variation </w:t>
      </w:r>
      <w:r>
        <w:rPr>
          <w:sz w:val="24"/>
        </w:rPr>
        <w:t xml:space="preserve">charged for non-grandfathered coverage </w:t>
      </w:r>
      <w:r w:rsidRPr="00894E36" w:rsidR="00894E36">
        <w:rPr>
          <w:sz w:val="24"/>
        </w:rPr>
        <w:t>in the individual and small group markets (and, if a state elects, the large group market starting in 2017) to certain factors (i.e., age, tobacco use, geography, and family size).  In addition, this section applies in conjunction with section 1312(c) of the Affordable Care Act, which requires issuers to develop premiums based on a single risk pool in the individual and small group markets.</w:t>
      </w:r>
    </w:p>
    <w:p w:rsidR="00DD466A" w:rsidP="00ED2BE0" w:rsidRDefault="00894E3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sidRPr="00894E36">
        <w:rPr>
          <w:sz w:val="24"/>
        </w:rPr>
        <w:t xml:space="preserve">States will be permitted under section </w:t>
      </w:r>
      <w:r w:rsidRPr="00B25B4A">
        <w:rPr>
          <w:sz w:val="24"/>
        </w:rPr>
        <w:t>2701</w:t>
      </w:r>
      <w:r w:rsidRPr="00894E36">
        <w:rPr>
          <w:sz w:val="24"/>
        </w:rPr>
        <w:t xml:space="preserve"> to establish state-specific rules relating to age rating ratios for adults that are less than 3:1, age curves applying the relevant age factors</w:t>
      </w:r>
      <w:r w:rsidR="00B25B4A">
        <w:rPr>
          <w:sz w:val="24"/>
        </w:rPr>
        <w:t xml:space="preserve"> as amended in the 2018 Payment Notice</w:t>
      </w:r>
      <w:r w:rsidRPr="00894E36">
        <w:rPr>
          <w:sz w:val="24"/>
        </w:rPr>
        <w:t xml:space="preserve">, tobacco use rating ratios that are less than 1.5:1, geographic rating areas, and, in </w:t>
      </w:r>
      <w:r w:rsidR="00852412">
        <w:rPr>
          <w:sz w:val="24"/>
        </w:rPr>
        <w:t>states that do not permit rating variation based on age or tobacco use</w:t>
      </w:r>
      <w:r w:rsidRPr="00894E36">
        <w:rPr>
          <w:sz w:val="24"/>
        </w:rPr>
        <w:t xml:space="preserve">, family tier structures and </w:t>
      </w:r>
      <w:r w:rsidR="00966AD6">
        <w:rPr>
          <w:sz w:val="24"/>
        </w:rPr>
        <w:t>corresponding multipliers</w:t>
      </w:r>
      <w:r w:rsidRPr="00894E36">
        <w:rPr>
          <w:sz w:val="24"/>
        </w:rPr>
        <w:t xml:space="preserve">.  States also </w:t>
      </w:r>
      <w:r w:rsidR="00F15CE5">
        <w:rPr>
          <w:sz w:val="24"/>
        </w:rPr>
        <w:t>will</w:t>
      </w:r>
      <w:r w:rsidRPr="00894E36">
        <w:rPr>
          <w:sz w:val="24"/>
        </w:rPr>
        <w:t xml:space="preserve"> be able to merge their individual and small group market risk pools</w:t>
      </w:r>
      <w:r w:rsidR="0024357D">
        <w:rPr>
          <w:sz w:val="24"/>
        </w:rPr>
        <w:t xml:space="preserve"> and require</w:t>
      </w:r>
      <w:r w:rsidRPr="0024357D" w:rsidR="0024357D">
        <w:rPr>
          <w:sz w:val="24"/>
        </w:rPr>
        <w:t xml:space="preserve"> premiums to be based on average enrollee amounts </w:t>
      </w:r>
      <w:r w:rsidR="00852412">
        <w:rPr>
          <w:sz w:val="24"/>
        </w:rPr>
        <w:t xml:space="preserve">(composite premiums) </w:t>
      </w:r>
      <w:r w:rsidRPr="0024357D" w:rsidR="0024357D">
        <w:rPr>
          <w:sz w:val="24"/>
        </w:rPr>
        <w:t xml:space="preserve">in the small group </w:t>
      </w:r>
      <w:r w:rsidR="00852412">
        <w:rPr>
          <w:sz w:val="24"/>
        </w:rPr>
        <w:t xml:space="preserve">(or large group) </w:t>
      </w:r>
      <w:r w:rsidRPr="0024357D" w:rsidR="0024357D">
        <w:rPr>
          <w:sz w:val="24"/>
        </w:rPr>
        <w:t>market</w:t>
      </w:r>
      <w:r w:rsidRPr="00894E36">
        <w:rPr>
          <w:sz w:val="24"/>
        </w:rPr>
        <w:t xml:space="preserve">.  CMS </w:t>
      </w:r>
      <w:r w:rsidR="00F15CE5">
        <w:rPr>
          <w:sz w:val="24"/>
        </w:rPr>
        <w:t>will</w:t>
      </w:r>
      <w:r w:rsidRPr="00894E36">
        <w:rPr>
          <w:sz w:val="24"/>
        </w:rPr>
        <w:t xml:space="preserve"> need information on the state application of these factors in their individual and small group markets in order to determine whether state-specific rules or Federal default rules appl</w:t>
      </w:r>
      <w:r w:rsidR="00D46EBD">
        <w:rPr>
          <w:sz w:val="24"/>
        </w:rPr>
        <w:t>y</w:t>
      </w:r>
      <w:r w:rsidRPr="00894E36">
        <w:rPr>
          <w:sz w:val="24"/>
        </w:rPr>
        <w:t xml:space="preserve">.  CMS will also need this information in order to accurately implement the risk adjustment provisions </w:t>
      </w:r>
      <w:r w:rsidR="00DF2E86">
        <w:rPr>
          <w:sz w:val="24"/>
        </w:rPr>
        <w:t>of section 1343 of the Affordable Care Act</w:t>
      </w:r>
      <w:r w:rsidRPr="00894E36" w:rsidR="00DF2E86">
        <w:rPr>
          <w:sz w:val="24"/>
        </w:rPr>
        <w:t xml:space="preserve"> </w:t>
      </w:r>
      <w:r w:rsidRPr="00894E36">
        <w:rPr>
          <w:sz w:val="24"/>
        </w:rPr>
        <w:t xml:space="preserve">for health plans in the states.  Accordingly, states </w:t>
      </w:r>
      <w:r w:rsidR="00F15CE5">
        <w:rPr>
          <w:sz w:val="24"/>
        </w:rPr>
        <w:t>will</w:t>
      </w:r>
      <w:r w:rsidRPr="00894E36">
        <w:rPr>
          <w:sz w:val="24"/>
        </w:rPr>
        <w:t xml:space="preserve"> need to disclose to CMS the rating factors and requirements applicable to their </w:t>
      </w:r>
      <w:r w:rsidR="00341CED">
        <w:rPr>
          <w:sz w:val="24"/>
        </w:rPr>
        <w:t xml:space="preserve">individual and </w:t>
      </w:r>
      <w:r w:rsidRPr="00894E36">
        <w:rPr>
          <w:sz w:val="24"/>
        </w:rPr>
        <w:t>small group markets.</w:t>
      </w:r>
    </w:p>
    <w:p w:rsidR="008F1EB4" w:rsidP="00ED2BE0" w:rsidRDefault="008F1EB4">
      <w:pPr>
        <w:pStyle w:val="Heading2"/>
      </w:pPr>
      <w:r>
        <w:t>Information Users</w:t>
      </w:r>
    </w:p>
    <w:p w:rsidR="008F1EB4" w:rsidP="00ED2BE0" w:rsidRDefault="0020514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Pr>
          <w:sz w:val="24"/>
        </w:rPr>
        <w:lastRenderedPageBreak/>
        <w:t xml:space="preserve">CMS will </w:t>
      </w:r>
      <w:r w:rsidR="008F16D6">
        <w:rPr>
          <w:sz w:val="24"/>
        </w:rPr>
        <w:t>use</w:t>
      </w:r>
      <w:r>
        <w:rPr>
          <w:sz w:val="24"/>
        </w:rPr>
        <w:t xml:space="preserve"> the</w:t>
      </w:r>
      <w:r w:rsidRPr="00894E36">
        <w:rPr>
          <w:sz w:val="24"/>
        </w:rPr>
        <w:t xml:space="preserve"> information</w:t>
      </w:r>
      <w:r>
        <w:rPr>
          <w:sz w:val="24"/>
        </w:rPr>
        <w:t xml:space="preserve"> on state rating requirements</w:t>
      </w:r>
      <w:r w:rsidRPr="00894E36">
        <w:rPr>
          <w:sz w:val="24"/>
        </w:rPr>
        <w:t xml:space="preserve"> </w:t>
      </w:r>
      <w:r w:rsidRPr="00894E36" w:rsidR="00243C57">
        <w:rPr>
          <w:sz w:val="24"/>
        </w:rPr>
        <w:t xml:space="preserve">to determine whether state-specific rules </w:t>
      </w:r>
      <w:r w:rsidR="00264EE8">
        <w:rPr>
          <w:sz w:val="24"/>
        </w:rPr>
        <w:t xml:space="preserve">or </w:t>
      </w:r>
      <w:r w:rsidRPr="00894E36" w:rsidR="00243C57">
        <w:rPr>
          <w:sz w:val="24"/>
        </w:rPr>
        <w:t>Federal default rules appl</w:t>
      </w:r>
      <w:r w:rsidR="00D46EBD">
        <w:rPr>
          <w:sz w:val="24"/>
        </w:rPr>
        <w:t>y</w:t>
      </w:r>
      <w:r w:rsidRPr="00894E36">
        <w:rPr>
          <w:sz w:val="24"/>
        </w:rPr>
        <w:t xml:space="preserve"> </w:t>
      </w:r>
      <w:r w:rsidR="00243C57">
        <w:rPr>
          <w:sz w:val="24"/>
        </w:rPr>
        <w:t xml:space="preserve">and to </w:t>
      </w:r>
      <w:r w:rsidRPr="00894E36">
        <w:rPr>
          <w:sz w:val="24"/>
        </w:rPr>
        <w:t xml:space="preserve">accurately implement the risk adjustment </w:t>
      </w:r>
      <w:r w:rsidR="00966AD6">
        <w:rPr>
          <w:sz w:val="24"/>
        </w:rPr>
        <w:t>methodology</w:t>
      </w:r>
      <w:r w:rsidRPr="00894E36">
        <w:rPr>
          <w:sz w:val="24"/>
        </w:rPr>
        <w:t xml:space="preserve"> for health plans in the states.</w:t>
      </w:r>
    </w:p>
    <w:p w:rsidR="008F1EB4" w:rsidP="00ED2BE0" w:rsidRDefault="008F1EB4">
      <w:pPr>
        <w:pStyle w:val="Heading2"/>
      </w:pPr>
      <w:r>
        <w:t>Use of Information Technology</w:t>
      </w:r>
    </w:p>
    <w:p w:rsidR="008E37BB" w:rsidP="00ED2BE0" w:rsidRDefault="00C621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Pr>
          <w:sz w:val="24"/>
        </w:rPr>
        <w:t>S</w:t>
      </w:r>
      <w:r w:rsidR="008E37BB">
        <w:rPr>
          <w:sz w:val="24"/>
        </w:rPr>
        <w:t>tates are expected to submit rating information to CMS electronically.</w:t>
      </w:r>
    </w:p>
    <w:p w:rsidRPr="00D31450" w:rsidR="008F1EB4" w:rsidP="00ED2BE0" w:rsidRDefault="008F1EB4">
      <w:pPr>
        <w:pStyle w:val="Heading2"/>
      </w:pPr>
      <w:r w:rsidRPr="00D31450">
        <w:t>Duplication of Efforts</w:t>
      </w:r>
    </w:p>
    <w:p w:rsidR="008E37BB" w:rsidP="00ED2BE0" w:rsidRDefault="004E18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outlineLvl w:val="0"/>
        <w:rPr>
          <w:sz w:val="24"/>
        </w:rPr>
      </w:pPr>
      <w:r>
        <w:rPr>
          <w:sz w:val="24"/>
        </w:rPr>
        <w:t xml:space="preserve">This collection does not duplicate other state reporting.  </w:t>
      </w:r>
      <w:r w:rsidR="004A21BD">
        <w:rPr>
          <w:sz w:val="24"/>
        </w:rPr>
        <w:t xml:space="preserve">The initial reporting </w:t>
      </w:r>
      <w:r w:rsidR="00DB26E6">
        <w:rPr>
          <w:sz w:val="24"/>
        </w:rPr>
        <w:t>has already</w:t>
      </w:r>
      <w:r w:rsidR="004A21BD">
        <w:rPr>
          <w:sz w:val="24"/>
        </w:rPr>
        <w:t xml:space="preserve"> occurred, and</w:t>
      </w:r>
      <w:r w:rsidR="00852412">
        <w:rPr>
          <w:sz w:val="24"/>
        </w:rPr>
        <w:t xml:space="preserve"> </w:t>
      </w:r>
      <w:r w:rsidRPr="00AE642A" w:rsidR="004A21BD">
        <w:rPr>
          <w:bCs/>
          <w:sz w:val="24"/>
        </w:rPr>
        <w:t>states only need to inform CMS of any changes in their rating requirements</w:t>
      </w:r>
      <w:r w:rsidR="00852412">
        <w:rPr>
          <w:sz w:val="24"/>
        </w:rPr>
        <w:t xml:space="preserve">.  </w:t>
      </w:r>
      <w:r>
        <w:rPr>
          <w:sz w:val="24"/>
        </w:rPr>
        <w:t>Therefore,</w:t>
      </w:r>
      <w:r w:rsidRPr="00C81C6A" w:rsidR="00CE353F">
        <w:rPr>
          <w:sz w:val="24"/>
        </w:rPr>
        <w:t xml:space="preserve"> t</w:t>
      </w:r>
      <w:r w:rsidRPr="00C81C6A" w:rsidR="008E37BB">
        <w:rPr>
          <w:sz w:val="24"/>
        </w:rPr>
        <w:t>here is no duplication of</w:t>
      </w:r>
      <w:r w:rsidR="008E37BB">
        <w:rPr>
          <w:sz w:val="24"/>
        </w:rPr>
        <w:t xml:space="preserve"> efforts.</w:t>
      </w:r>
    </w:p>
    <w:p w:rsidR="008F1EB4" w:rsidP="00ED2BE0" w:rsidRDefault="008F1EB4">
      <w:pPr>
        <w:pStyle w:val="Heading2"/>
      </w:pPr>
      <w:r>
        <w:t>Small Businesses</w:t>
      </w:r>
    </w:p>
    <w:p w:rsidR="008E37BB" w:rsidP="00ED2BE0" w:rsidRDefault="008E37B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outlineLvl w:val="0"/>
        <w:rPr>
          <w:sz w:val="24"/>
        </w:rPr>
      </w:pPr>
      <w:r>
        <w:rPr>
          <w:sz w:val="24"/>
        </w:rPr>
        <w:t>Small businesses are not affected by this collection.</w:t>
      </w:r>
    </w:p>
    <w:p w:rsidR="008F1EB4" w:rsidP="00ED2BE0" w:rsidRDefault="008F1EB4">
      <w:pPr>
        <w:pStyle w:val="Heading2"/>
      </w:pPr>
      <w:r>
        <w:t>Less Frequent Collection</w:t>
      </w:r>
    </w:p>
    <w:p w:rsidR="00966AD6" w:rsidP="00ED2BE0" w:rsidRDefault="00966AD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Pr>
          <w:sz w:val="24"/>
        </w:rPr>
        <w:t xml:space="preserve">If states do not submit information to CMS on the application of state rating and risk pooling standards, CMS will not be able to </w:t>
      </w:r>
      <w:r w:rsidRPr="009C11F6">
        <w:rPr>
          <w:sz w:val="24"/>
        </w:rPr>
        <w:t>determine whether state-specific rules or F</w:t>
      </w:r>
      <w:r w:rsidR="00D31450">
        <w:rPr>
          <w:sz w:val="24"/>
        </w:rPr>
        <w:t>ederal default rules appl</w:t>
      </w:r>
      <w:r w:rsidR="00D46EBD">
        <w:rPr>
          <w:sz w:val="24"/>
        </w:rPr>
        <w:t>y</w:t>
      </w:r>
      <w:r w:rsidR="00D31450">
        <w:rPr>
          <w:sz w:val="24"/>
        </w:rPr>
        <w:t xml:space="preserve">.  </w:t>
      </w:r>
      <w:r w:rsidRPr="009C11F6">
        <w:rPr>
          <w:sz w:val="24"/>
        </w:rPr>
        <w:t xml:space="preserve">CMS will also </w:t>
      </w:r>
      <w:r>
        <w:rPr>
          <w:sz w:val="24"/>
        </w:rPr>
        <w:t xml:space="preserve">not be able to </w:t>
      </w:r>
      <w:r w:rsidRPr="009C11F6">
        <w:rPr>
          <w:sz w:val="24"/>
        </w:rPr>
        <w:t xml:space="preserve">accurately implement the </w:t>
      </w:r>
      <w:r>
        <w:rPr>
          <w:sz w:val="24"/>
        </w:rPr>
        <w:t xml:space="preserve">federal </w:t>
      </w:r>
      <w:r w:rsidRPr="009C11F6">
        <w:rPr>
          <w:sz w:val="24"/>
        </w:rPr>
        <w:t xml:space="preserve">risk adjustment </w:t>
      </w:r>
      <w:r>
        <w:rPr>
          <w:sz w:val="24"/>
        </w:rPr>
        <w:t>methodology</w:t>
      </w:r>
      <w:r w:rsidRPr="009C11F6">
        <w:rPr>
          <w:sz w:val="24"/>
        </w:rPr>
        <w:t xml:space="preserve"> for health plans in the states</w:t>
      </w:r>
      <w:r>
        <w:rPr>
          <w:sz w:val="24"/>
        </w:rPr>
        <w:t>.</w:t>
      </w:r>
    </w:p>
    <w:p w:rsidR="008F1EB4" w:rsidP="00ED2BE0" w:rsidRDefault="008F1EB4">
      <w:pPr>
        <w:pStyle w:val="Heading2"/>
      </w:pPr>
      <w:r>
        <w:t>Special Circumstances</w:t>
      </w:r>
    </w:p>
    <w:p w:rsidR="00074248" w:rsidP="00ED2BE0" w:rsidRDefault="000742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outlineLvl w:val="0"/>
        <w:rPr>
          <w:sz w:val="24"/>
        </w:rPr>
      </w:pPr>
      <w:r>
        <w:rPr>
          <w:sz w:val="24"/>
        </w:rPr>
        <w:t>There are no special circumstances.</w:t>
      </w:r>
    </w:p>
    <w:p w:rsidR="008F1EB4" w:rsidP="00ED2BE0" w:rsidRDefault="008F1EB4">
      <w:pPr>
        <w:pStyle w:val="Heading2"/>
      </w:pPr>
      <w:r>
        <w:t>Federal Register/Outside Consultation</w:t>
      </w:r>
    </w:p>
    <w:p w:rsidRPr="001E11A4" w:rsidR="00264EE8" w:rsidP="001E11A4" w:rsidRDefault="00176334">
      <w:pPr>
        <w:pStyle w:val="Heading2"/>
        <w:numPr>
          <w:ilvl w:val="0"/>
          <w:numId w:val="0"/>
        </w:numPr>
        <w:spacing w:after="240"/>
        <w:ind w:left="432"/>
        <w:rPr>
          <w:iCs/>
          <w:u w:val="none"/>
        </w:rPr>
      </w:pPr>
      <w:r w:rsidRPr="00234754">
        <w:rPr>
          <w:iCs/>
          <w:u w:val="none"/>
        </w:rPr>
        <w:t xml:space="preserve">A </w:t>
      </w:r>
      <w:r w:rsidRPr="003A308A" w:rsidR="00234754">
        <w:rPr>
          <w:iCs/>
          <w:u w:val="none"/>
        </w:rPr>
        <w:t>Notice</w:t>
      </w:r>
      <w:r w:rsidRPr="00234754" w:rsidR="006069CA">
        <w:rPr>
          <w:iCs/>
          <w:u w:val="none"/>
        </w:rPr>
        <w:t xml:space="preserve"> </w:t>
      </w:r>
      <w:r w:rsidRPr="00234754" w:rsidR="006069CA">
        <w:rPr>
          <w:iCs/>
          <w:u w:val="none"/>
          <w:lang w:val="en-US"/>
        </w:rPr>
        <w:t>w</w:t>
      </w:r>
      <w:r w:rsidRPr="003A308A" w:rsidR="00234754">
        <w:rPr>
          <w:iCs/>
          <w:u w:val="none"/>
          <w:lang w:val="en-US"/>
        </w:rPr>
        <w:t>as</w:t>
      </w:r>
      <w:r w:rsidRPr="00234754" w:rsidR="006069CA">
        <w:rPr>
          <w:iCs/>
          <w:u w:val="none"/>
        </w:rPr>
        <w:t xml:space="preserve"> </w:t>
      </w:r>
      <w:r w:rsidRPr="00234754">
        <w:rPr>
          <w:iCs/>
          <w:u w:val="none"/>
        </w:rPr>
        <w:t>publish</w:t>
      </w:r>
      <w:r w:rsidRPr="00234754" w:rsidR="00E56170">
        <w:rPr>
          <w:iCs/>
          <w:u w:val="none"/>
          <w:lang w:val="en-US"/>
        </w:rPr>
        <w:t>ed</w:t>
      </w:r>
      <w:r w:rsidRPr="00234754">
        <w:rPr>
          <w:iCs/>
          <w:u w:val="none"/>
        </w:rPr>
        <w:t xml:space="preserve"> in the Federal Register</w:t>
      </w:r>
      <w:r w:rsidRPr="003A308A" w:rsidR="00234754">
        <w:rPr>
          <w:iCs/>
          <w:u w:val="none"/>
          <w:lang w:val="en-US"/>
        </w:rPr>
        <w:t xml:space="preserve"> on November 1</w:t>
      </w:r>
      <w:r w:rsidR="00234754">
        <w:rPr>
          <w:iCs/>
          <w:u w:val="none"/>
          <w:lang w:val="en-US"/>
        </w:rPr>
        <w:t>9</w:t>
      </w:r>
      <w:r w:rsidRPr="003A308A" w:rsidR="00234754">
        <w:rPr>
          <w:iCs/>
          <w:u w:val="none"/>
          <w:lang w:val="en-US"/>
        </w:rPr>
        <w:t>, 2020 (85 FR 73720)</w:t>
      </w:r>
      <w:r w:rsidRPr="00234754" w:rsidR="00E56170">
        <w:rPr>
          <w:iCs/>
          <w:u w:val="none"/>
          <w:lang w:val="en-US"/>
        </w:rPr>
        <w:t>, providing the public with a 60-day period to submit written comments on the ICRs</w:t>
      </w:r>
      <w:r w:rsidRPr="00234754">
        <w:rPr>
          <w:iCs/>
          <w:u w:val="none"/>
        </w:rPr>
        <w:t xml:space="preserve">. </w:t>
      </w:r>
      <w:r w:rsidRPr="00234754" w:rsidR="00234754">
        <w:rPr>
          <w:iCs/>
          <w:u w:val="none"/>
          <w:lang w:val="en-US"/>
        </w:rPr>
        <w:t>No comments were received.</w:t>
      </w:r>
      <w:r w:rsidR="00234754">
        <w:rPr>
          <w:iCs/>
          <w:u w:val="none"/>
          <w:lang w:val="en-US"/>
        </w:rPr>
        <w:t xml:space="preserve"> </w:t>
      </w:r>
      <w:r w:rsidRPr="001E11A4">
        <w:rPr>
          <w:iCs/>
          <w:u w:val="none"/>
        </w:rPr>
        <w:t xml:space="preserve"> </w:t>
      </w:r>
    </w:p>
    <w:p w:rsidRPr="008459FF" w:rsidR="00BE588B" w:rsidP="00264EE8" w:rsidRDefault="008F1EB4">
      <w:pPr>
        <w:pStyle w:val="Heading2"/>
      </w:pPr>
      <w:r>
        <w:t>Payments/Gifts to Respondents</w:t>
      </w:r>
    </w:p>
    <w:p w:rsidR="00BE588B" w:rsidP="00ED2BE0" w:rsidRDefault="00BE588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50"/>
        <w:rPr>
          <w:sz w:val="24"/>
        </w:rPr>
      </w:pPr>
      <w:r>
        <w:rPr>
          <w:sz w:val="24"/>
        </w:rPr>
        <w:t>No payments or gifts are associated with these ICRs</w:t>
      </w:r>
      <w:r w:rsidR="007A6580">
        <w:rPr>
          <w:sz w:val="24"/>
        </w:rPr>
        <w:t>.</w:t>
      </w:r>
    </w:p>
    <w:p w:rsidR="000F3AF4" w:rsidP="00ED2BE0" w:rsidRDefault="008F1EB4">
      <w:pPr>
        <w:pStyle w:val="Heading2"/>
        <w:tabs>
          <w:tab w:val="clear" w:pos="720"/>
        </w:tabs>
      </w:pPr>
      <w:r>
        <w:t>Confidentiality</w:t>
      </w:r>
    </w:p>
    <w:p w:rsidR="008F1EB4" w:rsidP="00ED2BE0" w:rsidRDefault="001738B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outlineLvl w:val="0"/>
        <w:rPr>
          <w:sz w:val="24"/>
        </w:rPr>
      </w:pPr>
      <w:r>
        <w:rPr>
          <w:sz w:val="24"/>
        </w:rPr>
        <w:t>CMS will protect privacy of the information provided</w:t>
      </w:r>
      <w:r w:rsidR="00826BBC">
        <w:rPr>
          <w:sz w:val="24"/>
        </w:rPr>
        <w:t xml:space="preserve"> to the extent provided by law.</w:t>
      </w:r>
    </w:p>
    <w:p w:rsidRPr="008459FF" w:rsidR="00BE588B" w:rsidP="00ED2BE0" w:rsidRDefault="008F1EB4">
      <w:pPr>
        <w:pStyle w:val="Heading2"/>
      </w:pPr>
      <w:r>
        <w:t>Sensitive Questions</w:t>
      </w:r>
    </w:p>
    <w:p w:rsidR="00BE588B" w:rsidP="00ED2BE0" w:rsidRDefault="00BE588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46"/>
        <w:rPr>
          <w:sz w:val="24"/>
        </w:rPr>
      </w:pPr>
      <w:r w:rsidRPr="00BE588B">
        <w:rPr>
          <w:sz w:val="24"/>
        </w:rPr>
        <w:t>These ICRs involve no sensitive questions.</w:t>
      </w:r>
    </w:p>
    <w:p w:rsidR="008F1EB4" w:rsidP="00ED2BE0" w:rsidRDefault="008F1EB4">
      <w:pPr>
        <w:pStyle w:val="Heading2"/>
      </w:pPr>
      <w:r w:rsidRPr="00D31450">
        <w:t>Burden Estimates (Hours &amp; Wages</w:t>
      </w:r>
      <w:r w:rsidRPr="002C4BC5">
        <w:t>)</w:t>
      </w:r>
      <w:r w:rsidRPr="004D5A40" w:rsidR="004D5A40">
        <w:rPr>
          <w:u w:val="none"/>
          <w:lang w:val="en-US"/>
        </w:rPr>
        <w:t xml:space="preserve"> </w:t>
      </w:r>
    </w:p>
    <w:p w:rsidR="00C229FB" w:rsidP="00ED2BE0" w:rsidRDefault="00DF58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bCs/>
          <w:sz w:val="24"/>
        </w:rPr>
      </w:pPr>
      <w:r w:rsidRPr="00DF58FB">
        <w:rPr>
          <w:sz w:val="24"/>
        </w:rPr>
        <w:t xml:space="preserve">States </w:t>
      </w:r>
      <w:r w:rsidR="0070183A">
        <w:rPr>
          <w:sz w:val="24"/>
        </w:rPr>
        <w:t xml:space="preserve">are </w:t>
      </w:r>
      <w:r>
        <w:rPr>
          <w:sz w:val="24"/>
        </w:rPr>
        <w:t xml:space="preserve">required </w:t>
      </w:r>
      <w:r w:rsidRPr="00DF58FB">
        <w:rPr>
          <w:sz w:val="24"/>
        </w:rPr>
        <w:t xml:space="preserve">to provide to CMS information on </w:t>
      </w:r>
      <w:r w:rsidR="001A5603">
        <w:rPr>
          <w:sz w:val="24"/>
        </w:rPr>
        <w:t xml:space="preserve">their </w:t>
      </w:r>
      <w:r w:rsidRPr="001A5603" w:rsidR="001A5603">
        <w:rPr>
          <w:sz w:val="24"/>
        </w:rPr>
        <w:t>rating ratios for age and tobacco use, geographical rating areas, age rating curves, and family tier structures</w:t>
      </w:r>
      <w:r w:rsidR="001A5603">
        <w:rPr>
          <w:sz w:val="24"/>
        </w:rPr>
        <w:t xml:space="preserve">, as applicable.  They </w:t>
      </w:r>
      <w:r w:rsidR="0070183A">
        <w:rPr>
          <w:sz w:val="24"/>
        </w:rPr>
        <w:t xml:space="preserve">are </w:t>
      </w:r>
      <w:r w:rsidR="001A5603">
        <w:rPr>
          <w:sz w:val="24"/>
        </w:rPr>
        <w:t>also required to submit information to CMS if</w:t>
      </w:r>
      <w:r w:rsidRPr="001A5603" w:rsidR="001A5603">
        <w:rPr>
          <w:sz w:val="24"/>
        </w:rPr>
        <w:t xml:space="preserve"> </w:t>
      </w:r>
      <w:r w:rsidR="001A5603">
        <w:rPr>
          <w:sz w:val="24"/>
        </w:rPr>
        <w:t>they</w:t>
      </w:r>
      <w:r w:rsidRPr="001A5603" w:rsidR="001A5603">
        <w:rPr>
          <w:sz w:val="24"/>
        </w:rPr>
        <w:t xml:space="preserve"> require premiums to be based on average enrollee amounts in the small group market and if </w:t>
      </w:r>
      <w:r w:rsidR="001A5603">
        <w:rPr>
          <w:sz w:val="24"/>
        </w:rPr>
        <w:t>they require</w:t>
      </w:r>
      <w:r w:rsidRPr="001A5603" w:rsidR="001A5603">
        <w:rPr>
          <w:sz w:val="24"/>
        </w:rPr>
        <w:t xml:space="preserve"> merger of individual and small group market risk pools</w:t>
      </w:r>
      <w:r w:rsidRPr="00DF58FB">
        <w:rPr>
          <w:sz w:val="24"/>
        </w:rPr>
        <w:t xml:space="preserve">.  The burden associated with this requirement </w:t>
      </w:r>
      <w:r w:rsidRPr="00DF58FB">
        <w:rPr>
          <w:sz w:val="24"/>
        </w:rPr>
        <w:lastRenderedPageBreak/>
        <w:t>is the time involved for states to provide to CMS information on</w:t>
      </w:r>
      <w:r w:rsidRPr="00B82C93">
        <w:rPr>
          <w:sz w:val="24"/>
        </w:rPr>
        <w:t xml:space="preserve"> </w:t>
      </w:r>
      <w:r w:rsidRPr="00DF58FB">
        <w:rPr>
          <w:bCs/>
          <w:sz w:val="24"/>
        </w:rPr>
        <w:t xml:space="preserve">the rating factors and requirements applicable to their small group and individual markets.  </w:t>
      </w:r>
      <w:r w:rsidR="00C229FB">
        <w:rPr>
          <w:bCs/>
          <w:sz w:val="24"/>
        </w:rPr>
        <w:t xml:space="preserve">States have already incurred the one-time costs of conducting necessary studies and submitting information on their rating factors to CMS.  </w:t>
      </w:r>
      <w:r w:rsidRPr="00AE642A" w:rsidR="004925E6">
        <w:rPr>
          <w:bCs/>
          <w:sz w:val="24"/>
        </w:rPr>
        <w:t xml:space="preserve">Based on </w:t>
      </w:r>
      <w:r w:rsidR="00722FFE">
        <w:rPr>
          <w:bCs/>
          <w:sz w:val="24"/>
        </w:rPr>
        <w:t>past</w:t>
      </w:r>
      <w:r w:rsidR="00C229FB">
        <w:rPr>
          <w:bCs/>
          <w:sz w:val="24"/>
        </w:rPr>
        <w:t xml:space="preserve"> </w:t>
      </w:r>
      <w:r w:rsidRPr="00AE642A" w:rsidR="004925E6">
        <w:rPr>
          <w:bCs/>
          <w:sz w:val="24"/>
        </w:rPr>
        <w:t>experience we expect</w:t>
      </w:r>
      <w:r w:rsidR="00C229FB">
        <w:rPr>
          <w:bCs/>
          <w:sz w:val="24"/>
        </w:rPr>
        <w:t xml:space="preserve"> that</w:t>
      </w:r>
      <w:r w:rsidRPr="00AE642A" w:rsidR="004925E6">
        <w:rPr>
          <w:bCs/>
          <w:sz w:val="24"/>
        </w:rPr>
        <w:t xml:space="preserve"> at most</w:t>
      </w:r>
      <w:r w:rsidRPr="00AE642A" w:rsidR="00006F60">
        <w:rPr>
          <w:bCs/>
          <w:sz w:val="24"/>
        </w:rPr>
        <w:t xml:space="preserve"> </w:t>
      </w:r>
      <w:r w:rsidR="00C229FB">
        <w:rPr>
          <w:bCs/>
          <w:sz w:val="24"/>
        </w:rPr>
        <w:t>3</w:t>
      </w:r>
      <w:r w:rsidRPr="00AE642A" w:rsidR="00C229FB">
        <w:rPr>
          <w:bCs/>
          <w:sz w:val="24"/>
        </w:rPr>
        <w:t xml:space="preserve"> </w:t>
      </w:r>
      <w:r w:rsidRPr="00AE642A" w:rsidR="00006F60">
        <w:rPr>
          <w:bCs/>
          <w:sz w:val="24"/>
        </w:rPr>
        <w:t xml:space="preserve">states </w:t>
      </w:r>
      <w:r w:rsidR="00F9056A">
        <w:rPr>
          <w:bCs/>
          <w:sz w:val="24"/>
        </w:rPr>
        <w:t xml:space="preserve">will </w:t>
      </w:r>
      <w:r w:rsidRPr="00AE642A" w:rsidR="00006F60">
        <w:rPr>
          <w:bCs/>
          <w:sz w:val="24"/>
        </w:rPr>
        <w:t>submit information on one or more rating factors</w:t>
      </w:r>
      <w:r w:rsidR="00C66687">
        <w:rPr>
          <w:bCs/>
          <w:sz w:val="24"/>
        </w:rPr>
        <w:t xml:space="preserve"> annually</w:t>
      </w:r>
      <w:r w:rsidR="00073766">
        <w:rPr>
          <w:bCs/>
          <w:sz w:val="24"/>
        </w:rPr>
        <w:t xml:space="preserve"> with no more than 2 submissions for each rating factor</w:t>
      </w:r>
      <w:r w:rsidR="00C229FB">
        <w:rPr>
          <w:bCs/>
          <w:sz w:val="24"/>
        </w:rPr>
        <w:t xml:space="preserve"> </w:t>
      </w:r>
      <w:r w:rsidR="00C66687">
        <w:rPr>
          <w:bCs/>
          <w:sz w:val="24"/>
        </w:rPr>
        <w:t>in total</w:t>
      </w:r>
      <w:r w:rsidR="00C229FB">
        <w:rPr>
          <w:bCs/>
          <w:sz w:val="24"/>
        </w:rPr>
        <w:t xml:space="preserve">, </w:t>
      </w:r>
      <w:r w:rsidRPr="00AE642A" w:rsidR="0070183A">
        <w:rPr>
          <w:bCs/>
          <w:sz w:val="24"/>
        </w:rPr>
        <w:t>since states only need to inform CMS of any changes in their rating requirements</w:t>
      </w:r>
      <w:r w:rsidRPr="00AE642A" w:rsidR="00543B21">
        <w:rPr>
          <w:bCs/>
          <w:sz w:val="24"/>
        </w:rPr>
        <w:t>.</w:t>
      </w:r>
      <w:r w:rsidR="00543B21">
        <w:rPr>
          <w:bCs/>
          <w:sz w:val="24"/>
        </w:rPr>
        <w:t xml:space="preserve"> </w:t>
      </w:r>
      <w:r w:rsidR="004E096E">
        <w:rPr>
          <w:bCs/>
          <w:sz w:val="24"/>
        </w:rPr>
        <w:t xml:space="preserve"> </w:t>
      </w:r>
    </w:p>
    <w:p w:rsidR="006069CA" w:rsidP="00ED2BE0" w:rsidRDefault="004E096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bCs/>
          <w:sz w:val="24"/>
        </w:rPr>
      </w:pPr>
      <w:r w:rsidRPr="004E096E">
        <w:rPr>
          <w:bCs/>
          <w:sz w:val="24"/>
        </w:rPr>
        <w:t>We generally used data from the Bureau of Labor Statistics to derive average labor costs (</w:t>
      </w:r>
      <w:r w:rsidRPr="00F02C9A" w:rsidR="00F02C9A">
        <w:rPr>
          <w:bCs/>
          <w:sz w:val="24"/>
        </w:rPr>
        <w:t>all wage estimates have been adjusted by 100 percent to include fringe benefits</w:t>
      </w:r>
      <w:r w:rsidRPr="004E096E">
        <w:rPr>
          <w:bCs/>
          <w:sz w:val="24"/>
        </w:rPr>
        <w:t>)</w:t>
      </w:r>
      <w:r w:rsidRPr="001E11A4" w:rsidR="00806F93">
        <w:rPr>
          <w:rStyle w:val="FootnoteReference"/>
          <w:bCs/>
          <w:sz w:val="24"/>
          <w:vertAlign w:val="superscript"/>
        </w:rPr>
        <w:footnoteReference w:id="3"/>
      </w:r>
      <w:r w:rsidRPr="001E11A4">
        <w:rPr>
          <w:bCs/>
          <w:sz w:val="24"/>
          <w:vertAlign w:val="superscript"/>
        </w:rPr>
        <w:t xml:space="preserve"> </w:t>
      </w:r>
      <w:r w:rsidRPr="004E096E">
        <w:rPr>
          <w:bCs/>
          <w:sz w:val="24"/>
        </w:rPr>
        <w:t xml:space="preserve">for estimating the </w:t>
      </w:r>
      <w:r>
        <w:rPr>
          <w:bCs/>
          <w:sz w:val="24"/>
        </w:rPr>
        <w:t>costs</w:t>
      </w:r>
      <w:r w:rsidRPr="004E096E">
        <w:rPr>
          <w:bCs/>
          <w:sz w:val="24"/>
        </w:rPr>
        <w:t xml:space="preserve"> associated with the ICR</w:t>
      </w:r>
      <w:r>
        <w:rPr>
          <w:bCs/>
          <w:sz w:val="24"/>
        </w:rPr>
        <w:t>s</w:t>
      </w:r>
      <w:r w:rsidRPr="004E096E">
        <w:rPr>
          <w:bCs/>
          <w:sz w:val="24"/>
        </w:rPr>
        <w:t>.</w:t>
      </w:r>
      <w:r w:rsidR="00ED46CA">
        <w:rPr>
          <w:bCs/>
          <w:sz w:val="24"/>
        </w:rPr>
        <w:t xml:space="preserve">  </w:t>
      </w:r>
    </w:p>
    <w:p w:rsidRPr="006069CA" w:rsidR="006069CA" w:rsidP="006069CA" w:rsidRDefault="006069CA">
      <w:pPr>
        <w:keepNext/>
        <w:keepLines/>
        <w:widowControl/>
        <w:autoSpaceDE/>
        <w:autoSpaceDN/>
        <w:adjustRightInd/>
        <w:spacing w:before="40" w:line="480" w:lineRule="auto"/>
        <w:ind w:firstLine="432"/>
        <w:outlineLvl w:val="2"/>
        <w:rPr>
          <w:sz w:val="24"/>
          <w:u w:val="single"/>
        </w:rPr>
      </w:pPr>
      <w:r w:rsidRPr="006069CA">
        <w:rPr>
          <w:sz w:val="24"/>
          <w:u w:val="single"/>
        </w:rPr>
        <w:t>TABLE 12.1:  Adjusted Hourly Wages Used in Burden Estimates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325"/>
        <w:gridCol w:w="1710"/>
        <w:gridCol w:w="1440"/>
        <w:gridCol w:w="1495"/>
        <w:gridCol w:w="1380"/>
      </w:tblGrid>
      <w:tr w:rsidRPr="006069CA" w:rsidR="006069CA" w:rsidTr="006069CA">
        <w:trPr>
          <w:tblHeader/>
        </w:trPr>
        <w:tc>
          <w:tcPr>
            <w:tcW w:w="3325" w:type="dxa"/>
            <w:shd w:val="clear" w:color="auto" w:fill="BFBFBF"/>
            <w:vAlign w:val="center"/>
          </w:tcPr>
          <w:p w:rsidRPr="006069CA" w:rsidR="006069CA" w:rsidP="006069CA" w:rsidRDefault="006069CA">
            <w:pPr>
              <w:widowControl/>
              <w:autoSpaceDE/>
              <w:autoSpaceDN/>
              <w:adjustRightInd/>
              <w:ind w:firstLine="720"/>
              <w:rPr>
                <w:rFonts w:eastAsia="Calibri"/>
                <w:b/>
                <w:szCs w:val="20"/>
              </w:rPr>
            </w:pPr>
            <w:r w:rsidRPr="006069CA">
              <w:rPr>
                <w:rFonts w:eastAsia="Calibri"/>
                <w:b/>
                <w:szCs w:val="20"/>
              </w:rPr>
              <w:t>Occupation Title</w:t>
            </w:r>
          </w:p>
        </w:tc>
        <w:tc>
          <w:tcPr>
            <w:tcW w:w="1710" w:type="dxa"/>
            <w:shd w:val="clear" w:color="auto" w:fill="BFBFBF"/>
            <w:vAlign w:val="center"/>
          </w:tcPr>
          <w:p w:rsidRPr="006069CA" w:rsidR="006069CA" w:rsidP="006069CA" w:rsidRDefault="006069CA">
            <w:pPr>
              <w:widowControl/>
              <w:autoSpaceDE/>
              <w:autoSpaceDN/>
              <w:adjustRightInd/>
              <w:jc w:val="center"/>
              <w:rPr>
                <w:rFonts w:eastAsia="Calibri"/>
                <w:b/>
                <w:szCs w:val="20"/>
              </w:rPr>
            </w:pPr>
            <w:r w:rsidRPr="006069CA">
              <w:rPr>
                <w:rFonts w:eastAsia="Calibri"/>
                <w:b/>
                <w:szCs w:val="20"/>
              </w:rPr>
              <w:t>Occupational Code</w:t>
            </w:r>
          </w:p>
        </w:tc>
        <w:tc>
          <w:tcPr>
            <w:tcW w:w="1440" w:type="dxa"/>
            <w:shd w:val="clear" w:color="auto" w:fill="BFBFBF"/>
            <w:vAlign w:val="center"/>
          </w:tcPr>
          <w:p w:rsidRPr="006069CA" w:rsidR="006069CA" w:rsidP="006069CA" w:rsidRDefault="006069CA">
            <w:pPr>
              <w:widowControl/>
              <w:autoSpaceDE/>
              <w:autoSpaceDN/>
              <w:adjustRightInd/>
              <w:jc w:val="center"/>
              <w:rPr>
                <w:rFonts w:eastAsia="Calibri"/>
                <w:b/>
                <w:szCs w:val="20"/>
              </w:rPr>
            </w:pPr>
            <w:r w:rsidRPr="006069CA">
              <w:rPr>
                <w:rFonts w:eastAsia="Calibri"/>
                <w:b/>
                <w:szCs w:val="20"/>
              </w:rPr>
              <w:t>Mean Hourly Wage ($/hr.)</w:t>
            </w:r>
          </w:p>
        </w:tc>
        <w:tc>
          <w:tcPr>
            <w:tcW w:w="1495" w:type="dxa"/>
            <w:shd w:val="clear" w:color="auto" w:fill="BFBFBF"/>
            <w:vAlign w:val="center"/>
          </w:tcPr>
          <w:p w:rsidRPr="006069CA" w:rsidR="006069CA" w:rsidP="006069CA" w:rsidRDefault="006069CA">
            <w:pPr>
              <w:widowControl/>
              <w:autoSpaceDE/>
              <w:autoSpaceDN/>
              <w:adjustRightInd/>
              <w:jc w:val="center"/>
              <w:rPr>
                <w:rFonts w:eastAsia="Calibri"/>
                <w:b/>
                <w:szCs w:val="20"/>
              </w:rPr>
            </w:pPr>
            <w:r w:rsidRPr="006069CA">
              <w:rPr>
                <w:rFonts w:eastAsia="Calibri"/>
                <w:b/>
                <w:szCs w:val="20"/>
              </w:rPr>
              <w:t>Fringe Benefits and Overhead ($/hr.)</w:t>
            </w:r>
          </w:p>
        </w:tc>
        <w:tc>
          <w:tcPr>
            <w:tcW w:w="1380" w:type="dxa"/>
            <w:shd w:val="clear" w:color="auto" w:fill="BFBFBF"/>
            <w:vAlign w:val="center"/>
          </w:tcPr>
          <w:p w:rsidRPr="006069CA" w:rsidR="006069CA" w:rsidP="006069CA" w:rsidRDefault="006069CA">
            <w:pPr>
              <w:widowControl/>
              <w:autoSpaceDE/>
              <w:autoSpaceDN/>
              <w:adjustRightInd/>
              <w:jc w:val="center"/>
              <w:rPr>
                <w:rFonts w:eastAsia="Calibri"/>
                <w:b/>
                <w:szCs w:val="20"/>
              </w:rPr>
            </w:pPr>
            <w:r w:rsidRPr="006069CA">
              <w:rPr>
                <w:rFonts w:eastAsia="Calibri"/>
                <w:b/>
                <w:szCs w:val="20"/>
              </w:rPr>
              <w:t>Adjusted Hourly Wage ($/hr.)</w:t>
            </w:r>
          </w:p>
        </w:tc>
      </w:tr>
      <w:tr w:rsidRPr="006069CA" w:rsidR="006069CA" w:rsidTr="006069CA">
        <w:tc>
          <w:tcPr>
            <w:tcW w:w="3325" w:type="dxa"/>
            <w:vAlign w:val="center"/>
          </w:tcPr>
          <w:p w:rsidRPr="006069CA" w:rsidR="006069CA" w:rsidP="006069CA" w:rsidRDefault="009145C2">
            <w:pPr>
              <w:widowControl/>
              <w:autoSpaceDE/>
              <w:autoSpaceDN/>
              <w:adjustRightInd/>
              <w:rPr>
                <w:rFonts w:eastAsia="Calibri"/>
                <w:szCs w:val="20"/>
              </w:rPr>
            </w:pPr>
            <w:r w:rsidRPr="009145C2">
              <w:rPr>
                <w:rFonts w:eastAsia="Calibri"/>
                <w:szCs w:val="20"/>
              </w:rPr>
              <w:t>Executive Secretaries and Executive Administrative Assistants</w:t>
            </w:r>
          </w:p>
        </w:tc>
        <w:tc>
          <w:tcPr>
            <w:tcW w:w="1710" w:type="dxa"/>
            <w:vAlign w:val="center"/>
          </w:tcPr>
          <w:p w:rsidRPr="006069CA" w:rsidR="006069CA" w:rsidP="006069CA" w:rsidRDefault="009145C2">
            <w:pPr>
              <w:widowControl/>
              <w:autoSpaceDE/>
              <w:autoSpaceDN/>
              <w:adjustRightInd/>
              <w:jc w:val="center"/>
              <w:rPr>
                <w:rFonts w:eastAsia="Calibri"/>
                <w:szCs w:val="20"/>
              </w:rPr>
            </w:pPr>
            <w:r>
              <w:rPr>
                <w:rFonts w:eastAsia="Calibri"/>
                <w:szCs w:val="20"/>
              </w:rPr>
              <w:t>43-6011</w:t>
            </w:r>
          </w:p>
        </w:tc>
        <w:tc>
          <w:tcPr>
            <w:tcW w:w="1440" w:type="dxa"/>
            <w:vAlign w:val="center"/>
          </w:tcPr>
          <w:p w:rsidRPr="006069CA" w:rsidR="006069CA" w:rsidP="006069CA" w:rsidRDefault="009145C2">
            <w:pPr>
              <w:widowControl/>
              <w:autoSpaceDE/>
              <w:autoSpaceDN/>
              <w:adjustRightInd/>
              <w:jc w:val="center"/>
              <w:rPr>
                <w:rFonts w:eastAsia="Calibri"/>
                <w:szCs w:val="20"/>
              </w:rPr>
            </w:pPr>
            <w:r>
              <w:rPr>
                <w:rFonts w:eastAsia="Calibri"/>
                <w:szCs w:val="20"/>
              </w:rPr>
              <w:t>$30.25</w:t>
            </w:r>
          </w:p>
        </w:tc>
        <w:tc>
          <w:tcPr>
            <w:tcW w:w="1495" w:type="dxa"/>
            <w:vAlign w:val="center"/>
          </w:tcPr>
          <w:p w:rsidRPr="006069CA" w:rsidR="006069CA" w:rsidP="009145C2" w:rsidRDefault="006069CA">
            <w:pPr>
              <w:widowControl/>
              <w:autoSpaceDE/>
              <w:autoSpaceDN/>
              <w:adjustRightInd/>
              <w:jc w:val="center"/>
              <w:rPr>
                <w:rFonts w:eastAsia="Calibri"/>
                <w:szCs w:val="20"/>
              </w:rPr>
            </w:pPr>
            <w:r w:rsidRPr="006069CA">
              <w:rPr>
                <w:rFonts w:eastAsia="Calibri"/>
                <w:szCs w:val="20"/>
              </w:rPr>
              <w:t>$</w:t>
            </w:r>
            <w:r w:rsidR="009145C2">
              <w:rPr>
                <w:rFonts w:eastAsia="Calibri"/>
                <w:szCs w:val="20"/>
              </w:rPr>
              <w:t>30.25</w:t>
            </w:r>
          </w:p>
        </w:tc>
        <w:tc>
          <w:tcPr>
            <w:tcW w:w="1380" w:type="dxa"/>
            <w:vAlign w:val="center"/>
          </w:tcPr>
          <w:p w:rsidRPr="006069CA" w:rsidR="006069CA" w:rsidP="009145C2" w:rsidRDefault="006069CA">
            <w:pPr>
              <w:widowControl/>
              <w:autoSpaceDE/>
              <w:autoSpaceDN/>
              <w:adjustRightInd/>
              <w:jc w:val="center"/>
              <w:rPr>
                <w:rFonts w:eastAsia="Calibri"/>
                <w:szCs w:val="20"/>
              </w:rPr>
            </w:pPr>
            <w:r w:rsidRPr="006069CA">
              <w:rPr>
                <w:rFonts w:eastAsia="Calibri"/>
                <w:szCs w:val="20"/>
              </w:rPr>
              <w:t>$</w:t>
            </w:r>
            <w:r w:rsidR="009145C2">
              <w:rPr>
                <w:rFonts w:eastAsia="Calibri"/>
                <w:szCs w:val="20"/>
              </w:rPr>
              <w:t>60.50</w:t>
            </w:r>
          </w:p>
        </w:tc>
      </w:tr>
      <w:tr w:rsidRPr="006069CA" w:rsidR="006069CA" w:rsidTr="006069CA">
        <w:tc>
          <w:tcPr>
            <w:tcW w:w="3325" w:type="dxa"/>
            <w:vAlign w:val="center"/>
          </w:tcPr>
          <w:p w:rsidRPr="006069CA" w:rsidR="006069CA" w:rsidP="006069CA" w:rsidRDefault="006069CA">
            <w:pPr>
              <w:widowControl/>
              <w:autoSpaceDE/>
              <w:autoSpaceDN/>
              <w:adjustRightInd/>
              <w:rPr>
                <w:rFonts w:eastAsia="Calibri"/>
                <w:szCs w:val="20"/>
              </w:rPr>
            </w:pPr>
            <w:r w:rsidRPr="006069CA">
              <w:rPr>
                <w:rFonts w:eastAsia="Calibri"/>
                <w:szCs w:val="20"/>
              </w:rPr>
              <w:t xml:space="preserve">General and Operations Manager </w:t>
            </w:r>
          </w:p>
        </w:tc>
        <w:tc>
          <w:tcPr>
            <w:tcW w:w="1710" w:type="dxa"/>
            <w:vAlign w:val="center"/>
          </w:tcPr>
          <w:p w:rsidRPr="006069CA" w:rsidR="006069CA" w:rsidP="006069CA" w:rsidRDefault="006069CA">
            <w:pPr>
              <w:widowControl/>
              <w:autoSpaceDE/>
              <w:autoSpaceDN/>
              <w:adjustRightInd/>
              <w:jc w:val="center"/>
              <w:rPr>
                <w:rFonts w:eastAsia="Calibri"/>
                <w:szCs w:val="20"/>
              </w:rPr>
            </w:pPr>
            <w:r w:rsidRPr="006069CA">
              <w:rPr>
                <w:rFonts w:eastAsia="Calibri"/>
                <w:szCs w:val="20"/>
              </w:rPr>
              <w:t>11-1021</w:t>
            </w:r>
          </w:p>
        </w:tc>
        <w:tc>
          <w:tcPr>
            <w:tcW w:w="1440" w:type="dxa"/>
            <w:vAlign w:val="center"/>
          </w:tcPr>
          <w:p w:rsidRPr="006069CA" w:rsidR="006069CA" w:rsidP="006069CA" w:rsidRDefault="006069CA">
            <w:pPr>
              <w:widowControl/>
              <w:autoSpaceDE/>
              <w:autoSpaceDN/>
              <w:adjustRightInd/>
              <w:jc w:val="center"/>
              <w:rPr>
                <w:rFonts w:eastAsia="Calibri"/>
                <w:szCs w:val="20"/>
              </w:rPr>
            </w:pPr>
            <w:r w:rsidRPr="006069CA">
              <w:rPr>
                <w:rFonts w:eastAsia="Calibri"/>
                <w:szCs w:val="20"/>
              </w:rPr>
              <w:t>$59.</w:t>
            </w:r>
            <w:r>
              <w:rPr>
                <w:rFonts w:eastAsia="Calibri"/>
                <w:szCs w:val="20"/>
              </w:rPr>
              <w:t>15</w:t>
            </w:r>
          </w:p>
        </w:tc>
        <w:tc>
          <w:tcPr>
            <w:tcW w:w="1495" w:type="dxa"/>
            <w:vAlign w:val="center"/>
          </w:tcPr>
          <w:p w:rsidRPr="006069CA" w:rsidR="006069CA" w:rsidP="006069CA" w:rsidRDefault="006069CA">
            <w:pPr>
              <w:widowControl/>
              <w:autoSpaceDE/>
              <w:autoSpaceDN/>
              <w:adjustRightInd/>
              <w:jc w:val="center"/>
              <w:rPr>
                <w:rFonts w:eastAsia="Calibri"/>
                <w:szCs w:val="20"/>
              </w:rPr>
            </w:pPr>
            <w:r w:rsidRPr="006069CA">
              <w:rPr>
                <w:rFonts w:eastAsia="Calibri"/>
                <w:szCs w:val="20"/>
              </w:rPr>
              <w:t>$59.</w:t>
            </w:r>
            <w:r>
              <w:rPr>
                <w:rFonts w:eastAsia="Calibri"/>
                <w:szCs w:val="20"/>
              </w:rPr>
              <w:t>15</w:t>
            </w:r>
          </w:p>
        </w:tc>
        <w:tc>
          <w:tcPr>
            <w:tcW w:w="1380" w:type="dxa"/>
            <w:vAlign w:val="center"/>
          </w:tcPr>
          <w:p w:rsidRPr="006069CA" w:rsidR="006069CA" w:rsidP="006069CA" w:rsidRDefault="006069CA">
            <w:pPr>
              <w:widowControl/>
              <w:autoSpaceDE/>
              <w:autoSpaceDN/>
              <w:adjustRightInd/>
              <w:jc w:val="center"/>
              <w:rPr>
                <w:rFonts w:eastAsia="Calibri"/>
                <w:szCs w:val="20"/>
              </w:rPr>
            </w:pPr>
            <w:r w:rsidRPr="006069CA">
              <w:rPr>
                <w:rFonts w:eastAsia="Calibri"/>
                <w:szCs w:val="20"/>
              </w:rPr>
              <w:t>$11</w:t>
            </w:r>
            <w:r>
              <w:rPr>
                <w:rFonts w:eastAsia="Calibri"/>
                <w:szCs w:val="20"/>
              </w:rPr>
              <w:t>8</w:t>
            </w:r>
            <w:r w:rsidRPr="006069CA">
              <w:rPr>
                <w:rFonts w:eastAsia="Calibri"/>
                <w:szCs w:val="20"/>
              </w:rPr>
              <w:t>.</w:t>
            </w:r>
            <w:r>
              <w:rPr>
                <w:rFonts w:eastAsia="Calibri"/>
                <w:szCs w:val="20"/>
              </w:rPr>
              <w:t>30</w:t>
            </w:r>
          </w:p>
        </w:tc>
      </w:tr>
    </w:tbl>
    <w:p w:rsidR="006069CA" w:rsidP="00ED2BE0" w:rsidRDefault="006069C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bCs/>
          <w:sz w:val="24"/>
        </w:rPr>
      </w:pPr>
    </w:p>
    <w:p w:rsidR="005A34B2" w:rsidP="00ED2BE0" w:rsidRDefault="00ED46C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bCs/>
          <w:sz w:val="24"/>
        </w:rPr>
      </w:pPr>
      <w:r>
        <w:rPr>
          <w:bCs/>
          <w:sz w:val="24"/>
        </w:rPr>
        <w:t xml:space="preserve">We assume that </w:t>
      </w:r>
      <w:r w:rsidR="00D84251">
        <w:rPr>
          <w:bCs/>
          <w:sz w:val="24"/>
        </w:rPr>
        <w:t>the</w:t>
      </w:r>
      <w:r>
        <w:rPr>
          <w:bCs/>
          <w:sz w:val="24"/>
        </w:rPr>
        <w:t xml:space="preserve"> </w:t>
      </w:r>
      <w:r w:rsidR="00D84251">
        <w:rPr>
          <w:bCs/>
          <w:sz w:val="24"/>
        </w:rPr>
        <w:t>reports are</w:t>
      </w:r>
      <w:r>
        <w:rPr>
          <w:bCs/>
          <w:sz w:val="24"/>
        </w:rPr>
        <w:t xml:space="preserve"> prepared by </w:t>
      </w:r>
      <w:r w:rsidRPr="00AE642A">
        <w:rPr>
          <w:bCs/>
          <w:sz w:val="24"/>
        </w:rPr>
        <w:t>clerical staff (at a cost of $</w:t>
      </w:r>
      <w:r w:rsidR="009145C2">
        <w:rPr>
          <w:bCs/>
          <w:sz w:val="24"/>
        </w:rPr>
        <w:t>60.50</w:t>
      </w:r>
      <w:r w:rsidRPr="00AE642A">
        <w:rPr>
          <w:bCs/>
          <w:sz w:val="24"/>
        </w:rPr>
        <w:t xml:space="preserve"> per hour) and </w:t>
      </w:r>
      <w:r w:rsidRPr="00AE642A" w:rsidR="00D84251">
        <w:rPr>
          <w:bCs/>
          <w:sz w:val="24"/>
        </w:rPr>
        <w:t>are</w:t>
      </w:r>
      <w:r w:rsidRPr="00AE642A">
        <w:rPr>
          <w:bCs/>
          <w:sz w:val="24"/>
        </w:rPr>
        <w:t xml:space="preserve"> reviewed by a senior manager (at a cost of approximately $</w:t>
      </w:r>
      <w:r w:rsidR="006069CA">
        <w:rPr>
          <w:bCs/>
          <w:sz w:val="24"/>
        </w:rPr>
        <w:t>118.30</w:t>
      </w:r>
      <w:r w:rsidRPr="00AE642A">
        <w:rPr>
          <w:bCs/>
          <w:sz w:val="24"/>
        </w:rPr>
        <w:t xml:space="preserve"> per hour)</w:t>
      </w:r>
      <w:r w:rsidRPr="00AE642A" w:rsidR="00D93D1E">
        <w:rPr>
          <w:bCs/>
          <w:sz w:val="24"/>
        </w:rPr>
        <w:t xml:space="preserve"> prior to submission to CMS.</w:t>
      </w:r>
      <w:r w:rsidR="00D93D1E">
        <w:rPr>
          <w:bCs/>
          <w:sz w:val="24"/>
        </w:rPr>
        <w:t xml:space="preserve"> </w:t>
      </w:r>
    </w:p>
    <w:p w:rsidR="00153F27" w:rsidP="00ED2BE0" w:rsidRDefault="00153F27">
      <w:pPr>
        <w:pStyle w:val="Heading3"/>
        <w:rPr>
          <w:bCs/>
          <w:u w:val="none"/>
          <w:lang w:val="en-US" w:eastAsia="en-US"/>
        </w:rPr>
      </w:pPr>
      <w:r w:rsidRPr="00153F27">
        <w:rPr>
          <w:bCs/>
          <w:u w:val="none"/>
          <w:lang w:val="en-US" w:eastAsia="en-US"/>
        </w:rPr>
        <w:t>If a state adopts narrower rating ratios for age or tobacco use, or chooses to merge their individual and small group market risk pools, the state will inform CMS.  We estimate that it</w:t>
      </w:r>
      <w:r w:rsidR="002327AD">
        <w:rPr>
          <w:bCs/>
          <w:u w:val="none"/>
          <w:lang w:val="en-US" w:eastAsia="en-US"/>
        </w:rPr>
        <w:t xml:space="preserve"> </w:t>
      </w:r>
      <w:r w:rsidRPr="00153F27">
        <w:rPr>
          <w:bCs/>
          <w:u w:val="none"/>
          <w:lang w:val="en-US" w:eastAsia="en-US"/>
        </w:rPr>
        <w:t xml:space="preserve">will take 20 minutes for </w:t>
      </w:r>
      <w:r w:rsidR="00CE10A0">
        <w:rPr>
          <w:bCs/>
          <w:u w:val="none"/>
          <w:lang w:val="en-US" w:eastAsia="en-US"/>
        </w:rPr>
        <w:t>clerical staff</w:t>
      </w:r>
      <w:r w:rsidRPr="00153F27">
        <w:rPr>
          <w:bCs/>
          <w:u w:val="none"/>
          <w:lang w:val="en-US" w:eastAsia="en-US"/>
        </w:rPr>
        <w:t xml:space="preserve"> </w:t>
      </w:r>
      <w:r w:rsidR="00CE10A0">
        <w:rPr>
          <w:bCs/>
          <w:u w:val="none"/>
          <w:lang w:val="en-US" w:eastAsia="en-US"/>
        </w:rPr>
        <w:t xml:space="preserve">in each state </w:t>
      </w:r>
      <w:r w:rsidRPr="00153F27">
        <w:rPr>
          <w:bCs/>
          <w:u w:val="none"/>
          <w:lang w:val="en-US" w:eastAsia="en-US"/>
        </w:rPr>
        <w:t>to prepare and submit a report to CMS for each of these disclosures</w:t>
      </w:r>
      <w:r w:rsidR="00D94EF9">
        <w:rPr>
          <w:bCs/>
          <w:u w:val="none"/>
          <w:lang w:val="en-US" w:eastAsia="en-US"/>
        </w:rPr>
        <w:t>.</w:t>
      </w:r>
      <w:r w:rsidR="00FE7802">
        <w:rPr>
          <w:bCs/>
          <w:u w:val="none"/>
          <w:lang w:val="en-US" w:eastAsia="en-US"/>
        </w:rPr>
        <w:t xml:space="preserve"> </w:t>
      </w:r>
      <w:r w:rsidR="00D94EF9">
        <w:rPr>
          <w:bCs/>
          <w:u w:val="none"/>
          <w:lang w:val="en-US" w:eastAsia="en-US"/>
        </w:rPr>
        <w:t xml:space="preserve"> </w:t>
      </w:r>
      <w:r w:rsidR="00162560">
        <w:rPr>
          <w:bCs/>
          <w:u w:val="none"/>
          <w:lang w:val="en-US" w:eastAsia="en-US"/>
        </w:rPr>
        <w:t>T</w:t>
      </w:r>
      <w:r w:rsidR="00543B21">
        <w:rPr>
          <w:bCs/>
          <w:u w:val="none"/>
          <w:lang w:val="en-US" w:eastAsia="en-US"/>
        </w:rPr>
        <w:t xml:space="preserve">he total </w:t>
      </w:r>
      <w:r w:rsidR="00732855">
        <w:rPr>
          <w:bCs/>
          <w:u w:val="none"/>
          <w:lang w:val="en-US" w:eastAsia="en-US"/>
        </w:rPr>
        <w:t>burden</w:t>
      </w:r>
      <w:r w:rsidR="00543B21">
        <w:rPr>
          <w:bCs/>
          <w:u w:val="none"/>
          <w:lang w:val="en-US" w:eastAsia="en-US"/>
        </w:rPr>
        <w:t xml:space="preserve"> for </w:t>
      </w:r>
      <w:r w:rsidR="00CE02D9">
        <w:rPr>
          <w:bCs/>
          <w:u w:val="none"/>
          <w:lang w:val="en-US" w:eastAsia="en-US"/>
        </w:rPr>
        <w:t>2</w:t>
      </w:r>
      <w:r w:rsidR="00C229FB">
        <w:rPr>
          <w:bCs/>
          <w:u w:val="none"/>
          <w:lang w:val="en-US" w:eastAsia="en-US"/>
        </w:rPr>
        <w:t xml:space="preserve"> </w:t>
      </w:r>
      <w:r w:rsidR="002327AD">
        <w:rPr>
          <w:bCs/>
          <w:u w:val="none"/>
          <w:lang w:val="en-US" w:eastAsia="en-US"/>
        </w:rPr>
        <w:t>states reporting</w:t>
      </w:r>
      <w:r w:rsidR="00543B21">
        <w:rPr>
          <w:bCs/>
          <w:u w:val="none"/>
          <w:lang w:val="en-US" w:eastAsia="en-US"/>
        </w:rPr>
        <w:t xml:space="preserve"> age rating ratios, </w:t>
      </w:r>
      <w:r w:rsidR="00CE02D9">
        <w:rPr>
          <w:bCs/>
          <w:u w:val="none"/>
          <w:lang w:val="en-US" w:eastAsia="en-US"/>
        </w:rPr>
        <w:t>2</w:t>
      </w:r>
      <w:r w:rsidR="00543B21">
        <w:rPr>
          <w:bCs/>
          <w:u w:val="none"/>
          <w:lang w:val="en-US" w:eastAsia="en-US"/>
        </w:rPr>
        <w:t xml:space="preserve"> </w:t>
      </w:r>
      <w:r w:rsidR="002327AD">
        <w:rPr>
          <w:bCs/>
          <w:u w:val="none"/>
          <w:lang w:val="en-US" w:eastAsia="en-US"/>
        </w:rPr>
        <w:t>state</w:t>
      </w:r>
      <w:r w:rsidR="00CE02D9">
        <w:rPr>
          <w:bCs/>
          <w:u w:val="none"/>
          <w:lang w:val="en-US" w:eastAsia="en-US"/>
        </w:rPr>
        <w:t>s</w:t>
      </w:r>
      <w:r w:rsidR="002327AD">
        <w:rPr>
          <w:bCs/>
          <w:u w:val="none"/>
          <w:lang w:val="en-US" w:eastAsia="en-US"/>
        </w:rPr>
        <w:t xml:space="preserve"> r</w:t>
      </w:r>
      <w:r w:rsidR="00543B21">
        <w:rPr>
          <w:bCs/>
          <w:u w:val="none"/>
          <w:lang w:val="en-US" w:eastAsia="en-US"/>
        </w:rPr>
        <w:t>eport</w:t>
      </w:r>
      <w:r w:rsidR="002327AD">
        <w:rPr>
          <w:bCs/>
          <w:u w:val="none"/>
          <w:lang w:val="en-US" w:eastAsia="en-US"/>
        </w:rPr>
        <w:t>ing</w:t>
      </w:r>
      <w:r w:rsidR="00543B21">
        <w:rPr>
          <w:bCs/>
          <w:u w:val="none"/>
          <w:lang w:val="en-US" w:eastAsia="en-US"/>
        </w:rPr>
        <w:t xml:space="preserve"> tobacco rating ratios and </w:t>
      </w:r>
      <w:r w:rsidR="00CE02D9">
        <w:rPr>
          <w:bCs/>
          <w:u w:val="none"/>
          <w:lang w:val="en-US" w:eastAsia="en-US"/>
        </w:rPr>
        <w:t>2</w:t>
      </w:r>
      <w:r w:rsidR="00C229FB">
        <w:rPr>
          <w:bCs/>
          <w:u w:val="none"/>
          <w:lang w:val="en-US" w:eastAsia="en-US"/>
        </w:rPr>
        <w:t xml:space="preserve"> </w:t>
      </w:r>
      <w:r w:rsidR="002327AD">
        <w:rPr>
          <w:bCs/>
          <w:u w:val="none"/>
          <w:lang w:val="en-US" w:eastAsia="en-US"/>
        </w:rPr>
        <w:t xml:space="preserve">states </w:t>
      </w:r>
      <w:r w:rsidR="00543B21">
        <w:rPr>
          <w:bCs/>
          <w:u w:val="none"/>
          <w:lang w:val="en-US" w:eastAsia="en-US"/>
        </w:rPr>
        <w:t>report</w:t>
      </w:r>
      <w:r w:rsidR="002327AD">
        <w:rPr>
          <w:bCs/>
          <w:u w:val="none"/>
          <w:lang w:val="en-US" w:eastAsia="en-US"/>
        </w:rPr>
        <w:t>ing</w:t>
      </w:r>
      <w:r w:rsidR="00543B21">
        <w:rPr>
          <w:bCs/>
          <w:u w:val="none"/>
          <w:lang w:val="en-US" w:eastAsia="en-US"/>
        </w:rPr>
        <w:t xml:space="preserve"> merging of risk pools is estimated to be </w:t>
      </w:r>
      <w:r w:rsidR="00073766">
        <w:rPr>
          <w:bCs/>
          <w:u w:val="none"/>
          <w:lang w:val="en-US" w:eastAsia="en-US"/>
        </w:rPr>
        <w:t xml:space="preserve">2 </w:t>
      </w:r>
      <w:r w:rsidR="00732855">
        <w:rPr>
          <w:bCs/>
          <w:u w:val="none"/>
          <w:lang w:val="en-US" w:eastAsia="en-US"/>
        </w:rPr>
        <w:t xml:space="preserve">hours at a total cost of approximately </w:t>
      </w:r>
      <w:r w:rsidRPr="00AE642A" w:rsidR="00543B21">
        <w:rPr>
          <w:bCs/>
          <w:u w:val="none"/>
          <w:lang w:val="en-US" w:eastAsia="en-US"/>
        </w:rPr>
        <w:t>$</w:t>
      </w:r>
      <w:r w:rsidR="00CE02D9">
        <w:rPr>
          <w:bCs/>
          <w:u w:val="none"/>
          <w:lang w:val="en-US" w:eastAsia="en-US"/>
        </w:rPr>
        <w:t>121</w:t>
      </w:r>
      <w:r w:rsidRPr="00AE642A" w:rsidR="00732855">
        <w:rPr>
          <w:bCs/>
          <w:u w:val="none"/>
          <w:lang w:val="en-US" w:eastAsia="en-US"/>
        </w:rPr>
        <w:t>.</w:t>
      </w:r>
      <w:r w:rsidRPr="00153F27">
        <w:rPr>
          <w:bCs/>
          <w:u w:val="none"/>
          <w:lang w:val="en-US" w:eastAsia="en-US"/>
        </w:rPr>
        <w:t xml:space="preserve">  </w:t>
      </w:r>
    </w:p>
    <w:p w:rsidRPr="00153F27" w:rsidR="00153F27" w:rsidP="00ED2BE0" w:rsidRDefault="001E3BAB">
      <w:pPr>
        <w:pStyle w:val="Heading3"/>
        <w:rPr>
          <w:bCs/>
          <w:u w:val="none"/>
          <w:lang w:val="en-US" w:eastAsia="en-US"/>
        </w:rPr>
      </w:pPr>
      <w:r w:rsidRPr="008B6373">
        <w:rPr>
          <w:bCs/>
          <w:u w:val="none"/>
          <w:lang w:val="en-US" w:eastAsia="en-US"/>
        </w:rPr>
        <w:t xml:space="preserve">The </w:t>
      </w:r>
      <w:r w:rsidRPr="008B6373" w:rsidR="00153F27">
        <w:rPr>
          <w:bCs/>
          <w:u w:val="none"/>
          <w:lang w:val="en-US" w:eastAsia="en-US"/>
        </w:rPr>
        <w:t xml:space="preserve">final rule provides that a state’s rating areas </w:t>
      </w:r>
      <w:r w:rsidRPr="008B6373" w:rsidR="008007BE">
        <w:rPr>
          <w:bCs/>
          <w:u w:val="none"/>
          <w:lang w:val="en-US" w:eastAsia="en-US"/>
        </w:rPr>
        <w:t>must be</w:t>
      </w:r>
      <w:r w:rsidRPr="008B6373" w:rsidR="00153F27">
        <w:rPr>
          <w:bCs/>
          <w:u w:val="none"/>
          <w:lang w:val="en-US" w:eastAsia="en-US"/>
        </w:rPr>
        <w:t xml:space="preserve"> based on the geographic divisions of counties, three-digit zip codes, or MSAs and non-MSAs and </w:t>
      </w:r>
      <w:r w:rsidRPr="008B6373" w:rsidR="008007BE">
        <w:rPr>
          <w:bCs/>
          <w:u w:val="none"/>
          <w:lang w:val="en-US" w:eastAsia="en-US"/>
        </w:rPr>
        <w:t>will be presumed adequate if</w:t>
      </w:r>
      <w:r w:rsidRPr="008B6373" w:rsidR="00153F27">
        <w:rPr>
          <w:bCs/>
          <w:u w:val="none"/>
          <w:lang w:val="en-US" w:eastAsia="en-US"/>
        </w:rPr>
        <w:t xml:space="preserve"> either of the following conditions</w:t>
      </w:r>
      <w:r w:rsidRPr="008B6373" w:rsidR="008007BE">
        <w:rPr>
          <w:bCs/>
          <w:u w:val="none"/>
          <w:lang w:val="en-US" w:eastAsia="en-US"/>
        </w:rPr>
        <w:t xml:space="preserve"> are met</w:t>
      </w:r>
      <w:r w:rsidRPr="008B6373" w:rsidR="00153F27">
        <w:rPr>
          <w:bCs/>
          <w:u w:val="none"/>
          <w:lang w:val="en-US" w:eastAsia="en-US"/>
        </w:rPr>
        <w:t>:  (1) As of January 1, 2013, the state had established by law, rule, regulation, bulletin, or other executive action uniform geographic rating areas for the entir</w:t>
      </w:r>
      <w:r w:rsidRPr="00C45B2B" w:rsidR="00153F27">
        <w:rPr>
          <w:bCs/>
          <w:u w:val="none"/>
          <w:lang w:val="en-US" w:eastAsia="en-US"/>
        </w:rPr>
        <w:t>e state; or (2) After January 1, 2013, the state establishes</w:t>
      </w:r>
      <w:r w:rsidRPr="00C45B2B" w:rsidR="00D46EBD">
        <w:rPr>
          <w:bCs/>
          <w:u w:val="none"/>
          <w:lang w:val="en-US" w:eastAsia="en-US"/>
        </w:rPr>
        <w:t xml:space="preserve"> </w:t>
      </w:r>
      <w:r w:rsidRPr="00E40206" w:rsidR="00D46EBD">
        <w:rPr>
          <w:bCs/>
          <w:u w:val="none"/>
          <w:lang w:val="en-US" w:eastAsia="en-US"/>
        </w:rPr>
        <w:t>by law, rule, regulation, bulletin, or other executive action</w:t>
      </w:r>
      <w:r w:rsidRPr="00E40206" w:rsidR="00153F27">
        <w:rPr>
          <w:bCs/>
          <w:u w:val="none"/>
          <w:lang w:val="en-US" w:eastAsia="en-US"/>
        </w:rPr>
        <w:t xml:space="preserve"> for the entire state no more geographic rating areas than the number of MSAs in the state plus one.  </w:t>
      </w:r>
      <w:r w:rsidRPr="0019075E" w:rsidR="00153F27">
        <w:rPr>
          <w:bCs/>
          <w:u w:val="none"/>
          <w:lang w:val="en-US" w:eastAsia="en-US"/>
        </w:rPr>
        <w:t xml:space="preserve">For states that establish </w:t>
      </w:r>
      <w:r w:rsidR="004A21BD">
        <w:rPr>
          <w:bCs/>
          <w:u w:val="none"/>
          <w:lang w:val="en-US" w:eastAsia="en-US"/>
        </w:rPr>
        <w:t xml:space="preserve">new or modified </w:t>
      </w:r>
      <w:r w:rsidRPr="0019075E" w:rsidR="00153F27">
        <w:rPr>
          <w:bCs/>
          <w:u w:val="none"/>
          <w:lang w:val="en-US" w:eastAsia="en-US"/>
        </w:rPr>
        <w:t xml:space="preserve">rating areas, we estimate that it will take </w:t>
      </w:r>
      <w:r w:rsidR="00CE10A0">
        <w:rPr>
          <w:bCs/>
          <w:u w:val="none"/>
          <w:lang w:val="en-US" w:eastAsia="en-US"/>
        </w:rPr>
        <w:t>1</w:t>
      </w:r>
      <w:r w:rsidRPr="0019075E" w:rsidR="00CE10A0">
        <w:rPr>
          <w:bCs/>
          <w:u w:val="none"/>
          <w:lang w:val="en-US" w:eastAsia="en-US"/>
        </w:rPr>
        <w:t xml:space="preserve"> </w:t>
      </w:r>
      <w:r w:rsidRPr="0019075E" w:rsidR="00153F27">
        <w:rPr>
          <w:bCs/>
          <w:u w:val="none"/>
          <w:lang w:val="en-US" w:eastAsia="en-US"/>
        </w:rPr>
        <w:t xml:space="preserve">hour for </w:t>
      </w:r>
      <w:r w:rsidR="00CE10A0">
        <w:rPr>
          <w:bCs/>
          <w:u w:val="none"/>
          <w:lang w:val="en-US" w:eastAsia="en-US"/>
        </w:rPr>
        <w:t>clerical staff in each state</w:t>
      </w:r>
      <w:r w:rsidRPr="0019075E" w:rsidR="00153F27">
        <w:rPr>
          <w:bCs/>
          <w:u w:val="none"/>
          <w:lang w:val="en-US" w:eastAsia="en-US"/>
        </w:rPr>
        <w:t xml:space="preserve"> to prepare and submit a report to CMS on its geographical rating areas</w:t>
      </w:r>
      <w:r w:rsidRPr="0019075E" w:rsidR="004F3D69">
        <w:rPr>
          <w:bCs/>
          <w:u w:val="none"/>
          <w:lang w:val="en-US" w:eastAsia="en-US"/>
        </w:rPr>
        <w:t xml:space="preserve">. </w:t>
      </w:r>
      <w:r w:rsidR="00FE7802">
        <w:rPr>
          <w:bCs/>
          <w:u w:val="none"/>
          <w:lang w:val="en-US" w:eastAsia="en-US"/>
        </w:rPr>
        <w:t xml:space="preserve"> </w:t>
      </w:r>
      <w:r w:rsidRPr="008B6373" w:rsidR="00AE642A">
        <w:rPr>
          <w:bCs/>
          <w:u w:val="none"/>
          <w:lang w:val="en-US" w:eastAsia="en-US"/>
        </w:rPr>
        <w:t>The</w:t>
      </w:r>
      <w:r w:rsidRPr="008B6373" w:rsidR="00C13D46">
        <w:rPr>
          <w:bCs/>
          <w:u w:val="none"/>
          <w:lang w:val="en-US" w:eastAsia="en-US"/>
        </w:rPr>
        <w:t xml:space="preserve"> total </w:t>
      </w:r>
      <w:r w:rsidRPr="008B6373" w:rsidR="004F3D69">
        <w:rPr>
          <w:bCs/>
          <w:u w:val="none"/>
          <w:lang w:val="en-US" w:eastAsia="en-US"/>
        </w:rPr>
        <w:t xml:space="preserve">burden for </w:t>
      </w:r>
      <w:r w:rsidR="00CE02D9">
        <w:rPr>
          <w:bCs/>
          <w:u w:val="none"/>
          <w:lang w:val="en-US" w:eastAsia="en-US"/>
        </w:rPr>
        <w:t>2</w:t>
      </w:r>
      <w:r w:rsidRPr="008B6373" w:rsidR="00CE02D9">
        <w:rPr>
          <w:bCs/>
          <w:u w:val="none"/>
          <w:lang w:val="en-US" w:eastAsia="en-US"/>
        </w:rPr>
        <w:t xml:space="preserve"> </w:t>
      </w:r>
      <w:r w:rsidRPr="008B6373" w:rsidR="005E7A9D">
        <w:rPr>
          <w:bCs/>
          <w:u w:val="none"/>
          <w:lang w:val="en-US" w:eastAsia="en-US"/>
        </w:rPr>
        <w:t xml:space="preserve">states submitting </w:t>
      </w:r>
      <w:r w:rsidRPr="008B6373" w:rsidR="004F3D69">
        <w:rPr>
          <w:bCs/>
          <w:u w:val="none"/>
          <w:lang w:val="en-US" w:eastAsia="en-US"/>
        </w:rPr>
        <w:t>reports</w:t>
      </w:r>
      <w:r w:rsidRPr="008B6373" w:rsidR="005E7A9D">
        <w:rPr>
          <w:bCs/>
          <w:u w:val="none"/>
          <w:lang w:val="en-US" w:eastAsia="en-US"/>
        </w:rPr>
        <w:t xml:space="preserve"> on rating areas</w:t>
      </w:r>
      <w:r w:rsidRPr="008B6373" w:rsidR="004F3D69">
        <w:rPr>
          <w:bCs/>
          <w:u w:val="none"/>
          <w:lang w:val="en-US" w:eastAsia="en-US"/>
        </w:rPr>
        <w:t xml:space="preserve"> is </w:t>
      </w:r>
      <w:r w:rsidRPr="008B6373" w:rsidR="005E7A9D">
        <w:rPr>
          <w:bCs/>
          <w:u w:val="none"/>
          <w:lang w:val="en-US" w:eastAsia="en-US"/>
        </w:rPr>
        <w:t xml:space="preserve">estimated to be </w:t>
      </w:r>
      <w:r w:rsidR="00ED342C">
        <w:rPr>
          <w:bCs/>
          <w:u w:val="none"/>
          <w:lang w:val="en-US" w:eastAsia="en-US"/>
        </w:rPr>
        <w:t>2</w:t>
      </w:r>
      <w:r w:rsidRPr="008B6373" w:rsidR="00ED342C">
        <w:rPr>
          <w:bCs/>
          <w:u w:val="none"/>
          <w:lang w:val="en-US" w:eastAsia="en-US"/>
        </w:rPr>
        <w:t xml:space="preserve"> </w:t>
      </w:r>
      <w:r w:rsidRPr="008B6373" w:rsidR="004F3D69">
        <w:rPr>
          <w:bCs/>
          <w:u w:val="none"/>
          <w:lang w:val="en-US" w:eastAsia="en-US"/>
        </w:rPr>
        <w:t>hours at a</w:t>
      </w:r>
      <w:r w:rsidRPr="008B6373" w:rsidR="005E7A9D">
        <w:rPr>
          <w:bCs/>
          <w:u w:val="none"/>
          <w:lang w:val="en-US" w:eastAsia="en-US"/>
        </w:rPr>
        <w:t xml:space="preserve"> total cost of approximately $</w:t>
      </w:r>
      <w:r w:rsidR="00073766">
        <w:rPr>
          <w:bCs/>
          <w:u w:val="none"/>
          <w:lang w:val="en-US" w:eastAsia="en-US"/>
        </w:rPr>
        <w:t>121</w:t>
      </w:r>
      <w:r w:rsidRPr="008B6373" w:rsidR="004F3D69">
        <w:rPr>
          <w:bCs/>
          <w:u w:val="none"/>
          <w:lang w:val="en-US" w:eastAsia="en-US"/>
        </w:rPr>
        <w:t>.</w:t>
      </w:r>
      <w:r w:rsidRPr="00153F27" w:rsidR="00153F27">
        <w:rPr>
          <w:bCs/>
          <w:u w:val="none"/>
          <w:lang w:val="en-US" w:eastAsia="en-US"/>
        </w:rPr>
        <w:t xml:space="preserve">  </w:t>
      </w:r>
    </w:p>
    <w:p w:rsidRPr="00153F27" w:rsidR="00153F27" w:rsidP="00ED2BE0" w:rsidRDefault="00153F27">
      <w:pPr>
        <w:pStyle w:val="Heading3"/>
        <w:rPr>
          <w:bCs/>
          <w:u w:val="none"/>
          <w:lang w:val="en-US" w:eastAsia="en-US"/>
        </w:rPr>
      </w:pPr>
      <w:r w:rsidRPr="008B6373">
        <w:rPr>
          <w:bCs/>
          <w:u w:val="none"/>
          <w:lang w:val="en-US" w:eastAsia="en-US"/>
        </w:rPr>
        <w:t xml:space="preserve">If a state develops an age rating curve, the state will report the state’s age rating curve to </w:t>
      </w:r>
      <w:r w:rsidRPr="008B6373">
        <w:rPr>
          <w:bCs/>
          <w:u w:val="none"/>
          <w:lang w:val="en-US" w:eastAsia="en-US"/>
        </w:rPr>
        <w:lastRenderedPageBreak/>
        <w:t xml:space="preserve">CMS.  HHS’s default standard age </w:t>
      </w:r>
      <w:r w:rsidRPr="000956D7">
        <w:rPr>
          <w:bCs/>
          <w:u w:val="none"/>
          <w:lang w:val="en-US" w:eastAsia="en-US"/>
        </w:rPr>
        <w:t>rating curve will apply in most states</w:t>
      </w:r>
      <w:r w:rsidR="004A21BD">
        <w:rPr>
          <w:bCs/>
          <w:u w:val="none"/>
          <w:lang w:val="en-US" w:eastAsia="en-US"/>
        </w:rPr>
        <w:t>.  W</w:t>
      </w:r>
      <w:r w:rsidRPr="000956D7" w:rsidR="000956D7">
        <w:rPr>
          <w:bCs/>
          <w:u w:val="none"/>
          <w:lang w:val="en-US" w:eastAsia="en-US"/>
        </w:rPr>
        <w:t xml:space="preserve">e expect </w:t>
      </w:r>
      <w:r w:rsidRPr="000956D7" w:rsidR="00E60823">
        <w:rPr>
          <w:bCs/>
          <w:u w:val="none"/>
          <w:lang w:val="en-US" w:eastAsia="en-US"/>
        </w:rPr>
        <w:t xml:space="preserve">that </w:t>
      </w:r>
      <w:r w:rsidR="00E60823">
        <w:rPr>
          <w:bCs/>
          <w:u w:val="none"/>
          <w:lang w:val="en-US" w:eastAsia="en-US"/>
        </w:rPr>
        <w:t>no</w:t>
      </w:r>
      <w:r w:rsidR="00CE02D9">
        <w:rPr>
          <w:bCs/>
          <w:u w:val="none"/>
          <w:lang w:val="en-US" w:eastAsia="en-US"/>
        </w:rPr>
        <w:t xml:space="preserve"> more than </w:t>
      </w:r>
      <w:r w:rsidR="00073766">
        <w:rPr>
          <w:bCs/>
          <w:u w:val="none"/>
          <w:lang w:val="en-US" w:eastAsia="en-US"/>
        </w:rPr>
        <w:t>2</w:t>
      </w:r>
      <w:r w:rsidRPr="000956D7" w:rsidR="00CE02D9">
        <w:rPr>
          <w:bCs/>
          <w:u w:val="none"/>
          <w:lang w:val="en-US" w:eastAsia="en-US"/>
        </w:rPr>
        <w:t xml:space="preserve"> </w:t>
      </w:r>
      <w:r w:rsidRPr="000956D7" w:rsidR="00C13D46">
        <w:rPr>
          <w:bCs/>
          <w:u w:val="none"/>
          <w:lang w:val="en-US" w:eastAsia="en-US"/>
        </w:rPr>
        <w:t xml:space="preserve">states </w:t>
      </w:r>
      <w:r w:rsidRPr="000956D7" w:rsidR="000956D7">
        <w:rPr>
          <w:bCs/>
          <w:u w:val="none"/>
          <w:lang w:val="en-US" w:eastAsia="en-US"/>
        </w:rPr>
        <w:t xml:space="preserve">will </w:t>
      </w:r>
      <w:r w:rsidRPr="000956D7" w:rsidR="00C13D46">
        <w:rPr>
          <w:bCs/>
          <w:u w:val="none"/>
          <w:lang w:val="en-US" w:eastAsia="en-US"/>
        </w:rPr>
        <w:t>report having a different age curve</w:t>
      </w:r>
      <w:r w:rsidRPr="000956D7">
        <w:rPr>
          <w:bCs/>
          <w:u w:val="none"/>
          <w:lang w:val="en-US" w:eastAsia="en-US"/>
        </w:rPr>
        <w:t>.</w:t>
      </w:r>
      <w:r w:rsidRPr="008B6373">
        <w:rPr>
          <w:bCs/>
          <w:u w:val="none"/>
          <w:lang w:val="en-US" w:eastAsia="en-US"/>
        </w:rPr>
        <w:t xml:space="preserve">  For states that designate their own curve, we estimate that it will take </w:t>
      </w:r>
      <w:r w:rsidR="00CE10A0">
        <w:rPr>
          <w:bCs/>
          <w:u w:val="none"/>
          <w:lang w:val="en-US" w:eastAsia="en-US"/>
        </w:rPr>
        <w:t>3</w:t>
      </w:r>
      <w:r w:rsidRPr="008B6373" w:rsidR="00CE10A0">
        <w:rPr>
          <w:bCs/>
          <w:u w:val="none"/>
          <w:lang w:val="en-US" w:eastAsia="en-US"/>
        </w:rPr>
        <w:t xml:space="preserve"> </w:t>
      </w:r>
      <w:r w:rsidRPr="008B6373">
        <w:rPr>
          <w:bCs/>
          <w:u w:val="none"/>
          <w:lang w:val="en-US" w:eastAsia="en-US"/>
        </w:rPr>
        <w:t xml:space="preserve">hours for </w:t>
      </w:r>
      <w:r w:rsidR="00CE10A0">
        <w:rPr>
          <w:bCs/>
          <w:u w:val="none"/>
          <w:lang w:val="en-US" w:eastAsia="en-US"/>
        </w:rPr>
        <w:t xml:space="preserve">clerical staff </w:t>
      </w:r>
      <w:r w:rsidR="00073766">
        <w:rPr>
          <w:bCs/>
          <w:u w:val="none"/>
          <w:lang w:val="en-US" w:eastAsia="en-US"/>
        </w:rPr>
        <w:t xml:space="preserve">in </w:t>
      </w:r>
      <w:r w:rsidRPr="008B6373">
        <w:rPr>
          <w:bCs/>
          <w:u w:val="none"/>
          <w:lang w:val="en-US" w:eastAsia="en-US"/>
        </w:rPr>
        <w:t>each state to prepare and submit a report on its age rating curve</w:t>
      </w:r>
      <w:r w:rsidRPr="008B6373" w:rsidR="00C13D46">
        <w:rPr>
          <w:bCs/>
          <w:u w:val="none"/>
          <w:lang w:val="en-US" w:eastAsia="en-US"/>
        </w:rPr>
        <w:t xml:space="preserve">. </w:t>
      </w:r>
      <w:r w:rsidR="00FE7802">
        <w:rPr>
          <w:bCs/>
          <w:u w:val="none"/>
          <w:lang w:val="en-US" w:eastAsia="en-US"/>
        </w:rPr>
        <w:t xml:space="preserve"> </w:t>
      </w:r>
      <w:r w:rsidRPr="008B6373" w:rsidR="007F2FA5">
        <w:rPr>
          <w:bCs/>
          <w:u w:val="none"/>
          <w:lang w:val="en-US" w:eastAsia="en-US"/>
        </w:rPr>
        <w:t>T</w:t>
      </w:r>
      <w:r w:rsidRPr="008B6373" w:rsidR="00C13D46">
        <w:rPr>
          <w:bCs/>
          <w:u w:val="none"/>
          <w:lang w:val="en-US" w:eastAsia="en-US"/>
        </w:rPr>
        <w:t xml:space="preserve">he total burden for </w:t>
      </w:r>
      <w:r w:rsidR="00073766">
        <w:rPr>
          <w:bCs/>
          <w:u w:val="none"/>
          <w:lang w:val="en-US" w:eastAsia="en-US"/>
        </w:rPr>
        <w:t>2</w:t>
      </w:r>
      <w:r w:rsidRPr="008B6373" w:rsidR="00CE02D9">
        <w:rPr>
          <w:bCs/>
          <w:u w:val="none"/>
          <w:lang w:val="en-US" w:eastAsia="en-US"/>
        </w:rPr>
        <w:t xml:space="preserve"> </w:t>
      </w:r>
      <w:r w:rsidRPr="008B6373" w:rsidR="007F2FA5">
        <w:rPr>
          <w:bCs/>
          <w:u w:val="none"/>
          <w:lang w:val="en-US" w:eastAsia="en-US"/>
        </w:rPr>
        <w:t xml:space="preserve">states submitting </w:t>
      </w:r>
      <w:r w:rsidRPr="008B6373" w:rsidR="00C13D46">
        <w:rPr>
          <w:bCs/>
          <w:u w:val="none"/>
          <w:lang w:val="en-US" w:eastAsia="en-US"/>
        </w:rPr>
        <w:t>reports</w:t>
      </w:r>
      <w:r w:rsidRPr="008B6373" w:rsidR="007F2FA5">
        <w:rPr>
          <w:bCs/>
          <w:u w:val="none"/>
          <w:lang w:val="en-US" w:eastAsia="en-US"/>
        </w:rPr>
        <w:t xml:space="preserve"> on age rating curves</w:t>
      </w:r>
      <w:r w:rsidRPr="008B6373" w:rsidR="00C13D46">
        <w:rPr>
          <w:bCs/>
          <w:u w:val="none"/>
          <w:lang w:val="en-US" w:eastAsia="en-US"/>
        </w:rPr>
        <w:t xml:space="preserve"> is </w:t>
      </w:r>
      <w:r w:rsidR="00073766">
        <w:rPr>
          <w:bCs/>
          <w:u w:val="none"/>
          <w:lang w:val="en-US" w:eastAsia="en-US"/>
        </w:rPr>
        <w:t>6</w:t>
      </w:r>
      <w:r w:rsidRPr="008B6373" w:rsidR="00CE02D9">
        <w:rPr>
          <w:bCs/>
          <w:u w:val="none"/>
          <w:lang w:val="en-US" w:eastAsia="en-US"/>
        </w:rPr>
        <w:t xml:space="preserve"> </w:t>
      </w:r>
      <w:r w:rsidRPr="008B6373" w:rsidR="00C13D46">
        <w:rPr>
          <w:bCs/>
          <w:u w:val="none"/>
          <w:lang w:val="en-US" w:eastAsia="en-US"/>
        </w:rPr>
        <w:t>hours at a total cost of approximately $</w:t>
      </w:r>
      <w:r w:rsidR="00073766">
        <w:rPr>
          <w:bCs/>
          <w:u w:val="none"/>
          <w:lang w:val="en-US" w:eastAsia="en-US"/>
        </w:rPr>
        <w:t>363</w:t>
      </w:r>
      <w:r w:rsidR="00C13D46">
        <w:rPr>
          <w:bCs/>
          <w:u w:val="none"/>
          <w:lang w:val="en-US" w:eastAsia="en-US"/>
        </w:rPr>
        <w:t>.</w:t>
      </w:r>
      <w:r w:rsidRPr="00153F27">
        <w:rPr>
          <w:bCs/>
          <w:u w:val="none"/>
          <w:lang w:val="en-US" w:eastAsia="en-US"/>
        </w:rPr>
        <w:t xml:space="preserve">  </w:t>
      </w:r>
    </w:p>
    <w:p w:rsidRPr="00153F27" w:rsidR="00153F27" w:rsidP="00ED2BE0" w:rsidRDefault="00153F27">
      <w:pPr>
        <w:pStyle w:val="Heading3"/>
        <w:rPr>
          <w:bCs/>
          <w:u w:val="none"/>
          <w:lang w:val="en-US" w:eastAsia="en-US"/>
        </w:rPr>
      </w:pPr>
      <w:r w:rsidRPr="00153F27">
        <w:rPr>
          <w:bCs/>
          <w:u w:val="none"/>
          <w:lang w:val="en-US" w:eastAsia="en-US"/>
        </w:rPr>
        <w:t xml:space="preserve">If a state is community rated and designates a uniform family tier structure with corresponding multipliers, the state will report family tier structure information to CMS.  We estimate it will take </w:t>
      </w:r>
      <w:r w:rsidR="00CE10A0">
        <w:rPr>
          <w:bCs/>
          <w:u w:val="none"/>
          <w:lang w:val="en-US" w:eastAsia="en-US"/>
        </w:rPr>
        <w:t>1</w:t>
      </w:r>
      <w:r w:rsidRPr="00153F27" w:rsidR="00CE10A0">
        <w:rPr>
          <w:bCs/>
          <w:u w:val="none"/>
          <w:lang w:val="en-US" w:eastAsia="en-US"/>
        </w:rPr>
        <w:t xml:space="preserve"> </w:t>
      </w:r>
      <w:r w:rsidRPr="00153F27">
        <w:rPr>
          <w:bCs/>
          <w:u w:val="none"/>
          <w:lang w:val="en-US" w:eastAsia="en-US"/>
        </w:rPr>
        <w:t xml:space="preserve">hour </w:t>
      </w:r>
      <w:r w:rsidR="00467C00">
        <w:rPr>
          <w:bCs/>
          <w:u w:val="none"/>
          <w:lang w:val="en-US" w:eastAsia="en-US"/>
        </w:rPr>
        <w:t xml:space="preserve">for clerical staff </w:t>
      </w:r>
      <w:r w:rsidRPr="00153F27">
        <w:rPr>
          <w:bCs/>
          <w:u w:val="none"/>
          <w:lang w:val="en-US" w:eastAsia="en-US"/>
        </w:rPr>
        <w:t xml:space="preserve">to prepare and submit a report to CMS.  The </w:t>
      </w:r>
      <w:r w:rsidR="00106351">
        <w:rPr>
          <w:bCs/>
          <w:u w:val="none"/>
          <w:lang w:val="en-US" w:eastAsia="en-US"/>
        </w:rPr>
        <w:t xml:space="preserve">total </w:t>
      </w:r>
      <w:r w:rsidRPr="00153F27">
        <w:rPr>
          <w:bCs/>
          <w:u w:val="none"/>
          <w:lang w:val="en-US" w:eastAsia="en-US"/>
        </w:rPr>
        <w:t xml:space="preserve">burden for </w:t>
      </w:r>
      <w:r w:rsidR="00073766">
        <w:rPr>
          <w:bCs/>
          <w:u w:val="none"/>
          <w:lang w:val="en-US" w:eastAsia="en-US"/>
        </w:rPr>
        <w:t>2</w:t>
      </w:r>
      <w:r w:rsidR="00CE02D9">
        <w:rPr>
          <w:bCs/>
          <w:u w:val="none"/>
          <w:lang w:val="en-US" w:eastAsia="en-US"/>
        </w:rPr>
        <w:t xml:space="preserve"> </w:t>
      </w:r>
      <w:r w:rsidR="00106351">
        <w:rPr>
          <w:bCs/>
          <w:u w:val="none"/>
          <w:lang w:val="en-US" w:eastAsia="en-US"/>
        </w:rPr>
        <w:t xml:space="preserve">states </w:t>
      </w:r>
      <w:r w:rsidRPr="008B6373">
        <w:rPr>
          <w:bCs/>
          <w:u w:val="none"/>
          <w:lang w:val="en-US" w:eastAsia="en-US"/>
        </w:rPr>
        <w:t xml:space="preserve">reporting family tier structure information is estimated to be </w:t>
      </w:r>
      <w:r w:rsidR="00073766">
        <w:rPr>
          <w:bCs/>
          <w:u w:val="none"/>
          <w:lang w:val="en-US" w:eastAsia="en-US"/>
        </w:rPr>
        <w:t>2</w:t>
      </w:r>
      <w:r w:rsidRPr="008B6373" w:rsidR="00CE02D9">
        <w:rPr>
          <w:bCs/>
          <w:u w:val="none"/>
          <w:lang w:val="en-US" w:eastAsia="en-US"/>
        </w:rPr>
        <w:t xml:space="preserve"> </w:t>
      </w:r>
      <w:r w:rsidRPr="008B6373">
        <w:rPr>
          <w:bCs/>
          <w:u w:val="none"/>
          <w:lang w:val="en-US" w:eastAsia="en-US"/>
        </w:rPr>
        <w:t>hour</w:t>
      </w:r>
      <w:r w:rsidRPr="008B6373" w:rsidR="00106351">
        <w:rPr>
          <w:bCs/>
          <w:u w:val="none"/>
          <w:lang w:val="en-US" w:eastAsia="en-US"/>
        </w:rPr>
        <w:t>s</w:t>
      </w:r>
      <w:r w:rsidRPr="008B6373">
        <w:rPr>
          <w:bCs/>
          <w:u w:val="none"/>
          <w:lang w:val="en-US" w:eastAsia="en-US"/>
        </w:rPr>
        <w:t xml:space="preserve">, </w:t>
      </w:r>
      <w:r w:rsidRPr="008B6373" w:rsidR="00106351">
        <w:rPr>
          <w:bCs/>
          <w:u w:val="none"/>
          <w:lang w:val="en-US" w:eastAsia="en-US"/>
        </w:rPr>
        <w:t xml:space="preserve">at </w:t>
      </w:r>
      <w:r w:rsidRPr="008B6373">
        <w:rPr>
          <w:bCs/>
          <w:u w:val="none"/>
          <w:lang w:val="en-US" w:eastAsia="en-US"/>
        </w:rPr>
        <w:t xml:space="preserve">a </w:t>
      </w:r>
      <w:r w:rsidRPr="008B6373" w:rsidR="00106351">
        <w:rPr>
          <w:bCs/>
          <w:u w:val="none"/>
          <w:lang w:val="en-US" w:eastAsia="en-US"/>
        </w:rPr>
        <w:t xml:space="preserve">total </w:t>
      </w:r>
      <w:r w:rsidRPr="008B6373">
        <w:rPr>
          <w:bCs/>
          <w:u w:val="none"/>
          <w:lang w:val="en-US" w:eastAsia="en-US"/>
        </w:rPr>
        <w:t xml:space="preserve">cost of approximately </w:t>
      </w:r>
      <w:r w:rsidRPr="008B6373" w:rsidR="00106351">
        <w:rPr>
          <w:bCs/>
          <w:u w:val="none"/>
          <w:lang w:val="en-US" w:eastAsia="en-US"/>
        </w:rPr>
        <w:t>$</w:t>
      </w:r>
      <w:r w:rsidR="00073766">
        <w:rPr>
          <w:bCs/>
          <w:u w:val="none"/>
          <w:lang w:val="en-US" w:eastAsia="en-US"/>
        </w:rPr>
        <w:t>121</w:t>
      </w:r>
      <w:r w:rsidRPr="008B6373">
        <w:rPr>
          <w:bCs/>
          <w:u w:val="none"/>
          <w:lang w:val="en-US" w:eastAsia="en-US"/>
        </w:rPr>
        <w:t>.</w:t>
      </w:r>
      <w:r w:rsidRPr="00153F27">
        <w:rPr>
          <w:bCs/>
          <w:u w:val="none"/>
          <w:lang w:val="en-US" w:eastAsia="en-US"/>
        </w:rPr>
        <w:t xml:space="preserve">  </w:t>
      </w:r>
    </w:p>
    <w:p w:rsidRPr="00153F27" w:rsidR="00153F27" w:rsidP="00ED2BE0" w:rsidRDefault="00153F27">
      <w:pPr>
        <w:pStyle w:val="Heading3"/>
        <w:rPr>
          <w:bCs/>
          <w:u w:val="none"/>
          <w:lang w:val="en-US" w:eastAsia="en-US"/>
        </w:rPr>
      </w:pPr>
      <w:r w:rsidRPr="00153F27">
        <w:rPr>
          <w:bCs/>
          <w:u w:val="none"/>
          <w:lang w:val="en-US" w:eastAsia="en-US"/>
        </w:rPr>
        <w:t>If a state requires premiums in the small group market</w:t>
      </w:r>
      <w:r w:rsidR="004B0972">
        <w:rPr>
          <w:bCs/>
          <w:u w:val="none"/>
          <w:lang w:val="en-US" w:eastAsia="en-US"/>
        </w:rPr>
        <w:t xml:space="preserve"> (or large group market, if applicable)</w:t>
      </w:r>
      <w:r w:rsidRPr="00153F27">
        <w:rPr>
          <w:bCs/>
          <w:u w:val="none"/>
          <w:lang w:val="en-US" w:eastAsia="en-US"/>
        </w:rPr>
        <w:t xml:space="preserve"> to be based on average enrollee amounts, it will submit that information to CMS.  We estimate that it will take </w:t>
      </w:r>
      <w:r w:rsidR="004963E1">
        <w:rPr>
          <w:bCs/>
          <w:u w:val="none"/>
          <w:lang w:val="en-US" w:eastAsia="en-US"/>
        </w:rPr>
        <w:t>1</w:t>
      </w:r>
      <w:r w:rsidRPr="00153F27" w:rsidR="004963E1">
        <w:rPr>
          <w:bCs/>
          <w:u w:val="none"/>
          <w:lang w:val="en-US" w:eastAsia="en-US"/>
        </w:rPr>
        <w:t xml:space="preserve"> </w:t>
      </w:r>
      <w:r w:rsidRPr="00153F27">
        <w:rPr>
          <w:bCs/>
          <w:u w:val="none"/>
          <w:lang w:val="en-US" w:eastAsia="en-US"/>
        </w:rPr>
        <w:t xml:space="preserve">hour for </w:t>
      </w:r>
      <w:r w:rsidR="004963E1">
        <w:rPr>
          <w:bCs/>
          <w:u w:val="none"/>
          <w:lang w:val="en-US" w:eastAsia="en-US"/>
        </w:rPr>
        <w:t>clerical staff in each</w:t>
      </w:r>
      <w:r w:rsidRPr="00153F27">
        <w:rPr>
          <w:bCs/>
          <w:u w:val="none"/>
          <w:lang w:val="en-US" w:eastAsia="en-US"/>
        </w:rPr>
        <w:t xml:space="preserve"> state to prepare and submit the report on small group market premiums to CMS</w:t>
      </w:r>
      <w:r w:rsidR="0037408D">
        <w:rPr>
          <w:bCs/>
          <w:u w:val="none"/>
          <w:lang w:val="en-US" w:eastAsia="en-US"/>
        </w:rPr>
        <w:t xml:space="preserve">. </w:t>
      </w:r>
      <w:r w:rsidR="00FE7802">
        <w:rPr>
          <w:bCs/>
          <w:u w:val="none"/>
          <w:lang w:val="en-US" w:eastAsia="en-US"/>
        </w:rPr>
        <w:t xml:space="preserve"> </w:t>
      </w:r>
      <w:r w:rsidR="00B92FD4">
        <w:rPr>
          <w:bCs/>
          <w:u w:val="none"/>
          <w:lang w:val="en-US" w:eastAsia="en-US"/>
        </w:rPr>
        <w:t>T</w:t>
      </w:r>
      <w:r w:rsidR="0037408D">
        <w:rPr>
          <w:bCs/>
          <w:u w:val="none"/>
          <w:lang w:val="en-US" w:eastAsia="en-US"/>
        </w:rPr>
        <w:t xml:space="preserve">he total burden for </w:t>
      </w:r>
      <w:r w:rsidR="00073766">
        <w:rPr>
          <w:bCs/>
          <w:u w:val="none"/>
          <w:lang w:val="en-US" w:eastAsia="en-US"/>
        </w:rPr>
        <w:t xml:space="preserve">2 </w:t>
      </w:r>
      <w:r w:rsidR="00B92FD4">
        <w:rPr>
          <w:bCs/>
          <w:u w:val="none"/>
          <w:lang w:val="en-US" w:eastAsia="en-US"/>
        </w:rPr>
        <w:t xml:space="preserve">states submitting </w:t>
      </w:r>
      <w:r w:rsidRPr="008B6373" w:rsidR="0037408D">
        <w:rPr>
          <w:bCs/>
          <w:u w:val="none"/>
          <w:lang w:val="en-US" w:eastAsia="en-US"/>
        </w:rPr>
        <w:t>report</w:t>
      </w:r>
      <w:r w:rsidRPr="008B6373" w:rsidR="007D6B6B">
        <w:rPr>
          <w:bCs/>
          <w:u w:val="none"/>
          <w:lang w:val="en-US" w:eastAsia="en-US"/>
        </w:rPr>
        <w:t>s</w:t>
      </w:r>
      <w:r w:rsidRPr="008B6373" w:rsidR="00B92FD4">
        <w:rPr>
          <w:bCs/>
          <w:u w:val="none"/>
          <w:lang w:val="en-US" w:eastAsia="en-US"/>
        </w:rPr>
        <w:t xml:space="preserve"> on small group market premiums</w:t>
      </w:r>
      <w:r w:rsidRPr="008B6373" w:rsidR="0037408D">
        <w:rPr>
          <w:bCs/>
          <w:u w:val="none"/>
          <w:lang w:val="en-US" w:eastAsia="en-US"/>
        </w:rPr>
        <w:t xml:space="preserve"> is estimated to be </w:t>
      </w:r>
      <w:r w:rsidR="00073766">
        <w:rPr>
          <w:bCs/>
          <w:u w:val="none"/>
          <w:lang w:val="en-US" w:eastAsia="en-US"/>
        </w:rPr>
        <w:t>2</w:t>
      </w:r>
      <w:r w:rsidRPr="008B6373" w:rsidR="00073766">
        <w:rPr>
          <w:bCs/>
          <w:u w:val="none"/>
          <w:lang w:val="en-US" w:eastAsia="en-US"/>
        </w:rPr>
        <w:t xml:space="preserve"> </w:t>
      </w:r>
      <w:r w:rsidRPr="008B6373" w:rsidR="0037408D">
        <w:rPr>
          <w:bCs/>
          <w:u w:val="none"/>
          <w:lang w:val="en-US" w:eastAsia="en-US"/>
        </w:rPr>
        <w:t>hours at a total cost of approximately $</w:t>
      </w:r>
      <w:r w:rsidR="00073766">
        <w:rPr>
          <w:bCs/>
          <w:u w:val="none"/>
          <w:lang w:val="en-US" w:eastAsia="en-US"/>
        </w:rPr>
        <w:t>121</w:t>
      </w:r>
      <w:r w:rsidRPr="008B6373" w:rsidR="0037408D">
        <w:rPr>
          <w:bCs/>
          <w:u w:val="none"/>
          <w:lang w:val="en-US" w:eastAsia="en-US"/>
        </w:rPr>
        <w:t>.</w:t>
      </w:r>
      <w:r w:rsidRPr="00153F27">
        <w:rPr>
          <w:bCs/>
          <w:u w:val="none"/>
          <w:lang w:val="en-US" w:eastAsia="en-US"/>
        </w:rPr>
        <w:t xml:space="preserve">  </w:t>
      </w:r>
    </w:p>
    <w:p w:rsidR="00D76EF2" w:rsidP="00ED2BE0" w:rsidRDefault="00153F27">
      <w:pPr>
        <w:pStyle w:val="Heading3"/>
        <w:rPr>
          <w:lang w:val="en-US"/>
        </w:rPr>
      </w:pPr>
      <w:r w:rsidRPr="00153F27">
        <w:rPr>
          <w:bCs/>
          <w:u w:val="none"/>
          <w:lang w:val="en-US" w:eastAsia="en-US"/>
        </w:rPr>
        <w:t xml:space="preserve">We assume that each report will be reviewed by a </w:t>
      </w:r>
      <w:r w:rsidRPr="008B6373">
        <w:rPr>
          <w:bCs/>
          <w:u w:val="none"/>
          <w:lang w:val="en-US" w:eastAsia="en-US"/>
        </w:rPr>
        <w:t>senior manager</w:t>
      </w:r>
      <w:r w:rsidRPr="00153F27">
        <w:rPr>
          <w:bCs/>
          <w:u w:val="none"/>
          <w:lang w:val="en-US" w:eastAsia="en-US"/>
        </w:rPr>
        <w:t xml:space="preserve"> prior to submission to CMS</w:t>
      </w:r>
      <w:r w:rsidR="00A2515D">
        <w:rPr>
          <w:bCs/>
          <w:u w:val="none"/>
          <w:lang w:val="en-US" w:eastAsia="en-US"/>
        </w:rPr>
        <w:t xml:space="preserve"> and that it will take approximately </w:t>
      </w:r>
      <w:r w:rsidR="00810756">
        <w:rPr>
          <w:bCs/>
          <w:u w:val="none"/>
          <w:lang w:val="en-US" w:eastAsia="en-US"/>
        </w:rPr>
        <w:t>1</w:t>
      </w:r>
      <w:r w:rsidR="00073766">
        <w:rPr>
          <w:bCs/>
          <w:u w:val="none"/>
          <w:lang w:val="en-US" w:eastAsia="en-US"/>
        </w:rPr>
        <w:t xml:space="preserve"> </w:t>
      </w:r>
      <w:r w:rsidR="00A2515D">
        <w:rPr>
          <w:bCs/>
          <w:u w:val="none"/>
          <w:lang w:val="en-US" w:eastAsia="en-US"/>
        </w:rPr>
        <w:t>hour to review all reports</w:t>
      </w:r>
      <w:r w:rsidR="0005612C">
        <w:rPr>
          <w:bCs/>
          <w:u w:val="none"/>
          <w:lang w:val="en-US" w:eastAsia="en-US"/>
        </w:rPr>
        <w:t xml:space="preserve">, if a state needs to prepare and submit </w:t>
      </w:r>
      <w:r w:rsidR="00E53A4E">
        <w:rPr>
          <w:bCs/>
          <w:u w:val="none"/>
          <w:lang w:val="en-US" w:eastAsia="en-US"/>
        </w:rPr>
        <w:t>information</w:t>
      </w:r>
      <w:r w:rsidR="0005612C">
        <w:rPr>
          <w:bCs/>
          <w:u w:val="none"/>
          <w:lang w:val="en-US" w:eastAsia="en-US"/>
        </w:rPr>
        <w:t xml:space="preserve"> in all of these area</w:t>
      </w:r>
      <w:r w:rsidR="00E53A4E">
        <w:rPr>
          <w:bCs/>
          <w:u w:val="none"/>
          <w:lang w:val="en-US" w:eastAsia="en-US"/>
        </w:rPr>
        <w:t>s</w:t>
      </w:r>
      <w:r w:rsidRPr="00153F27">
        <w:rPr>
          <w:bCs/>
          <w:u w:val="none"/>
          <w:lang w:val="en-US" w:eastAsia="en-US"/>
        </w:rPr>
        <w:t xml:space="preserve">.  </w:t>
      </w:r>
      <w:r w:rsidR="00023AC5">
        <w:rPr>
          <w:bCs/>
          <w:u w:val="none"/>
          <w:lang w:val="en-US" w:eastAsia="en-US"/>
        </w:rPr>
        <w:t xml:space="preserve">In total, the estimated burden for management review of </w:t>
      </w:r>
      <w:r w:rsidR="00A2515D">
        <w:rPr>
          <w:bCs/>
          <w:u w:val="none"/>
          <w:lang w:val="en-US" w:eastAsia="en-US"/>
        </w:rPr>
        <w:t xml:space="preserve">all </w:t>
      </w:r>
      <w:r w:rsidRPr="008B6373" w:rsidR="00023AC5">
        <w:rPr>
          <w:bCs/>
          <w:u w:val="none"/>
          <w:lang w:val="en-US" w:eastAsia="en-US"/>
        </w:rPr>
        <w:t xml:space="preserve">disclosures from </w:t>
      </w:r>
      <w:r w:rsidR="00073766">
        <w:rPr>
          <w:bCs/>
          <w:u w:val="none"/>
          <w:lang w:val="en-US" w:eastAsia="en-US"/>
        </w:rPr>
        <w:t>3</w:t>
      </w:r>
      <w:r w:rsidRPr="008B6373" w:rsidR="00073766">
        <w:rPr>
          <w:bCs/>
          <w:u w:val="none"/>
          <w:lang w:val="en-US" w:eastAsia="en-US"/>
        </w:rPr>
        <w:t xml:space="preserve"> </w:t>
      </w:r>
      <w:r w:rsidRPr="008B6373" w:rsidR="00023AC5">
        <w:rPr>
          <w:bCs/>
          <w:u w:val="none"/>
          <w:lang w:val="en-US" w:eastAsia="en-US"/>
        </w:rPr>
        <w:t xml:space="preserve">states is </w:t>
      </w:r>
      <w:r w:rsidRPr="008B6373" w:rsidR="007D6B6B">
        <w:rPr>
          <w:bCs/>
          <w:u w:val="none"/>
          <w:lang w:val="en-US" w:eastAsia="en-US"/>
        </w:rPr>
        <w:t xml:space="preserve">estimated to be </w:t>
      </w:r>
      <w:r w:rsidR="00810756">
        <w:rPr>
          <w:bCs/>
          <w:u w:val="none"/>
          <w:lang w:val="en-US" w:eastAsia="en-US"/>
        </w:rPr>
        <w:t>3</w:t>
      </w:r>
      <w:r w:rsidRPr="008B6373" w:rsidR="00073766">
        <w:rPr>
          <w:bCs/>
          <w:u w:val="none"/>
          <w:lang w:val="en-US" w:eastAsia="en-US"/>
        </w:rPr>
        <w:t xml:space="preserve"> </w:t>
      </w:r>
      <w:r w:rsidRPr="008B6373" w:rsidR="00023AC5">
        <w:rPr>
          <w:bCs/>
          <w:u w:val="none"/>
          <w:lang w:val="en-US" w:eastAsia="en-US"/>
        </w:rPr>
        <w:t>hours at a total cost of approximately $</w:t>
      </w:r>
      <w:r w:rsidR="00810756">
        <w:rPr>
          <w:bCs/>
          <w:u w:val="none"/>
          <w:lang w:val="en-US" w:eastAsia="en-US"/>
        </w:rPr>
        <w:t>355</w:t>
      </w:r>
      <w:r w:rsidRPr="008B6373" w:rsidR="00023AC5">
        <w:rPr>
          <w:bCs/>
          <w:u w:val="none"/>
          <w:lang w:val="en-US" w:eastAsia="en-US"/>
        </w:rPr>
        <w:t>.</w:t>
      </w:r>
    </w:p>
    <w:p w:rsidRPr="00D31450" w:rsidR="001D43CB" w:rsidP="00ED2BE0" w:rsidRDefault="002376D6">
      <w:pPr>
        <w:pStyle w:val="Heading3"/>
      </w:pPr>
      <w:r w:rsidRPr="00D31450">
        <w:t>Table 12.</w:t>
      </w:r>
      <w:r w:rsidR="006069CA">
        <w:rPr>
          <w:lang w:val="en-US"/>
        </w:rPr>
        <w:t>2</w:t>
      </w:r>
      <w:r w:rsidRPr="00D31450" w:rsidR="006069CA">
        <w:t xml:space="preserve"> </w:t>
      </w:r>
      <w:r w:rsidRPr="00D31450" w:rsidR="001D43CB">
        <w:t xml:space="preserve">Estimated </w:t>
      </w:r>
      <w:r w:rsidRPr="00D31450" w:rsidR="00BB0568">
        <w:t xml:space="preserve">Annualized </w:t>
      </w:r>
      <w:r w:rsidRPr="00D31450" w:rsidR="001D43CB">
        <w:t>Burden Hours for Disclosure of State Rating Requirements</w:t>
      </w:r>
    </w:p>
    <w:tbl>
      <w:tblPr>
        <w:tblW w:w="481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88"/>
        <w:gridCol w:w="1230"/>
        <w:gridCol w:w="1321"/>
        <w:gridCol w:w="1126"/>
        <w:gridCol w:w="1126"/>
        <w:gridCol w:w="1299"/>
        <w:gridCol w:w="1205"/>
      </w:tblGrid>
      <w:tr w:rsidRPr="00FA3DA0" w:rsidR="00FD59C0" w:rsidTr="000D3924">
        <w:trPr>
          <w:trHeight w:val="1052"/>
        </w:trPr>
        <w:tc>
          <w:tcPr>
            <w:tcW w:w="938" w:type="pct"/>
            <w:shd w:val="clear" w:color="auto" w:fill="auto"/>
            <w:vAlign w:val="center"/>
            <w:hideMark/>
          </w:tcPr>
          <w:p w:rsidR="00FD59C0" w:rsidP="00ED2BE0" w:rsidRDefault="00FD59C0">
            <w:pPr>
              <w:widowControl/>
              <w:autoSpaceDE/>
              <w:autoSpaceDN/>
              <w:adjustRightInd/>
              <w:jc w:val="center"/>
              <w:rPr>
                <w:b/>
                <w:bCs/>
                <w:color w:val="000000"/>
                <w:szCs w:val="20"/>
              </w:rPr>
            </w:pPr>
            <w:r>
              <w:rPr>
                <w:b/>
                <w:bCs/>
                <w:color w:val="000000"/>
                <w:szCs w:val="20"/>
              </w:rPr>
              <w:t>Forms</w:t>
            </w:r>
          </w:p>
          <w:p w:rsidRPr="00FA3DA0" w:rsidR="00FD59C0" w:rsidP="00ED2BE0" w:rsidRDefault="00FD59C0">
            <w:pPr>
              <w:widowControl/>
              <w:autoSpaceDE/>
              <w:autoSpaceDN/>
              <w:adjustRightInd/>
              <w:jc w:val="center"/>
              <w:rPr>
                <w:b/>
                <w:bCs/>
                <w:color w:val="000000"/>
                <w:szCs w:val="20"/>
              </w:rPr>
            </w:pPr>
            <w:r w:rsidRPr="00FA3DA0">
              <w:rPr>
                <w:b/>
                <w:bCs/>
                <w:color w:val="000000"/>
                <w:szCs w:val="20"/>
              </w:rPr>
              <w:t>(if necessary)</w:t>
            </w:r>
          </w:p>
        </w:tc>
        <w:tc>
          <w:tcPr>
            <w:tcW w:w="683" w:type="pct"/>
            <w:shd w:val="clear" w:color="auto" w:fill="auto"/>
            <w:vAlign w:val="center"/>
            <w:hideMark/>
          </w:tcPr>
          <w:p w:rsidRPr="00FA3DA0" w:rsidR="00FD59C0" w:rsidP="00ED2BE0" w:rsidRDefault="00FD59C0">
            <w:pPr>
              <w:widowControl/>
              <w:autoSpaceDE/>
              <w:autoSpaceDN/>
              <w:adjustRightInd/>
              <w:jc w:val="center"/>
              <w:rPr>
                <w:b/>
                <w:bCs/>
                <w:color w:val="000000"/>
                <w:szCs w:val="20"/>
              </w:rPr>
            </w:pPr>
            <w:r w:rsidRPr="00FA3DA0">
              <w:rPr>
                <w:b/>
                <w:bCs/>
                <w:color w:val="000000"/>
                <w:szCs w:val="20"/>
              </w:rPr>
              <w:t>Type of Respondent</w:t>
            </w:r>
          </w:p>
        </w:tc>
        <w:tc>
          <w:tcPr>
            <w:tcW w:w="734" w:type="pct"/>
            <w:shd w:val="clear" w:color="auto" w:fill="auto"/>
            <w:vAlign w:val="center"/>
            <w:hideMark/>
          </w:tcPr>
          <w:p w:rsidRPr="00FA3DA0" w:rsidR="00FD59C0" w:rsidP="00D93D1E" w:rsidRDefault="00FD59C0">
            <w:pPr>
              <w:widowControl/>
              <w:autoSpaceDE/>
              <w:autoSpaceDN/>
              <w:adjustRightInd/>
              <w:jc w:val="center"/>
              <w:rPr>
                <w:b/>
                <w:bCs/>
                <w:color w:val="000000"/>
                <w:szCs w:val="20"/>
              </w:rPr>
            </w:pPr>
            <w:r w:rsidRPr="00FA3DA0">
              <w:rPr>
                <w:b/>
                <w:bCs/>
                <w:color w:val="000000"/>
                <w:szCs w:val="20"/>
              </w:rPr>
              <w:t>Number of Respondents</w:t>
            </w:r>
          </w:p>
        </w:tc>
        <w:tc>
          <w:tcPr>
            <w:tcW w:w="626" w:type="pct"/>
          </w:tcPr>
          <w:p w:rsidRPr="00FA3DA0" w:rsidR="00FD59C0" w:rsidP="00ED2BE0" w:rsidRDefault="00FD59C0">
            <w:pPr>
              <w:widowControl/>
              <w:autoSpaceDE/>
              <w:autoSpaceDN/>
              <w:adjustRightInd/>
              <w:jc w:val="center"/>
              <w:rPr>
                <w:b/>
                <w:bCs/>
                <w:color w:val="000000"/>
                <w:szCs w:val="20"/>
              </w:rPr>
            </w:pPr>
            <w:r>
              <w:rPr>
                <w:b/>
                <w:bCs/>
                <w:color w:val="000000"/>
                <w:szCs w:val="20"/>
              </w:rPr>
              <w:t>Estimated Burden Hours per response</w:t>
            </w:r>
          </w:p>
        </w:tc>
        <w:tc>
          <w:tcPr>
            <w:tcW w:w="626" w:type="pct"/>
            <w:shd w:val="clear" w:color="auto" w:fill="auto"/>
            <w:vAlign w:val="center"/>
            <w:hideMark/>
          </w:tcPr>
          <w:p w:rsidRPr="00FA3DA0" w:rsidR="00FD59C0" w:rsidP="00ED2BE0" w:rsidRDefault="00FD59C0">
            <w:pPr>
              <w:widowControl/>
              <w:autoSpaceDE/>
              <w:autoSpaceDN/>
              <w:adjustRightInd/>
              <w:jc w:val="center"/>
              <w:rPr>
                <w:b/>
                <w:bCs/>
                <w:color w:val="000000"/>
                <w:szCs w:val="20"/>
              </w:rPr>
            </w:pPr>
            <w:r w:rsidRPr="00FA3DA0">
              <w:rPr>
                <w:b/>
                <w:bCs/>
                <w:color w:val="000000"/>
                <w:szCs w:val="20"/>
              </w:rPr>
              <w:t>Total Estimated Burden Hours</w:t>
            </w:r>
          </w:p>
        </w:tc>
        <w:tc>
          <w:tcPr>
            <w:tcW w:w="722" w:type="pct"/>
            <w:shd w:val="clear" w:color="auto" w:fill="auto"/>
            <w:vAlign w:val="center"/>
            <w:hideMark/>
          </w:tcPr>
          <w:p w:rsidRPr="001E11A4" w:rsidR="00FD59C0" w:rsidP="00ED2BE0" w:rsidRDefault="00FD59C0">
            <w:pPr>
              <w:widowControl/>
              <w:autoSpaceDE/>
              <w:autoSpaceDN/>
              <w:adjustRightInd/>
              <w:jc w:val="center"/>
              <w:rPr>
                <w:b/>
                <w:bCs/>
                <w:color w:val="000000"/>
                <w:szCs w:val="20"/>
              </w:rPr>
            </w:pPr>
            <w:r w:rsidRPr="001E11A4">
              <w:rPr>
                <w:b/>
                <w:bCs/>
                <w:color w:val="000000"/>
                <w:szCs w:val="20"/>
              </w:rPr>
              <w:t>Wage per Hour (including</w:t>
            </w:r>
            <w:r w:rsidRPr="001E11A4" w:rsidR="00F84217">
              <w:rPr>
                <w:b/>
                <w:bCs/>
                <w:color w:val="000000"/>
                <w:szCs w:val="20"/>
              </w:rPr>
              <w:t xml:space="preserve"> 100% </w:t>
            </w:r>
            <w:r w:rsidRPr="001E11A4">
              <w:rPr>
                <w:b/>
                <w:bCs/>
                <w:color w:val="000000"/>
                <w:szCs w:val="20"/>
              </w:rPr>
              <w:t xml:space="preserve"> fringe</w:t>
            </w:r>
            <w:r w:rsidRPr="001E11A4" w:rsidR="00F84217">
              <w:rPr>
                <w:b/>
                <w:bCs/>
                <w:color w:val="000000"/>
                <w:szCs w:val="20"/>
              </w:rPr>
              <w:t xml:space="preserve"> benefits rate</w:t>
            </w:r>
            <w:r w:rsidRPr="001E11A4">
              <w:rPr>
                <w:b/>
                <w:bCs/>
                <w:color w:val="000000"/>
                <w:szCs w:val="20"/>
              </w:rPr>
              <w:t>)</w:t>
            </w:r>
          </w:p>
        </w:tc>
        <w:tc>
          <w:tcPr>
            <w:tcW w:w="670" w:type="pct"/>
            <w:shd w:val="clear" w:color="auto" w:fill="auto"/>
            <w:vAlign w:val="center"/>
            <w:hideMark/>
          </w:tcPr>
          <w:p w:rsidRPr="00FA3DA0" w:rsidR="00FD59C0" w:rsidP="00DA43AF" w:rsidRDefault="00DA43AF">
            <w:pPr>
              <w:widowControl/>
              <w:autoSpaceDE/>
              <w:autoSpaceDN/>
              <w:adjustRightInd/>
              <w:jc w:val="center"/>
              <w:rPr>
                <w:b/>
                <w:bCs/>
                <w:color w:val="000000"/>
                <w:szCs w:val="20"/>
              </w:rPr>
            </w:pPr>
            <w:r>
              <w:rPr>
                <w:b/>
                <w:bCs/>
                <w:color w:val="000000"/>
                <w:szCs w:val="20"/>
              </w:rPr>
              <w:t xml:space="preserve">Total Estimated </w:t>
            </w:r>
            <w:r w:rsidRPr="00FA3DA0" w:rsidR="00FD59C0">
              <w:rPr>
                <w:b/>
                <w:bCs/>
                <w:color w:val="000000"/>
                <w:szCs w:val="20"/>
              </w:rPr>
              <w:t xml:space="preserve">Cost </w:t>
            </w:r>
          </w:p>
        </w:tc>
      </w:tr>
      <w:tr w:rsidRPr="00FA3DA0" w:rsidR="00FD59C0" w:rsidTr="000D3924">
        <w:trPr>
          <w:trHeight w:val="570"/>
        </w:trPr>
        <w:tc>
          <w:tcPr>
            <w:tcW w:w="938"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t>Disclosure</w:t>
            </w:r>
            <w:r w:rsidRPr="00FA3DA0">
              <w:rPr>
                <w:color w:val="000000"/>
                <w:szCs w:val="20"/>
              </w:rPr>
              <w:t xml:space="preserve"> </w:t>
            </w:r>
            <w:r>
              <w:rPr>
                <w:color w:val="000000"/>
                <w:szCs w:val="20"/>
              </w:rPr>
              <w:t>of Age Rating Curve</w:t>
            </w:r>
          </w:p>
        </w:tc>
        <w:tc>
          <w:tcPr>
            <w:tcW w:w="683"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t>State Government</w:t>
            </w:r>
          </w:p>
        </w:tc>
        <w:tc>
          <w:tcPr>
            <w:tcW w:w="734" w:type="pct"/>
            <w:shd w:val="clear" w:color="auto" w:fill="auto"/>
            <w:vAlign w:val="bottom"/>
            <w:hideMark/>
          </w:tcPr>
          <w:p w:rsidR="00FD59C0" w:rsidDel="005A4F89" w:rsidP="001D6DCB" w:rsidRDefault="00C66687">
            <w:pPr>
              <w:widowControl/>
              <w:autoSpaceDE/>
              <w:autoSpaceDN/>
              <w:adjustRightInd/>
              <w:jc w:val="center"/>
              <w:rPr>
                <w:color w:val="000000"/>
                <w:szCs w:val="20"/>
              </w:rPr>
            </w:pPr>
            <w:r>
              <w:rPr>
                <w:color w:val="000000"/>
                <w:szCs w:val="20"/>
              </w:rPr>
              <w:t>2</w:t>
            </w:r>
          </w:p>
        </w:tc>
        <w:tc>
          <w:tcPr>
            <w:tcW w:w="626" w:type="pct"/>
            <w:vAlign w:val="bottom"/>
          </w:tcPr>
          <w:p w:rsidR="00FD59C0" w:rsidP="00ED2BE0" w:rsidRDefault="00FD59C0">
            <w:pPr>
              <w:widowControl/>
              <w:autoSpaceDE/>
              <w:autoSpaceDN/>
              <w:adjustRightInd/>
              <w:jc w:val="center"/>
              <w:rPr>
                <w:color w:val="000000"/>
                <w:szCs w:val="20"/>
              </w:rPr>
            </w:pPr>
            <w:r>
              <w:rPr>
                <w:color w:val="000000"/>
                <w:szCs w:val="20"/>
              </w:rPr>
              <w:t>3</w:t>
            </w:r>
          </w:p>
        </w:tc>
        <w:tc>
          <w:tcPr>
            <w:tcW w:w="626" w:type="pct"/>
            <w:shd w:val="clear" w:color="auto" w:fill="auto"/>
            <w:vAlign w:val="bottom"/>
            <w:hideMark/>
          </w:tcPr>
          <w:p w:rsidR="00FD59C0" w:rsidDel="005A4F89" w:rsidP="001D6DCB" w:rsidRDefault="00C66687">
            <w:pPr>
              <w:widowControl/>
              <w:autoSpaceDE/>
              <w:autoSpaceDN/>
              <w:adjustRightInd/>
              <w:jc w:val="center"/>
              <w:rPr>
                <w:color w:val="000000"/>
                <w:szCs w:val="20"/>
              </w:rPr>
            </w:pPr>
            <w:r>
              <w:rPr>
                <w:color w:val="000000"/>
                <w:szCs w:val="20"/>
              </w:rPr>
              <w:t>6</w:t>
            </w:r>
          </w:p>
        </w:tc>
        <w:tc>
          <w:tcPr>
            <w:tcW w:w="722" w:type="pct"/>
            <w:shd w:val="clear" w:color="auto" w:fill="auto"/>
            <w:noWrap/>
            <w:vAlign w:val="bottom"/>
            <w:hideMark/>
          </w:tcPr>
          <w:p w:rsidRPr="00EA5F0E" w:rsidR="00FD59C0" w:rsidP="00005E2E" w:rsidRDefault="00FD59C0">
            <w:pPr>
              <w:widowControl/>
              <w:autoSpaceDE/>
              <w:autoSpaceDN/>
              <w:adjustRightInd/>
              <w:jc w:val="center"/>
              <w:rPr>
                <w:color w:val="000000"/>
                <w:szCs w:val="20"/>
              </w:rPr>
            </w:pPr>
            <w:r w:rsidRPr="00EA5F0E">
              <w:rPr>
                <w:color w:val="000000"/>
                <w:szCs w:val="20"/>
              </w:rPr>
              <w:t>$</w:t>
            </w:r>
            <w:r w:rsidR="00005E2E">
              <w:rPr>
                <w:color w:val="000000"/>
                <w:szCs w:val="20"/>
              </w:rPr>
              <w:t>60.50</w:t>
            </w:r>
          </w:p>
        </w:tc>
        <w:tc>
          <w:tcPr>
            <w:tcW w:w="670" w:type="pct"/>
            <w:shd w:val="clear" w:color="auto" w:fill="auto"/>
            <w:vAlign w:val="bottom"/>
            <w:hideMark/>
          </w:tcPr>
          <w:p w:rsidRPr="00EA5F0E" w:rsidR="00FD59C0" w:rsidP="00C66687" w:rsidRDefault="00FD59C0">
            <w:pPr>
              <w:jc w:val="center"/>
              <w:rPr>
                <w:color w:val="000000"/>
                <w:szCs w:val="20"/>
              </w:rPr>
            </w:pPr>
            <w:r w:rsidRPr="00EA5F0E">
              <w:rPr>
                <w:color w:val="000000"/>
                <w:szCs w:val="20"/>
              </w:rPr>
              <w:t>$</w:t>
            </w:r>
            <w:r w:rsidR="00C66687">
              <w:rPr>
                <w:color w:val="000000"/>
                <w:szCs w:val="20"/>
              </w:rPr>
              <w:t>363</w:t>
            </w:r>
          </w:p>
        </w:tc>
      </w:tr>
      <w:tr w:rsidRPr="00FA3DA0" w:rsidR="00FD59C0" w:rsidTr="000D3924">
        <w:trPr>
          <w:trHeight w:val="791"/>
        </w:trPr>
        <w:tc>
          <w:tcPr>
            <w:tcW w:w="938" w:type="pct"/>
            <w:shd w:val="clear" w:color="auto" w:fill="auto"/>
            <w:vAlign w:val="bottom"/>
            <w:hideMark/>
          </w:tcPr>
          <w:p w:rsidRPr="00FA3DA0" w:rsidR="00FD59C0" w:rsidP="00ED2BE0" w:rsidRDefault="00FD59C0">
            <w:pPr>
              <w:widowControl/>
              <w:autoSpaceDE/>
              <w:autoSpaceDN/>
              <w:adjustRightInd/>
              <w:jc w:val="center"/>
              <w:rPr>
                <w:color w:val="000000"/>
                <w:szCs w:val="20"/>
              </w:rPr>
            </w:pPr>
            <w:r>
              <w:rPr>
                <w:color w:val="000000"/>
                <w:szCs w:val="20"/>
              </w:rPr>
              <w:t>Disclosure</w:t>
            </w:r>
            <w:r w:rsidRPr="00FA3DA0">
              <w:rPr>
                <w:color w:val="000000"/>
                <w:szCs w:val="20"/>
              </w:rPr>
              <w:t xml:space="preserve"> </w:t>
            </w:r>
            <w:r>
              <w:rPr>
                <w:color w:val="000000"/>
                <w:szCs w:val="20"/>
              </w:rPr>
              <w:t>of Geographical Rating Areas</w:t>
            </w:r>
          </w:p>
        </w:tc>
        <w:tc>
          <w:tcPr>
            <w:tcW w:w="683" w:type="pct"/>
            <w:shd w:val="clear" w:color="auto" w:fill="auto"/>
            <w:vAlign w:val="bottom"/>
            <w:hideMark/>
          </w:tcPr>
          <w:p w:rsidRPr="00FA3DA0" w:rsidR="00FD59C0" w:rsidP="00ED2BE0" w:rsidRDefault="00FD59C0">
            <w:pPr>
              <w:widowControl/>
              <w:autoSpaceDE/>
              <w:autoSpaceDN/>
              <w:adjustRightInd/>
              <w:jc w:val="center"/>
              <w:rPr>
                <w:color w:val="000000"/>
                <w:szCs w:val="20"/>
              </w:rPr>
            </w:pPr>
            <w:r>
              <w:rPr>
                <w:color w:val="000000"/>
                <w:szCs w:val="20"/>
              </w:rPr>
              <w:t>State Government</w:t>
            </w:r>
          </w:p>
        </w:tc>
        <w:tc>
          <w:tcPr>
            <w:tcW w:w="734" w:type="pct"/>
            <w:shd w:val="clear" w:color="auto" w:fill="auto"/>
            <w:vAlign w:val="bottom"/>
            <w:hideMark/>
          </w:tcPr>
          <w:p w:rsidRPr="00FA3DA0" w:rsidR="00FD59C0" w:rsidP="00ED2BE0" w:rsidRDefault="00C66687">
            <w:pPr>
              <w:widowControl/>
              <w:autoSpaceDE/>
              <w:autoSpaceDN/>
              <w:adjustRightInd/>
              <w:jc w:val="center"/>
              <w:rPr>
                <w:color w:val="000000"/>
                <w:szCs w:val="20"/>
              </w:rPr>
            </w:pPr>
            <w:r>
              <w:rPr>
                <w:color w:val="000000"/>
                <w:szCs w:val="20"/>
              </w:rPr>
              <w:t>2</w:t>
            </w:r>
          </w:p>
        </w:tc>
        <w:tc>
          <w:tcPr>
            <w:tcW w:w="626" w:type="pct"/>
            <w:vAlign w:val="bottom"/>
          </w:tcPr>
          <w:p w:rsidR="00FD59C0" w:rsidP="00ED2BE0" w:rsidRDefault="00FD59C0">
            <w:pPr>
              <w:widowControl/>
              <w:autoSpaceDE/>
              <w:autoSpaceDN/>
              <w:adjustRightInd/>
              <w:jc w:val="center"/>
              <w:rPr>
                <w:color w:val="000000"/>
                <w:szCs w:val="20"/>
              </w:rPr>
            </w:pPr>
            <w:r>
              <w:rPr>
                <w:color w:val="000000"/>
                <w:szCs w:val="20"/>
              </w:rPr>
              <w:t>1</w:t>
            </w:r>
          </w:p>
        </w:tc>
        <w:tc>
          <w:tcPr>
            <w:tcW w:w="626" w:type="pct"/>
            <w:shd w:val="clear" w:color="auto" w:fill="auto"/>
            <w:vAlign w:val="bottom"/>
            <w:hideMark/>
          </w:tcPr>
          <w:p w:rsidRPr="00FA3DA0" w:rsidR="00FD59C0" w:rsidP="00ED2BE0" w:rsidRDefault="00C66687">
            <w:pPr>
              <w:widowControl/>
              <w:autoSpaceDE/>
              <w:autoSpaceDN/>
              <w:adjustRightInd/>
              <w:jc w:val="center"/>
              <w:rPr>
                <w:color w:val="000000"/>
                <w:szCs w:val="20"/>
              </w:rPr>
            </w:pPr>
            <w:r>
              <w:rPr>
                <w:color w:val="000000"/>
                <w:szCs w:val="20"/>
              </w:rPr>
              <w:t>2</w:t>
            </w:r>
          </w:p>
        </w:tc>
        <w:tc>
          <w:tcPr>
            <w:tcW w:w="722" w:type="pct"/>
            <w:shd w:val="clear" w:color="auto" w:fill="auto"/>
            <w:noWrap/>
            <w:vAlign w:val="bottom"/>
            <w:hideMark/>
          </w:tcPr>
          <w:p w:rsidRPr="00BA2758" w:rsidR="00FD59C0" w:rsidP="00005E2E" w:rsidRDefault="00FD59C0">
            <w:pPr>
              <w:widowControl/>
              <w:autoSpaceDE/>
              <w:autoSpaceDN/>
              <w:adjustRightInd/>
              <w:jc w:val="center"/>
              <w:rPr>
                <w:color w:val="000000"/>
                <w:szCs w:val="20"/>
              </w:rPr>
            </w:pPr>
            <w:r w:rsidRPr="00BA2758">
              <w:rPr>
                <w:color w:val="000000"/>
                <w:szCs w:val="20"/>
              </w:rPr>
              <w:t>$</w:t>
            </w:r>
            <w:r w:rsidR="00005E2E">
              <w:rPr>
                <w:color w:val="000000"/>
                <w:szCs w:val="20"/>
              </w:rPr>
              <w:t>60.50</w:t>
            </w:r>
          </w:p>
        </w:tc>
        <w:tc>
          <w:tcPr>
            <w:tcW w:w="670" w:type="pct"/>
            <w:shd w:val="clear" w:color="auto" w:fill="auto"/>
            <w:vAlign w:val="bottom"/>
            <w:hideMark/>
          </w:tcPr>
          <w:p w:rsidRPr="00BA2758" w:rsidR="00FD59C0" w:rsidP="00C66687" w:rsidRDefault="00BA2758">
            <w:pPr>
              <w:jc w:val="center"/>
              <w:rPr>
                <w:rFonts w:ascii="Arial" w:hAnsi="Arial" w:cs="Arial"/>
                <w:sz w:val="24"/>
              </w:rPr>
            </w:pPr>
            <w:r w:rsidRPr="00BA2758">
              <w:rPr>
                <w:color w:val="000000"/>
                <w:szCs w:val="20"/>
              </w:rPr>
              <w:t>$</w:t>
            </w:r>
            <w:r w:rsidR="00C66687">
              <w:rPr>
                <w:color w:val="000000"/>
                <w:szCs w:val="20"/>
              </w:rPr>
              <w:t>121</w:t>
            </w:r>
          </w:p>
        </w:tc>
      </w:tr>
      <w:tr w:rsidRPr="00FA3DA0" w:rsidR="00FD59C0" w:rsidTr="000D3924">
        <w:trPr>
          <w:trHeight w:val="800"/>
        </w:trPr>
        <w:tc>
          <w:tcPr>
            <w:tcW w:w="938" w:type="pct"/>
            <w:shd w:val="clear" w:color="auto" w:fill="auto"/>
            <w:vAlign w:val="bottom"/>
            <w:hideMark/>
          </w:tcPr>
          <w:p w:rsidRPr="00FA3DA0" w:rsidR="00FD59C0" w:rsidP="00ED2BE0" w:rsidRDefault="00FD59C0">
            <w:pPr>
              <w:widowControl/>
              <w:autoSpaceDE/>
              <w:autoSpaceDN/>
              <w:adjustRightInd/>
              <w:jc w:val="center"/>
              <w:rPr>
                <w:color w:val="000000"/>
                <w:szCs w:val="20"/>
              </w:rPr>
            </w:pPr>
            <w:r>
              <w:rPr>
                <w:color w:val="000000"/>
                <w:szCs w:val="20"/>
              </w:rPr>
              <w:t>Disclosure</w:t>
            </w:r>
            <w:r w:rsidRPr="00FA3DA0">
              <w:rPr>
                <w:color w:val="000000"/>
                <w:szCs w:val="20"/>
              </w:rPr>
              <w:t xml:space="preserve"> </w:t>
            </w:r>
            <w:r>
              <w:rPr>
                <w:color w:val="000000"/>
                <w:szCs w:val="20"/>
              </w:rPr>
              <w:t>of Family Tier Structure</w:t>
            </w:r>
          </w:p>
        </w:tc>
        <w:tc>
          <w:tcPr>
            <w:tcW w:w="683" w:type="pct"/>
            <w:shd w:val="clear" w:color="auto" w:fill="auto"/>
            <w:vAlign w:val="bottom"/>
            <w:hideMark/>
          </w:tcPr>
          <w:p w:rsidRPr="00FA3DA0" w:rsidR="00FD59C0" w:rsidP="00ED2BE0" w:rsidRDefault="00FD59C0">
            <w:pPr>
              <w:widowControl/>
              <w:autoSpaceDE/>
              <w:autoSpaceDN/>
              <w:adjustRightInd/>
              <w:jc w:val="center"/>
              <w:rPr>
                <w:color w:val="000000"/>
                <w:szCs w:val="20"/>
              </w:rPr>
            </w:pPr>
            <w:r>
              <w:rPr>
                <w:color w:val="000000"/>
                <w:szCs w:val="20"/>
              </w:rPr>
              <w:t>State Government</w:t>
            </w:r>
          </w:p>
        </w:tc>
        <w:tc>
          <w:tcPr>
            <w:tcW w:w="734" w:type="pct"/>
            <w:shd w:val="clear" w:color="auto" w:fill="auto"/>
            <w:vAlign w:val="bottom"/>
            <w:hideMark/>
          </w:tcPr>
          <w:p w:rsidRPr="00FA3DA0" w:rsidR="00FD59C0" w:rsidP="00ED2BE0" w:rsidRDefault="00C66687">
            <w:pPr>
              <w:widowControl/>
              <w:autoSpaceDE/>
              <w:autoSpaceDN/>
              <w:adjustRightInd/>
              <w:jc w:val="center"/>
              <w:rPr>
                <w:color w:val="000000"/>
                <w:szCs w:val="20"/>
              </w:rPr>
            </w:pPr>
            <w:r>
              <w:rPr>
                <w:color w:val="000000"/>
                <w:szCs w:val="20"/>
              </w:rPr>
              <w:t>2</w:t>
            </w:r>
          </w:p>
        </w:tc>
        <w:tc>
          <w:tcPr>
            <w:tcW w:w="626" w:type="pct"/>
            <w:vAlign w:val="bottom"/>
          </w:tcPr>
          <w:p w:rsidR="00FD59C0" w:rsidP="00ED2BE0" w:rsidRDefault="00FD59C0">
            <w:pPr>
              <w:widowControl/>
              <w:autoSpaceDE/>
              <w:autoSpaceDN/>
              <w:adjustRightInd/>
              <w:jc w:val="center"/>
              <w:rPr>
                <w:color w:val="000000"/>
                <w:szCs w:val="20"/>
              </w:rPr>
            </w:pPr>
            <w:r>
              <w:rPr>
                <w:color w:val="000000"/>
                <w:szCs w:val="20"/>
              </w:rPr>
              <w:t>1</w:t>
            </w:r>
          </w:p>
        </w:tc>
        <w:tc>
          <w:tcPr>
            <w:tcW w:w="626" w:type="pct"/>
            <w:shd w:val="clear" w:color="auto" w:fill="auto"/>
            <w:vAlign w:val="bottom"/>
            <w:hideMark/>
          </w:tcPr>
          <w:p w:rsidRPr="00FA3DA0" w:rsidR="00FD59C0" w:rsidP="00ED2BE0" w:rsidRDefault="00C66687">
            <w:pPr>
              <w:widowControl/>
              <w:autoSpaceDE/>
              <w:autoSpaceDN/>
              <w:adjustRightInd/>
              <w:jc w:val="center"/>
              <w:rPr>
                <w:color w:val="000000"/>
                <w:szCs w:val="20"/>
              </w:rPr>
            </w:pPr>
            <w:r>
              <w:rPr>
                <w:color w:val="000000"/>
                <w:szCs w:val="20"/>
              </w:rPr>
              <w:t>2</w:t>
            </w:r>
          </w:p>
        </w:tc>
        <w:tc>
          <w:tcPr>
            <w:tcW w:w="722" w:type="pct"/>
            <w:shd w:val="clear" w:color="auto" w:fill="auto"/>
            <w:noWrap/>
            <w:vAlign w:val="bottom"/>
            <w:hideMark/>
          </w:tcPr>
          <w:p w:rsidRPr="00BA2758" w:rsidR="00FD59C0" w:rsidP="00005E2E" w:rsidRDefault="00FD59C0">
            <w:pPr>
              <w:widowControl/>
              <w:autoSpaceDE/>
              <w:autoSpaceDN/>
              <w:adjustRightInd/>
              <w:jc w:val="center"/>
              <w:rPr>
                <w:color w:val="000000"/>
                <w:szCs w:val="20"/>
              </w:rPr>
            </w:pPr>
            <w:r w:rsidRPr="00BA2758">
              <w:rPr>
                <w:color w:val="000000"/>
                <w:szCs w:val="20"/>
              </w:rPr>
              <w:t>$</w:t>
            </w:r>
            <w:r w:rsidR="00005E2E">
              <w:rPr>
                <w:color w:val="000000"/>
                <w:szCs w:val="20"/>
              </w:rPr>
              <w:t>60.50</w:t>
            </w:r>
          </w:p>
        </w:tc>
        <w:tc>
          <w:tcPr>
            <w:tcW w:w="670" w:type="pct"/>
            <w:shd w:val="clear" w:color="auto" w:fill="auto"/>
            <w:vAlign w:val="bottom"/>
            <w:hideMark/>
          </w:tcPr>
          <w:p w:rsidRPr="00BA2758" w:rsidR="00FD59C0" w:rsidP="00C66687" w:rsidRDefault="00FD59C0">
            <w:pPr>
              <w:jc w:val="center"/>
              <w:rPr>
                <w:rFonts w:ascii="Arial" w:hAnsi="Arial" w:cs="Arial"/>
                <w:sz w:val="24"/>
              </w:rPr>
            </w:pPr>
            <w:r w:rsidRPr="00BA2758">
              <w:rPr>
                <w:color w:val="000000"/>
                <w:szCs w:val="20"/>
              </w:rPr>
              <w:t>$</w:t>
            </w:r>
            <w:r w:rsidR="00C66687">
              <w:rPr>
                <w:color w:val="000000"/>
                <w:szCs w:val="20"/>
              </w:rPr>
              <w:t>121</w:t>
            </w:r>
          </w:p>
        </w:tc>
      </w:tr>
      <w:tr w:rsidRPr="00FA3DA0" w:rsidR="00FD59C0" w:rsidTr="000D3924">
        <w:trPr>
          <w:trHeight w:val="800"/>
        </w:trPr>
        <w:tc>
          <w:tcPr>
            <w:tcW w:w="938" w:type="pct"/>
            <w:shd w:val="clear" w:color="auto" w:fill="auto"/>
            <w:vAlign w:val="bottom"/>
            <w:hideMark/>
          </w:tcPr>
          <w:p w:rsidR="00FD59C0" w:rsidP="004A21BD" w:rsidRDefault="00FD59C0">
            <w:pPr>
              <w:widowControl/>
              <w:autoSpaceDE/>
              <w:autoSpaceDN/>
              <w:adjustRightInd/>
              <w:jc w:val="center"/>
              <w:rPr>
                <w:color w:val="000000"/>
                <w:szCs w:val="20"/>
              </w:rPr>
            </w:pPr>
            <w:r>
              <w:rPr>
                <w:color w:val="000000"/>
                <w:szCs w:val="20"/>
              </w:rPr>
              <w:t xml:space="preserve">Disclosure of </w:t>
            </w:r>
            <w:r w:rsidR="004A21BD">
              <w:rPr>
                <w:color w:val="000000"/>
                <w:szCs w:val="20"/>
              </w:rPr>
              <w:t xml:space="preserve">Composite </w:t>
            </w:r>
            <w:r>
              <w:rPr>
                <w:color w:val="000000"/>
                <w:szCs w:val="20"/>
              </w:rPr>
              <w:t>Premiums</w:t>
            </w:r>
          </w:p>
        </w:tc>
        <w:tc>
          <w:tcPr>
            <w:tcW w:w="683"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t>State Government</w:t>
            </w:r>
          </w:p>
        </w:tc>
        <w:tc>
          <w:tcPr>
            <w:tcW w:w="734" w:type="pct"/>
            <w:shd w:val="clear" w:color="auto" w:fill="auto"/>
            <w:vAlign w:val="bottom"/>
            <w:hideMark/>
          </w:tcPr>
          <w:p w:rsidR="00FD59C0" w:rsidDel="005A4F89" w:rsidP="00ED2BE0" w:rsidRDefault="00C66687">
            <w:pPr>
              <w:widowControl/>
              <w:autoSpaceDE/>
              <w:autoSpaceDN/>
              <w:adjustRightInd/>
              <w:jc w:val="center"/>
              <w:rPr>
                <w:color w:val="000000"/>
                <w:szCs w:val="20"/>
              </w:rPr>
            </w:pPr>
            <w:r>
              <w:rPr>
                <w:color w:val="000000"/>
                <w:szCs w:val="20"/>
              </w:rPr>
              <w:t>2</w:t>
            </w:r>
          </w:p>
        </w:tc>
        <w:tc>
          <w:tcPr>
            <w:tcW w:w="626" w:type="pct"/>
            <w:vAlign w:val="bottom"/>
          </w:tcPr>
          <w:p w:rsidR="00FD59C0" w:rsidP="00ED2BE0" w:rsidRDefault="00FD59C0">
            <w:pPr>
              <w:widowControl/>
              <w:autoSpaceDE/>
              <w:autoSpaceDN/>
              <w:adjustRightInd/>
              <w:jc w:val="center"/>
              <w:rPr>
                <w:color w:val="000000"/>
                <w:szCs w:val="20"/>
              </w:rPr>
            </w:pPr>
            <w:r>
              <w:rPr>
                <w:color w:val="000000"/>
                <w:szCs w:val="20"/>
              </w:rPr>
              <w:t>1</w:t>
            </w:r>
          </w:p>
        </w:tc>
        <w:tc>
          <w:tcPr>
            <w:tcW w:w="626" w:type="pct"/>
            <w:shd w:val="clear" w:color="auto" w:fill="auto"/>
            <w:vAlign w:val="bottom"/>
            <w:hideMark/>
          </w:tcPr>
          <w:p w:rsidR="00FD59C0" w:rsidDel="005A4F89" w:rsidP="00ED2BE0" w:rsidRDefault="00C66687">
            <w:pPr>
              <w:widowControl/>
              <w:autoSpaceDE/>
              <w:autoSpaceDN/>
              <w:adjustRightInd/>
              <w:jc w:val="center"/>
              <w:rPr>
                <w:color w:val="000000"/>
                <w:szCs w:val="20"/>
              </w:rPr>
            </w:pPr>
            <w:r>
              <w:rPr>
                <w:color w:val="000000"/>
                <w:szCs w:val="20"/>
              </w:rPr>
              <w:t>2</w:t>
            </w:r>
          </w:p>
        </w:tc>
        <w:tc>
          <w:tcPr>
            <w:tcW w:w="722" w:type="pct"/>
            <w:shd w:val="clear" w:color="auto" w:fill="auto"/>
            <w:noWrap/>
            <w:vAlign w:val="bottom"/>
            <w:hideMark/>
          </w:tcPr>
          <w:p w:rsidRPr="00BA2758" w:rsidR="00FD59C0" w:rsidP="00005E2E" w:rsidRDefault="00FD59C0">
            <w:pPr>
              <w:widowControl/>
              <w:autoSpaceDE/>
              <w:autoSpaceDN/>
              <w:adjustRightInd/>
              <w:jc w:val="center"/>
              <w:rPr>
                <w:color w:val="000000"/>
                <w:szCs w:val="20"/>
              </w:rPr>
            </w:pPr>
            <w:r w:rsidRPr="00BA2758">
              <w:rPr>
                <w:color w:val="000000"/>
                <w:szCs w:val="20"/>
              </w:rPr>
              <w:t>$</w:t>
            </w:r>
            <w:r w:rsidR="00005E2E">
              <w:rPr>
                <w:color w:val="000000"/>
                <w:szCs w:val="20"/>
              </w:rPr>
              <w:t>60.50</w:t>
            </w:r>
          </w:p>
        </w:tc>
        <w:tc>
          <w:tcPr>
            <w:tcW w:w="670" w:type="pct"/>
            <w:shd w:val="clear" w:color="auto" w:fill="auto"/>
            <w:vAlign w:val="bottom"/>
            <w:hideMark/>
          </w:tcPr>
          <w:p w:rsidRPr="00BA2758" w:rsidR="00FD59C0" w:rsidP="00C66687" w:rsidRDefault="00BA2758">
            <w:pPr>
              <w:jc w:val="center"/>
              <w:rPr>
                <w:color w:val="000000"/>
                <w:szCs w:val="20"/>
              </w:rPr>
            </w:pPr>
            <w:r w:rsidRPr="00BA2758">
              <w:rPr>
                <w:color w:val="000000"/>
                <w:szCs w:val="20"/>
              </w:rPr>
              <w:t>$</w:t>
            </w:r>
            <w:r w:rsidR="00C66687">
              <w:rPr>
                <w:color w:val="000000"/>
                <w:szCs w:val="20"/>
              </w:rPr>
              <w:t>121</w:t>
            </w:r>
          </w:p>
        </w:tc>
      </w:tr>
      <w:tr w:rsidRPr="00FA3DA0" w:rsidR="00FD59C0" w:rsidTr="000D3924">
        <w:trPr>
          <w:trHeight w:val="570"/>
        </w:trPr>
        <w:tc>
          <w:tcPr>
            <w:tcW w:w="938"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t>Disclosure of Age Rating Ratio</w:t>
            </w:r>
          </w:p>
        </w:tc>
        <w:tc>
          <w:tcPr>
            <w:tcW w:w="683"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t>State Government</w:t>
            </w:r>
          </w:p>
        </w:tc>
        <w:tc>
          <w:tcPr>
            <w:tcW w:w="734" w:type="pct"/>
            <w:shd w:val="clear" w:color="auto" w:fill="auto"/>
            <w:vAlign w:val="bottom"/>
            <w:hideMark/>
          </w:tcPr>
          <w:p w:rsidR="00FD59C0" w:rsidDel="005A4F89" w:rsidP="00ED2BE0" w:rsidRDefault="00C66687">
            <w:pPr>
              <w:widowControl/>
              <w:autoSpaceDE/>
              <w:autoSpaceDN/>
              <w:adjustRightInd/>
              <w:jc w:val="center"/>
              <w:rPr>
                <w:color w:val="000000"/>
                <w:szCs w:val="20"/>
              </w:rPr>
            </w:pPr>
            <w:r>
              <w:rPr>
                <w:color w:val="000000"/>
                <w:szCs w:val="20"/>
              </w:rPr>
              <w:t>2</w:t>
            </w:r>
          </w:p>
        </w:tc>
        <w:tc>
          <w:tcPr>
            <w:tcW w:w="626" w:type="pct"/>
            <w:vAlign w:val="bottom"/>
          </w:tcPr>
          <w:p w:rsidR="00FD59C0" w:rsidP="00ED2BE0" w:rsidRDefault="00FD59C0">
            <w:pPr>
              <w:widowControl/>
              <w:autoSpaceDE/>
              <w:autoSpaceDN/>
              <w:adjustRightInd/>
              <w:jc w:val="center"/>
              <w:rPr>
                <w:color w:val="000000"/>
                <w:szCs w:val="20"/>
              </w:rPr>
            </w:pPr>
            <w:r>
              <w:rPr>
                <w:color w:val="000000"/>
                <w:szCs w:val="20"/>
              </w:rPr>
              <w:t>0.33</w:t>
            </w:r>
          </w:p>
        </w:tc>
        <w:tc>
          <w:tcPr>
            <w:tcW w:w="626" w:type="pct"/>
            <w:shd w:val="clear" w:color="auto" w:fill="auto"/>
            <w:vAlign w:val="bottom"/>
            <w:hideMark/>
          </w:tcPr>
          <w:p w:rsidR="00FD59C0" w:rsidDel="005A4F89" w:rsidP="00C65A6F" w:rsidRDefault="00C66687">
            <w:pPr>
              <w:widowControl/>
              <w:autoSpaceDE/>
              <w:autoSpaceDN/>
              <w:adjustRightInd/>
              <w:jc w:val="center"/>
              <w:rPr>
                <w:color w:val="000000"/>
                <w:szCs w:val="20"/>
              </w:rPr>
            </w:pPr>
            <w:r>
              <w:rPr>
                <w:color w:val="000000"/>
                <w:szCs w:val="20"/>
              </w:rPr>
              <w:t>0.67</w:t>
            </w:r>
          </w:p>
        </w:tc>
        <w:tc>
          <w:tcPr>
            <w:tcW w:w="722" w:type="pct"/>
            <w:shd w:val="clear" w:color="auto" w:fill="auto"/>
            <w:noWrap/>
            <w:vAlign w:val="bottom"/>
            <w:hideMark/>
          </w:tcPr>
          <w:p w:rsidRPr="00BA2758" w:rsidR="00FD59C0" w:rsidP="00005E2E" w:rsidRDefault="00FD59C0">
            <w:pPr>
              <w:widowControl/>
              <w:autoSpaceDE/>
              <w:autoSpaceDN/>
              <w:adjustRightInd/>
              <w:jc w:val="center"/>
              <w:rPr>
                <w:color w:val="000000"/>
                <w:szCs w:val="20"/>
              </w:rPr>
            </w:pPr>
            <w:r w:rsidRPr="00BA2758">
              <w:rPr>
                <w:color w:val="000000"/>
                <w:szCs w:val="20"/>
              </w:rPr>
              <w:t>$</w:t>
            </w:r>
            <w:r w:rsidR="00005E2E">
              <w:rPr>
                <w:color w:val="000000"/>
                <w:szCs w:val="20"/>
              </w:rPr>
              <w:t>60.50</w:t>
            </w:r>
          </w:p>
        </w:tc>
        <w:tc>
          <w:tcPr>
            <w:tcW w:w="670" w:type="pct"/>
            <w:shd w:val="clear" w:color="auto" w:fill="auto"/>
            <w:vAlign w:val="bottom"/>
            <w:hideMark/>
          </w:tcPr>
          <w:p w:rsidRPr="00BA2758" w:rsidR="00FD59C0" w:rsidP="00C66687" w:rsidRDefault="00FD59C0">
            <w:pPr>
              <w:jc w:val="center"/>
              <w:rPr>
                <w:color w:val="000000"/>
                <w:szCs w:val="20"/>
              </w:rPr>
            </w:pPr>
            <w:r w:rsidRPr="00BA2758">
              <w:rPr>
                <w:color w:val="000000"/>
                <w:szCs w:val="20"/>
              </w:rPr>
              <w:t>$</w:t>
            </w:r>
            <w:r w:rsidR="00C66687">
              <w:rPr>
                <w:color w:val="000000"/>
                <w:szCs w:val="20"/>
              </w:rPr>
              <w:t>40</w:t>
            </w:r>
          </w:p>
        </w:tc>
      </w:tr>
      <w:tr w:rsidRPr="00FA3DA0" w:rsidR="00FD59C0" w:rsidTr="000D3924">
        <w:trPr>
          <w:trHeight w:val="773"/>
        </w:trPr>
        <w:tc>
          <w:tcPr>
            <w:tcW w:w="938"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lastRenderedPageBreak/>
              <w:t>Disclosure of Tobacco Rating Ratio</w:t>
            </w:r>
          </w:p>
        </w:tc>
        <w:tc>
          <w:tcPr>
            <w:tcW w:w="683"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t>State Government</w:t>
            </w:r>
          </w:p>
        </w:tc>
        <w:tc>
          <w:tcPr>
            <w:tcW w:w="734" w:type="pct"/>
            <w:shd w:val="clear" w:color="auto" w:fill="auto"/>
            <w:vAlign w:val="bottom"/>
            <w:hideMark/>
          </w:tcPr>
          <w:p w:rsidR="00FD59C0" w:rsidDel="005A4F89" w:rsidP="00ED2BE0" w:rsidRDefault="00C66687">
            <w:pPr>
              <w:widowControl/>
              <w:autoSpaceDE/>
              <w:autoSpaceDN/>
              <w:adjustRightInd/>
              <w:jc w:val="center"/>
              <w:rPr>
                <w:color w:val="000000"/>
                <w:szCs w:val="20"/>
              </w:rPr>
            </w:pPr>
            <w:r>
              <w:rPr>
                <w:color w:val="000000"/>
                <w:szCs w:val="20"/>
              </w:rPr>
              <w:t>2</w:t>
            </w:r>
          </w:p>
        </w:tc>
        <w:tc>
          <w:tcPr>
            <w:tcW w:w="626" w:type="pct"/>
            <w:vAlign w:val="bottom"/>
          </w:tcPr>
          <w:p w:rsidR="00FD59C0" w:rsidP="00ED2BE0" w:rsidRDefault="00FD59C0">
            <w:pPr>
              <w:widowControl/>
              <w:autoSpaceDE/>
              <w:autoSpaceDN/>
              <w:adjustRightInd/>
              <w:jc w:val="center"/>
              <w:rPr>
                <w:color w:val="000000"/>
                <w:szCs w:val="20"/>
              </w:rPr>
            </w:pPr>
            <w:r>
              <w:rPr>
                <w:color w:val="000000"/>
                <w:szCs w:val="20"/>
              </w:rPr>
              <w:t>0.33</w:t>
            </w:r>
          </w:p>
        </w:tc>
        <w:tc>
          <w:tcPr>
            <w:tcW w:w="626" w:type="pct"/>
            <w:shd w:val="clear" w:color="auto" w:fill="auto"/>
            <w:vAlign w:val="bottom"/>
            <w:hideMark/>
          </w:tcPr>
          <w:p w:rsidR="00FD59C0" w:rsidDel="005A4F89" w:rsidP="00ED2BE0" w:rsidRDefault="00C66687">
            <w:pPr>
              <w:widowControl/>
              <w:autoSpaceDE/>
              <w:autoSpaceDN/>
              <w:adjustRightInd/>
              <w:jc w:val="center"/>
              <w:rPr>
                <w:color w:val="000000"/>
                <w:szCs w:val="20"/>
              </w:rPr>
            </w:pPr>
            <w:r>
              <w:rPr>
                <w:color w:val="000000"/>
                <w:szCs w:val="20"/>
              </w:rPr>
              <w:t>0.67</w:t>
            </w:r>
          </w:p>
        </w:tc>
        <w:tc>
          <w:tcPr>
            <w:tcW w:w="722" w:type="pct"/>
            <w:shd w:val="clear" w:color="auto" w:fill="auto"/>
            <w:noWrap/>
            <w:vAlign w:val="bottom"/>
            <w:hideMark/>
          </w:tcPr>
          <w:p w:rsidRPr="00BA2758" w:rsidR="00FD59C0" w:rsidP="00005E2E" w:rsidRDefault="00FD59C0">
            <w:pPr>
              <w:widowControl/>
              <w:autoSpaceDE/>
              <w:autoSpaceDN/>
              <w:adjustRightInd/>
              <w:jc w:val="center"/>
              <w:rPr>
                <w:color w:val="000000"/>
                <w:szCs w:val="20"/>
              </w:rPr>
            </w:pPr>
            <w:r w:rsidRPr="00BA2758">
              <w:rPr>
                <w:color w:val="000000"/>
                <w:szCs w:val="20"/>
              </w:rPr>
              <w:t>$</w:t>
            </w:r>
            <w:r w:rsidR="00005E2E">
              <w:rPr>
                <w:color w:val="000000"/>
                <w:szCs w:val="20"/>
              </w:rPr>
              <w:t>60.50</w:t>
            </w:r>
          </w:p>
        </w:tc>
        <w:tc>
          <w:tcPr>
            <w:tcW w:w="670" w:type="pct"/>
            <w:shd w:val="clear" w:color="auto" w:fill="auto"/>
            <w:vAlign w:val="bottom"/>
            <w:hideMark/>
          </w:tcPr>
          <w:p w:rsidRPr="00BA2758" w:rsidR="00FD59C0" w:rsidP="00C66687" w:rsidRDefault="00FD59C0">
            <w:pPr>
              <w:jc w:val="center"/>
              <w:rPr>
                <w:color w:val="000000"/>
                <w:szCs w:val="20"/>
              </w:rPr>
            </w:pPr>
            <w:r w:rsidRPr="00BA2758">
              <w:rPr>
                <w:color w:val="000000"/>
                <w:szCs w:val="20"/>
              </w:rPr>
              <w:t>$</w:t>
            </w:r>
            <w:r w:rsidR="00C66687">
              <w:rPr>
                <w:color w:val="000000"/>
                <w:szCs w:val="20"/>
              </w:rPr>
              <w:t>40</w:t>
            </w:r>
          </w:p>
        </w:tc>
      </w:tr>
      <w:tr w:rsidRPr="00FA3DA0" w:rsidR="00FD59C0" w:rsidTr="000D3924">
        <w:trPr>
          <w:trHeight w:val="1061"/>
        </w:trPr>
        <w:tc>
          <w:tcPr>
            <w:tcW w:w="938"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t>Disclosure of Merged Individual and Small Group Market Risk Pools</w:t>
            </w:r>
          </w:p>
        </w:tc>
        <w:tc>
          <w:tcPr>
            <w:tcW w:w="683" w:type="pct"/>
            <w:shd w:val="clear" w:color="auto" w:fill="auto"/>
            <w:vAlign w:val="bottom"/>
            <w:hideMark/>
          </w:tcPr>
          <w:p w:rsidR="00FD59C0" w:rsidP="00ED2BE0" w:rsidRDefault="00FD59C0">
            <w:pPr>
              <w:widowControl/>
              <w:autoSpaceDE/>
              <w:autoSpaceDN/>
              <w:adjustRightInd/>
              <w:jc w:val="center"/>
              <w:rPr>
                <w:color w:val="000000"/>
                <w:szCs w:val="20"/>
              </w:rPr>
            </w:pPr>
            <w:r>
              <w:rPr>
                <w:color w:val="000000"/>
                <w:szCs w:val="20"/>
              </w:rPr>
              <w:t>State Government</w:t>
            </w:r>
          </w:p>
        </w:tc>
        <w:tc>
          <w:tcPr>
            <w:tcW w:w="734" w:type="pct"/>
            <w:shd w:val="clear" w:color="auto" w:fill="auto"/>
            <w:vAlign w:val="bottom"/>
            <w:hideMark/>
          </w:tcPr>
          <w:p w:rsidR="00FD59C0" w:rsidDel="005A4F89" w:rsidP="00ED2BE0" w:rsidRDefault="00C66687">
            <w:pPr>
              <w:widowControl/>
              <w:autoSpaceDE/>
              <w:autoSpaceDN/>
              <w:adjustRightInd/>
              <w:jc w:val="center"/>
              <w:rPr>
                <w:color w:val="000000"/>
                <w:szCs w:val="20"/>
              </w:rPr>
            </w:pPr>
            <w:r>
              <w:rPr>
                <w:color w:val="000000"/>
                <w:szCs w:val="20"/>
              </w:rPr>
              <w:t>2</w:t>
            </w:r>
          </w:p>
        </w:tc>
        <w:tc>
          <w:tcPr>
            <w:tcW w:w="626" w:type="pct"/>
            <w:vAlign w:val="bottom"/>
          </w:tcPr>
          <w:p w:rsidR="00FD59C0" w:rsidP="00ED2BE0" w:rsidRDefault="00FD59C0">
            <w:pPr>
              <w:widowControl/>
              <w:autoSpaceDE/>
              <w:autoSpaceDN/>
              <w:adjustRightInd/>
              <w:jc w:val="center"/>
              <w:rPr>
                <w:color w:val="000000"/>
                <w:szCs w:val="20"/>
              </w:rPr>
            </w:pPr>
            <w:r>
              <w:rPr>
                <w:color w:val="000000"/>
                <w:szCs w:val="20"/>
              </w:rPr>
              <w:t>0.33</w:t>
            </w:r>
          </w:p>
        </w:tc>
        <w:tc>
          <w:tcPr>
            <w:tcW w:w="626" w:type="pct"/>
            <w:shd w:val="clear" w:color="auto" w:fill="auto"/>
            <w:vAlign w:val="bottom"/>
            <w:hideMark/>
          </w:tcPr>
          <w:p w:rsidR="00FD59C0" w:rsidDel="005A4F89" w:rsidP="00ED2BE0" w:rsidRDefault="00C66687">
            <w:pPr>
              <w:widowControl/>
              <w:autoSpaceDE/>
              <w:autoSpaceDN/>
              <w:adjustRightInd/>
              <w:jc w:val="center"/>
              <w:rPr>
                <w:color w:val="000000"/>
                <w:szCs w:val="20"/>
              </w:rPr>
            </w:pPr>
            <w:r>
              <w:rPr>
                <w:color w:val="000000"/>
                <w:szCs w:val="20"/>
              </w:rPr>
              <w:t>0.67</w:t>
            </w:r>
          </w:p>
        </w:tc>
        <w:tc>
          <w:tcPr>
            <w:tcW w:w="722" w:type="pct"/>
            <w:shd w:val="clear" w:color="auto" w:fill="auto"/>
            <w:noWrap/>
            <w:vAlign w:val="bottom"/>
            <w:hideMark/>
          </w:tcPr>
          <w:p w:rsidRPr="00BA2758" w:rsidR="00FD59C0" w:rsidP="00005E2E" w:rsidRDefault="00FD59C0">
            <w:pPr>
              <w:widowControl/>
              <w:autoSpaceDE/>
              <w:autoSpaceDN/>
              <w:adjustRightInd/>
              <w:jc w:val="center"/>
              <w:rPr>
                <w:color w:val="000000"/>
                <w:szCs w:val="20"/>
              </w:rPr>
            </w:pPr>
            <w:r w:rsidRPr="00BA2758">
              <w:rPr>
                <w:color w:val="000000"/>
                <w:szCs w:val="20"/>
              </w:rPr>
              <w:t>$</w:t>
            </w:r>
            <w:r w:rsidR="00005E2E">
              <w:rPr>
                <w:color w:val="000000"/>
                <w:szCs w:val="20"/>
              </w:rPr>
              <w:t>60.50</w:t>
            </w:r>
          </w:p>
        </w:tc>
        <w:tc>
          <w:tcPr>
            <w:tcW w:w="670" w:type="pct"/>
            <w:shd w:val="clear" w:color="auto" w:fill="auto"/>
            <w:vAlign w:val="bottom"/>
            <w:hideMark/>
          </w:tcPr>
          <w:p w:rsidRPr="00BA2758" w:rsidR="00FD59C0" w:rsidP="00C66687" w:rsidRDefault="00FD59C0">
            <w:pPr>
              <w:jc w:val="center"/>
              <w:rPr>
                <w:color w:val="000000"/>
                <w:szCs w:val="20"/>
              </w:rPr>
            </w:pPr>
            <w:r w:rsidRPr="00BA2758">
              <w:rPr>
                <w:color w:val="000000"/>
                <w:szCs w:val="20"/>
              </w:rPr>
              <w:t>$</w:t>
            </w:r>
            <w:r w:rsidR="00C66687">
              <w:rPr>
                <w:color w:val="000000"/>
                <w:szCs w:val="20"/>
              </w:rPr>
              <w:t>40</w:t>
            </w:r>
          </w:p>
        </w:tc>
      </w:tr>
      <w:tr w:rsidRPr="00FA3DA0" w:rsidR="00FD59C0" w:rsidTr="000D3924">
        <w:trPr>
          <w:trHeight w:val="570"/>
        </w:trPr>
        <w:tc>
          <w:tcPr>
            <w:tcW w:w="938" w:type="pct"/>
            <w:shd w:val="clear" w:color="auto" w:fill="auto"/>
            <w:vAlign w:val="bottom"/>
          </w:tcPr>
          <w:p w:rsidRPr="00D33B64" w:rsidR="00FD59C0" w:rsidP="00ED2BE0" w:rsidRDefault="00FD59C0">
            <w:pPr>
              <w:widowControl/>
              <w:autoSpaceDE/>
              <w:autoSpaceDN/>
              <w:adjustRightInd/>
              <w:jc w:val="center"/>
              <w:rPr>
                <w:color w:val="000000"/>
                <w:szCs w:val="20"/>
              </w:rPr>
            </w:pPr>
            <w:r w:rsidRPr="00D33B64">
              <w:rPr>
                <w:color w:val="000000"/>
                <w:szCs w:val="20"/>
              </w:rPr>
              <w:t>Management Review (of all reports)</w:t>
            </w:r>
          </w:p>
        </w:tc>
        <w:tc>
          <w:tcPr>
            <w:tcW w:w="683" w:type="pct"/>
            <w:shd w:val="clear" w:color="auto" w:fill="auto"/>
            <w:vAlign w:val="bottom"/>
          </w:tcPr>
          <w:p w:rsidR="00FD59C0" w:rsidP="00ED2BE0" w:rsidRDefault="00FD59C0">
            <w:pPr>
              <w:widowControl/>
              <w:autoSpaceDE/>
              <w:autoSpaceDN/>
              <w:adjustRightInd/>
              <w:jc w:val="center"/>
              <w:rPr>
                <w:color w:val="000000"/>
                <w:szCs w:val="20"/>
              </w:rPr>
            </w:pPr>
            <w:r w:rsidRPr="00D33B64">
              <w:rPr>
                <w:color w:val="000000"/>
                <w:szCs w:val="20"/>
              </w:rPr>
              <w:t>State Government</w:t>
            </w:r>
          </w:p>
        </w:tc>
        <w:tc>
          <w:tcPr>
            <w:tcW w:w="734" w:type="pct"/>
            <w:shd w:val="clear" w:color="auto" w:fill="auto"/>
            <w:vAlign w:val="bottom"/>
          </w:tcPr>
          <w:p w:rsidR="00FD59C0" w:rsidP="00ED2BE0" w:rsidRDefault="00C66687">
            <w:pPr>
              <w:widowControl/>
              <w:autoSpaceDE/>
              <w:autoSpaceDN/>
              <w:adjustRightInd/>
              <w:jc w:val="center"/>
              <w:rPr>
                <w:color w:val="000000"/>
                <w:szCs w:val="20"/>
              </w:rPr>
            </w:pPr>
            <w:r>
              <w:rPr>
                <w:color w:val="000000"/>
                <w:szCs w:val="20"/>
              </w:rPr>
              <w:t>3</w:t>
            </w:r>
          </w:p>
        </w:tc>
        <w:tc>
          <w:tcPr>
            <w:tcW w:w="626" w:type="pct"/>
            <w:vAlign w:val="bottom"/>
          </w:tcPr>
          <w:p w:rsidR="00FD59C0" w:rsidP="00ED2BE0" w:rsidRDefault="00810756">
            <w:pPr>
              <w:widowControl/>
              <w:autoSpaceDE/>
              <w:autoSpaceDN/>
              <w:adjustRightInd/>
              <w:jc w:val="center"/>
              <w:rPr>
                <w:color w:val="000000"/>
                <w:szCs w:val="20"/>
              </w:rPr>
            </w:pPr>
            <w:r>
              <w:rPr>
                <w:color w:val="000000"/>
                <w:szCs w:val="20"/>
              </w:rPr>
              <w:t>1</w:t>
            </w:r>
          </w:p>
        </w:tc>
        <w:tc>
          <w:tcPr>
            <w:tcW w:w="626" w:type="pct"/>
            <w:shd w:val="clear" w:color="auto" w:fill="auto"/>
            <w:vAlign w:val="bottom"/>
          </w:tcPr>
          <w:p w:rsidR="00FD59C0" w:rsidP="00AC204C" w:rsidRDefault="00810756">
            <w:pPr>
              <w:widowControl/>
              <w:autoSpaceDE/>
              <w:autoSpaceDN/>
              <w:adjustRightInd/>
              <w:jc w:val="center"/>
              <w:rPr>
                <w:color w:val="000000"/>
                <w:szCs w:val="20"/>
              </w:rPr>
            </w:pPr>
            <w:r>
              <w:rPr>
                <w:color w:val="000000"/>
                <w:szCs w:val="20"/>
              </w:rPr>
              <w:t>3</w:t>
            </w:r>
          </w:p>
        </w:tc>
        <w:tc>
          <w:tcPr>
            <w:tcW w:w="722" w:type="pct"/>
            <w:shd w:val="clear" w:color="auto" w:fill="auto"/>
            <w:noWrap/>
            <w:vAlign w:val="bottom"/>
          </w:tcPr>
          <w:p w:rsidRPr="00BA2758" w:rsidR="00FD59C0" w:rsidP="00384927" w:rsidRDefault="00FD59C0">
            <w:pPr>
              <w:widowControl/>
              <w:autoSpaceDE/>
              <w:autoSpaceDN/>
              <w:adjustRightInd/>
              <w:jc w:val="center"/>
              <w:rPr>
                <w:color w:val="000000"/>
                <w:szCs w:val="20"/>
              </w:rPr>
            </w:pPr>
            <w:r w:rsidRPr="00BA2758">
              <w:rPr>
                <w:color w:val="000000"/>
                <w:szCs w:val="20"/>
              </w:rPr>
              <w:t>$</w:t>
            </w:r>
            <w:r w:rsidR="00384927">
              <w:rPr>
                <w:color w:val="000000"/>
                <w:szCs w:val="20"/>
              </w:rPr>
              <w:t>118</w:t>
            </w:r>
          </w:p>
        </w:tc>
        <w:tc>
          <w:tcPr>
            <w:tcW w:w="670" w:type="pct"/>
            <w:shd w:val="clear" w:color="auto" w:fill="auto"/>
            <w:vAlign w:val="bottom"/>
          </w:tcPr>
          <w:p w:rsidRPr="00BA2758" w:rsidR="00FD59C0" w:rsidP="00384927" w:rsidRDefault="00FD59C0">
            <w:pPr>
              <w:jc w:val="center"/>
              <w:rPr>
                <w:color w:val="000000"/>
                <w:szCs w:val="20"/>
              </w:rPr>
            </w:pPr>
            <w:r w:rsidRPr="00BA2758">
              <w:rPr>
                <w:color w:val="000000"/>
                <w:szCs w:val="20"/>
              </w:rPr>
              <w:t>$</w:t>
            </w:r>
            <w:r w:rsidR="00384927">
              <w:rPr>
                <w:color w:val="000000"/>
                <w:szCs w:val="20"/>
              </w:rPr>
              <w:t>355</w:t>
            </w:r>
          </w:p>
        </w:tc>
      </w:tr>
      <w:tr w:rsidRPr="00FA3DA0" w:rsidR="00FD59C0" w:rsidTr="000D3924">
        <w:trPr>
          <w:trHeight w:val="570"/>
        </w:trPr>
        <w:tc>
          <w:tcPr>
            <w:tcW w:w="938" w:type="pct"/>
            <w:shd w:val="clear" w:color="auto" w:fill="auto"/>
            <w:vAlign w:val="bottom"/>
            <w:hideMark/>
          </w:tcPr>
          <w:p w:rsidRPr="00AC5525" w:rsidR="00FD59C0" w:rsidP="00ED2BE0" w:rsidRDefault="00FD59C0">
            <w:pPr>
              <w:widowControl/>
              <w:autoSpaceDE/>
              <w:autoSpaceDN/>
              <w:adjustRightInd/>
              <w:jc w:val="center"/>
              <w:rPr>
                <w:b/>
                <w:color w:val="000000"/>
                <w:szCs w:val="20"/>
              </w:rPr>
            </w:pPr>
            <w:r w:rsidRPr="00AC5525">
              <w:rPr>
                <w:b/>
                <w:color w:val="000000"/>
                <w:szCs w:val="20"/>
              </w:rPr>
              <w:t>Total</w:t>
            </w:r>
          </w:p>
        </w:tc>
        <w:tc>
          <w:tcPr>
            <w:tcW w:w="683" w:type="pct"/>
            <w:shd w:val="clear" w:color="auto" w:fill="auto"/>
            <w:vAlign w:val="bottom"/>
            <w:hideMark/>
          </w:tcPr>
          <w:p w:rsidR="00FD59C0" w:rsidP="00ED2BE0" w:rsidRDefault="00FD59C0">
            <w:pPr>
              <w:widowControl/>
              <w:autoSpaceDE/>
              <w:autoSpaceDN/>
              <w:adjustRightInd/>
              <w:jc w:val="center"/>
              <w:rPr>
                <w:color w:val="000000"/>
                <w:szCs w:val="20"/>
              </w:rPr>
            </w:pPr>
          </w:p>
        </w:tc>
        <w:tc>
          <w:tcPr>
            <w:tcW w:w="734" w:type="pct"/>
            <w:shd w:val="clear" w:color="auto" w:fill="auto"/>
            <w:vAlign w:val="bottom"/>
            <w:hideMark/>
          </w:tcPr>
          <w:p w:rsidR="00FD59C0" w:rsidP="00ED2BE0" w:rsidRDefault="00C66687">
            <w:pPr>
              <w:widowControl/>
              <w:autoSpaceDE/>
              <w:autoSpaceDN/>
              <w:adjustRightInd/>
              <w:jc w:val="center"/>
              <w:rPr>
                <w:color w:val="000000"/>
                <w:szCs w:val="20"/>
              </w:rPr>
            </w:pPr>
            <w:r>
              <w:rPr>
                <w:color w:val="000000"/>
                <w:szCs w:val="20"/>
              </w:rPr>
              <w:t>3</w:t>
            </w:r>
          </w:p>
        </w:tc>
        <w:tc>
          <w:tcPr>
            <w:tcW w:w="626" w:type="pct"/>
          </w:tcPr>
          <w:p w:rsidR="00FD59C0" w:rsidP="00ED2BE0" w:rsidRDefault="00FD59C0">
            <w:pPr>
              <w:widowControl/>
              <w:autoSpaceDE/>
              <w:autoSpaceDN/>
              <w:adjustRightInd/>
              <w:jc w:val="center"/>
              <w:rPr>
                <w:color w:val="000000"/>
                <w:szCs w:val="20"/>
              </w:rPr>
            </w:pPr>
          </w:p>
        </w:tc>
        <w:tc>
          <w:tcPr>
            <w:tcW w:w="626" w:type="pct"/>
            <w:shd w:val="clear" w:color="auto" w:fill="auto"/>
            <w:vAlign w:val="bottom"/>
            <w:hideMark/>
          </w:tcPr>
          <w:p w:rsidR="00FD59C0" w:rsidP="00DE100E" w:rsidRDefault="00810756">
            <w:pPr>
              <w:widowControl/>
              <w:autoSpaceDE/>
              <w:autoSpaceDN/>
              <w:adjustRightInd/>
              <w:jc w:val="center"/>
              <w:rPr>
                <w:color w:val="000000"/>
                <w:szCs w:val="20"/>
              </w:rPr>
            </w:pPr>
            <w:r>
              <w:rPr>
                <w:color w:val="000000"/>
                <w:szCs w:val="20"/>
              </w:rPr>
              <w:t>17</w:t>
            </w:r>
          </w:p>
        </w:tc>
        <w:tc>
          <w:tcPr>
            <w:tcW w:w="722" w:type="pct"/>
            <w:shd w:val="clear" w:color="auto" w:fill="auto"/>
            <w:noWrap/>
            <w:vAlign w:val="bottom"/>
            <w:hideMark/>
          </w:tcPr>
          <w:p w:rsidRPr="00BA2758" w:rsidR="00FD59C0" w:rsidP="00ED2BE0" w:rsidRDefault="00FD59C0">
            <w:pPr>
              <w:widowControl/>
              <w:autoSpaceDE/>
              <w:autoSpaceDN/>
              <w:adjustRightInd/>
              <w:jc w:val="center"/>
              <w:rPr>
                <w:color w:val="000000"/>
                <w:szCs w:val="20"/>
              </w:rPr>
            </w:pPr>
          </w:p>
        </w:tc>
        <w:tc>
          <w:tcPr>
            <w:tcW w:w="670" w:type="pct"/>
            <w:shd w:val="clear" w:color="auto" w:fill="auto"/>
            <w:vAlign w:val="bottom"/>
            <w:hideMark/>
          </w:tcPr>
          <w:p w:rsidRPr="00BA2758" w:rsidR="00FD59C0" w:rsidP="00810756" w:rsidRDefault="00FD59C0">
            <w:pPr>
              <w:jc w:val="center"/>
              <w:rPr>
                <w:rFonts w:ascii="Arial" w:hAnsi="Arial" w:cs="Arial"/>
              </w:rPr>
            </w:pPr>
            <w:r w:rsidRPr="00EA5F0E">
              <w:rPr>
                <w:color w:val="000000"/>
                <w:szCs w:val="20"/>
              </w:rPr>
              <w:t>$</w:t>
            </w:r>
            <w:r w:rsidR="00C66687">
              <w:rPr>
                <w:color w:val="000000"/>
                <w:szCs w:val="20"/>
              </w:rPr>
              <w:t>1,</w:t>
            </w:r>
            <w:r w:rsidR="00810756">
              <w:rPr>
                <w:color w:val="000000"/>
                <w:szCs w:val="20"/>
              </w:rPr>
              <w:t>202</w:t>
            </w:r>
          </w:p>
        </w:tc>
      </w:tr>
    </w:tbl>
    <w:p w:rsidR="00ED2BE0" w:rsidP="00ED2BE0" w:rsidRDefault="00ED2BE0">
      <w:pPr>
        <w:pStyle w:val="Heading3"/>
        <w:ind w:left="0"/>
        <w:rPr>
          <w:bCs/>
          <w:u w:val="none"/>
          <w:lang w:val="en-US" w:eastAsia="en-US"/>
        </w:rPr>
      </w:pPr>
    </w:p>
    <w:p w:rsidRPr="004E18B6" w:rsidR="008F1EB4" w:rsidP="00ED2BE0" w:rsidRDefault="008F1EB4">
      <w:pPr>
        <w:pStyle w:val="Heading2"/>
      </w:pPr>
      <w:r w:rsidRPr="004E18B6">
        <w:t>Capital Costs</w:t>
      </w:r>
    </w:p>
    <w:p w:rsidR="00074248" w:rsidP="00ED2BE0" w:rsidRDefault="00264EE8">
      <w:pPr>
        <w:spacing w:after="240"/>
        <w:ind w:left="360"/>
        <w:rPr>
          <w:sz w:val="24"/>
        </w:rPr>
      </w:pPr>
      <w:r>
        <w:rPr>
          <w:sz w:val="24"/>
        </w:rPr>
        <w:t xml:space="preserve"> </w:t>
      </w:r>
      <w:r w:rsidR="005E36C6">
        <w:rPr>
          <w:sz w:val="24"/>
        </w:rPr>
        <w:t>S</w:t>
      </w:r>
      <w:r w:rsidR="00074248">
        <w:rPr>
          <w:sz w:val="24"/>
        </w:rPr>
        <w:t xml:space="preserve">tates are </w:t>
      </w:r>
      <w:r w:rsidR="00B27F1D">
        <w:rPr>
          <w:sz w:val="24"/>
        </w:rPr>
        <w:t>not expected to incur capital cost</w:t>
      </w:r>
      <w:r w:rsidR="00B2448A">
        <w:rPr>
          <w:sz w:val="24"/>
        </w:rPr>
        <w:t>s to fulfill these requirements</w:t>
      </w:r>
      <w:r w:rsidR="00074248">
        <w:rPr>
          <w:sz w:val="24"/>
        </w:rPr>
        <w:t>.</w:t>
      </w:r>
    </w:p>
    <w:p w:rsidR="008F1EB4" w:rsidP="00ED2BE0" w:rsidRDefault="008F1EB4">
      <w:pPr>
        <w:pStyle w:val="Heading2"/>
      </w:pPr>
      <w:r>
        <w:t>Cost to Federal Government</w:t>
      </w:r>
    </w:p>
    <w:p w:rsidR="002A5533" w:rsidP="00ED2BE0" w:rsidRDefault="00D1795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Pr>
          <w:sz w:val="24"/>
        </w:rPr>
        <w:t xml:space="preserve">CMS staff is expected to review the rating information submitted by states. </w:t>
      </w:r>
      <w:r w:rsidR="002A5533">
        <w:rPr>
          <w:sz w:val="24"/>
        </w:rPr>
        <w:t xml:space="preserve"> We anticipate that </w:t>
      </w:r>
      <w:r w:rsidR="007B7982">
        <w:rPr>
          <w:sz w:val="24"/>
        </w:rPr>
        <w:t>a</w:t>
      </w:r>
      <w:r w:rsidR="002A5533">
        <w:rPr>
          <w:sz w:val="24"/>
        </w:rPr>
        <w:t xml:space="preserve"> reviewer will need </w:t>
      </w:r>
      <w:r w:rsidR="004112C8">
        <w:rPr>
          <w:sz w:val="24"/>
        </w:rPr>
        <w:t>2</w:t>
      </w:r>
      <w:r w:rsidR="00C66687">
        <w:rPr>
          <w:sz w:val="24"/>
        </w:rPr>
        <w:t xml:space="preserve"> </w:t>
      </w:r>
      <w:r w:rsidR="002A5533">
        <w:rPr>
          <w:sz w:val="24"/>
        </w:rPr>
        <w:t>hour</w:t>
      </w:r>
      <w:r w:rsidR="00E60823">
        <w:rPr>
          <w:sz w:val="24"/>
        </w:rPr>
        <w:t>s</w:t>
      </w:r>
      <w:r w:rsidR="002A5533">
        <w:rPr>
          <w:sz w:val="24"/>
        </w:rPr>
        <w:t xml:space="preserve"> to review each submission</w:t>
      </w:r>
      <w:r w:rsidR="00D86ED1">
        <w:rPr>
          <w:sz w:val="24"/>
        </w:rPr>
        <w:t xml:space="preserve"> from a state</w:t>
      </w:r>
      <w:r w:rsidR="002A5533">
        <w:rPr>
          <w:sz w:val="24"/>
        </w:rPr>
        <w:t>.</w:t>
      </w:r>
      <w:r w:rsidR="00D2720C">
        <w:rPr>
          <w:sz w:val="24"/>
        </w:rPr>
        <w:t xml:space="preserve"> </w:t>
      </w:r>
    </w:p>
    <w:p w:rsidRPr="00472E16" w:rsidR="004E175E" w:rsidP="00ED2BE0" w:rsidRDefault="004E175E">
      <w:pPr>
        <w:pStyle w:val="Heading3"/>
      </w:pPr>
      <w:r w:rsidRPr="004E175E">
        <w:t xml:space="preserve">Table 14.1 </w:t>
      </w:r>
      <w:r w:rsidR="00761566">
        <w:t xml:space="preserve">Estimated </w:t>
      </w:r>
      <w:r w:rsidRPr="004E175E">
        <w:t>Cost to Federal Government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51"/>
        <w:gridCol w:w="1814"/>
        <w:gridCol w:w="1438"/>
        <w:gridCol w:w="1438"/>
        <w:gridCol w:w="1629"/>
        <w:gridCol w:w="1580"/>
      </w:tblGrid>
      <w:tr w:rsidRPr="00F342C8" w:rsidR="00C7432D" w:rsidTr="000D3924">
        <w:trPr>
          <w:trHeight w:val="1340"/>
          <w:jc w:val="center"/>
        </w:trPr>
        <w:tc>
          <w:tcPr>
            <w:tcW w:w="776" w:type="pct"/>
          </w:tcPr>
          <w:p w:rsidRPr="00F342C8" w:rsidR="00C7432D" w:rsidP="00ED2BE0" w:rsidRDefault="00C7432D">
            <w:pPr>
              <w:widowControl/>
              <w:autoSpaceDE/>
              <w:autoSpaceDN/>
              <w:adjustRightInd/>
              <w:jc w:val="center"/>
              <w:rPr>
                <w:b/>
                <w:bCs/>
                <w:color w:val="000000"/>
                <w:sz w:val="24"/>
              </w:rPr>
            </w:pPr>
            <w:r w:rsidRPr="00F342C8">
              <w:rPr>
                <w:b/>
                <w:bCs/>
                <w:color w:val="000000"/>
                <w:sz w:val="24"/>
              </w:rPr>
              <w:t>Type of Federal Employee Support</w:t>
            </w:r>
          </w:p>
        </w:tc>
        <w:tc>
          <w:tcPr>
            <w:tcW w:w="970" w:type="pct"/>
          </w:tcPr>
          <w:p w:rsidR="00C7432D" w:rsidP="00ED2BE0" w:rsidRDefault="00C7432D">
            <w:pPr>
              <w:widowControl/>
              <w:autoSpaceDE/>
              <w:autoSpaceDN/>
              <w:adjustRightInd/>
              <w:jc w:val="center"/>
              <w:rPr>
                <w:b/>
                <w:bCs/>
                <w:color w:val="000000"/>
                <w:sz w:val="24"/>
              </w:rPr>
            </w:pPr>
            <w:r w:rsidRPr="00F342C8">
              <w:rPr>
                <w:b/>
                <w:bCs/>
                <w:color w:val="000000"/>
                <w:sz w:val="24"/>
              </w:rPr>
              <w:t>Burden</w:t>
            </w:r>
          </w:p>
          <w:p w:rsidRPr="00F342C8" w:rsidR="00C7432D" w:rsidP="00ED2BE0" w:rsidRDefault="00C7432D">
            <w:pPr>
              <w:widowControl/>
              <w:autoSpaceDE/>
              <w:autoSpaceDN/>
              <w:adjustRightInd/>
              <w:jc w:val="center"/>
              <w:rPr>
                <w:b/>
                <w:bCs/>
                <w:color w:val="000000"/>
                <w:sz w:val="24"/>
              </w:rPr>
            </w:pPr>
            <w:r w:rsidRPr="00F342C8">
              <w:rPr>
                <w:b/>
                <w:bCs/>
                <w:color w:val="000000"/>
                <w:sz w:val="24"/>
              </w:rPr>
              <w:t>Hours per Review</w:t>
            </w:r>
          </w:p>
        </w:tc>
        <w:tc>
          <w:tcPr>
            <w:tcW w:w="769" w:type="pct"/>
          </w:tcPr>
          <w:p w:rsidRPr="00F342C8" w:rsidR="00C7432D" w:rsidP="0005612C" w:rsidRDefault="00C7432D">
            <w:pPr>
              <w:widowControl/>
              <w:autoSpaceDE/>
              <w:autoSpaceDN/>
              <w:adjustRightInd/>
              <w:jc w:val="center"/>
              <w:rPr>
                <w:b/>
                <w:bCs/>
                <w:color w:val="000000"/>
                <w:sz w:val="24"/>
              </w:rPr>
            </w:pPr>
            <w:r>
              <w:rPr>
                <w:b/>
                <w:bCs/>
                <w:color w:val="000000"/>
                <w:sz w:val="24"/>
              </w:rPr>
              <w:t>Total Number of reviews</w:t>
            </w:r>
          </w:p>
        </w:tc>
        <w:tc>
          <w:tcPr>
            <w:tcW w:w="769" w:type="pct"/>
          </w:tcPr>
          <w:p w:rsidRPr="00F342C8" w:rsidR="00C7432D" w:rsidP="0005612C" w:rsidRDefault="00C7432D">
            <w:pPr>
              <w:widowControl/>
              <w:autoSpaceDE/>
              <w:autoSpaceDN/>
              <w:adjustRightInd/>
              <w:jc w:val="center"/>
              <w:rPr>
                <w:b/>
                <w:bCs/>
                <w:color w:val="000000"/>
                <w:sz w:val="24"/>
              </w:rPr>
            </w:pPr>
            <w:r w:rsidRPr="00F342C8">
              <w:rPr>
                <w:b/>
                <w:bCs/>
                <w:color w:val="000000"/>
                <w:sz w:val="24"/>
              </w:rPr>
              <w:t xml:space="preserve">Total </w:t>
            </w:r>
            <w:r>
              <w:rPr>
                <w:b/>
                <w:bCs/>
                <w:color w:val="000000"/>
                <w:sz w:val="24"/>
              </w:rPr>
              <w:t>hours</w:t>
            </w:r>
          </w:p>
        </w:tc>
        <w:tc>
          <w:tcPr>
            <w:tcW w:w="871" w:type="pct"/>
          </w:tcPr>
          <w:p w:rsidRPr="00F342C8" w:rsidR="00C7432D" w:rsidP="00ED2BE0" w:rsidRDefault="00C7432D">
            <w:pPr>
              <w:widowControl/>
              <w:autoSpaceDE/>
              <w:autoSpaceDN/>
              <w:adjustRightInd/>
              <w:jc w:val="center"/>
              <w:rPr>
                <w:b/>
                <w:bCs/>
                <w:color w:val="000000"/>
                <w:sz w:val="24"/>
              </w:rPr>
            </w:pPr>
            <w:r w:rsidRPr="00F342C8">
              <w:rPr>
                <w:b/>
                <w:bCs/>
                <w:color w:val="000000"/>
                <w:sz w:val="24"/>
              </w:rPr>
              <w:t>Hourly</w:t>
            </w:r>
            <w:r>
              <w:rPr>
                <w:b/>
                <w:bCs/>
                <w:color w:val="000000"/>
                <w:sz w:val="24"/>
              </w:rPr>
              <w:t xml:space="preserve"> </w:t>
            </w:r>
            <w:r w:rsidRPr="00F342C8">
              <w:rPr>
                <w:b/>
                <w:bCs/>
                <w:color w:val="000000"/>
                <w:sz w:val="24"/>
              </w:rPr>
              <w:t>Wage Rate (GS 14 equivalent) – (includes  fringe)</w:t>
            </w:r>
          </w:p>
        </w:tc>
        <w:tc>
          <w:tcPr>
            <w:tcW w:w="845" w:type="pct"/>
          </w:tcPr>
          <w:p w:rsidRPr="00F342C8" w:rsidR="00C7432D" w:rsidP="00ED2BE0" w:rsidRDefault="00C7432D">
            <w:pPr>
              <w:widowControl/>
              <w:autoSpaceDE/>
              <w:autoSpaceDN/>
              <w:adjustRightInd/>
              <w:jc w:val="center"/>
              <w:rPr>
                <w:b/>
                <w:bCs/>
                <w:color w:val="000000"/>
                <w:sz w:val="24"/>
              </w:rPr>
            </w:pPr>
            <w:r w:rsidRPr="00F342C8">
              <w:rPr>
                <w:b/>
                <w:bCs/>
                <w:color w:val="000000"/>
                <w:sz w:val="24"/>
              </w:rPr>
              <w:t>Total Federal</w:t>
            </w:r>
            <w:r>
              <w:rPr>
                <w:b/>
                <w:bCs/>
                <w:color w:val="000000"/>
                <w:sz w:val="24"/>
              </w:rPr>
              <w:t xml:space="preserve"> </w:t>
            </w:r>
            <w:r w:rsidRPr="00F342C8">
              <w:rPr>
                <w:b/>
                <w:bCs/>
                <w:color w:val="000000"/>
                <w:sz w:val="24"/>
              </w:rPr>
              <w:t>Government Costs</w:t>
            </w:r>
            <w:r>
              <w:rPr>
                <w:b/>
                <w:bCs/>
                <w:color w:val="000000"/>
                <w:sz w:val="24"/>
              </w:rPr>
              <w:t xml:space="preserve"> </w:t>
            </w:r>
          </w:p>
        </w:tc>
      </w:tr>
      <w:tr w:rsidRPr="00F342C8" w:rsidR="00C7432D" w:rsidTr="00E40206">
        <w:trPr>
          <w:trHeight w:val="890"/>
          <w:jc w:val="center"/>
        </w:trPr>
        <w:tc>
          <w:tcPr>
            <w:tcW w:w="776" w:type="pct"/>
          </w:tcPr>
          <w:p w:rsidRPr="00F342C8" w:rsidR="00C7432D" w:rsidP="00ED2BE0" w:rsidRDefault="00C7432D">
            <w:pPr>
              <w:widowControl/>
              <w:autoSpaceDE/>
              <w:autoSpaceDN/>
              <w:adjustRightInd/>
              <w:jc w:val="center"/>
              <w:rPr>
                <w:color w:val="000000"/>
                <w:sz w:val="24"/>
              </w:rPr>
            </w:pPr>
            <w:r w:rsidRPr="00F342C8">
              <w:rPr>
                <w:color w:val="000000"/>
                <w:sz w:val="24"/>
              </w:rPr>
              <w:t>Review of state rating information</w:t>
            </w:r>
          </w:p>
        </w:tc>
        <w:tc>
          <w:tcPr>
            <w:tcW w:w="970" w:type="pct"/>
          </w:tcPr>
          <w:p w:rsidRPr="00F342C8" w:rsidR="00C7432D" w:rsidP="00C7432D" w:rsidRDefault="004112C8">
            <w:pPr>
              <w:widowControl/>
              <w:autoSpaceDE/>
              <w:autoSpaceDN/>
              <w:adjustRightInd/>
              <w:jc w:val="center"/>
              <w:rPr>
                <w:color w:val="000000"/>
                <w:sz w:val="24"/>
              </w:rPr>
            </w:pPr>
            <w:r>
              <w:rPr>
                <w:color w:val="000000"/>
                <w:sz w:val="24"/>
              </w:rPr>
              <w:t>2</w:t>
            </w:r>
            <w:r w:rsidRPr="00F342C8" w:rsidR="00C66687">
              <w:rPr>
                <w:color w:val="000000"/>
                <w:sz w:val="24"/>
              </w:rPr>
              <w:t xml:space="preserve"> </w:t>
            </w:r>
          </w:p>
        </w:tc>
        <w:tc>
          <w:tcPr>
            <w:tcW w:w="769" w:type="pct"/>
          </w:tcPr>
          <w:p w:rsidRPr="00F342C8" w:rsidR="00C7432D" w:rsidDel="0005612C" w:rsidP="000B32F7" w:rsidRDefault="00C66687">
            <w:pPr>
              <w:widowControl/>
              <w:autoSpaceDE/>
              <w:autoSpaceDN/>
              <w:adjustRightInd/>
              <w:jc w:val="center"/>
              <w:rPr>
                <w:color w:val="000000"/>
                <w:sz w:val="24"/>
              </w:rPr>
            </w:pPr>
            <w:r>
              <w:rPr>
                <w:color w:val="000000"/>
                <w:sz w:val="24"/>
              </w:rPr>
              <w:t>3</w:t>
            </w:r>
          </w:p>
        </w:tc>
        <w:tc>
          <w:tcPr>
            <w:tcW w:w="769" w:type="pct"/>
          </w:tcPr>
          <w:p w:rsidRPr="00F342C8" w:rsidR="00C7432D" w:rsidP="000B32F7" w:rsidRDefault="004112C8">
            <w:pPr>
              <w:widowControl/>
              <w:autoSpaceDE/>
              <w:autoSpaceDN/>
              <w:adjustRightInd/>
              <w:jc w:val="center"/>
              <w:rPr>
                <w:color w:val="000000"/>
                <w:sz w:val="24"/>
              </w:rPr>
            </w:pPr>
            <w:r>
              <w:rPr>
                <w:color w:val="000000"/>
                <w:sz w:val="24"/>
              </w:rPr>
              <w:t>6</w:t>
            </w:r>
          </w:p>
        </w:tc>
        <w:tc>
          <w:tcPr>
            <w:tcW w:w="871" w:type="pct"/>
            <w:shd w:val="clear" w:color="auto" w:fill="auto"/>
          </w:tcPr>
          <w:p w:rsidRPr="00E40206" w:rsidR="00C7432D" w:rsidP="002266FD" w:rsidRDefault="00C7432D">
            <w:pPr>
              <w:widowControl/>
              <w:autoSpaceDE/>
              <w:autoSpaceDN/>
              <w:adjustRightInd/>
              <w:jc w:val="center"/>
              <w:rPr>
                <w:color w:val="000000"/>
                <w:sz w:val="24"/>
              </w:rPr>
            </w:pPr>
            <w:r w:rsidRPr="00E40206">
              <w:rPr>
                <w:color w:val="000000"/>
                <w:sz w:val="24"/>
              </w:rPr>
              <w:t>$</w:t>
            </w:r>
            <w:r w:rsidR="002266FD">
              <w:rPr>
                <w:color w:val="000000"/>
                <w:sz w:val="24"/>
              </w:rPr>
              <w:t>116</w:t>
            </w:r>
          </w:p>
        </w:tc>
        <w:tc>
          <w:tcPr>
            <w:tcW w:w="845" w:type="pct"/>
            <w:shd w:val="clear" w:color="auto" w:fill="auto"/>
          </w:tcPr>
          <w:p w:rsidRPr="00E40206" w:rsidR="00C7432D" w:rsidP="00C66687" w:rsidRDefault="00C7432D">
            <w:pPr>
              <w:widowControl/>
              <w:autoSpaceDE/>
              <w:autoSpaceDN/>
              <w:adjustRightInd/>
              <w:jc w:val="center"/>
              <w:rPr>
                <w:color w:val="000000"/>
                <w:sz w:val="24"/>
              </w:rPr>
            </w:pPr>
            <w:r w:rsidRPr="00E40206">
              <w:rPr>
                <w:color w:val="000000"/>
                <w:sz w:val="24"/>
              </w:rPr>
              <w:t>$</w:t>
            </w:r>
            <w:r w:rsidR="004112C8">
              <w:rPr>
                <w:color w:val="000000"/>
                <w:sz w:val="24"/>
              </w:rPr>
              <w:t>69</w:t>
            </w:r>
            <w:r w:rsidR="00D94DCE">
              <w:rPr>
                <w:color w:val="000000"/>
                <w:sz w:val="24"/>
              </w:rPr>
              <w:t>8</w:t>
            </w:r>
          </w:p>
        </w:tc>
      </w:tr>
    </w:tbl>
    <w:p w:rsidR="009741C0" w:rsidP="00ED2BE0" w:rsidRDefault="009741C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p>
    <w:p w:rsidR="009741C0" w:rsidP="00ED2BE0" w:rsidRDefault="002A553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rPr>
          <w:sz w:val="24"/>
        </w:rPr>
      </w:pPr>
      <w:r w:rsidRPr="002A5533">
        <w:rPr>
          <w:sz w:val="24"/>
        </w:rPr>
        <w:t xml:space="preserve">Salaries are based on a 14 Grade/Step 1 in the Washington DC area with a benefit allowance for a total annual salary </w:t>
      </w:r>
      <w:r w:rsidRPr="00E40206">
        <w:rPr>
          <w:sz w:val="24"/>
        </w:rPr>
        <w:t>of $</w:t>
      </w:r>
      <w:r w:rsidR="002266FD">
        <w:rPr>
          <w:sz w:val="24"/>
        </w:rPr>
        <w:t>242,632</w:t>
      </w:r>
      <w:r w:rsidRPr="00E40206">
        <w:rPr>
          <w:sz w:val="24"/>
        </w:rPr>
        <w:t>.</w:t>
      </w:r>
    </w:p>
    <w:p w:rsidR="008F1EB4" w:rsidP="00ED2BE0" w:rsidRDefault="008F1EB4">
      <w:pPr>
        <w:pStyle w:val="Heading2"/>
      </w:pPr>
      <w:r>
        <w:t>Changes to Burden</w:t>
      </w:r>
    </w:p>
    <w:p w:rsidR="008F1EB4" w:rsidP="00ED2BE0" w:rsidRDefault="00A013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outlineLvl w:val="0"/>
        <w:rPr>
          <w:sz w:val="24"/>
        </w:rPr>
      </w:pPr>
      <w:r w:rsidRPr="006B6DFC">
        <w:rPr>
          <w:sz w:val="24"/>
        </w:rPr>
        <w:t xml:space="preserve">Total burden for reporting </w:t>
      </w:r>
      <w:r w:rsidR="002266FD">
        <w:rPr>
          <w:sz w:val="24"/>
        </w:rPr>
        <w:t>decreased</w:t>
      </w:r>
      <w:r w:rsidRPr="006B6DFC" w:rsidR="002266FD">
        <w:rPr>
          <w:sz w:val="24"/>
        </w:rPr>
        <w:t xml:space="preserve"> </w:t>
      </w:r>
      <w:r w:rsidRPr="006B6DFC">
        <w:rPr>
          <w:sz w:val="24"/>
        </w:rPr>
        <w:t xml:space="preserve">by </w:t>
      </w:r>
      <w:r w:rsidR="00810756">
        <w:rPr>
          <w:sz w:val="24"/>
        </w:rPr>
        <w:t>2</w:t>
      </w:r>
      <w:r w:rsidR="00863FA9">
        <w:rPr>
          <w:sz w:val="24"/>
        </w:rPr>
        <w:t>,</w:t>
      </w:r>
      <w:r w:rsidR="00810756">
        <w:rPr>
          <w:sz w:val="24"/>
        </w:rPr>
        <w:t>321</w:t>
      </w:r>
      <w:r w:rsidRPr="006B6DFC" w:rsidR="00C71602">
        <w:rPr>
          <w:sz w:val="24"/>
        </w:rPr>
        <w:t xml:space="preserve"> </w:t>
      </w:r>
      <w:r w:rsidRPr="006B6DFC">
        <w:rPr>
          <w:sz w:val="24"/>
        </w:rPr>
        <w:t>hours</w:t>
      </w:r>
      <w:r w:rsidR="00F069EC">
        <w:rPr>
          <w:sz w:val="24"/>
        </w:rPr>
        <w:t xml:space="preserve"> (from </w:t>
      </w:r>
      <w:r w:rsidR="00DB29A0">
        <w:rPr>
          <w:sz w:val="24"/>
        </w:rPr>
        <w:t>2,338</w:t>
      </w:r>
      <w:r w:rsidR="00F84217">
        <w:rPr>
          <w:sz w:val="24"/>
        </w:rPr>
        <w:t xml:space="preserve"> </w:t>
      </w:r>
      <w:r w:rsidR="002266FD">
        <w:rPr>
          <w:sz w:val="24"/>
        </w:rPr>
        <w:t xml:space="preserve">hours to </w:t>
      </w:r>
      <w:r w:rsidR="00810756">
        <w:rPr>
          <w:sz w:val="24"/>
        </w:rPr>
        <w:t>17</w:t>
      </w:r>
      <w:r w:rsidR="002266FD">
        <w:rPr>
          <w:sz w:val="24"/>
        </w:rPr>
        <w:t xml:space="preserve"> </w:t>
      </w:r>
      <w:r w:rsidR="00F84217">
        <w:rPr>
          <w:sz w:val="24"/>
        </w:rPr>
        <w:t>hours)</w:t>
      </w:r>
      <w:r w:rsidRPr="006B6DFC">
        <w:rPr>
          <w:sz w:val="24"/>
        </w:rPr>
        <w:t xml:space="preserve"> </w:t>
      </w:r>
      <w:r w:rsidR="002266FD">
        <w:rPr>
          <w:sz w:val="24"/>
        </w:rPr>
        <w:t>because states will only incur the burden of reporting</w:t>
      </w:r>
      <w:r w:rsidR="009B200B">
        <w:rPr>
          <w:sz w:val="24"/>
        </w:rPr>
        <w:t xml:space="preserve"> changes to their rating factors</w:t>
      </w:r>
      <w:r w:rsidRPr="005008E9">
        <w:rPr>
          <w:sz w:val="24"/>
        </w:rPr>
        <w:t xml:space="preserve">.  </w:t>
      </w:r>
      <w:bookmarkStart w:name="_GoBack" w:id="0"/>
      <w:bookmarkEnd w:id="0"/>
    </w:p>
    <w:p w:rsidRPr="00DE484E" w:rsidR="00BE588B" w:rsidP="00ED2BE0" w:rsidRDefault="008F1EB4">
      <w:pPr>
        <w:pStyle w:val="Heading2"/>
      </w:pPr>
      <w:r>
        <w:t>Publication/Tabulation Dates</w:t>
      </w:r>
    </w:p>
    <w:p w:rsidR="00BE588B" w:rsidP="00ED2BE0" w:rsidRDefault="00BE588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46"/>
        <w:rPr>
          <w:sz w:val="24"/>
        </w:rPr>
      </w:pPr>
      <w:r w:rsidRPr="003D4DF8">
        <w:rPr>
          <w:bCs/>
          <w:sz w:val="24"/>
        </w:rPr>
        <w:t xml:space="preserve">There are no </w:t>
      </w:r>
      <w:r w:rsidR="00F02C9A">
        <w:rPr>
          <w:bCs/>
          <w:sz w:val="24"/>
        </w:rPr>
        <w:t xml:space="preserve">plans to </w:t>
      </w:r>
      <w:r w:rsidRPr="003D4DF8">
        <w:rPr>
          <w:bCs/>
          <w:sz w:val="24"/>
        </w:rPr>
        <w:t>publi</w:t>
      </w:r>
      <w:r w:rsidR="00F02C9A">
        <w:rPr>
          <w:bCs/>
          <w:sz w:val="24"/>
        </w:rPr>
        <w:t>sh</w:t>
      </w:r>
      <w:r w:rsidRPr="003D4DF8">
        <w:rPr>
          <w:bCs/>
          <w:sz w:val="24"/>
        </w:rPr>
        <w:t xml:space="preserve"> </w:t>
      </w:r>
      <w:r w:rsidR="00F02C9A">
        <w:rPr>
          <w:bCs/>
          <w:sz w:val="24"/>
        </w:rPr>
        <w:t>the outcome of the data collection</w:t>
      </w:r>
      <w:r w:rsidRPr="003D4DF8">
        <w:rPr>
          <w:bCs/>
          <w:sz w:val="24"/>
        </w:rPr>
        <w:t xml:space="preserve"> associated with these ICRs</w:t>
      </w:r>
      <w:r w:rsidR="00DE484E">
        <w:rPr>
          <w:sz w:val="24"/>
        </w:rPr>
        <w:t>.</w:t>
      </w:r>
    </w:p>
    <w:p w:rsidR="000F3AF4" w:rsidP="00ED2BE0" w:rsidRDefault="008F1EB4">
      <w:pPr>
        <w:pStyle w:val="Heading2"/>
      </w:pPr>
      <w:r>
        <w:t>Expiration Date</w:t>
      </w:r>
    </w:p>
    <w:p w:rsidRPr="001E11A4" w:rsidR="00264EE8" w:rsidP="001E11A4" w:rsidRDefault="00264EE8">
      <w:pPr>
        <w:pStyle w:val="Heading2"/>
        <w:numPr>
          <w:ilvl w:val="0"/>
          <w:numId w:val="0"/>
        </w:numPr>
        <w:spacing w:after="240"/>
        <w:rPr>
          <w:u w:val="none"/>
        </w:rPr>
      </w:pPr>
      <w:r w:rsidRPr="001E11A4">
        <w:rPr>
          <w:u w:val="none"/>
        </w:rPr>
        <w:tab/>
      </w:r>
      <w:r w:rsidRPr="001E11A4" w:rsidR="00F02C9A">
        <w:rPr>
          <w:u w:val="none"/>
        </w:rPr>
        <w:t>The expiration date will be displayed on each instrument (top, right-hand corner).</w:t>
      </w:r>
    </w:p>
    <w:p w:rsidR="000F3AF4" w:rsidP="00ED2BE0"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bCs/>
          <w:sz w:val="24"/>
          <w:u w:val="single"/>
        </w:rPr>
      </w:pPr>
    </w:p>
    <w:sectPr w:rsidR="000F3AF4" w:rsidSect="006A4B5F">
      <w:footerReference w:type="default" r:id="rId8"/>
      <w:endnotePr>
        <w:numFmt w:val="decimal"/>
      </w:endnotePr>
      <w:type w:val="continuous"/>
      <w:pgSz w:w="12240" w:h="15840"/>
      <w:pgMar w:top="1170" w:right="1440" w:bottom="1440" w:left="1440" w:header="1440" w:footer="129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E0" w:rsidRDefault="001F49E0">
      <w:r>
        <w:separator/>
      </w:r>
    </w:p>
  </w:endnote>
  <w:endnote w:type="continuationSeparator" w:id="0">
    <w:p w:rsidR="001F49E0" w:rsidRDefault="001F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hruti">
    <w:altName w:val="Calibri"/>
    <w:panose1 w:val="0200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8F" w:rsidRPr="003F5341" w:rsidRDefault="00BC5C65" w:rsidP="003F5341">
    <w:pPr>
      <w:pStyle w:val="Footer"/>
      <w:jc w:val="right"/>
      <w:rPr>
        <w:lang w:val="en-US"/>
      </w:rPr>
    </w:pPr>
    <w:r>
      <w:fldChar w:fldCharType="begin"/>
    </w:r>
    <w:r>
      <w:instrText xml:space="preserve"> PAGE   \* MERGEFORMAT </w:instrText>
    </w:r>
    <w:r>
      <w:fldChar w:fldCharType="separate"/>
    </w:r>
    <w:r w:rsidR="00EA02C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E0" w:rsidRDefault="001F49E0">
      <w:r>
        <w:separator/>
      </w:r>
    </w:p>
  </w:footnote>
  <w:footnote w:type="continuationSeparator" w:id="0">
    <w:p w:rsidR="001F49E0" w:rsidRDefault="001F49E0">
      <w:r>
        <w:continuationSeparator/>
      </w:r>
    </w:p>
  </w:footnote>
  <w:footnote w:id="1">
    <w:p w:rsidR="00EA5F0E" w:rsidRDefault="00EA5F0E">
      <w:pPr>
        <w:pStyle w:val="FootnoteText"/>
      </w:pPr>
      <w:r w:rsidRPr="00DB26E6">
        <w:rPr>
          <w:rStyle w:val="FootnoteReference"/>
          <w:vertAlign w:val="superscript"/>
        </w:rPr>
        <w:footnoteRef/>
      </w:r>
      <w:r>
        <w:t xml:space="preserve"> </w:t>
      </w:r>
      <w:r w:rsidRPr="00EA5F0E">
        <w:t>78 FR 13405</w:t>
      </w:r>
      <w:r>
        <w:t xml:space="preserve"> (February 27, 2013)</w:t>
      </w:r>
    </w:p>
  </w:footnote>
  <w:footnote w:id="2">
    <w:p w:rsidR="00EA5F0E" w:rsidRDefault="00EA5F0E">
      <w:pPr>
        <w:pStyle w:val="FootnoteText"/>
      </w:pPr>
      <w:r w:rsidRPr="00DB26E6">
        <w:rPr>
          <w:rStyle w:val="FootnoteReference"/>
          <w:vertAlign w:val="superscript"/>
        </w:rPr>
        <w:footnoteRef/>
      </w:r>
      <w:r>
        <w:t xml:space="preserve"> </w:t>
      </w:r>
      <w:r w:rsidRPr="00EA5F0E">
        <w:t>81 FR 94058</w:t>
      </w:r>
      <w:r>
        <w:t xml:space="preserve"> (December 22, 2016)</w:t>
      </w:r>
    </w:p>
  </w:footnote>
  <w:footnote w:id="3">
    <w:p w:rsidR="00806F93" w:rsidRDefault="00806F93" w:rsidP="00806F93">
      <w:pPr>
        <w:pStyle w:val="FootnoteText"/>
      </w:pPr>
      <w:r w:rsidRPr="001E11A4">
        <w:rPr>
          <w:rStyle w:val="FootnoteReference"/>
          <w:vertAlign w:val="superscript"/>
        </w:rPr>
        <w:footnoteRef/>
      </w:r>
      <w:r>
        <w:t xml:space="preserve"> May </w:t>
      </w:r>
      <w:r w:rsidR="006069CA">
        <w:t xml:space="preserve">2019 </w:t>
      </w:r>
      <w:r>
        <w:t xml:space="preserve">National Occupational Employment and Wage Estimates United States found at </w:t>
      </w:r>
      <w:hyperlink r:id="rId1" w:history="1">
        <w:r w:rsidRPr="00B8013F">
          <w:rPr>
            <w:rStyle w:val="Hyperlink"/>
          </w:rPr>
          <w:t>https://www.bls.gov/oes/curre</w:t>
        </w:r>
        <w:r w:rsidRPr="00B8013F">
          <w:rPr>
            <w:rStyle w:val="Hyperlink"/>
          </w:rPr>
          <w:t>n</w:t>
        </w:r>
        <w:r w:rsidRPr="00B8013F">
          <w:rPr>
            <w:rStyle w:val="Hyperlink"/>
          </w:rPr>
          <w:t>t/oes_nat.htm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4DBF"/>
    <w:multiLevelType w:val="hybridMultilevel"/>
    <w:tmpl w:val="A59A99B8"/>
    <w:lvl w:ilvl="0" w:tplc="DC00933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553C4B"/>
    <w:multiLevelType w:val="hybridMultilevel"/>
    <w:tmpl w:val="D3A85D74"/>
    <w:lvl w:ilvl="0" w:tplc="8CAAE3C4">
      <w:start w:val="1"/>
      <w:numFmt w:val="upperLetter"/>
      <w:pStyle w:val="Heading1"/>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A5868B3"/>
    <w:multiLevelType w:val="hybridMultilevel"/>
    <w:tmpl w:val="2F3451D2"/>
    <w:lvl w:ilvl="0" w:tplc="7242D14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76E5F"/>
    <w:multiLevelType w:val="hybridMultilevel"/>
    <w:tmpl w:val="371A5F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71D8F"/>
    <w:multiLevelType w:val="hybridMultilevel"/>
    <w:tmpl w:val="432AF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92575"/>
    <w:multiLevelType w:val="hybridMultilevel"/>
    <w:tmpl w:val="37B20650"/>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58FF07CB"/>
    <w:multiLevelType w:val="hybridMultilevel"/>
    <w:tmpl w:val="5818FF84"/>
    <w:lvl w:ilvl="0" w:tplc="0409001B">
      <w:start w:val="1"/>
      <w:numFmt w:val="low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746D3A3B"/>
    <w:multiLevelType w:val="hybridMultilevel"/>
    <w:tmpl w:val="3C5C11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5E2E"/>
    <w:rsid w:val="00006F60"/>
    <w:rsid w:val="00011A81"/>
    <w:rsid w:val="00023AC5"/>
    <w:rsid w:val="000266C0"/>
    <w:rsid w:val="000423EC"/>
    <w:rsid w:val="0004471A"/>
    <w:rsid w:val="00047209"/>
    <w:rsid w:val="0005612C"/>
    <w:rsid w:val="00073766"/>
    <w:rsid w:val="00074248"/>
    <w:rsid w:val="00076319"/>
    <w:rsid w:val="000956D7"/>
    <w:rsid w:val="000961D5"/>
    <w:rsid w:val="000A1017"/>
    <w:rsid w:val="000A4A78"/>
    <w:rsid w:val="000B32F7"/>
    <w:rsid w:val="000B4AE9"/>
    <w:rsid w:val="000B5551"/>
    <w:rsid w:val="000D3924"/>
    <w:rsid w:val="000E74E5"/>
    <w:rsid w:val="000E798F"/>
    <w:rsid w:val="000F117F"/>
    <w:rsid w:val="000F28D0"/>
    <w:rsid w:val="000F3AF4"/>
    <w:rsid w:val="00100ED1"/>
    <w:rsid w:val="00106351"/>
    <w:rsid w:val="0011084E"/>
    <w:rsid w:val="001317CF"/>
    <w:rsid w:val="0013210D"/>
    <w:rsid w:val="00141F93"/>
    <w:rsid w:val="001522BB"/>
    <w:rsid w:val="00153F27"/>
    <w:rsid w:val="00157316"/>
    <w:rsid w:val="00162560"/>
    <w:rsid w:val="001628AF"/>
    <w:rsid w:val="001738B2"/>
    <w:rsid w:val="001750D9"/>
    <w:rsid w:val="00176334"/>
    <w:rsid w:val="00176E06"/>
    <w:rsid w:val="00180153"/>
    <w:rsid w:val="0019075E"/>
    <w:rsid w:val="00192CB8"/>
    <w:rsid w:val="00195D06"/>
    <w:rsid w:val="001A29C7"/>
    <w:rsid w:val="001A2B7F"/>
    <w:rsid w:val="001A5603"/>
    <w:rsid w:val="001B4A33"/>
    <w:rsid w:val="001D32B5"/>
    <w:rsid w:val="001D3690"/>
    <w:rsid w:val="001D43CB"/>
    <w:rsid w:val="001D6DCB"/>
    <w:rsid w:val="001E11A4"/>
    <w:rsid w:val="001E3BAB"/>
    <w:rsid w:val="001F0555"/>
    <w:rsid w:val="001F49E0"/>
    <w:rsid w:val="001F6DFE"/>
    <w:rsid w:val="00205140"/>
    <w:rsid w:val="00222C65"/>
    <w:rsid w:val="002266FD"/>
    <w:rsid w:val="002327AD"/>
    <w:rsid w:val="00234754"/>
    <w:rsid w:val="002376D6"/>
    <w:rsid w:val="0024357D"/>
    <w:rsid w:val="00243C57"/>
    <w:rsid w:val="00257B26"/>
    <w:rsid w:val="002610D7"/>
    <w:rsid w:val="002635DD"/>
    <w:rsid w:val="00264EE8"/>
    <w:rsid w:val="00290804"/>
    <w:rsid w:val="002A4C09"/>
    <w:rsid w:val="002A5533"/>
    <w:rsid w:val="002B2A51"/>
    <w:rsid w:val="002B55BA"/>
    <w:rsid w:val="002C4BC5"/>
    <w:rsid w:val="002C798C"/>
    <w:rsid w:val="002D01AE"/>
    <w:rsid w:val="002D1308"/>
    <w:rsid w:val="002E47DE"/>
    <w:rsid w:val="00322445"/>
    <w:rsid w:val="00325408"/>
    <w:rsid w:val="00325A0C"/>
    <w:rsid w:val="0032739F"/>
    <w:rsid w:val="00337BC4"/>
    <w:rsid w:val="00341CED"/>
    <w:rsid w:val="00344989"/>
    <w:rsid w:val="003468E8"/>
    <w:rsid w:val="00364F4E"/>
    <w:rsid w:val="00373CED"/>
    <w:rsid w:val="0037408D"/>
    <w:rsid w:val="00374286"/>
    <w:rsid w:val="00377932"/>
    <w:rsid w:val="00381CA0"/>
    <w:rsid w:val="00384927"/>
    <w:rsid w:val="00392C06"/>
    <w:rsid w:val="003A2700"/>
    <w:rsid w:val="003A308A"/>
    <w:rsid w:val="003A32B8"/>
    <w:rsid w:val="003A631B"/>
    <w:rsid w:val="003B1FC5"/>
    <w:rsid w:val="003B4B10"/>
    <w:rsid w:val="003B7696"/>
    <w:rsid w:val="003C4DFF"/>
    <w:rsid w:val="003E6A85"/>
    <w:rsid w:val="003F468B"/>
    <w:rsid w:val="003F5341"/>
    <w:rsid w:val="003F73D0"/>
    <w:rsid w:val="00404B56"/>
    <w:rsid w:val="004059EC"/>
    <w:rsid w:val="004112C8"/>
    <w:rsid w:val="004146A8"/>
    <w:rsid w:val="004149FD"/>
    <w:rsid w:val="004225A0"/>
    <w:rsid w:val="00433C8E"/>
    <w:rsid w:val="0044592F"/>
    <w:rsid w:val="004501E5"/>
    <w:rsid w:val="004559F0"/>
    <w:rsid w:val="00456D8A"/>
    <w:rsid w:val="00461767"/>
    <w:rsid w:val="0046265D"/>
    <w:rsid w:val="00467C00"/>
    <w:rsid w:val="00472E16"/>
    <w:rsid w:val="0047549E"/>
    <w:rsid w:val="0048453F"/>
    <w:rsid w:val="00484683"/>
    <w:rsid w:val="00486ABF"/>
    <w:rsid w:val="004925E6"/>
    <w:rsid w:val="0049303A"/>
    <w:rsid w:val="004963E1"/>
    <w:rsid w:val="004A21BD"/>
    <w:rsid w:val="004A4CC9"/>
    <w:rsid w:val="004B0972"/>
    <w:rsid w:val="004B2D7F"/>
    <w:rsid w:val="004C0D21"/>
    <w:rsid w:val="004D5A40"/>
    <w:rsid w:val="004D7E1A"/>
    <w:rsid w:val="004E096E"/>
    <w:rsid w:val="004E175E"/>
    <w:rsid w:val="004E18A1"/>
    <w:rsid w:val="004E18B6"/>
    <w:rsid w:val="004F354E"/>
    <w:rsid w:val="004F3D69"/>
    <w:rsid w:val="005008E9"/>
    <w:rsid w:val="00502205"/>
    <w:rsid w:val="00517B13"/>
    <w:rsid w:val="00536541"/>
    <w:rsid w:val="00537D22"/>
    <w:rsid w:val="00543B21"/>
    <w:rsid w:val="00552E03"/>
    <w:rsid w:val="0055724B"/>
    <w:rsid w:val="005609CB"/>
    <w:rsid w:val="005759C9"/>
    <w:rsid w:val="00577A75"/>
    <w:rsid w:val="00583120"/>
    <w:rsid w:val="00597E02"/>
    <w:rsid w:val="005A34B2"/>
    <w:rsid w:val="005A4F89"/>
    <w:rsid w:val="005B0908"/>
    <w:rsid w:val="005B2B95"/>
    <w:rsid w:val="005B4967"/>
    <w:rsid w:val="005C0DBD"/>
    <w:rsid w:val="005D0BC6"/>
    <w:rsid w:val="005D7A71"/>
    <w:rsid w:val="005E1A5C"/>
    <w:rsid w:val="005E33C8"/>
    <w:rsid w:val="005E36C6"/>
    <w:rsid w:val="005E7A9D"/>
    <w:rsid w:val="005F10EB"/>
    <w:rsid w:val="005F202D"/>
    <w:rsid w:val="005F424E"/>
    <w:rsid w:val="006003E0"/>
    <w:rsid w:val="00602A25"/>
    <w:rsid w:val="006069CA"/>
    <w:rsid w:val="006075BE"/>
    <w:rsid w:val="00611F9E"/>
    <w:rsid w:val="00616504"/>
    <w:rsid w:val="00624985"/>
    <w:rsid w:val="00627477"/>
    <w:rsid w:val="006348AF"/>
    <w:rsid w:val="00641667"/>
    <w:rsid w:val="00641AA4"/>
    <w:rsid w:val="00657B85"/>
    <w:rsid w:val="006604C5"/>
    <w:rsid w:val="00667153"/>
    <w:rsid w:val="00676DDF"/>
    <w:rsid w:val="00680B42"/>
    <w:rsid w:val="00682C64"/>
    <w:rsid w:val="00696E7E"/>
    <w:rsid w:val="006A4B5F"/>
    <w:rsid w:val="006B5ED1"/>
    <w:rsid w:val="006B6697"/>
    <w:rsid w:val="006B6DFC"/>
    <w:rsid w:val="006C15FA"/>
    <w:rsid w:val="006C284E"/>
    <w:rsid w:val="006D07D0"/>
    <w:rsid w:val="006D2D93"/>
    <w:rsid w:val="006D7FAD"/>
    <w:rsid w:val="006E33C5"/>
    <w:rsid w:val="006F4597"/>
    <w:rsid w:val="0070183A"/>
    <w:rsid w:val="00711A87"/>
    <w:rsid w:val="00711E94"/>
    <w:rsid w:val="00712CFA"/>
    <w:rsid w:val="007135C1"/>
    <w:rsid w:val="00722FFE"/>
    <w:rsid w:val="00732855"/>
    <w:rsid w:val="00733BEE"/>
    <w:rsid w:val="00735D8B"/>
    <w:rsid w:val="00761566"/>
    <w:rsid w:val="00761B05"/>
    <w:rsid w:val="007A39EF"/>
    <w:rsid w:val="007A6580"/>
    <w:rsid w:val="007A68E9"/>
    <w:rsid w:val="007B15D5"/>
    <w:rsid w:val="007B7982"/>
    <w:rsid w:val="007C0AE2"/>
    <w:rsid w:val="007C6354"/>
    <w:rsid w:val="007D3C90"/>
    <w:rsid w:val="007D6442"/>
    <w:rsid w:val="007D6B6B"/>
    <w:rsid w:val="007E6D37"/>
    <w:rsid w:val="007E7CB8"/>
    <w:rsid w:val="007F2FA5"/>
    <w:rsid w:val="007F3699"/>
    <w:rsid w:val="008007BE"/>
    <w:rsid w:val="0080327A"/>
    <w:rsid w:val="00806F93"/>
    <w:rsid w:val="00810756"/>
    <w:rsid w:val="00816B7F"/>
    <w:rsid w:val="00826BBC"/>
    <w:rsid w:val="00834BB8"/>
    <w:rsid w:val="008365D3"/>
    <w:rsid w:val="00841598"/>
    <w:rsid w:val="008459FF"/>
    <w:rsid w:val="00847D7B"/>
    <w:rsid w:val="00852412"/>
    <w:rsid w:val="00860248"/>
    <w:rsid w:val="00860CDD"/>
    <w:rsid w:val="00863FA9"/>
    <w:rsid w:val="00866A59"/>
    <w:rsid w:val="00870D59"/>
    <w:rsid w:val="008748B3"/>
    <w:rsid w:val="008772A8"/>
    <w:rsid w:val="008815ED"/>
    <w:rsid w:val="00883EBB"/>
    <w:rsid w:val="00887A20"/>
    <w:rsid w:val="00894E36"/>
    <w:rsid w:val="008A36E4"/>
    <w:rsid w:val="008B12EB"/>
    <w:rsid w:val="008B6373"/>
    <w:rsid w:val="008B6D8F"/>
    <w:rsid w:val="008D00B6"/>
    <w:rsid w:val="008D33D6"/>
    <w:rsid w:val="008D5EB0"/>
    <w:rsid w:val="008E37BB"/>
    <w:rsid w:val="008F16D6"/>
    <w:rsid w:val="008F1EB4"/>
    <w:rsid w:val="008F4B01"/>
    <w:rsid w:val="008F67E4"/>
    <w:rsid w:val="00904C2F"/>
    <w:rsid w:val="009145C2"/>
    <w:rsid w:val="00926862"/>
    <w:rsid w:val="00926ED6"/>
    <w:rsid w:val="00927C33"/>
    <w:rsid w:val="00942DA8"/>
    <w:rsid w:val="00944416"/>
    <w:rsid w:val="009534EF"/>
    <w:rsid w:val="00956604"/>
    <w:rsid w:val="00966AD6"/>
    <w:rsid w:val="00971000"/>
    <w:rsid w:val="00971622"/>
    <w:rsid w:val="009741C0"/>
    <w:rsid w:val="00974DFA"/>
    <w:rsid w:val="00980633"/>
    <w:rsid w:val="00987CAF"/>
    <w:rsid w:val="009948B8"/>
    <w:rsid w:val="009A1C77"/>
    <w:rsid w:val="009A27FC"/>
    <w:rsid w:val="009B200B"/>
    <w:rsid w:val="009B7AC4"/>
    <w:rsid w:val="009C11F6"/>
    <w:rsid w:val="009C232F"/>
    <w:rsid w:val="009D3CCA"/>
    <w:rsid w:val="009E4C86"/>
    <w:rsid w:val="009F21A6"/>
    <w:rsid w:val="00A013D7"/>
    <w:rsid w:val="00A04066"/>
    <w:rsid w:val="00A12A02"/>
    <w:rsid w:val="00A2515D"/>
    <w:rsid w:val="00A3622D"/>
    <w:rsid w:val="00A41393"/>
    <w:rsid w:val="00A569BA"/>
    <w:rsid w:val="00A602C7"/>
    <w:rsid w:val="00A734E4"/>
    <w:rsid w:val="00A73A18"/>
    <w:rsid w:val="00A74C7D"/>
    <w:rsid w:val="00A820B5"/>
    <w:rsid w:val="00AA252C"/>
    <w:rsid w:val="00AA5949"/>
    <w:rsid w:val="00AB03C5"/>
    <w:rsid w:val="00AC204C"/>
    <w:rsid w:val="00AC295E"/>
    <w:rsid w:val="00AC5525"/>
    <w:rsid w:val="00AC65BF"/>
    <w:rsid w:val="00AD49AE"/>
    <w:rsid w:val="00AD66CA"/>
    <w:rsid w:val="00AE02F2"/>
    <w:rsid w:val="00AE58CD"/>
    <w:rsid w:val="00AE6066"/>
    <w:rsid w:val="00AE6369"/>
    <w:rsid w:val="00AE642A"/>
    <w:rsid w:val="00AE6D08"/>
    <w:rsid w:val="00B0374C"/>
    <w:rsid w:val="00B114C3"/>
    <w:rsid w:val="00B14FB7"/>
    <w:rsid w:val="00B15D4B"/>
    <w:rsid w:val="00B2448A"/>
    <w:rsid w:val="00B252D6"/>
    <w:rsid w:val="00B25B4A"/>
    <w:rsid w:val="00B26E8D"/>
    <w:rsid w:val="00B27F1D"/>
    <w:rsid w:val="00B3269B"/>
    <w:rsid w:val="00B4120C"/>
    <w:rsid w:val="00B418D4"/>
    <w:rsid w:val="00B47AC5"/>
    <w:rsid w:val="00B57740"/>
    <w:rsid w:val="00B61673"/>
    <w:rsid w:val="00B63A7A"/>
    <w:rsid w:val="00B72FEE"/>
    <w:rsid w:val="00B82C93"/>
    <w:rsid w:val="00B87EFE"/>
    <w:rsid w:val="00B92FD4"/>
    <w:rsid w:val="00BA0BF9"/>
    <w:rsid w:val="00BA2758"/>
    <w:rsid w:val="00BB0568"/>
    <w:rsid w:val="00BB77F4"/>
    <w:rsid w:val="00BC5C65"/>
    <w:rsid w:val="00BC62F1"/>
    <w:rsid w:val="00BD4016"/>
    <w:rsid w:val="00BD75FB"/>
    <w:rsid w:val="00BE0C23"/>
    <w:rsid w:val="00BE1F4C"/>
    <w:rsid w:val="00BE588B"/>
    <w:rsid w:val="00C0051D"/>
    <w:rsid w:val="00C0063A"/>
    <w:rsid w:val="00C06420"/>
    <w:rsid w:val="00C13D46"/>
    <w:rsid w:val="00C157FA"/>
    <w:rsid w:val="00C15D99"/>
    <w:rsid w:val="00C229FB"/>
    <w:rsid w:val="00C30469"/>
    <w:rsid w:val="00C30B58"/>
    <w:rsid w:val="00C33322"/>
    <w:rsid w:val="00C45B2B"/>
    <w:rsid w:val="00C46768"/>
    <w:rsid w:val="00C62101"/>
    <w:rsid w:val="00C630EA"/>
    <w:rsid w:val="00C65A6F"/>
    <w:rsid w:val="00C66687"/>
    <w:rsid w:val="00C71602"/>
    <w:rsid w:val="00C7432D"/>
    <w:rsid w:val="00C77327"/>
    <w:rsid w:val="00C81C6A"/>
    <w:rsid w:val="00C91EEE"/>
    <w:rsid w:val="00CB56A1"/>
    <w:rsid w:val="00CC26E1"/>
    <w:rsid w:val="00CC3384"/>
    <w:rsid w:val="00CD3225"/>
    <w:rsid w:val="00CD381D"/>
    <w:rsid w:val="00CD7C69"/>
    <w:rsid w:val="00CE02D9"/>
    <w:rsid w:val="00CE10A0"/>
    <w:rsid w:val="00CE3378"/>
    <w:rsid w:val="00CE353F"/>
    <w:rsid w:val="00D14639"/>
    <w:rsid w:val="00D14E5A"/>
    <w:rsid w:val="00D17956"/>
    <w:rsid w:val="00D26A96"/>
    <w:rsid w:val="00D2720C"/>
    <w:rsid w:val="00D31450"/>
    <w:rsid w:val="00D33B64"/>
    <w:rsid w:val="00D46EBD"/>
    <w:rsid w:val="00D47666"/>
    <w:rsid w:val="00D509CF"/>
    <w:rsid w:val="00D51648"/>
    <w:rsid w:val="00D5323A"/>
    <w:rsid w:val="00D57EFE"/>
    <w:rsid w:val="00D617A5"/>
    <w:rsid w:val="00D644EA"/>
    <w:rsid w:val="00D65FE9"/>
    <w:rsid w:val="00D67D9B"/>
    <w:rsid w:val="00D73B09"/>
    <w:rsid w:val="00D74892"/>
    <w:rsid w:val="00D74E1C"/>
    <w:rsid w:val="00D76E8F"/>
    <w:rsid w:val="00D76EF2"/>
    <w:rsid w:val="00D77CEF"/>
    <w:rsid w:val="00D84251"/>
    <w:rsid w:val="00D86ED1"/>
    <w:rsid w:val="00D93656"/>
    <w:rsid w:val="00D93D1E"/>
    <w:rsid w:val="00D94DCE"/>
    <w:rsid w:val="00D94EF9"/>
    <w:rsid w:val="00DA43AF"/>
    <w:rsid w:val="00DA72AD"/>
    <w:rsid w:val="00DB26E6"/>
    <w:rsid w:val="00DB29A0"/>
    <w:rsid w:val="00DD30ED"/>
    <w:rsid w:val="00DD3A00"/>
    <w:rsid w:val="00DD466A"/>
    <w:rsid w:val="00DE100E"/>
    <w:rsid w:val="00DE1AA1"/>
    <w:rsid w:val="00DE484E"/>
    <w:rsid w:val="00DF218E"/>
    <w:rsid w:val="00DF2E86"/>
    <w:rsid w:val="00DF58FB"/>
    <w:rsid w:val="00E009DF"/>
    <w:rsid w:val="00E10F71"/>
    <w:rsid w:val="00E134EC"/>
    <w:rsid w:val="00E17990"/>
    <w:rsid w:val="00E21F04"/>
    <w:rsid w:val="00E26BCF"/>
    <w:rsid w:val="00E31F23"/>
    <w:rsid w:val="00E35A5B"/>
    <w:rsid w:val="00E40206"/>
    <w:rsid w:val="00E44474"/>
    <w:rsid w:val="00E53A4E"/>
    <w:rsid w:val="00E56170"/>
    <w:rsid w:val="00E602CA"/>
    <w:rsid w:val="00E60823"/>
    <w:rsid w:val="00E6305A"/>
    <w:rsid w:val="00E65ED1"/>
    <w:rsid w:val="00E72BD6"/>
    <w:rsid w:val="00E73853"/>
    <w:rsid w:val="00E73E9A"/>
    <w:rsid w:val="00E74BD7"/>
    <w:rsid w:val="00E7570F"/>
    <w:rsid w:val="00E77BCA"/>
    <w:rsid w:val="00E8161C"/>
    <w:rsid w:val="00E82432"/>
    <w:rsid w:val="00E82821"/>
    <w:rsid w:val="00E8769A"/>
    <w:rsid w:val="00E93817"/>
    <w:rsid w:val="00EA02CC"/>
    <w:rsid w:val="00EA5F0E"/>
    <w:rsid w:val="00EB769B"/>
    <w:rsid w:val="00ED2BE0"/>
    <w:rsid w:val="00ED342C"/>
    <w:rsid w:val="00ED46CA"/>
    <w:rsid w:val="00ED7A5E"/>
    <w:rsid w:val="00EE4323"/>
    <w:rsid w:val="00EF62EB"/>
    <w:rsid w:val="00F026AD"/>
    <w:rsid w:val="00F02C9A"/>
    <w:rsid w:val="00F069EC"/>
    <w:rsid w:val="00F15CE5"/>
    <w:rsid w:val="00F2578F"/>
    <w:rsid w:val="00F342C8"/>
    <w:rsid w:val="00F369E8"/>
    <w:rsid w:val="00F47862"/>
    <w:rsid w:val="00F73F5B"/>
    <w:rsid w:val="00F82C86"/>
    <w:rsid w:val="00F84217"/>
    <w:rsid w:val="00F9056A"/>
    <w:rsid w:val="00FA4EBD"/>
    <w:rsid w:val="00FA5131"/>
    <w:rsid w:val="00FD1135"/>
    <w:rsid w:val="00FD3708"/>
    <w:rsid w:val="00FD59C0"/>
    <w:rsid w:val="00FD7B77"/>
    <w:rsid w:val="00FE4F50"/>
    <w:rsid w:val="00FE7802"/>
    <w:rsid w:val="00FF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613450"/>
  <w15:chartTrackingRefBased/>
  <w15:docId w15:val="{76B41EEE-26E6-4A88-9B1F-8932BEF5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98F"/>
    <w:pPr>
      <w:widowControl w:val="0"/>
      <w:autoSpaceDE w:val="0"/>
      <w:autoSpaceDN w:val="0"/>
      <w:adjustRightInd w:val="0"/>
    </w:pPr>
    <w:rPr>
      <w:szCs w:val="24"/>
    </w:rPr>
  </w:style>
  <w:style w:type="paragraph" w:styleId="Heading1">
    <w:name w:val="heading 1"/>
    <w:basedOn w:val="Normal"/>
    <w:next w:val="Normal"/>
    <w:link w:val="Heading1Char"/>
    <w:qFormat/>
    <w:rsid w:val="006A4B5F"/>
    <w:pPr>
      <w:numPr>
        <w:numId w:val="4"/>
      </w:numPr>
      <w:tabs>
        <w:tab w:val="left" w:pos="0"/>
        <w:tab w:val="left" w:pos="432"/>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hanging="792"/>
      <w:outlineLvl w:val="0"/>
    </w:pPr>
    <w:rPr>
      <w:b/>
      <w:bCs/>
      <w:sz w:val="24"/>
      <w:lang w:val="x-none" w:eastAsia="x-none"/>
    </w:rPr>
  </w:style>
  <w:style w:type="paragraph" w:styleId="Heading2">
    <w:name w:val="heading 2"/>
    <w:basedOn w:val="Normal"/>
    <w:next w:val="Normal"/>
    <w:link w:val="Heading2Char"/>
    <w:qFormat/>
    <w:rsid w:val="00D31450"/>
    <w:pPr>
      <w:numPr>
        <w:numId w:val="5"/>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hanging="720"/>
      <w:outlineLvl w:val="1"/>
    </w:pPr>
    <w:rPr>
      <w:sz w:val="24"/>
      <w:u w:val="single"/>
      <w:lang w:val="x-none" w:eastAsia="x-none"/>
    </w:rPr>
  </w:style>
  <w:style w:type="paragraph" w:styleId="Heading3">
    <w:name w:val="heading 3"/>
    <w:basedOn w:val="Normal"/>
    <w:next w:val="Normal"/>
    <w:link w:val="Heading3Char"/>
    <w:qFormat/>
    <w:rsid w:val="00D3145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432"/>
      <w:outlineLvl w:val="2"/>
    </w:pPr>
    <w:rPr>
      <w:sz w:val="24"/>
      <w:u w:val="single"/>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CommentReference">
    <w:name w:val="annotation reference"/>
    <w:rsid w:val="00205140"/>
    <w:rPr>
      <w:sz w:val="16"/>
      <w:szCs w:val="16"/>
    </w:rPr>
  </w:style>
  <w:style w:type="paragraph" w:styleId="CommentText">
    <w:name w:val="annotation text"/>
    <w:basedOn w:val="Normal"/>
    <w:link w:val="CommentTextChar"/>
    <w:rsid w:val="00205140"/>
    <w:rPr>
      <w:szCs w:val="20"/>
    </w:rPr>
  </w:style>
  <w:style w:type="character" w:customStyle="1" w:styleId="CommentTextChar">
    <w:name w:val="Comment Text Char"/>
    <w:basedOn w:val="DefaultParagraphFont"/>
    <w:link w:val="CommentText"/>
    <w:rsid w:val="00205140"/>
  </w:style>
  <w:style w:type="paragraph" w:styleId="BalloonText">
    <w:name w:val="Balloon Text"/>
    <w:basedOn w:val="Normal"/>
    <w:link w:val="BalloonTextChar"/>
    <w:rsid w:val="00205140"/>
    <w:rPr>
      <w:rFonts w:ascii="Tahoma" w:hAnsi="Tahoma"/>
      <w:sz w:val="16"/>
      <w:szCs w:val="16"/>
      <w:lang w:val="x-none" w:eastAsia="x-none"/>
    </w:rPr>
  </w:style>
  <w:style w:type="character" w:customStyle="1" w:styleId="BalloonTextChar">
    <w:name w:val="Balloon Text Char"/>
    <w:link w:val="BalloonText"/>
    <w:rsid w:val="00205140"/>
    <w:rPr>
      <w:rFonts w:ascii="Tahoma" w:hAnsi="Tahoma" w:cs="Tahoma"/>
      <w:sz w:val="16"/>
      <w:szCs w:val="16"/>
    </w:rPr>
  </w:style>
  <w:style w:type="paragraph" w:styleId="FootnoteText">
    <w:name w:val="footnote text"/>
    <w:basedOn w:val="Normal"/>
    <w:link w:val="FootnoteTextChar"/>
    <w:uiPriority w:val="99"/>
    <w:rsid w:val="002A5533"/>
    <w:rPr>
      <w:szCs w:val="20"/>
    </w:rPr>
  </w:style>
  <w:style w:type="character" w:customStyle="1" w:styleId="FootnoteTextChar">
    <w:name w:val="Footnote Text Char"/>
    <w:basedOn w:val="DefaultParagraphFont"/>
    <w:link w:val="FootnoteText"/>
    <w:uiPriority w:val="99"/>
    <w:rsid w:val="002A5533"/>
  </w:style>
  <w:style w:type="paragraph" w:styleId="DocumentMap">
    <w:name w:val="Document Map"/>
    <w:basedOn w:val="Normal"/>
    <w:link w:val="DocumentMapChar"/>
    <w:rsid w:val="00641AA4"/>
    <w:rPr>
      <w:rFonts w:ascii="Tahoma" w:hAnsi="Tahoma"/>
      <w:sz w:val="16"/>
      <w:szCs w:val="16"/>
      <w:lang w:val="x-none" w:eastAsia="x-none"/>
    </w:rPr>
  </w:style>
  <w:style w:type="character" w:customStyle="1" w:styleId="DocumentMapChar">
    <w:name w:val="Document Map Char"/>
    <w:link w:val="DocumentMap"/>
    <w:rsid w:val="00641AA4"/>
    <w:rPr>
      <w:rFonts w:ascii="Tahoma" w:hAnsi="Tahoma" w:cs="Tahoma"/>
      <w:sz w:val="16"/>
      <w:szCs w:val="16"/>
    </w:rPr>
  </w:style>
  <w:style w:type="paragraph" w:styleId="Header">
    <w:name w:val="header"/>
    <w:basedOn w:val="Normal"/>
    <w:link w:val="HeaderChar"/>
    <w:rsid w:val="004059EC"/>
    <w:pPr>
      <w:tabs>
        <w:tab w:val="center" w:pos="4680"/>
        <w:tab w:val="right" w:pos="9360"/>
      </w:tabs>
    </w:pPr>
    <w:rPr>
      <w:lang w:val="x-none" w:eastAsia="x-none"/>
    </w:rPr>
  </w:style>
  <w:style w:type="character" w:customStyle="1" w:styleId="HeaderChar">
    <w:name w:val="Header Char"/>
    <w:link w:val="Header"/>
    <w:rsid w:val="004059EC"/>
    <w:rPr>
      <w:szCs w:val="24"/>
    </w:rPr>
  </w:style>
  <w:style w:type="paragraph" w:styleId="Footer">
    <w:name w:val="footer"/>
    <w:basedOn w:val="Normal"/>
    <w:link w:val="FooterChar"/>
    <w:uiPriority w:val="99"/>
    <w:rsid w:val="004059EC"/>
    <w:pPr>
      <w:tabs>
        <w:tab w:val="center" w:pos="4680"/>
        <w:tab w:val="right" w:pos="9360"/>
      </w:tabs>
    </w:pPr>
    <w:rPr>
      <w:lang w:val="x-none" w:eastAsia="x-none"/>
    </w:rPr>
  </w:style>
  <w:style w:type="character" w:customStyle="1" w:styleId="FooterChar">
    <w:name w:val="Footer Char"/>
    <w:link w:val="Footer"/>
    <w:uiPriority w:val="99"/>
    <w:rsid w:val="004059EC"/>
    <w:rPr>
      <w:szCs w:val="24"/>
    </w:rPr>
  </w:style>
  <w:style w:type="paragraph" w:styleId="CommentSubject">
    <w:name w:val="annotation subject"/>
    <w:basedOn w:val="CommentText"/>
    <w:next w:val="CommentText"/>
    <w:link w:val="CommentSubjectChar"/>
    <w:rsid w:val="00BE588B"/>
    <w:rPr>
      <w:b/>
      <w:bCs/>
      <w:lang w:val="x-none" w:eastAsia="x-none"/>
    </w:rPr>
  </w:style>
  <w:style w:type="character" w:customStyle="1" w:styleId="CommentSubjectChar">
    <w:name w:val="Comment Subject Char"/>
    <w:link w:val="CommentSubject"/>
    <w:rsid w:val="00BE588B"/>
    <w:rPr>
      <w:b/>
      <w:bCs/>
    </w:rPr>
  </w:style>
  <w:style w:type="paragraph" w:styleId="Title">
    <w:name w:val="Title"/>
    <w:basedOn w:val="Normal"/>
    <w:next w:val="Normal"/>
    <w:link w:val="TitleChar"/>
    <w:qFormat/>
    <w:rsid w:val="00DE484E"/>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DE484E"/>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DE484E"/>
    <w:pPr>
      <w:spacing w:after="60"/>
      <w:jc w:val="center"/>
      <w:outlineLvl w:val="1"/>
    </w:pPr>
    <w:rPr>
      <w:rFonts w:ascii="Cambria" w:hAnsi="Cambria"/>
      <w:sz w:val="24"/>
      <w:lang w:val="x-none" w:eastAsia="x-none"/>
    </w:rPr>
  </w:style>
  <w:style w:type="character" w:customStyle="1" w:styleId="SubtitleChar">
    <w:name w:val="Subtitle Char"/>
    <w:link w:val="Subtitle"/>
    <w:rsid w:val="00DE484E"/>
    <w:rPr>
      <w:rFonts w:ascii="Cambria" w:eastAsia="Times New Roman" w:hAnsi="Cambria" w:cs="Times New Roman"/>
      <w:sz w:val="24"/>
      <w:szCs w:val="24"/>
    </w:rPr>
  </w:style>
  <w:style w:type="character" w:customStyle="1" w:styleId="Heading1Char">
    <w:name w:val="Heading 1 Char"/>
    <w:link w:val="Heading1"/>
    <w:rsid w:val="006A4B5F"/>
    <w:rPr>
      <w:b/>
      <w:bCs/>
      <w:sz w:val="24"/>
      <w:szCs w:val="24"/>
    </w:rPr>
  </w:style>
  <w:style w:type="character" w:customStyle="1" w:styleId="Heading2Char">
    <w:name w:val="Heading 2 Char"/>
    <w:link w:val="Heading2"/>
    <w:rsid w:val="00D31450"/>
    <w:rPr>
      <w:sz w:val="24"/>
      <w:szCs w:val="24"/>
      <w:u w:val="single"/>
    </w:rPr>
  </w:style>
  <w:style w:type="character" w:customStyle="1" w:styleId="Heading3Char">
    <w:name w:val="Heading 3 Char"/>
    <w:link w:val="Heading3"/>
    <w:rsid w:val="00D31450"/>
    <w:rPr>
      <w:sz w:val="24"/>
      <w:szCs w:val="24"/>
      <w:u w:val="single"/>
    </w:rPr>
  </w:style>
  <w:style w:type="table" w:styleId="TableGrid">
    <w:name w:val="Table Grid"/>
    <w:basedOn w:val="TableNormal"/>
    <w:rsid w:val="000E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622"/>
    <w:pPr>
      <w:autoSpaceDE w:val="0"/>
      <w:autoSpaceDN w:val="0"/>
      <w:adjustRightInd w:val="0"/>
    </w:pPr>
    <w:rPr>
      <w:color w:val="000000"/>
      <w:sz w:val="24"/>
      <w:szCs w:val="24"/>
    </w:rPr>
  </w:style>
  <w:style w:type="paragraph" w:styleId="Revision">
    <w:name w:val="Revision"/>
    <w:hidden/>
    <w:uiPriority w:val="99"/>
    <w:semiHidden/>
    <w:rsid w:val="004E18B6"/>
    <w:rPr>
      <w:szCs w:val="24"/>
    </w:rPr>
  </w:style>
  <w:style w:type="character" w:styleId="Hyperlink">
    <w:name w:val="Hyperlink"/>
    <w:rsid w:val="00806F93"/>
    <w:rPr>
      <w:color w:val="0563C1"/>
      <w:u w:val="single"/>
    </w:rPr>
  </w:style>
  <w:style w:type="character" w:styleId="FollowedHyperlink">
    <w:name w:val="FollowedHyperlink"/>
    <w:rsid w:val="006069C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7864">
      <w:bodyDiv w:val="1"/>
      <w:marLeft w:val="0"/>
      <w:marRight w:val="0"/>
      <w:marTop w:val="0"/>
      <w:marBottom w:val="0"/>
      <w:divBdr>
        <w:top w:val="none" w:sz="0" w:space="0" w:color="auto"/>
        <w:left w:val="none" w:sz="0" w:space="0" w:color="auto"/>
        <w:bottom w:val="none" w:sz="0" w:space="0" w:color="auto"/>
        <w:right w:val="none" w:sz="0" w:space="0" w:color="auto"/>
      </w:divBdr>
    </w:div>
    <w:div w:id="450590552">
      <w:bodyDiv w:val="1"/>
      <w:marLeft w:val="0"/>
      <w:marRight w:val="0"/>
      <w:marTop w:val="0"/>
      <w:marBottom w:val="0"/>
      <w:divBdr>
        <w:top w:val="none" w:sz="0" w:space="0" w:color="auto"/>
        <w:left w:val="none" w:sz="0" w:space="0" w:color="auto"/>
        <w:bottom w:val="none" w:sz="0" w:space="0" w:color="auto"/>
        <w:right w:val="none" w:sz="0" w:space="0" w:color="auto"/>
      </w:divBdr>
    </w:div>
    <w:div w:id="510294549">
      <w:bodyDiv w:val="1"/>
      <w:marLeft w:val="0"/>
      <w:marRight w:val="0"/>
      <w:marTop w:val="0"/>
      <w:marBottom w:val="0"/>
      <w:divBdr>
        <w:top w:val="none" w:sz="0" w:space="0" w:color="auto"/>
        <w:left w:val="none" w:sz="0" w:space="0" w:color="auto"/>
        <w:bottom w:val="none" w:sz="0" w:space="0" w:color="auto"/>
        <w:right w:val="none" w:sz="0" w:space="0" w:color="auto"/>
      </w:divBdr>
    </w:div>
    <w:div w:id="591860571">
      <w:bodyDiv w:val="1"/>
      <w:marLeft w:val="0"/>
      <w:marRight w:val="0"/>
      <w:marTop w:val="0"/>
      <w:marBottom w:val="0"/>
      <w:divBdr>
        <w:top w:val="none" w:sz="0" w:space="0" w:color="auto"/>
        <w:left w:val="none" w:sz="0" w:space="0" w:color="auto"/>
        <w:bottom w:val="none" w:sz="0" w:space="0" w:color="auto"/>
        <w:right w:val="none" w:sz="0" w:space="0" w:color="auto"/>
      </w:divBdr>
    </w:div>
    <w:div w:id="773132111">
      <w:bodyDiv w:val="1"/>
      <w:marLeft w:val="0"/>
      <w:marRight w:val="0"/>
      <w:marTop w:val="0"/>
      <w:marBottom w:val="0"/>
      <w:divBdr>
        <w:top w:val="none" w:sz="0" w:space="0" w:color="auto"/>
        <w:left w:val="none" w:sz="0" w:space="0" w:color="auto"/>
        <w:bottom w:val="none" w:sz="0" w:space="0" w:color="auto"/>
        <w:right w:val="none" w:sz="0" w:space="0" w:color="auto"/>
      </w:divBdr>
    </w:div>
    <w:div w:id="799617281">
      <w:bodyDiv w:val="1"/>
      <w:marLeft w:val="0"/>
      <w:marRight w:val="0"/>
      <w:marTop w:val="0"/>
      <w:marBottom w:val="0"/>
      <w:divBdr>
        <w:top w:val="none" w:sz="0" w:space="0" w:color="auto"/>
        <w:left w:val="none" w:sz="0" w:space="0" w:color="auto"/>
        <w:bottom w:val="none" w:sz="0" w:space="0" w:color="auto"/>
        <w:right w:val="none" w:sz="0" w:space="0" w:color="auto"/>
      </w:divBdr>
    </w:div>
    <w:div w:id="927229422">
      <w:bodyDiv w:val="1"/>
      <w:marLeft w:val="0"/>
      <w:marRight w:val="0"/>
      <w:marTop w:val="0"/>
      <w:marBottom w:val="0"/>
      <w:divBdr>
        <w:top w:val="none" w:sz="0" w:space="0" w:color="auto"/>
        <w:left w:val="none" w:sz="0" w:space="0" w:color="auto"/>
        <w:bottom w:val="none" w:sz="0" w:space="0" w:color="auto"/>
        <w:right w:val="none" w:sz="0" w:space="0" w:color="auto"/>
      </w:divBdr>
    </w:div>
    <w:div w:id="1112633069">
      <w:bodyDiv w:val="1"/>
      <w:marLeft w:val="0"/>
      <w:marRight w:val="0"/>
      <w:marTop w:val="0"/>
      <w:marBottom w:val="0"/>
      <w:divBdr>
        <w:top w:val="none" w:sz="0" w:space="0" w:color="auto"/>
        <w:left w:val="none" w:sz="0" w:space="0" w:color="auto"/>
        <w:bottom w:val="none" w:sz="0" w:space="0" w:color="auto"/>
        <w:right w:val="none" w:sz="0" w:space="0" w:color="auto"/>
      </w:divBdr>
    </w:div>
    <w:div w:id="1320693538">
      <w:bodyDiv w:val="1"/>
      <w:marLeft w:val="0"/>
      <w:marRight w:val="0"/>
      <w:marTop w:val="0"/>
      <w:marBottom w:val="0"/>
      <w:divBdr>
        <w:top w:val="none" w:sz="0" w:space="0" w:color="auto"/>
        <w:left w:val="none" w:sz="0" w:space="0" w:color="auto"/>
        <w:bottom w:val="none" w:sz="0" w:space="0" w:color="auto"/>
        <w:right w:val="none" w:sz="0" w:space="0" w:color="auto"/>
      </w:divBdr>
    </w:div>
    <w:div w:id="1423721399">
      <w:bodyDiv w:val="1"/>
      <w:marLeft w:val="0"/>
      <w:marRight w:val="0"/>
      <w:marTop w:val="0"/>
      <w:marBottom w:val="0"/>
      <w:divBdr>
        <w:top w:val="none" w:sz="0" w:space="0" w:color="auto"/>
        <w:left w:val="none" w:sz="0" w:space="0" w:color="auto"/>
        <w:bottom w:val="none" w:sz="0" w:space="0" w:color="auto"/>
        <w:right w:val="none" w:sz="0" w:space="0" w:color="auto"/>
      </w:divBdr>
    </w:div>
    <w:div w:id="1462117626">
      <w:bodyDiv w:val="1"/>
      <w:marLeft w:val="0"/>
      <w:marRight w:val="0"/>
      <w:marTop w:val="0"/>
      <w:marBottom w:val="0"/>
      <w:divBdr>
        <w:top w:val="none" w:sz="0" w:space="0" w:color="auto"/>
        <w:left w:val="none" w:sz="0" w:space="0" w:color="auto"/>
        <w:bottom w:val="none" w:sz="0" w:space="0" w:color="auto"/>
        <w:right w:val="none" w:sz="0" w:space="0" w:color="auto"/>
      </w:divBdr>
    </w:div>
    <w:div w:id="1604875526">
      <w:bodyDiv w:val="1"/>
      <w:marLeft w:val="0"/>
      <w:marRight w:val="0"/>
      <w:marTop w:val="0"/>
      <w:marBottom w:val="0"/>
      <w:divBdr>
        <w:top w:val="none" w:sz="0" w:space="0" w:color="auto"/>
        <w:left w:val="none" w:sz="0" w:space="0" w:color="auto"/>
        <w:bottom w:val="none" w:sz="0" w:space="0" w:color="auto"/>
        <w:right w:val="none" w:sz="0" w:space="0" w:color="auto"/>
      </w:divBdr>
    </w:div>
    <w:div w:id="189858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7253-90EE-4DC4-8ABB-1100A3CE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14835</CharactersWithSpaces>
  <SharedDoc>false</SharedDoc>
  <HLinks>
    <vt:vector size="6" baseType="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JAMAA HILL</cp:lastModifiedBy>
  <cp:revision>2</cp:revision>
  <cp:lastPrinted>2012-11-01T18:02:00Z</cp:lastPrinted>
  <dcterms:created xsi:type="dcterms:W3CDTF">2021-03-18T17:03:00Z</dcterms:created>
  <dcterms:modified xsi:type="dcterms:W3CDTF">2021-03-18T17:03:00Z</dcterms:modified>
</cp:coreProperties>
</file>