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1222" w:rsidR="00671A3F" w:rsidP="00127E4A" w:rsidRDefault="00671A3F" w14:paraId="27C95ACF" w14:textId="79851AEA">
      <w:pPr>
        <w:tabs>
          <w:tab w:val="center" w:pos="4680"/>
        </w:tabs>
        <w:jc w:val="center"/>
        <w:rPr>
          <w:bCs/>
          <w:sz w:val="24"/>
        </w:rPr>
      </w:pPr>
      <w:r w:rsidRPr="00EB1222">
        <w:rPr>
          <w:sz w:val="24"/>
        </w:rPr>
        <w:t xml:space="preserve">SUPPORTING </w:t>
      </w:r>
      <w:r w:rsidRPr="00EB1222" w:rsidR="0005522B">
        <w:rPr>
          <w:sz w:val="24"/>
        </w:rPr>
        <w:t>STATE</w:t>
      </w:r>
      <w:r w:rsidRPr="00EB1222">
        <w:rPr>
          <w:sz w:val="24"/>
        </w:rPr>
        <w:t>MENT</w:t>
      </w:r>
    </w:p>
    <w:p w:rsidRPr="00EB1222" w:rsidR="00AF04A3" w:rsidP="00127E4A" w:rsidRDefault="00AB120F" w14:paraId="459B9DEC" w14:textId="7309F987">
      <w:pPr>
        <w:tabs>
          <w:tab w:val="center" w:pos="4680"/>
        </w:tabs>
        <w:jc w:val="center"/>
        <w:rPr>
          <w:bCs/>
          <w:sz w:val="24"/>
        </w:rPr>
      </w:pPr>
      <w:r w:rsidRPr="00EB1222">
        <w:rPr>
          <w:bCs/>
          <w:sz w:val="24"/>
        </w:rPr>
        <w:t>Generic Clearance for Medicaid and CHIP State Plan</w:t>
      </w:r>
      <w:r w:rsidRPr="00EB1222" w:rsidR="00A55033">
        <w:rPr>
          <w:bCs/>
          <w:sz w:val="24"/>
        </w:rPr>
        <w:t>,</w:t>
      </w:r>
    </w:p>
    <w:p w:rsidRPr="00EB1222" w:rsidR="00671A3F" w:rsidP="00127E4A" w:rsidRDefault="00AB120F" w14:paraId="72AD6D98" w14:textId="404D5D88">
      <w:pPr>
        <w:tabs>
          <w:tab w:val="center" w:pos="4680"/>
        </w:tabs>
        <w:jc w:val="center"/>
        <w:rPr>
          <w:bCs/>
          <w:sz w:val="24"/>
        </w:rPr>
      </w:pPr>
      <w:r w:rsidRPr="00EB1222">
        <w:rPr>
          <w:bCs/>
          <w:sz w:val="24"/>
        </w:rPr>
        <w:t>Waiver</w:t>
      </w:r>
      <w:r w:rsidRPr="00EB1222" w:rsidR="00A55033">
        <w:rPr>
          <w:bCs/>
          <w:sz w:val="24"/>
        </w:rPr>
        <w:t>,</w:t>
      </w:r>
      <w:r w:rsidRPr="00EB1222" w:rsidR="00AF04A3">
        <w:rPr>
          <w:bCs/>
          <w:sz w:val="24"/>
        </w:rPr>
        <w:t xml:space="preserve"> </w:t>
      </w:r>
      <w:r w:rsidRPr="00EB1222" w:rsidR="00A55033">
        <w:rPr>
          <w:bCs/>
          <w:sz w:val="24"/>
        </w:rPr>
        <w:t>and Program</w:t>
      </w:r>
      <w:r w:rsidRPr="00EB1222">
        <w:rPr>
          <w:bCs/>
          <w:sz w:val="24"/>
        </w:rPr>
        <w:t xml:space="preserve"> Submissions</w:t>
      </w:r>
    </w:p>
    <w:p w:rsidRPr="00EB1222" w:rsidR="008A02EC" w:rsidP="00127E4A" w:rsidRDefault="00127E4A" w14:paraId="02525B7B" w14:textId="77777777">
      <w:pPr>
        <w:tabs>
          <w:tab w:val="center" w:pos="4680"/>
        </w:tabs>
        <w:jc w:val="center"/>
        <w:rPr>
          <w:bCs/>
          <w:sz w:val="24"/>
        </w:rPr>
      </w:pPr>
      <w:r w:rsidRPr="00EB1222">
        <w:rPr>
          <w:bCs/>
          <w:sz w:val="24"/>
        </w:rPr>
        <w:t>CMS-10398, OMB 0938-</w:t>
      </w:r>
      <w:r w:rsidRPr="00EB1222" w:rsidR="006B01DA">
        <w:rPr>
          <w:bCs/>
          <w:sz w:val="24"/>
        </w:rPr>
        <w:t>1148</w:t>
      </w:r>
    </w:p>
    <w:p w:rsidRPr="003F6C35" w:rsidR="00127E4A" w:rsidP="00A262CC" w:rsidRDefault="00127E4A" w14:paraId="2C8C2985" w14:textId="77777777">
      <w:pPr>
        <w:tabs>
          <w:tab w:val="center" w:pos="4680"/>
        </w:tabs>
        <w:rPr>
          <w:bCs/>
          <w:sz w:val="24"/>
        </w:rPr>
      </w:pPr>
    </w:p>
    <w:p w:rsidRPr="009E6E10" w:rsidR="00671A3F" w:rsidP="00A262CC" w:rsidRDefault="00671A3F" w14:paraId="182190C3" w14:textId="77777777">
      <w:pPr>
        <w:rPr>
          <w:sz w:val="24"/>
        </w:rPr>
      </w:pPr>
      <w:r w:rsidRPr="009E6E10">
        <w:rPr>
          <w:b/>
          <w:bCs/>
          <w:sz w:val="24"/>
        </w:rPr>
        <w:t>BACKGROUND</w:t>
      </w:r>
    </w:p>
    <w:p w:rsidR="00671A3F" w:rsidP="00A262CC" w:rsidRDefault="00671A3F" w14:paraId="5ABB5138" w14:textId="77777777">
      <w:pPr>
        <w:rPr>
          <w:sz w:val="24"/>
        </w:rPr>
      </w:pPr>
    </w:p>
    <w:p w:rsidR="00F5435F" w:rsidP="00A262CC" w:rsidRDefault="00AC5D79" w14:paraId="5F27BD04" w14:textId="77777777">
      <w:pPr>
        <w:rPr>
          <w:sz w:val="24"/>
        </w:rPr>
      </w:pPr>
      <w:r>
        <w:rPr>
          <w:sz w:val="24"/>
        </w:rPr>
        <w:t>The Center</w:t>
      </w:r>
      <w:r w:rsidR="00497E8F">
        <w:rPr>
          <w:sz w:val="24"/>
        </w:rPr>
        <w:t>s</w:t>
      </w:r>
      <w:r>
        <w:rPr>
          <w:sz w:val="24"/>
        </w:rPr>
        <w:t xml:space="preserve"> </w:t>
      </w:r>
      <w:r w:rsidR="00497E8F">
        <w:rPr>
          <w:sz w:val="24"/>
        </w:rPr>
        <w:t xml:space="preserve">for Medicare &amp; </w:t>
      </w:r>
      <w:r>
        <w:rPr>
          <w:sz w:val="24"/>
        </w:rPr>
        <w:t>Medicaid work in partnership with States to implement Medicaid and the Children’s Health Insurance Program</w:t>
      </w:r>
      <w:r w:rsidR="009965A2">
        <w:rPr>
          <w:sz w:val="24"/>
        </w:rPr>
        <w:t xml:space="preserve"> (CHIP)</w:t>
      </w:r>
      <w:r>
        <w:rPr>
          <w:sz w:val="24"/>
        </w:rPr>
        <w:t xml:space="preserve">. Together these programs provide health coverage to millions of Americans. </w:t>
      </w:r>
      <w:r w:rsidR="00D81E81">
        <w:rPr>
          <w:sz w:val="24"/>
        </w:rPr>
        <w:t xml:space="preserve">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r w:rsidR="00497E8F">
        <w:rPr>
          <w:sz w:val="24"/>
        </w:rPr>
        <w:t>For example, i</w:t>
      </w:r>
      <w:r w:rsidRPr="008F5FC3" w:rsidR="008F5FC3">
        <w:rPr>
          <w:sz w:val="24"/>
        </w:rPr>
        <w:t xml:space="preserve">n March 2010, Congress passed </w:t>
      </w:r>
      <w:r w:rsidR="00497E8F">
        <w:rPr>
          <w:sz w:val="24"/>
        </w:rPr>
        <w:t>(</w:t>
      </w:r>
      <w:r w:rsidRPr="008F5FC3" w:rsidR="008F5FC3">
        <w:rPr>
          <w:sz w:val="24"/>
        </w:rPr>
        <w:t>and the President signed into law</w:t>
      </w:r>
      <w:r w:rsidR="00497E8F">
        <w:rPr>
          <w:sz w:val="24"/>
        </w:rPr>
        <w:t>)</w:t>
      </w:r>
      <w:r w:rsidRPr="008F5FC3" w:rsidR="008F5FC3">
        <w:rPr>
          <w:sz w:val="24"/>
        </w:rPr>
        <w:t xml:space="preserve"> the Affordable Care Act, which </w:t>
      </w:r>
      <w:r w:rsidR="008F5FC3">
        <w:rPr>
          <w:sz w:val="24"/>
        </w:rPr>
        <w:t xml:space="preserve">enacted comprehensive reform of the Medicaid program. </w:t>
      </w:r>
      <w:r w:rsidR="00D81E81">
        <w:rPr>
          <w:sz w:val="24"/>
        </w:rPr>
        <w:t xml:space="preserve">CMS works collaboratively with States in the ongoing management of programs and policies, and </w:t>
      </w:r>
      <w:r w:rsidR="00DD18DB">
        <w:rPr>
          <w:sz w:val="24"/>
        </w:rPr>
        <w:t xml:space="preserve">CMS continues to develop implementing guidance and templates for States to use to elect new options available as a result of the Affordable Care Act or to comply with new </w:t>
      </w:r>
      <w:r w:rsidR="00497E8F">
        <w:rPr>
          <w:sz w:val="24"/>
        </w:rPr>
        <w:t xml:space="preserve">statutory </w:t>
      </w:r>
      <w:r w:rsidR="00DD18DB">
        <w:rPr>
          <w:sz w:val="24"/>
        </w:rPr>
        <w:t>provisions.</w:t>
      </w:r>
      <w:r w:rsidR="00570D68">
        <w:rPr>
          <w:sz w:val="24"/>
        </w:rPr>
        <w:t xml:space="preserve"> CMS also continues to work with States through other methods to further the goals of health reform, including program waivers and demonstrations</w:t>
      </w:r>
      <w:r w:rsidR="00497E8F">
        <w:rPr>
          <w:sz w:val="24"/>
        </w:rPr>
        <w:t>,</w:t>
      </w:r>
      <w:r w:rsidR="00570D68">
        <w:rPr>
          <w:sz w:val="24"/>
        </w:rPr>
        <w:t xml:space="preserve"> and other technical assistance initiatives.</w:t>
      </w:r>
    </w:p>
    <w:p w:rsidRPr="00BF054D" w:rsidR="0069371D" w:rsidP="00982BB2" w:rsidRDefault="0069371D" w14:paraId="128B1CF8" w14:textId="1CF3D50C">
      <w:pPr>
        <w:rPr>
          <w:sz w:val="24"/>
        </w:rPr>
      </w:pPr>
    </w:p>
    <w:p w:rsidRPr="00BF054D" w:rsidR="00D06212" w:rsidP="00982BB2" w:rsidRDefault="00455F1B" w14:paraId="08923A03" w14:textId="5F2CF2A2">
      <w:pPr>
        <w:rPr>
          <w:sz w:val="24"/>
        </w:rPr>
      </w:pPr>
      <w:r w:rsidRPr="00BF054D">
        <w:rPr>
          <w:sz w:val="24"/>
        </w:rPr>
        <w:t xml:space="preserve">In this 2021 iteration we propose to keep our burden ceiling as is (154,104 </w:t>
      </w:r>
      <w:proofErr w:type="spellStart"/>
      <w:r w:rsidRPr="00BF054D">
        <w:rPr>
          <w:sz w:val="24"/>
        </w:rPr>
        <w:t>hr</w:t>
      </w:r>
      <w:proofErr w:type="spellEnd"/>
      <w:r w:rsidRPr="00BF054D">
        <w:rPr>
          <w:sz w:val="24"/>
        </w:rPr>
        <w:t xml:space="preserve">). </w:t>
      </w:r>
      <w:r w:rsidRPr="00BF054D" w:rsidR="00D06212">
        <w:rPr>
          <w:sz w:val="24"/>
        </w:rPr>
        <w:t xml:space="preserve">Similarly, we are not making any programs changes to the </w:t>
      </w:r>
      <w:proofErr w:type="spellStart"/>
      <w:r w:rsidRPr="00BF054D" w:rsidR="00D06212">
        <w:rPr>
          <w:sz w:val="24"/>
        </w:rPr>
        <w:t>GenICs</w:t>
      </w:r>
      <w:proofErr w:type="spellEnd"/>
      <w:r w:rsidRPr="00BF054D" w:rsidR="00D06212">
        <w:rPr>
          <w:sz w:val="24"/>
        </w:rPr>
        <w:t xml:space="preserve"> that we seek to extend. </w:t>
      </w:r>
      <w:r w:rsidRPr="00BF054D" w:rsidR="00C706BA">
        <w:rPr>
          <w:sz w:val="24"/>
        </w:rPr>
        <w:t xml:space="preserve">For new and revised </w:t>
      </w:r>
      <w:proofErr w:type="spellStart"/>
      <w:r w:rsidRPr="00BF054D" w:rsidR="00C706BA">
        <w:rPr>
          <w:sz w:val="24"/>
        </w:rPr>
        <w:t>GenICs</w:t>
      </w:r>
      <w:proofErr w:type="spellEnd"/>
      <w:r w:rsidRPr="00BF054D" w:rsidR="00C706BA">
        <w:rPr>
          <w:sz w:val="24"/>
        </w:rPr>
        <w:t xml:space="preserve"> we will be publishing 14-day Federal Register notices that will provide interested parties </w:t>
      </w:r>
      <w:r w:rsidRPr="00BF054D" w:rsidR="006F2445">
        <w:rPr>
          <w:sz w:val="24"/>
        </w:rPr>
        <w:t xml:space="preserve">with </w:t>
      </w:r>
      <w:r w:rsidRPr="00BF054D" w:rsidR="00C706BA">
        <w:rPr>
          <w:sz w:val="24"/>
        </w:rPr>
        <w:t xml:space="preserve">an opportunity to review and comment on the generic information collection request. </w:t>
      </w:r>
      <w:r w:rsidRPr="00BF054D" w:rsidR="007B0506">
        <w:rPr>
          <w:sz w:val="24"/>
        </w:rPr>
        <w:t xml:space="preserve">Instructions for </w:t>
      </w:r>
      <w:r w:rsidRPr="00BF054D" w:rsidR="00FF29B7">
        <w:rPr>
          <w:sz w:val="24"/>
        </w:rPr>
        <w:t xml:space="preserve">obtaining the </w:t>
      </w:r>
      <w:proofErr w:type="spellStart"/>
      <w:r w:rsidRPr="00BF054D" w:rsidR="00FF29B7">
        <w:rPr>
          <w:sz w:val="24"/>
        </w:rPr>
        <w:t>GenIC</w:t>
      </w:r>
      <w:r w:rsidRPr="00BF054D" w:rsidR="006F2445">
        <w:rPr>
          <w:sz w:val="24"/>
        </w:rPr>
        <w:t>’s</w:t>
      </w:r>
      <w:proofErr w:type="spellEnd"/>
      <w:r w:rsidRPr="00BF054D" w:rsidR="00FF29B7">
        <w:rPr>
          <w:sz w:val="24"/>
        </w:rPr>
        <w:t xml:space="preserve"> documents and for </w:t>
      </w:r>
      <w:r w:rsidRPr="00BF054D" w:rsidR="007B0506">
        <w:rPr>
          <w:sz w:val="24"/>
        </w:rPr>
        <w:t xml:space="preserve">submitting comments will be set out in each Federal Register notice. </w:t>
      </w:r>
      <w:r w:rsidRPr="00BF054D" w:rsidR="00D06212">
        <w:rPr>
          <w:sz w:val="24"/>
        </w:rPr>
        <w:t>See section</w:t>
      </w:r>
      <w:r w:rsidRPr="00BF054D" w:rsidR="00C706BA">
        <w:rPr>
          <w:sz w:val="24"/>
        </w:rPr>
        <w:t xml:space="preserve"> </w:t>
      </w:r>
      <w:r w:rsidRPr="00BF054D" w:rsidR="00D06212">
        <w:rPr>
          <w:sz w:val="24"/>
        </w:rPr>
        <w:t>15 of this Supporting Statement for details.</w:t>
      </w:r>
    </w:p>
    <w:p w:rsidRPr="00BF054D" w:rsidR="00D06212" w:rsidP="00982BB2" w:rsidRDefault="00D06212" w14:paraId="5709B18A" w14:textId="77777777">
      <w:pPr>
        <w:rPr>
          <w:sz w:val="24"/>
        </w:rPr>
      </w:pPr>
    </w:p>
    <w:p w:rsidRPr="009E6E10" w:rsidR="00671A3F" w:rsidP="00982BB2" w:rsidRDefault="00536239" w14:paraId="7DE319C0" w14:textId="77777777">
      <w:pPr>
        <w:pStyle w:val="Heading1"/>
        <w:rPr>
          <w:u w:val="none"/>
        </w:rPr>
      </w:pPr>
      <w:r w:rsidRPr="009E6E10">
        <w:rPr>
          <w:u w:val="none"/>
        </w:rPr>
        <w:t>A</w:t>
      </w:r>
      <w:r w:rsidRPr="009E6E10" w:rsidR="00671A3F">
        <w:rPr>
          <w:u w:val="none"/>
        </w:rPr>
        <w:t>.</w:t>
      </w:r>
      <w:r w:rsidRPr="009E6E10" w:rsidR="00671A3F">
        <w:rPr>
          <w:u w:val="none"/>
        </w:rPr>
        <w:tab/>
        <w:t>JUSTIFICATION</w:t>
      </w:r>
    </w:p>
    <w:p w:rsidR="00671A3F" w:rsidP="00982BB2" w:rsidRDefault="00671A3F" w14:paraId="0C5FDBC8" w14:textId="77777777">
      <w:pPr>
        <w:rPr>
          <w:b/>
          <w:bCs/>
          <w:sz w:val="24"/>
          <w:u w:val="single"/>
        </w:rPr>
      </w:pPr>
    </w:p>
    <w:p w:rsidRPr="00C7488A" w:rsidR="00671A3F" w:rsidP="00982BB2" w:rsidRDefault="00671A3F" w14:paraId="547F330A" w14:textId="77777777">
      <w:pPr>
        <w:tabs>
          <w:tab w:val="left" w:pos="-1440"/>
        </w:tabs>
        <w:rPr>
          <w:bCs/>
          <w:sz w:val="24"/>
          <w:u w:val="single"/>
        </w:rPr>
      </w:pPr>
      <w:r w:rsidRPr="00C7488A">
        <w:rPr>
          <w:sz w:val="24"/>
        </w:rPr>
        <w:t>1.</w:t>
      </w:r>
      <w:r w:rsidRPr="00C7488A">
        <w:rPr>
          <w:bCs/>
          <w:sz w:val="24"/>
        </w:rPr>
        <w:tab/>
      </w:r>
      <w:r w:rsidRPr="00C7488A">
        <w:rPr>
          <w:bCs/>
          <w:sz w:val="24"/>
          <w:u w:val="single"/>
        </w:rPr>
        <w:t>Need and Legal Basis</w:t>
      </w:r>
    </w:p>
    <w:p w:rsidR="008A02EC" w:rsidP="00982BB2" w:rsidRDefault="008A02EC" w14:paraId="2ED5E6FE" w14:textId="77777777">
      <w:pPr>
        <w:tabs>
          <w:tab w:val="left" w:pos="-1440"/>
        </w:tabs>
        <w:rPr>
          <w:b/>
          <w:bCs/>
          <w:sz w:val="24"/>
          <w:u w:val="single"/>
        </w:rPr>
      </w:pPr>
    </w:p>
    <w:p w:rsidR="006B23FE" w:rsidP="00A262CC" w:rsidRDefault="00042A0D" w14:paraId="5F0B6860" w14:textId="330F379D">
      <w:pPr>
        <w:rPr>
          <w:sz w:val="24"/>
        </w:rPr>
      </w:pPr>
      <w:r>
        <w:rPr>
          <w:sz w:val="24"/>
        </w:rPr>
        <w:t xml:space="preserve">Section 1901 of the Social Security Act (42 U.S.C. 1936) requires that States must establish a State plan for medical assistance that is approved by the Secretary to carry out the purpose of Title XIX. </w:t>
      </w:r>
      <w:r w:rsidR="009965A2">
        <w:rPr>
          <w:sz w:val="24"/>
        </w:rPr>
        <w:t xml:space="preserve">CHIP </w:t>
      </w:r>
      <w:r w:rsidR="006B23FE">
        <w:rPr>
          <w:sz w:val="24"/>
        </w:rPr>
        <w:t>has a corresponding statutory requirement for a State plan outlined in Section 2101</w:t>
      </w:r>
      <w:r w:rsidR="006341D7">
        <w:rPr>
          <w:sz w:val="24"/>
        </w:rPr>
        <w:t xml:space="preserve"> </w:t>
      </w:r>
      <w:r w:rsidR="00A62048">
        <w:rPr>
          <w:sz w:val="24"/>
        </w:rPr>
        <w:t>to carry out the purpose of Title XXI.</w:t>
      </w:r>
      <w:r w:rsidR="006B23FE">
        <w:rPr>
          <w:sz w:val="24"/>
        </w:rPr>
        <w:t xml:space="preserve"> </w:t>
      </w:r>
      <w:r>
        <w:rPr>
          <w:sz w:val="24"/>
        </w:rPr>
        <w:t>The State plan functions as a contract between the State and Federal government describing how the State will implement its program in accordance with Federal laws and regulations in order to secure Federal funding.</w:t>
      </w:r>
      <w:r w:rsidR="006B23FE">
        <w:rPr>
          <w:sz w:val="24"/>
        </w:rPr>
        <w:t xml:space="preserve"> </w:t>
      </w:r>
    </w:p>
    <w:p w:rsidR="006B23FE" w:rsidP="00A262CC" w:rsidRDefault="006B23FE" w14:paraId="53B01D5D" w14:textId="77777777">
      <w:pPr>
        <w:rPr>
          <w:sz w:val="24"/>
        </w:rPr>
      </w:pPr>
    </w:p>
    <w:p w:rsidRPr="008A02EC" w:rsidR="00BF5BEA" w:rsidP="00A262CC" w:rsidRDefault="006B23FE" w14:paraId="2663679B" w14:textId="77777777">
      <w:pPr>
        <w:rPr>
          <w:sz w:val="24"/>
        </w:rPr>
      </w:pPr>
      <w:r>
        <w:rPr>
          <w:sz w:val="24"/>
        </w:rPr>
        <w:t xml:space="preserve">The Act also provides the Secretary some discretion in waiving program requirements when it does not have a negative financial impact (cost effectiveness, cost neutrality, and budget neutrality) and promotes the objectives of the program. For instance, Section 1915(b) allows for the waiver of Medicaid provisions to allow for the implementation of managed care programs. Additionally, </w:t>
      </w:r>
      <w:r w:rsidR="00BF5BEA">
        <w:rPr>
          <w:sz w:val="24"/>
        </w:rPr>
        <w:t xml:space="preserve">Section 1115 of the Act provides the Secretary flexibility to waive </w:t>
      </w:r>
      <w:r>
        <w:rPr>
          <w:sz w:val="24"/>
        </w:rPr>
        <w:t xml:space="preserve">program </w:t>
      </w:r>
      <w:r w:rsidR="00BF5BEA">
        <w:rPr>
          <w:sz w:val="24"/>
        </w:rPr>
        <w:t xml:space="preserve">requirements in Section 1902 and provide Federal funding for costs that are otherwise </w:t>
      </w:r>
      <w:r w:rsidR="00BF5BEA">
        <w:rPr>
          <w:sz w:val="24"/>
        </w:rPr>
        <w:lastRenderedPageBreak/>
        <w:t>unmatchable. Written applications from States are required for these programs that outline what the State proposes to do and the financial impact it will have.</w:t>
      </w:r>
    </w:p>
    <w:p w:rsidR="008A02EC" w:rsidP="00982BB2" w:rsidRDefault="008A02EC" w14:paraId="4E8A7196" w14:textId="77777777">
      <w:pPr>
        <w:tabs>
          <w:tab w:val="left" w:pos="-1440"/>
        </w:tabs>
        <w:rPr>
          <w:b/>
          <w:bCs/>
          <w:sz w:val="24"/>
          <w:u w:val="single"/>
        </w:rPr>
      </w:pPr>
    </w:p>
    <w:p w:rsidRPr="00C7488A" w:rsidR="00671A3F" w:rsidP="00982BB2" w:rsidRDefault="00671A3F" w14:paraId="30345DE3" w14:textId="77777777">
      <w:pPr>
        <w:tabs>
          <w:tab w:val="left" w:pos="-1440"/>
        </w:tabs>
        <w:rPr>
          <w:sz w:val="24"/>
        </w:rPr>
      </w:pPr>
      <w:r w:rsidRPr="00C7488A">
        <w:rPr>
          <w:sz w:val="24"/>
        </w:rPr>
        <w:t>2.</w:t>
      </w:r>
      <w:r w:rsidRPr="00C7488A">
        <w:rPr>
          <w:sz w:val="24"/>
        </w:rPr>
        <w:tab/>
      </w:r>
      <w:r w:rsidRPr="00C7488A">
        <w:rPr>
          <w:bCs/>
          <w:sz w:val="24"/>
          <w:u w:val="single"/>
        </w:rPr>
        <w:t>Information Users</w:t>
      </w:r>
    </w:p>
    <w:p w:rsidR="00671A3F" w:rsidP="00982BB2" w:rsidRDefault="00671A3F" w14:paraId="6402917F" w14:textId="77777777">
      <w:pPr>
        <w:rPr>
          <w:sz w:val="24"/>
        </w:rPr>
      </w:pPr>
    </w:p>
    <w:p w:rsidRPr="0069371D" w:rsidR="0069371D" w:rsidP="00A262CC" w:rsidRDefault="00BF5BEA" w14:paraId="5194B2A4" w14:textId="77777777">
      <w:pPr>
        <w:rPr>
          <w:sz w:val="24"/>
        </w:rPr>
      </w:pPr>
      <w:r>
        <w:rPr>
          <w:sz w:val="24"/>
        </w:rPr>
        <w:t xml:space="preserve">State Medicaid </w:t>
      </w:r>
      <w:r w:rsidR="009965A2">
        <w:rPr>
          <w:sz w:val="24"/>
        </w:rPr>
        <w:t xml:space="preserve">and CHIP </w:t>
      </w:r>
      <w:r>
        <w:rPr>
          <w:sz w:val="24"/>
        </w:rPr>
        <w:t xml:space="preserve">agencies are responsible for developing submissions to CMS, including State plan amendments and requests for waivers and program demonstrations. States use templates when they are available and submit the forms to CMS </w:t>
      </w:r>
      <w:r w:rsidR="006B23FE">
        <w:rPr>
          <w:sz w:val="24"/>
        </w:rPr>
        <w:t xml:space="preserve">to </w:t>
      </w:r>
      <w:r>
        <w:rPr>
          <w:sz w:val="24"/>
        </w:rPr>
        <w:t>review</w:t>
      </w:r>
      <w:r w:rsidR="006B23FE">
        <w:rPr>
          <w:sz w:val="24"/>
        </w:rPr>
        <w:t xml:space="preserve"> for consistency with statutory and regulatory requirements (</w:t>
      </w:r>
      <w:r>
        <w:rPr>
          <w:sz w:val="24"/>
        </w:rPr>
        <w:t>or in the case of waivers and demonstrations whether the proposal is likely to promote the objectives of the Medicaid program)</w:t>
      </w:r>
      <w:r w:rsidRPr="0069371D" w:rsidR="0069371D">
        <w:rPr>
          <w:sz w:val="24"/>
        </w:rPr>
        <w:t>.  If the requirements are met, CMS approve</w:t>
      </w:r>
      <w:r w:rsidR="00D160B7">
        <w:rPr>
          <w:sz w:val="24"/>
        </w:rPr>
        <w:t>s</w:t>
      </w:r>
      <w:r w:rsidRPr="0069371D" w:rsidR="0069371D">
        <w:rPr>
          <w:sz w:val="24"/>
        </w:rPr>
        <w:t xml:space="preserve"> the </w:t>
      </w:r>
      <w:r w:rsidR="0005522B">
        <w:rPr>
          <w:sz w:val="24"/>
        </w:rPr>
        <w:t>State</w:t>
      </w:r>
      <w:r w:rsidRPr="0069371D" w:rsidR="0069371D">
        <w:rPr>
          <w:sz w:val="24"/>
        </w:rPr>
        <w:t xml:space="preserve">’s </w:t>
      </w:r>
      <w:r>
        <w:rPr>
          <w:sz w:val="24"/>
        </w:rPr>
        <w:t xml:space="preserve">submission </w:t>
      </w:r>
      <w:r w:rsidRPr="0069371D" w:rsidR="0069371D">
        <w:rPr>
          <w:sz w:val="24"/>
        </w:rPr>
        <w:t xml:space="preserve">giving the </w:t>
      </w:r>
      <w:r w:rsidR="0005522B">
        <w:rPr>
          <w:sz w:val="24"/>
        </w:rPr>
        <w:t>State</w:t>
      </w:r>
      <w:r w:rsidR="007C64B1">
        <w:rPr>
          <w:sz w:val="24"/>
        </w:rPr>
        <w:t xml:space="preserve"> </w:t>
      </w:r>
      <w:r w:rsidRPr="0069371D" w:rsidR="0069371D">
        <w:rPr>
          <w:sz w:val="24"/>
        </w:rPr>
        <w:t xml:space="preserve">the authority to implement the flexibilities.  For a </w:t>
      </w:r>
      <w:r w:rsidR="0005522B">
        <w:rPr>
          <w:sz w:val="24"/>
        </w:rPr>
        <w:t>State</w:t>
      </w:r>
      <w:r w:rsidR="007C64B1">
        <w:rPr>
          <w:sz w:val="24"/>
        </w:rPr>
        <w:t xml:space="preserve"> </w:t>
      </w:r>
      <w:r w:rsidRPr="0069371D" w:rsidR="0069371D">
        <w:rPr>
          <w:sz w:val="24"/>
        </w:rPr>
        <w:t xml:space="preserve">to receive Medicaid Title XIX funding, there must be an approved </w:t>
      </w:r>
      <w:smartTag w:uri="urn:schemas-microsoft-com:office:smarttags" w:element="place">
        <w:smartTag w:uri="urn:schemas-microsoft-com:office:smarttags" w:element="PlaceName">
          <w:r w:rsidR="0069371D" w:rsidRPr="0069371D">
            <w:rPr>
              <w:sz w:val="24"/>
            </w:rPr>
            <w:t>Title</w:t>
          </w:r>
        </w:smartTag>
        <w:r w:rsidR="0069371D" w:rsidRPr="0069371D">
          <w:rPr>
            <w:sz w:val="24"/>
          </w:rPr>
          <w:t xml:space="preserve"> </w:t>
        </w:r>
        <w:smartTag w:uri="urn:schemas-microsoft-com:office:smarttags" w:element="PlaceName">
          <w:r w:rsidR="0069371D" w:rsidRPr="0069371D">
            <w:rPr>
              <w:sz w:val="24"/>
            </w:rPr>
            <w:t>XIX</w:t>
          </w:r>
        </w:smartTag>
        <w:r w:rsidR="0069371D" w:rsidRPr="0069371D">
          <w:rPr>
            <w:sz w:val="24"/>
          </w:rPr>
          <w:t xml:space="preserve"> </w:t>
        </w:r>
        <w:smartTag w:uri="urn:schemas-microsoft-com:office:smarttags" w:element="PlaceType">
          <w:r w:rsidR="0005522B">
            <w:rPr>
              <w:sz w:val="24"/>
            </w:rPr>
            <w:t>State</w:t>
          </w:r>
        </w:smartTag>
      </w:smartTag>
      <w:r w:rsidR="007C64B1">
        <w:rPr>
          <w:sz w:val="24"/>
        </w:rPr>
        <w:t xml:space="preserve"> </w:t>
      </w:r>
      <w:r w:rsidRPr="0069371D" w:rsidR="0069371D">
        <w:rPr>
          <w:sz w:val="24"/>
        </w:rPr>
        <w:t>plan.</w:t>
      </w:r>
    </w:p>
    <w:p w:rsidR="00671A3F" w:rsidP="00A262CC" w:rsidRDefault="00671A3F" w14:paraId="509620EF" w14:textId="77777777">
      <w:pPr>
        <w:rPr>
          <w:sz w:val="24"/>
        </w:rPr>
      </w:pPr>
    </w:p>
    <w:p w:rsidR="00464271" w:rsidP="00A262CC" w:rsidRDefault="00464271" w14:paraId="2A7A451F" w14:textId="2E46D520">
      <w:pPr>
        <w:rPr>
          <w:sz w:val="24"/>
        </w:rPr>
      </w:pPr>
      <w:r w:rsidRPr="00464271">
        <w:rPr>
          <w:sz w:val="24"/>
        </w:rP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rsidR="00464271" w:rsidP="00982BB2" w:rsidRDefault="00464271" w14:paraId="2FBA7700" w14:textId="77777777">
      <w:pPr>
        <w:rPr>
          <w:sz w:val="24"/>
        </w:rPr>
      </w:pPr>
    </w:p>
    <w:p w:rsidRPr="00C7488A" w:rsidR="00671A3F" w:rsidP="00982BB2" w:rsidRDefault="00671A3F" w14:paraId="1F741272" w14:textId="77777777">
      <w:pPr>
        <w:tabs>
          <w:tab w:val="left" w:pos="-1440"/>
        </w:tabs>
        <w:rPr>
          <w:sz w:val="24"/>
        </w:rPr>
      </w:pPr>
      <w:r w:rsidRPr="00C7488A">
        <w:rPr>
          <w:sz w:val="24"/>
        </w:rPr>
        <w:t>3.</w:t>
      </w:r>
      <w:r w:rsidRPr="00C7488A">
        <w:rPr>
          <w:sz w:val="24"/>
        </w:rPr>
        <w:tab/>
      </w:r>
      <w:r w:rsidRPr="00C7488A">
        <w:rPr>
          <w:bCs/>
          <w:sz w:val="24"/>
          <w:u w:val="single"/>
        </w:rPr>
        <w:t>Improved Information Technology</w:t>
      </w:r>
    </w:p>
    <w:p w:rsidRPr="0069371D" w:rsidR="00671A3F" w:rsidP="00982BB2" w:rsidRDefault="00671A3F" w14:paraId="42F451EA" w14:textId="77777777">
      <w:pPr>
        <w:rPr>
          <w:sz w:val="24"/>
        </w:rPr>
      </w:pPr>
    </w:p>
    <w:p w:rsidR="001E79E7" w:rsidP="00A262CC" w:rsidRDefault="00042A0D" w14:paraId="31F768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form</w:t>
      </w:r>
      <w:r w:rsidR="006B23FE">
        <w:rPr>
          <w:sz w:val="24"/>
        </w:rPr>
        <w:t xml:space="preserve">s </w:t>
      </w:r>
      <w:r w:rsidR="00D26D14">
        <w:rPr>
          <w:sz w:val="24"/>
        </w:rPr>
        <w:t xml:space="preserve">for the States to use </w:t>
      </w:r>
      <w:r w:rsidR="006B23FE">
        <w:rPr>
          <w:sz w:val="24"/>
        </w:rPr>
        <w:t>are</w:t>
      </w:r>
      <w:r>
        <w:rPr>
          <w:sz w:val="24"/>
        </w:rPr>
        <w:t xml:space="preserve"> available in electronic format. We expect every submittal to be forwarded to CMS using th</w:t>
      </w:r>
      <w:r w:rsidR="006B23FE">
        <w:rPr>
          <w:sz w:val="24"/>
        </w:rPr>
        <w:t>e electronic format. The forms create streamlined and structured data, decreasing the time required by States to develop their submissions to CMS.</w:t>
      </w:r>
    </w:p>
    <w:p w:rsidRPr="0069371D" w:rsidR="00671A3F" w:rsidP="00982BB2" w:rsidRDefault="00671A3F" w14:paraId="7B64954F" w14:textId="77777777">
      <w:pPr>
        <w:rPr>
          <w:sz w:val="24"/>
        </w:rPr>
      </w:pPr>
    </w:p>
    <w:p w:rsidRPr="00C7488A" w:rsidR="00671A3F" w:rsidP="00982BB2" w:rsidRDefault="00671A3F" w14:paraId="5CC0E76A" w14:textId="77777777">
      <w:pPr>
        <w:tabs>
          <w:tab w:val="left" w:pos="-1440"/>
        </w:tabs>
        <w:rPr>
          <w:sz w:val="24"/>
        </w:rPr>
      </w:pPr>
      <w:r w:rsidRPr="00C7488A">
        <w:rPr>
          <w:sz w:val="24"/>
        </w:rPr>
        <w:t>4.</w:t>
      </w:r>
      <w:r w:rsidRPr="00C7488A">
        <w:rPr>
          <w:sz w:val="24"/>
        </w:rPr>
        <w:tab/>
      </w:r>
      <w:r w:rsidRPr="00C7488A">
        <w:rPr>
          <w:bCs/>
          <w:sz w:val="24"/>
          <w:u w:val="single"/>
        </w:rPr>
        <w:t>Duplication</w:t>
      </w:r>
    </w:p>
    <w:p w:rsidR="00671A3F" w:rsidP="00982BB2" w:rsidRDefault="00671A3F" w14:paraId="6F7AC71D" w14:textId="77777777">
      <w:pPr>
        <w:rPr>
          <w:sz w:val="24"/>
        </w:rPr>
      </w:pPr>
    </w:p>
    <w:p w:rsidR="00671A3F" w:rsidP="00982BB2" w:rsidRDefault="00671A3F" w14:paraId="54359C2B" w14:textId="77777777">
      <w:pPr>
        <w:rPr>
          <w:sz w:val="24"/>
        </w:rPr>
      </w:pPr>
      <w:r>
        <w:rPr>
          <w:sz w:val="24"/>
        </w:rPr>
        <w:t>The</w:t>
      </w:r>
      <w:r w:rsidR="00042A0D">
        <w:rPr>
          <w:sz w:val="24"/>
        </w:rPr>
        <w:t>re is no duplication of similar information.</w:t>
      </w:r>
    </w:p>
    <w:p w:rsidR="00671A3F" w:rsidP="00982BB2" w:rsidRDefault="00671A3F" w14:paraId="27B5088C" w14:textId="77777777">
      <w:pPr>
        <w:tabs>
          <w:tab w:val="left" w:pos="-1440"/>
        </w:tabs>
        <w:rPr>
          <w:sz w:val="24"/>
        </w:rPr>
      </w:pPr>
    </w:p>
    <w:p w:rsidRPr="00C7488A" w:rsidR="00671A3F" w:rsidP="00982BB2" w:rsidRDefault="00671A3F" w14:paraId="67159E0D" w14:textId="77777777">
      <w:pPr>
        <w:tabs>
          <w:tab w:val="left" w:pos="-1440"/>
        </w:tabs>
        <w:rPr>
          <w:sz w:val="24"/>
        </w:rPr>
      </w:pPr>
      <w:r w:rsidRPr="00C7488A">
        <w:rPr>
          <w:sz w:val="24"/>
        </w:rPr>
        <w:t>5.</w:t>
      </w:r>
      <w:r w:rsidRPr="00C7488A">
        <w:rPr>
          <w:sz w:val="24"/>
        </w:rPr>
        <w:tab/>
      </w:r>
      <w:r w:rsidRPr="00C7488A">
        <w:rPr>
          <w:bCs/>
          <w:sz w:val="24"/>
          <w:u w:val="single"/>
        </w:rPr>
        <w:t>Small Business</w:t>
      </w:r>
    </w:p>
    <w:p w:rsidR="00671A3F" w:rsidP="00982BB2" w:rsidRDefault="00671A3F" w14:paraId="435D4598" w14:textId="77777777">
      <w:pPr>
        <w:rPr>
          <w:sz w:val="24"/>
        </w:rPr>
      </w:pPr>
    </w:p>
    <w:p w:rsidR="00671A3F" w:rsidP="00A262CC" w:rsidRDefault="00671A3F" w14:paraId="6C43AF22" w14:textId="77777777">
      <w:pPr>
        <w:rPr>
          <w:sz w:val="24"/>
        </w:rPr>
      </w:pPr>
      <w:r>
        <w:rPr>
          <w:sz w:val="24"/>
        </w:rPr>
        <w:t>There is no burden on small businesses.</w:t>
      </w:r>
    </w:p>
    <w:p w:rsidR="00671A3F" w:rsidP="00982BB2" w:rsidRDefault="00671A3F" w14:paraId="7BA2A029" w14:textId="77777777">
      <w:pPr>
        <w:rPr>
          <w:sz w:val="24"/>
        </w:rPr>
      </w:pPr>
    </w:p>
    <w:p w:rsidRPr="00C7488A" w:rsidR="00671A3F" w:rsidP="00982BB2" w:rsidRDefault="00671A3F" w14:paraId="28E74BFE" w14:textId="77777777">
      <w:pPr>
        <w:tabs>
          <w:tab w:val="left" w:pos="-1440"/>
        </w:tabs>
        <w:rPr>
          <w:sz w:val="24"/>
        </w:rPr>
      </w:pPr>
      <w:r w:rsidRPr="00C7488A">
        <w:rPr>
          <w:sz w:val="24"/>
        </w:rPr>
        <w:t>6.</w:t>
      </w:r>
      <w:r w:rsidRPr="00C7488A">
        <w:rPr>
          <w:sz w:val="24"/>
        </w:rPr>
        <w:tab/>
      </w:r>
      <w:r w:rsidRPr="00C7488A">
        <w:rPr>
          <w:bCs/>
          <w:sz w:val="24"/>
          <w:u w:val="single"/>
        </w:rPr>
        <w:t>Less Frequent Collection</w:t>
      </w:r>
    </w:p>
    <w:p w:rsidR="00671A3F" w:rsidP="00982BB2" w:rsidRDefault="00671A3F" w14:paraId="4C5B15EE" w14:textId="77777777">
      <w:pPr>
        <w:rPr>
          <w:sz w:val="24"/>
        </w:rPr>
      </w:pPr>
    </w:p>
    <w:p w:rsidRPr="0069371D" w:rsidR="0069371D" w:rsidP="00982BB2" w:rsidRDefault="009965A2" w14:paraId="5D653050" w14:textId="77777777">
      <w:pPr>
        <w:rPr>
          <w:sz w:val="24"/>
        </w:rPr>
      </w:pPr>
      <w:r>
        <w:rPr>
          <w:sz w:val="24"/>
        </w:rPr>
        <w:t xml:space="preserve">Under Medicaid and CHIP State plans, there is no need to resubmit information once it is approved, unless the State elects to change its program. For waiver and demonstration programs, renewals of the programs are required on cycles that vary across </w:t>
      </w:r>
      <w:r w:rsidR="00E91240">
        <w:rPr>
          <w:sz w:val="24"/>
        </w:rPr>
        <w:t xml:space="preserve">statutory </w:t>
      </w:r>
      <w:r>
        <w:rPr>
          <w:sz w:val="24"/>
        </w:rPr>
        <w:t>authority from 2 – 5 years. However, within the approved waiver cycle, States are not asked to resubmit information once it is approved unless the State elects to change its program.</w:t>
      </w:r>
      <w:r w:rsidRPr="0069371D" w:rsidR="0069371D">
        <w:rPr>
          <w:sz w:val="24"/>
        </w:rPr>
        <w:t xml:space="preserve">  </w:t>
      </w:r>
    </w:p>
    <w:p w:rsidRPr="0069371D" w:rsidR="0069371D" w:rsidP="00982BB2" w:rsidRDefault="0069371D" w14:paraId="0DFB59A3" w14:textId="77777777">
      <w:pPr>
        <w:rPr>
          <w:sz w:val="24"/>
        </w:rPr>
      </w:pPr>
    </w:p>
    <w:p w:rsidRPr="00C7488A" w:rsidR="00671A3F" w:rsidP="00982BB2" w:rsidRDefault="00671A3F" w14:paraId="7EAA7D41" w14:textId="77777777">
      <w:pPr>
        <w:tabs>
          <w:tab w:val="left" w:pos="-1440"/>
        </w:tabs>
        <w:rPr>
          <w:sz w:val="24"/>
        </w:rPr>
      </w:pPr>
      <w:r w:rsidRPr="00C7488A">
        <w:rPr>
          <w:sz w:val="24"/>
        </w:rPr>
        <w:t>7.</w:t>
      </w:r>
      <w:r w:rsidRPr="00C7488A">
        <w:rPr>
          <w:sz w:val="24"/>
        </w:rPr>
        <w:tab/>
      </w:r>
      <w:r w:rsidRPr="00C7488A">
        <w:rPr>
          <w:bCs/>
          <w:sz w:val="24"/>
          <w:u w:val="single"/>
        </w:rPr>
        <w:t>Special Circumstances</w:t>
      </w:r>
    </w:p>
    <w:p w:rsidR="00671A3F" w:rsidP="00982BB2" w:rsidRDefault="00671A3F" w14:paraId="6D942BE9" w14:textId="77777777">
      <w:pPr>
        <w:rPr>
          <w:sz w:val="24"/>
        </w:rPr>
      </w:pPr>
    </w:p>
    <w:p w:rsidR="00671A3F" w:rsidP="00A262CC" w:rsidRDefault="00DD18DB" w14:paraId="686568E0" w14:textId="77777777">
      <w:pPr>
        <w:rPr>
          <w:sz w:val="24"/>
        </w:rPr>
      </w:pPr>
      <w:r>
        <w:rPr>
          <w:sz w:val="24"/>
        </w:rPr>
        <w:t xml:space="preserve">The </w:t>
      </w:r>
      <w:r w:rsidR="00F7619E">
        <w:rPr>
          <w:sz w:val="24"/>
        </w:rPr>
        <w:t xml:space="preserve">implementation </w:t>
      </w:r>
      <w:r>
        <w:rPr>
          <w:sz w:val="24"/>
        </w:rPr>
        <w:t xml:space="preserve">of these templates is </w:t>
      </w:r>
      <w:r w:rsidR="009159E6">
        <w:rPr>
          <w:sz w:val="24"/>
        </w:rPr>
        <w:t xml:space="preserve">often </w:t>
      </w:r>
      <w:r>
        <w:rPr>
          <w:sz w:val="24"/>
        </w:rPr>
        <w:t xml:space="preserve">time sensitive and must be coordinated with the release of guidance documents such as regulations and policy letters. Additionally, some of the </w:t>
      </w:r>
      <w:r>
        <w:rPr>
          <w:sz w:val="24"/>
        </w:rPr>
        <w:lastRenderedPageBreak/>
        <w:t xml:space="preserve">templates </w:t>
      </w:r>
      <w:r w:rsidR="009159E6">
        <w:rPr>
          <w:sz w:val="24"/>
        </w:rPr>
        <w:t xml:space="preserve">that would be approved under </w:t>
      </w:r>
      <w:r>
        <w:rPr>
          <w:sz w:val="24"/>
        </w:rPr>
        <w:t xml:space="preserve">this collection must be available </w:t>
      </w:r>
      <w:r w:rsidR="009159E6">
        <w:rPr>
          <w:sz w:val="24"/>
        </w:rPr>
        <w:t xml:space="preserve">to States </w:t>
      </w:r>
      <w:r>
        <w:rPr>
          <w:sz w:val="24"/>
        </w:rPr>
        <w:t xml:space="preserve">to implement </w:t>
      </w:r>
      <w:r w:rsidR="009159E6">
        <w:rPr>
          <w:sz w:val="24"/>
        </w:rPr>
        <w:t xml:space="preserve">the </w:t>
      </w:r>
      <w:r>
        <w:rPr>
          <w:sz w:val="24"/>
        </w:rPr>
        <w:t>changes</w:t>
      </w:r>
      <w:r w:rsidR="009159E6">
        <w:rPr>
          <w:sz w:val="24"/>
        </w:rPr>
        <w:t xml:space="preserve"> timely</w:t>
      </w:r>
      <w:r>
        <w:rPr>
          <w:sz w:val="24"/>
        </w:rPr>
        <w:t>.</w:t>
      </w:r>
    </w:p>
    <w:p w:rsidR="008F5FC3" w:rsidP="00982BB2" w:rsidRDefault="008F5FC3" w14:paraId="1575547C" w14:textId="77777777">
      <w:pPr>
        <w:rPr>
          <w:sz w:val="24"/>
        </w:rPr>
      </w:pPr>
    </w:p>
    <w:p w:rsidRPr="00C7488A" w:rsidR="00671A3F" w:rsidP="00982BB2" w:rsidRDefault="00671A3F" w14:paraId="5136DD3B" w14:textId="77777777">
      <w:pPr>
        <w:tabs>
          <w:tab w:val="left" w:pos="-1440"/>
        </w:tabs>
        <w:rPr>
          <w:sz w:val="24"/>
        </w:rPr>
      </w:pPr>
      <w:r w:rsidRPr="00C7488A">
        <w:rPr>
          <w:sz w:val="24"/>
        </w:rPr>
        <w:t>8.</w:t>
      </w:r>
      <w:r w:rsidRPr="00C7488A">
        <w:rPr>
          <w:sz w:val="24"/>
        </w:rPr>
        <w:tab/>
      </w:r>
      <w:r w:rsidRPr="00C7488A">
        <w:rPr>
          <w:bCs/>
          <w:sz w:val="24"/>
          <w:u w:val="single"/>
        </w:rPr>
        <w:t>Federal Register Notice/Prior Consultation</w:t>
      </w:r>
    </w:p>
    <w:p w:rsidRPr="000B39FE" w:rsidR="00671A3F" w:rsidP="00982BB2" w:rsidRDefault="00671A3F" w14:paraId="40D20583" w14:textId="77777777">
      <w:pPr>
        <w:rPr>
          <w:sz w:val="24"/>
        </w:rPr>
      </w:pPr>
    </w:p>
    <w:p w:rsidRPr="000B6F7D" w:rsidR="00A117A6" w:rsidP="00982BB2" w:rsidRDefault="00A117A6" w14:paraId="542A4DB4" w14:textId="4CD691B3">
      <w:pPr>
        <w:rPr>
          <w:sz w:val="24"/>
        </w:rPr>
      </w:pPr>
      <w:r w:rsidRPr="000B39FE">
        <w:rPr>
          <w:sz w:val="24"/>
        </w:rPr>
        <w:t xml:space="preserve">The </w:t>
      </w:r>
      <w:r w:rsidRPr="000B39FE" w:rsidR="00B851F1">
        <w:rPr>
          <w:sz w:val="24"/>
        </w:rPr>
        <w:t xml:space="preserve">60-day </w:t>
      </w:r>
      <w:r w:rsidRPr="000B39FE">
        <w:rPr>
          <w:sz w:val="24"/>
        </w:rPr>
        <w:t xml:space="preserve">notice </w:t>
      </w:r>
      <w:r w:rsidRPr="000B39FE" w:rsidR="00B851F1">
        <w:rPr>
          <w:sz w:val="24"/>
        </w:rPr>
        <w:t xml:space="preserve">published in the Federal Register </w:t>
      </w:r>
      <w:r w:rsidRPr="000B39FE">
        <w:rPr>
          <w:sz w:val="24"/>
        </w:rPr>
        <w:t xml:space="preserve">on </w:t>
      </w:r>
      <w:r w:rsidRPr="000B39FE" w:rsidR="004779E2">
        <w:rPr>
          <w:sz w:val="24"/>
        </w:rPr>
        <w:t>June</w:t>
      </w:r>
      <w:r w:rsidRPr="000B39FE" w:rsidR="002B0C36">
        <w:rPr>
          <w:sz w:val="24"/>
        </w:rPr>
        <w:t xml:space="preserve"> </w:t>
      </w:r>
      <w:r w:rsidRPr="000B39FE" w:rsidR="00D546D3">
        <w:rPr>
          <w:sz w:val="24"/>
        </w:rPr>
        <w:t>22</w:t>
      </w:r>
      <w:r w:rsidRPr="000B39FE">
        <w:rPr>
          <w:sz w:val="24"/>
        </w:rPr>
        <w:t>, 20</w:t>
      </w:r>
      <w:r w:rsidRPr="000B39FE" w:rsidR="004779E2">
        <w:rPr>
          <w:sz w:val="24"/>
        </w:rPr>
        <w:t>2</w:t>
      </w:r>
      <w:r w:rsidRPr="000B39FE" w:rsidR="00D546D3">
        <w:rPr>
          <w:sz w:val="24"/>
        </w:rPr>
        <w:t>0</w:t>
      </w:r>
      <w:r w:rsidRPr="000B39FE" w:rsidR="00B851F1">
        <w:rPr>
          <w:sz w:val="24"/>
        </w:rPr>
        <w:t xml:space="preserve"> (8</w:t>
      </w:r>
      <w:r w:rsidRPr="000B39FE" w:rsidR="004779E2">
        <w:rPr>
          <w:sz w:val="24"/>
        </w:rPr>
        <w:t>5</w:t>
      </w:r>
      <w:r w:rsidRPr="000B39FE">
        <w:rPr>
          <w:sz w:val="24"/>
        </w:rPr>
        <w:t xml:space="preserve"> FR </w:t>
      </w:r>
      <w:r w:rsidRPr="000B39FE" w:rsidR="004779E2">
        <w:rPr>
          <w:sz w:val="24"/>
        </w:rPr>
        <w:t>37456</w:t>
      </w:r>
      <w:r w:rsidRPr="000B39FE">
        <w:rPr>
          <w:sz w:val="24"/>
        </w:rPr>
        <w:t xml:space="preserve">).  No </w:t>
      </w:r>
      <w:r w:rsidRPr="000B6F7D">
        <w:rPr>
          <w:sz w:val="24"/>
        </w:rPr>
        <w:t>comments were received</w:t>
      </w:r>
      <w:r w:rsidRPr="000B6F7D" w:rsidR="002B0C36">
        <w:rPr>
          <w:sz w:val="24"/>
        </w:rPr>
        <w:t>.</w:t>
      </w:r>
    </w:p>
    <w:p w:rsidRPr="000B6F7D" w:rsidR="00A117A6" w:rsidP="00982BB2" w:rsidRDefault="00A117A6" w14:paraId="75F3C76E" w14:textId="1E21B131">
      <w:pPr>
        <w:rPr>
          <w:sz w:val="24"/>
        </w:rPr>
      </w:pPr>
    </w:p>
    <w:p w:rsidRPr="000B6F7D" w:rsidR="00920595" w:rsidP="00920595" w:rsidRDefault="00C1038A" w14:paraId="34C65805" w14:textId="39045168">
      <w:pPr>
        <w:rPr>
          <w:sz w:val="24"/>
        </w:rPr>
      </w:pPr>
      <w:r w:rsidRPr="000B6F7D">
        <w:rPr>
          <w:sz w:val="24"/>
        </w:rPr>
        <w:t xml:space="preserve">A </w:t>
      </w:r>
      <w:r w:rsidRPr="000B6F7D" w:rsidR="00920595">
        <w:rPr>
          <w:sz w:val="24"/>
        </w:rPr>
        <w:t xml:space="preserve">30-day notice published in the Federal Register on </w:t>
      </w:r>
      <w:r w:rsidRPr="000B6F7D">
        <w:rPr>
          <w:sz w:val="24"/>
        </w:rPr>
        <w:t>February 26, 2021</w:t>
      </w:r>
      <w:r w:rsidRPr="000B6F7D" w:rsidR="00920595">
        <w:rPr>
          <w:sz w:val="24"/>
        </w:rPr>
        <w:t xml:space="preserve"> (86 FR </w:t>
      </w:r>
      <w:r w:rsidRPr="000B6F7D">
        <w:rPr>
          <w:sz w:val="24"/>
        </w:rPr>
        <w:t>11779</w:t>
      </w:r>
      <w:r w:rsidRPr="000B6F7D" w:rsidR="00CD0D79">
        <w:rPr>
          <w:sz w:val="24"/>
        </w:rPr>
        <w:t>).</w:t>
      </w:r>
      <w:r w:rsidRPr="000B6F7D" w:rsidR="004068AA">
        <w:rPr>
          <w:sz w:val="24"/>
        </w:rPr>
        <w:t xml:space="preserve"> T</w:t>
      </w:r>
      <w:r w:rsidRPr="000B6F7D" w:rsidR="00920595">
        <w:rPr>
          <w:sz w:val="24"/>
        </w:rPr>
        <w:t>he notice was withdrawn</w:t>
      </w:r>
      <w:r w:rsidRPr="000B6F7D" w:rsidR="004068AA">
        <w:rPr>
          <w:sz w:val="24"/>
        </w:rPr>
        <w:t xml:space="preserve"> on March 9, 2021 (86 FR 13565)</w:t>
      </w:r>
      <w:r w:rsidRPr="000B6F7D" w:rsidR="00920595">
        <w:rPr>
          <w:sz w:val="24"/>
        </w:rPr>
        <w:t>.</w:t>
      </w:r>
    </w:p>
    <w:p w:rsidRPr="000B6F7D" w:rsidR="00920595" w:rsidP="00982BB2" w:rsidRDefault="00920595" w14:paraId="2D08238B" w14:textId="77777777">
      <w:pPr>
        <w:rPr>
          <w:sz w:val="24"/>
        </w:rPr>
      </w:pPr>
    </w:p>
    <w:p w:rsidRPr="000B6F7D" w:rsidR="00920595" w:rsidP="00920595" w:rsidRDefault="008F5A7E" w14:paraId="6D64098F" w14:textId="2738EBC2">
      <w:pPr>
        <w:rPr>
          <w:sz w:val="24"/>
        </w:rPr>
      </w:pPr>
      <w:r w:rsidRPr="000B6F7D">
        <w:rPr>
          <w:sz w:val="24"/>
        </w:rPr>
        <w:t xml:space="preserve">To replace </w:t>
      </w:r>
      <w:r w:rsidRPr="000B6F7D" w:rsidR="00CD0D79">
        <w:rPr>
          <w:sz w:val="24"/>
        </w:rPr>
        <w:t>the withdraw</w:t>
      </w:r>
      <w:r w:rsidRPr="000B6F7D">
        <w:rPr>
          <w:sz w:val="24"/>
        </w:rPr>
        <w:t>n notice</w:t>
      </w:r>
      <w:r w:rsidRPr="000B6F7D" w:rsidR="00CD0D79">
        <w:rPr>
          <w:sz w:val="24"/>
        </w:rPr>
        <w:t xml:space="preserve">, a </w:t>
      </w:r>
      <w:r w:rsidRPr="000B6F7D">
        <w:rPr>
          <w:sz w:val="24"/>
        </w:rPr>
        <w:t xml:space="preserve">second </w:t>
      </w:r>
      <w:r w:rsidRPr="000B6F7D" w:rsidR="00920595">
        <w:rPr>
          <w:sz w:val="24"/>
        </w:rPr>
        <w:t xml:space="preserve">30-day notice published in the Federal Register on March 19, 2021 (86 FR </w:t>
      </w:r>
      <w:r w:rsidRPr="00666DB8" w:rsidR="00666DB8">
        <w:rPr>
          <w:sz w:val="24"/>
        </w:rPr>
        <w:t>14927</w:t>
      </w:r>
      <w:r w:rsidRPr="000B6F7D" w:rsidR="00920595">
        <w:rPr>
          <w:sz w:val="24"/>
        </w:rPr>
        <w:t>). Comments are due on/by</w:t>
      </w:r>
      <w:r w:rsidRPr="000B6F7D" w:rsidR="00D92A48">
        <w:rPr>
          <w:sz w:val="24"/>
        </w:rPr>
        <w:t xml:space="preserve"> </w:t>
      </w:r>
      <w:r w:rsidR="00666DB8">
        <w:rPr>
          <w:sz w:val="24"/>
        </w:rPr>
        <w:t>April 19, 2021</w:t>
      </w:r>
      <w:r w:rsidRPr="000B6F7D" w:rsidR="00920595">
        <w:rPr>
          <w:sz w:val="24"/>
        </w:rPr>
        <w:t>.</w:t>
      </w:r>
    </w:p>
    <w:p w:rsidRPr="000B6F7D" w:rsidR="00920595" w:rsidP="00982BB2" w:rsidRDefault="00920595" w14:paraId="41596AAB" w14:textId="25B7B6EA">
      <w:pPr>
        <w:rPr>
          <w:sz w:val="24"/>
        </w:rPr>
      </w:pPr>
      <w:bookmarkStart w:name="_GoBack" w:id="0"/>
      <w:bookmarkEnd w:id="0"/>
    </w:p>
    <w:p w:rsidRPr="000B6F7D" w:rsidR="00241DF6" w:rsidP="00982BB2" w:rsidRDefault="000B39FE" w14:paraId="13F0E389" w14:textId="26A186D7">
      <w:pPr>
        <w:rPr>
          <w:sz w:val="24"/>
        </w:rPr>
      </w:pPr>
      <w:r w:rsidRPr="000B6F7D">
        <w:rPr>
          <w:sz w:val="24"/>
        </w:rPr>
        <w:t>This notice informs the public that, f</w:t>
      </w:r>
      <w:r w:rsidRPr="000B6F7D" w:rsidR="00241DF6">
        <w:rPr>
          <w:sz w:val="24"/>
        </w:rPr>
        <w:t xml:space="preserve">or new and revised </w:t>
      </w:r>
      <w:proofErr w:type="spellStart"/>
      <w:r w:rsidRPr="000B6F7D" w:rsidR="00241DF6">
        <w:rPr>
          <w:sz w:val="24"/>
        </w:rPr>
        <w:t>GenICs</w:t>
      </w:r>
      <w:proofErr w:type="spellEnd"/>
      <w:r w:rsidRPr="000B6F7D" w:rsidR="00B6106C">
        <w:rPr>
          <w:sz w:val="24"/>
        </w:rPr>
        <w:t xml:space="preserve"> under OMB 0938-1148</w:t>
      </w:r>
      <w:r w:rsidRPr="000B6F7D">
        <w:rPr>
          <w:sz w:val="24"/>
        </w:rPr>
        <w:t>,</w:t>
      </w:r>
      <w:r w:rsidRPr="000B6F7D" w:rsidR="00241DF6">
        <w:rPr>
          <w:sz w:val="24"/>
        </w:rPr>
        <w:t xml:space="preserve"> we will be publishing 14-day Federal Register notices that will provide interested parties </w:t>
      </w:r>
      <w:r w:rsidRPr="000B6F7D" w:rsidR="00B6106C">
        <w:rPr>
          <w:sz w:val="24"/>
        </w:rPr>
        <w:t xml:space="preserve">with </w:t>
      </w:r>
      <w:r w:rsidRPr="000B6F7D" w:rsidR="00241DF6">
        <w:rPr>
          <w:sz w:val="24"/>
        </w:rPr>
        <w:t xml:space="preserve">an opportunity to review and comment on the generic information collection request. Instructions for obtaining the </w:t>
      </w:r>
      <w:proofErr w:type="spellStart"/>
      <w:r w:rsidRPr="000B6F7D" w:rsidR="00241DF6">
        <w:rPr>
          <w:sz w:val="24"/>
        </w:rPr>
        <w:t>GenIC</w:t>
      </w:r>
      <w:r w:rsidRPr="000B6F7D" w:rsidR="00B6106C">
        <w:rPr>
          <w:sz w:val="24"/>
        </w:rPr>
        <w:t>’s</w:t>
      </w:r>
      <w:proofErr w:type="spellEnd"/>
      <w:r w:rsidRPr="000B6F7D" w:rsidR="00241DF6">
        <w:rPr>
          <w:sz w:val="24"/>
        </w:rPr>
        <w:t xml:space="preserve"> documents and for submitting comments will be set out in each Federal Register notice.</w:t>
      </w:r>
    </w:p>
    <w:p w:rsidRPr="000B6F7D" w:rsidR="00241DF6" w:rsidP="00982BB2" w:rsidRDefault="00241DF6" w14:paraId="0BEC6885" w14:textId="77777777">
      <w:pPr>
        <w:rPr>
          <w:sz w:val="24"/>
        </w:rPr>
      </w:pPr>
    </w:p>
    <w:p w:rsidRPr="00C7488A" w:rsidR="00671A3F" w:rsidP="00982BB2" w:rsidRDefault="00671A3F" w14:paraId="2436CD62" w14:textId="77777777">
      <w:pPr>
        <w:tabs>
          <w:tab w:val="left" w:pos="-1440"/>
        </w:tabs>
        <w:rPr>
          <w:sz w:val="24"/>
        </w:rPr>
      </w:pPr>
      <w:r w:rsidRPr="00C7488A">
        <w:rPr>
          <w:sz w:val="24"/>
        </w:rPr>
        <w:t>9.</w:t>
      </w:r>
      <w:r w:rsidRPr="00C7488A">
        <w:rPr>
          <w:sz w:val="24"/>
        </w:rPr>
        <w:tab/>
      </w:r>
      <w:r w:rsidRPr="00C7488A">
        <w:rPr>
          <w:bCs/>
          <w:sz w:val="24"/>
          <w:u w:val="single"/>
        </w:rPr>
        <w:t>Payment/Gift to Respondents</w:t>
      </w:r>
    </w:p>
    <w:p w:rsidR="00671A3F" w:rsidP="00982BB2" w:rsidRDefault="00671A3F" w14:paraId="6571FD58" w14:textId="77777777">
      <w:pPr>
        <w:rPr>
          <w:sz w:val="24"/>
        </w:rPr>
      </w:pPr>
    </w:p>
    <w:p w:rsidR="00671A3F" w:rsidP="00982BB2" w:rsidRDefault="00671A3F" w14:paraId="61110384" w14:textId="77777777">
      <w:pPr>
        <w:rPr>
          <w:sz w:val="24"/>
        </w:rPr>
      </w:pPr>
      <w:r>
        <w:rPr>
          <w:sz w:val="24"/>
        </w:rPr>
        <w:t>There is no payment or gift to respondents.</w:t>
      </w:r>
    </w:p>
    <w:p w:rsidR="00671A3F" w:rsidP="00982BB2" w:rsidRDefault="00671A3F" w14:paraId="64C0C408" w14:textId="77777777">
      <w:pPr>
        <w:rPr>
          <w:sz w:val="24"/>
        </w:rPr>
      </w:pPr>
    </w:p>
    <w:p w:rsidRPr="00C7488A" w:rsidR="00671A3F" w:rsidP="00982BB2" w:rsidRDefault="00671A3F" w14:paraId="522D4205" w14:textId="77777777">
      <w:pPr>
        <w:tabs>
          <w:tab w:val="left" w:pos="-1440"/>
        </w:tabs>
        <w:rPr>
          <w:bCs/>
          <w:sz w:val="24"/>
          <w:u w:val="single"/>
        </w:rPr>
      </w:pPr>
      <w:r w:rsidRPr="00C7488A">
        <w:rPr>
          <w:sz w:val="24"/>
        </w:rPr>
        <w:t>10.</w:t>
      </w:r>
      <w:r w:rsidRPr="00C7488A">
        <w:rPr>
          <w:sz w:val="24"/>
        </w:rPr>
        <w:tab/>
      </w:r>
      <w:r w:rsidRPr="00C7488A">
        <w:rPr>
          <w:bCs/>
          <w:sz w:val="24"/>
          <w:u w:val="single"/>
        </w:rPr>
        <w:t>Confidentiality</w:t>
      </w:r>
    </w:p>
    <w:p w:rsidR="00671A3F" w:rsidP="00982BB2" w:rsidRDefault="00671A3F" w14:paraId="2D4A8EDD" w14:textId="77777777">
      <w:pPr>
        <w:rPr>
          <w:b/>
          <w:bCs/>
          <w:sz w:val="24"/>
          <w:u w:val="single"/>
        </w:rPr>
      </w:pPr>
    </w:p>
    <w:p w:rsidR="00DE6096" w:rsidP="00A262CC" w:rsidRDefault="009965A2" w14:paraId="20576D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Program submissions to CMS from States are </w:t>
      </w:r>
      <w:r w:rsidR="00DE6096">
        <w:rPr>
          <w:sz w:val="24"/>
        </w:rPr>
        <w:t>public information</w:t>
      </w:r>
      <w:r w:rsidR="00042A0D">
        <w:rPr>
          <w:sz w:val="24"/>
        </w:rPr>
        <w:t>, and there is no personal identifying information collected in the document</w:t>
      </w:r>
      <w:r w:rsidR="00A711B6">
        <w:rPr>
          <w:sz w:val="24"/>
        </w:rPr>
        <w:t>s</w:t>
      </w:r>
      <w:r w:rsidR="00DE6096">
        <w:rPr>
          <w:sz w:val="24"/>
        </w:rPr>
        <w:t xml:space="preserve">.  No assurance of confidentiality </w:t>
      </w:r>
      <w:r w:rsidR="00A711B6">
        <w:rPr>
          <w:sz w:val="24"/>
        </w:rPr>
        <w:t>is</w:t>
      </w:r>
      <w:r w:rsidR="00D81E81">
        <w:rPr>
          <w:sz w:val="24"/>
        </w:rPr>
        <w:t xml:space="preserve"> </w:t>
      </w:r>
      <w:r w:rsidR="00DE6096">
        <w:rPr>
          <w:sz w:val="24"/>
        </w:rPr>
        <w:t>provided to respondents.</w:t>
      </w:r>
    </w:p>
    <w:p w:rsidR="00671A3F" w:rsidP="00982BB2" w:rsidRDefault="00671A3F" w14:paraId="55230AC7" w14:textId="77777777">
      <w:pPr>
        <w:rPr>
          <w:sz w:val="24"/>
        </w:rPr>
      </w:pPr>
    </w:p>
    <w:p w:rsidRPr="00C7488A" w:rsidR="00671A3F" w:rsidP="00982BB2" w:rsidRDefault="00671A3F" w14:paraId="3C6150E8" w14:textId="77777777">
      <w:pPr>
        <w:tabs>
          <w:tab w:val="left" w:pos="-1440"/>
        </w:tabs>
        <w:rPr>
          <w:sz w:val="24"/>
        </w:rPr>
      </w:pPr>
      <w:r w:rsidRPr="00C7488A">
        <w:rPr>
          <w:sz w:val="24"/>
        </w:rPr>
        <w:t>11.</w:t>
      </w:r>
      <w:r w:rsidRPr="00C7488A">
        <w:rPr>
          <w:sz w:val="24"/>
        </w:rPr>
        <w:tab/>
      </w:r>
      <w:r w:rsidRPr="00C7488A">
        <w:rPr>
          <w:bCs/>
          <w:sz w:val="24"/>
          <w:u w:val="single"/>
        </w:rPr>
        <w:t>Sensitive Questions</w:t>
      </w:r>
    </w:p>
    <w:p w:rsidR="00671A3F" w:rsidP="00982BB2" w:rsidRDefault="00671A3F" w14:paraId="7C699B3C" w14:textId="77777777">
      <w:pPr>
        <w:rPr>
          <w:sz w:val="24"/>
        </w:rPr>
      </w:pPr>
    </w:p>
    <w:p w:rsidR="00671A3F" w:rsidP="00982BB2" w:rsidRDefault="00671A3F" w14:paraId="7A754D85" w14:textId="77777777">
      <w:pPr>
        <w:rPr>
          <w:sz w:val="24"/>
        </w:rPr>
      </w:pPr>
      <w:r>
        <w:rPr>
          <w:sz w:val="24"/>
        </w:rPr>
        <w:t>There are no questions of a sensitive nature.</w:t>
      </w:r>
    </w:p>
    <w:p w:rsidR="00671A3F" w:rsidP="00982BB2" w:rsidRDefault="00671A3F" w14:paraId="012BE9EC" w14:textId="77777777">
      <w:pPr>
        <w:rPr>
          <w:sz w:val="24"/>
        </w:rPr>
      </w:pPr>
    </w:p>
    <w:p w:rsidRPr="00C7488A" w:rsidR="00671A3F" w:rsidP="00982BB2" w:rsidRDefault="00671A3F" w14:paraId="0CB9A6EE" w14:textId="273541B3">
      <w:pPr>
        <w:tabs>
          <w:tab w:val="left" w:pos="-1440"/>
        </w:tabs>
        <w:rPr>
          <w:bCs/>
          <w:sz w:val="24"/>
          <w:u w:val="single"/>
        </w:rPr>
      </w:pPr>
      <w:r w:rsidRPr="00C7488A">
        <w:rPr>
          <w:sz w:val="24"/>
        </w:rPr>
        <w:t>12.</w:t>
      </w:r>
      <w:r w:rsidRPr="00C7488A">
        <w:rPr>
          <w:sz w:val="24"/>
        </w:rPr>
        <w:tab/>
      </w:r>
      <w:r w:rsidRPr="00C7488A">
        <w:rPr>
          <w:bCs/>
          <w:sz w:val="24"/>
          <w:u w:val="single"/>
        </w:rPr>
        <w:t>Burden Estimate</w:t>
      </w:r>
      <w:r w:rsidRPr="00C7488A" w:rsidR="001C4AE6">
        <w:rPr>
          <w:bCs/>
          <w:sz w:val="24"/>
          <w:u w:val="single"/>
        </w:rPr>
        <w:t>s</w:t>
      </w:r>
    </w:p>
    <w:p w:rsidRPr="00DA4A5A" w:rsidR="00C830C2" w:rsidP="00982BB2" w:rsidRDefault="00C830C2" w14:paraId="4945A1AC" w14:textId="77777777">
      <w:pPr>
        <w:tabs>
          <w:tab w:val="left" w:pos="-1440"/>
        </w:tabs>
        <w:rPr>
          <w:sz w:val="24"/>
        </w:rPr>
      </w:pPr>
    </w:p>
    <w:p w:rsidR="00A7728F" w:rsidP="00A262CC" w:rsidRDefault="006109A8" w14:paraId="0F582515" w14:textId="5EA05645">
      <w:pPr>
        <w:rPr>
          <w:sz w:val="24"/>
        </w:rPr>
      </w:pPr>
      <w:r>
        <w:rPr>
          <w:sz w:val="24"/>
        </w:rPr>
        <w:t xml:space="preserve">The </w:t>
      </w:r>
      <w:r w:rsidRPr="00E518F7" w:rsidR="00A7728F">
        <w:rPr>
          <w:sz w:val="24"/>
        </w:rPr>
        <w:t xml:space="preserve">proposed burden estimate </w:t>
      </w:r>
      <w:r>
        <w:rPr>
          <w:sz w:val="24"/>
        </w:rPr>
        <w:t>c</w:t>
      </w:r>
      <w:r w:rsidRPr="00E518F7" w:rsidR="00A7728F">
        <w:rPr>
          <w:sz w:val="24"/>
        </w:rPr>
        <w:t>onsiders</w:t>
      </w:r>
      <w:r w:rsidR="008436A1">
        <w:rPr>
          <w:sz w:val="24"/>
        </w:rPr>
        <w:t>:</w:t>
      </w:r>
      <w:r w:rsidRPr="00E518F7" w:rsidR="00A7728F">
        <w:rPr>
          <w:sz w:val="24"/>
        </w:rPr>
        <w:t xml:space="preserve"> the currently approved collections that we seek to continue</w:t>
      </w:r>
      <w:r w:rsidRPr="00E518F7" w:rsidR="00DA4A5A">
        <w:rPr>
          <w:sz w:val="24"/>
        </w:rPr>
        <w:t>, d</w:t>
      </w:r>
      <w:r w:rsidRPr="00E518F7" w:rsidR="003B34F9">
        <w:rPr>
          <w:sz w:val="24"/>
        </w:rPr>
        <w:t xml:space="preserve">iscontinued </w:t>
      </w:r>
      <w:r w:rsidRPr="00E518F7" w:rsidR="00DA4A5A">
        <w:rPr>
          <w:sz w:val="24"/>
        </w:rPr>
        <w:t xml:space="preserve">collections that are no longer needed, projected </w:t>
      </w:r>
      <w:r w:rsidRPr="00E518F7" w:rsidR="009F12B8">
        <w:rPr>
          <w:sz w:val="24"/>
        </w:rPr>
        <w:t xml:space="preserve">collections </w:t>
      </w:r>
      <w:r w:rsidRPr="00E518F7" w:rsidR="00DA4A5A">
        <w:rPr>
          <w:sz w:val="24"/>
        </w:rPr>
        <w:t xml:space="preserve">that are expected to be added during the </w:t>
      </w:r>
      <w:r w:rsidRPr="00E518F7" w:rsidR="00A7728F">
        <w:rPr>
          <w:sz w:val="24"/>
        </w:rPr>
        <w:t>upcoming 3-year approval period</w:t>
      </w:r>
      <w:r w:rsidRPr="00E518F7" w:rsidR="003B34F9">
        <w:rPr>
          <w:sz w:val="24"/>
        </w:rPr>
        <w:t>, and unanticipated collections that may be added during the upcoming approval period</w:t>
      </w:r>
      <w:r w:rsidRPr="00E518F7" w:rsidR="00A7728F">
        <w:rPr>
          <w:sz w:val="24"/>
        </w:rPr>
        <w:t>.</w:t>
      </w:r>
    </w:p>
    <w:p w:rsidR="00E518F7" w:rsidP="00A262CC" w:rsidRDefault="00E518F7" w14:paraId="7E078E36" w14:textId="77777777">
      <w:pPr>
        <w:rPr>
          <w:sz w:val="24"/>
        </w:rPr>
      </w:pPr>
    </w:p>
    <w:p w:rsidRPr="00DA4A5A" w:rsidR="00E518F7" w:rsidP="00A262CC" w:rsidRDefault="00E518F7" w14:paraId="02E7B444" w14:textId="512F6334">
      <w:pPr>
        <w:rPr>
          <w:sz w:val="24"/>
        </w:rPr>
      </w:pPr>
      <w:r w:rsidRPr="008436A1">
        <w:rPr>
          <w:sz w:val="24"/>
        </w:rPr>
        <w:t xml:space="preserve">In summary, our </w:t>
      </w:r>
      <w:r w:rsidRPr="008436A1" w:rsidR="008436A1">
        <w:rPr>
          <w:sz w:val="24"/>
        </w:rPr>
        <w:t xml:space="preserve">currently approved </w:t>
      </w:r>
      <w:r w:rsidRPr="008436A1">
        <w:rPr>
          <w:sz w:val="24"/>
        </w:rPr>
        <w:t xml:space="preserve">burden </w:t>
      </w:r>
      <w:r w:rsidRPr="008436A1" w:rsidR="00D574F8">
        <w:rPr>
          <w:sz w:val="24"/>
        </w:rPr>
        <w:t xml:space="preserve">ceiling </w:t>
      </w:r>
      <w:r w:rsidRPr="008436A1" w:rsidR="008436A1">
        <w:rPr>
          <w:sz w:val="24"/>
        </w:rPr>
        <w:t xml:space="preserve">of </w:t>
      </w:r>
      <w:r w:rsidRPr="008436A1" w:rsidR="00D574F8">
        <w:rPr>
          <w:sz w:val="24"/>
        </w:rPr>
        <w:t>154,104</w:t>
      </w:r>
      <w:r w:rsidRPr="008436A1">
        <w:rPr>
          <w:sz w:val="24"/>
        </w:rPr>
        <w:t xml:space="preserve"> h</w:t>
      </w:r>
      <w:r w:rsidRPr="008436A1" w:rsidR="008436A1">
        <w:rPr>
          <w:sz w:val="24"/>
        </w:rPr>
        <w:t>ours i</w:t>
      </w:r>
      <w:r w:rsidRPr="008436A1">
        <w:rPr>
          <w:sz w:val="24"/>
        </w:rPr>
        <w:t xml:space="preserve">s </w:t>
      </w:r>
      <w:r w:rsidRPr="008436A1" w:rsidR="00D574F8">
        <w:rPr>
          <w:sz w:val="24"/>
        </w:rPr>
        <w:t>unchanged</w:t>
      </w:r>
      <w:r w:rsidRPr="008436A1">
        <w:rPr>
          <w:sz w:val="24"/>
        </w:rPr>
        <w:t>.</w:t>
      </w:r>
    </w:p>
    <w:p w:rsidRPr="00DA4A5A" w:rsidR="00A7728F" w:rsidP="00982BB2" w:rsidRDefault="00A7728F" w14:paraId="43934D7A" w14:textId="77777777">
      <w:pPr>
        <w:tabs>
          <w:tab w:val="left" w:pos="-1440"/>
        </w:tabs>
        <w:rPr>
          <w:sz w:val="24"/>
        </w:rPr>
      </w:pPr>
    </w:p>
    <w:p w:rsidRPr="00AC5879" w:rsidR="00D71AA2" w:rsidP="00A262CC" w:rsidRDefault="00D71AA2" w14:paraId="051019AA" w14:textId="77777777">
      <w:pPr>
        <w:rPr>
          <w:i/>
          <w:sz w:val="24"/>
        </w:rPr>
      </w:pPr>
      <w:r w:rsidRPr="00AC5879">
        <w:rPr>
          <w:i/>
          <w:sz w:val="24"/>
        </w:rPr>
        <w:t xml:space="preserve">Currently Approved </w:t>
      </w:r>
      <w:proofErr w:type="spellStart"/>
      <w:r w:rsidRPr="00AC5879">
        <w:rPr>
          <w:i/>
          <w:sz w:val="24"/>
        </w:rPr>
        <w:t>GenICs</w:t>
      </w:r>
      <w:proofErr w:type="spellEnd"/>
    </w:p>
    <w:p w:rsidR="00A7728F" w:rsidP="00A262CC" w:rsidRDefault="00A7728F" w14:paraId="55B54827" w14:textId="77777777">
      <w:pPr>
        <w:rPr>
          <w:sz w:val="24"/>
        </w:rPr>
      </w:pPr>
    </w:p>
    <w:p w:rsidR="00DA4A5A" w:rsidP="00A262CC" w:rsidRDefault="008B7BAA" w14:paraId="1562BC6B" w14:textId="17F8A382">
      <w:pPr>
        <w:rPr>
          <w:sz w:val="24"/>
        </w:rPr>
      </w:pPr>
      <w:r w:rsidRPr="0083752B">
        <w:rPr>
          <w:sz w:val="24"/>
        </w:rPr>
        <w:t xml:space="preserve">Currently, OMB has approved </w:t>
      </w:r>
      <w:r w:rsidRPr="0083752B" w:rsidR="008436A1">
        <w:rPr>
          <w:sz w:val="24"/>
        </w:rPr>
        <w:t>87,060</w:t>
      </w:r>
      <w:r w:rsidRPr="0083752B">
        <w:rPr>
          <w:sz w:val="24"/>
        </w:rPr>
        <w:t xml:space="preserve"> hours of burden for the </w:t>
      </w:r>
      <w:proofErr w:type="spellStart"/>
      <w:r w:rsidRPr="0083752B">
        <w:rPr>
          <w:sz w:val="24"/>
        </w:rPr>
        <w:t>GenICs</w:t>
      </w:r>
      <w:proofErr w:type="spellEnd"/>
      <w:r w:rsidRPr="0083752B">
        <w:rPr>
          <w:sz w:val="24"/>
        </w:rPr>
        <w:t xml:space="preserve"> that are set out in </w:t>
      </w:r>
      <w:r w:rsidRPr="0083752B" w:rsidR="003B34F9">
        <w:rPr>
          <w:sz w:val="24"/>
        </w:rPr>
        <w:t xml:space="preserve">the most </w:t>
      </w:r>
      <w:r w:rsidRPr="0083752B" w:rsidR="00FF5D04">
        <w:rPr>
          <w:sz w:val="24"/>
        </w:rPr>
        <w:lastRenderedPageBreak/>
        <w:t xml:space="preserve">recent </w:t>
      </w:r>
      <w:r w:rsidRPr="0083752B">
        <w:rPr>
          <w:sz w:val="24"/>
        </w:rPr>
        <w:t>Notice of Action</w:t>
      </w:r>
      <w:r w:rsidRPr="0083752B" w:rsidR="00FF5D04">
        <w:rPr>
          <w:sz w:val="24"/>
        </w:rPr>
        <w:t xml:space="preserve"> (see attached NOA, dated </w:t>
      </w:r>
      <w:r w:rsidRPr="0083752B" w:rsidR="00023571">
        <w:rPr>
          <w:sz w:val="24"/>
        </w:rPr>
        <w:t>February 12</w:t>
      </w:r>
      <w:r w:rsidRPr="0083752B" w:rsidR="00FF5D04">
        <w:rPr>
          <w:sz w:val="24"/>
        </w:rPr>
        <w:t>, 20</w:t>
      </w:r>
      <w:r w:rsidRPr="0083752B" w:rsidR="006109A8">
        <w:rPr>
          <w:sz w:val="24"/>
        </w:rPr>
        <w:t>2</w:t>
      </w:r>
      <w:r w:rsidRPr="0083752B" w:rsidR="004779E2">
        <w:rPr>
          <w:sz w:val="24"/>
        </w:rPr>
        <w:t>1</w:t>
      </w:r>
      <w:r w:rsidRPr="0083752B" w:rsidR="00FF5D04">
        <w:rPr>
          <w:sz w:val="24"/>
        </w:rPr>
        <w:t>)</w:t>
      </w:r>
      <w:r w:rsidRPr="0083752B">
        <w:rPr>
          <w:sz w:val="24"/>
        </w:rPr>
        <w:t>.</w:t>
      </w:r>
    </w:p>
    <w:p w:rsidR="00DA4A5A" w:rsidP="00A262CC" w:rsidRDefault="00DA4A5A" w14:paraId="2D060185" w14:textId="77777777">
      <w:pPr>
        <w:rPr>
          <w:sz w:val="24"/>
        </w:rPr>
      </w:pPr>
    </w:p>
    <w:p w:rsidRPr="0083752B" w:rsidR="00DA4A5A" w:rsidP="00DA4A5A" w:rsidRDefault="00DA4A5A" w14:paraId="4973A5C1" w14:textId="31DF5B44">
      <w:pPr>
        <w:rPr>
          <w:i/>
          <w:sz w:val="24"/>
        </w:rPr>
      </w:pPr>
      <w:r w:rsidRPr="0083752B">
        <w:rPr>
          <w:i/>
          <w:sz w:val="24"/>
        </w:rPr>
        <w:t>D</w:t>
      </w:r>
      <w:r w:rsidRPr="0083752B" w:rsidR="0066300C">
        <w:rPr>
          <w:i/>
          <w:sz w:val="24"/>
        </w:rPr>
        <w:t xml:space="preserve">iscontinued </w:t>
      </w:r>
      <w:proofErr w:type="spellStart"/>
      <w:r w:rsidRPr="0083752B">
        <w:rPr>
          <w:i/>
          <w:sz w:val="24"/>
        </w:rPr>
        <w:t>GenICs</w:t>
      </w:r>
      <w:proofErr w:type="spellEnd"/>
    </w:p>
    <w:p w:rsidRPr="0083752B" w:rsidR="00DA4A5A" w:rsidP="00A262CC" w:rsidRDefault="00DA4A5A" w14:paraId="5A752381" w14:textId="77777777">
      <w:pPr>
        <w:rPr>
          <w:sz w:val="24"/>
        </w:rPr>
      </w:pPr>
    </w:p>
    <w:p w:rsidR="00596ED1" w:rsidP="00DA4A5A" w:rsidRDefault="00DA4A5A" w14:paraId="7DE33549" w14:textId="77777777">
      <w:pPr>
        <w:rPr>
          <w:sz w:val="24"/>
        </w:rPr>
      </w:pPr>
      <w:r w:rsidRPr="0083752B">
        <w:rPr>
          <w:sz w:val="24"/>
        </w:rPr>
        <w:t xml:space="preserve">We propose to </w:t>
      </w:r>
      <w:r w:rsidRPr="0083752B" w:rsidR="0066300C">
        <w:rPr>
          <w:sz w:val="24"/>
        </w:rPr>
        <w:t xml:space="preserve">discontinue </w:t>
      </w:r>
      <w:r w:rsidRPr="0083752B">
        <w:rPr>
          <w:sz w:val="24"/>
        </w:rPr>
        <w:t xml:space="preserve">the requirements and burden </w:t>
      </w:r>
      <w:r w:rsidRPr="0083752B" w:rsidR="0066300C">
        <w:rPr>
          <w:sz w:val="24"/>
        </w:rPr>
        <w:t>(</w:t>
      </w:r>
      <w:r w:rsidRPr="0083752B" w:rsidR="006109A8">
        <w:rPr>
          <w:sz w:val="24"/>
        </w:rPr>
        <w:t>7,0</w:t>
      </w:r>
      <w:r w:rsidRPr="0083752B" w:rsidR="004779E2">
        <w:rPr>
          <w:sz w:val="24"/>
        </w:rPr>
        <w:t>98</w:t>
      </w:r>
      <w:r w:rsidRPr="0083752B" w:rsidR="0066300C">
        <w:rPr>
          <w:sz w:val="24"/>
        </w:rPr>
        <w:t xml:space="preserve"> hours) </w:t>
      </w:r>
      <w:r w:rsidRPr="0083752B">
        <w:rPr>
          <w:sz w:val="24"/>
        </w:rPr>
        <w:t xml:space="preserve">associated with a number of currently approved </w:t>
      </w:r>
      <w:proofErr w:type="spellStart"/>
      <w:r w:rsidRPr="0083752B">
        <w:rPr>
          <w:sz w:val="24"/>
        </w:rPr>
        <w:t>GenICs</w:t>
      </w:r>
      <w:proofErr w:type="spellEnd"/>
      <w:r w:rsidRPr="0083752B">
        <w:rPr>
          <w:sz w:val="24"/>
        </w:rPr>
        <w:t xml:space="preserve"> identified in section 15 of this Supporting Statement.</w:t>
      </w:r>
      <w:r w:rsidR="0083752B">
        <w:rPr>
          <w:sz w:val="24"/>
        </w:rPr>
        <w:t xml:space="preserve"> </w:t>
      </w:r>
    </w:p>
    <w:p w:rsidR="00596ED1" w:rsidP="00DA4A5A" w:rsidRDefault="00596ED1" w14:paraId="1E62962A" w14:textId="77777777">
      <w:pPr>
        <w:rPr>
          <w:sz w:val="24"/>
        </w:rPr>
      </w:pPr>
    </w:p>
    <w:p w:rsidRPr="00596ED1" w:rsidR="00596ED1" w:rsidP="00596ED1" w:rsidRDefault="00596ED1" w14:paraId="16D2F12A" w14:textId="16D5F37D">
      <w:pPr>
        <w:rPr>
          <w:sz w:val="24"/>
        </w:rPr>
      </w:pPr>
      <w:r w:rsidRPr="00596ED1">
        <w:rPr>
          <w:sz w:val="24"/>
        </w:rPr>
        <w:t xml:space="preserve">See section 15 of this Supporting Statement for a list of the discontinued </w:t>
      </w:r>
      <w:proofErr w:type="spellStart"/>
      <w:r w:rsidRPr="00596ED1">
        <w:rPr>
          <w:sz w:val="24"/>
        </w:rPr>
        <w:t>GenICs</w:t>
      </w:r>
      <w:proofErr w:type="spellEnd"/>
      <w:r w:rsidRPr="00596ED1">
        <w:rPr>
          <w:sz w:val="24"/>
        </w:rPr>
        <w:t>.</w:t>
      </w:r>
    </w:p>
    <w:p w:rsidRPr="00596ED1" w:rsidR="00DA4A5A" w:rsidP="00A262CC" w:rsidRDefault="00DA4A5A" w14:paraId="5AE0040C" w14:textId="77777777">
      <w:pPr>
        <w:rPr>
          <w:sz w:val="24"/>
        </w:rPr>
      </w:pPr>
    </w:p>
    <w:p w:rsidRPr="00596ED1" w:rsidR="00D71AA2" w:rsidP="00A262CC" w:rsidRDefault="00D71AA2" w14:paraId="0A7726CB" w14:textId="5A1BC955">
      <w:pPr>
        <w:rPr>
          <w:i/>
          <w:sz w:val="24"/>
        </w:rPr>
      </w:pPr>
      <w:r w:rsidRPr="00596ED1">
        <w:rPr>
          <w:i/>
          <w:sz w:val="24"/>
        </w:rPr>
        <w:t>Projected</w:t>
      </w:r>
      <w:r w:rsidRPr="00596ED1" w:rsidR="00DA4A5A">
        <w:rPr>
          <w:i/>
          <w:sz w:val="24"/>
        </w:rPr>
        <w:t xml:space="preserve"> </w:t>
      </w:r>
      <w:proofErr w:type="spellStart"/>
      <w:r w:rsidRPr="00596ED1" w:rsidR="00DA4A5A">
        <w:rPr>
          <w:i/>
          <w:sz w:val="24"/>
        </w:rPr>
        <w:t>GenICs</w:t>
      </w:r>
      <w:proofErr w:type="spellEnd"/>
      <w:r w:rsidRPr="00596ED1" w:rsidR="00B94BC8">
        <w:rPr>
          <w:i/>
          <w:sz w:val="24"/>
        </w:rPr>
        <w:t xml:space="preserve"> (as of </w:t>
      </w:r>
      <w:r w:rsidRPr="00596ED1" w:rsidR="004779E2">
        <w:rPr>
          <w:i/>
          <w:sz w:val="24"/>
        </w:rPr>
        <w:t>February</w:t>
      </w:r>
      <w:r w:rsidRPr="00596ED1" w:rsidR="00B94BC8">
        <w:rPr>
          <w:i/>
          <w:sz w:val="24"/>
        </w:rPr>
        <w:t xml:space="preserve"> </w:t>
      </w:r>
      <w:r w:rsidRPr="00596ED1" w:rsidR="004779E2">
        <w:rPr>
          <w:i/>
          <w:sz w:val="24"/>
        </w:rPr>
        <w:t>4</w:t>
      </w:r>
      <w:r w:rsidRPr="00596ED1" w:rsidR="00B94BC8">
        <w:rPr>
          <w:i/>
          <w:sz w:val="24"/>
        </w:rPr>
        <w:t>, 20</w:t>
      </w:r>
      <w:r w:rsidRPr="00596ED1" w:rsidR="00693D19">
        <w:rPr>
          <w:i/>
          <w:sz w:val="24"/>
        </w:rPr>
        <w:t>2</w:t>
      </w:r>
      <w:r w:rsidRPr="00596ED1" w:rsidR="004779E2">
        <w:rPr>
          <w:i/>
          <w:sz w:val="24"/>
        </w:rPr>
        <w:t>1</w:t>
      </w:r>
      <w:r w:rsidRPr="00596ED1" w:rsidR="00B94BC8">
        <w:rPr>
          <w:i/>
          <w:sz w:val="24"/>
        </w:rPr>
        <w:t>)</w:t>
      </w:r>
    </w:p>
    <w:p w:rsidRPr="00596ED1" w:rsidR="00816C3B" w:rsidP="00A262CC" w:rsidRDefault="00816C3B" w14:paraId="1817FBD6" w14:textId="77777777">
      <w:pPr>
        <w:rPr>
          <w:sz w:val="24"/>
        </w:rPr>
      </w:pPr>
    </w:p>
    <w:p w:rsidRPr="00596ED1" w:rsidR="00DF20B3" w:rsidP="00A262CC" w:rsidRDefault="00D71AA2" w14:paraId="6B24FC28" w14:textId="3FED1D00">
      <w:pPr>
        <w:rPr>
          <w:sz w:val="24"/>
        </w:rPr>
      </w:pPr>
      <w:r w:rsidRPr="00596ED1">
        <w:rPr>
          <w:sz w:val="24"/>
        </w:rPr>
        <w:t>For the</w:t>
      </w:r>
      <w:r w:rsidRPr="00596ED1" w:rsidR="00D5731A">
        <w:rPr>
          <w:sz w:val="24"/>
        </w:rPr>
        <w:t xml:space="preserve"> </w:t>
      </w:r>
      <w:r w:rsidRPr="00596ED1" w:rsidR="00297ECB">
        <w:rPr>
          <w:sz w:val="24"/>
        </w:rPr>
        <w:t xml:space="preserve">upcoming </w:t>
      </w:r>
      <w:r w:rsidRPr="00596ED1">
        <w:rPr>
          <w:sz w:val="24"/>
        </w:rPr>
        <w:t>3</w:t>
      </w:r>
      <w:r w:rsidRPr="00596ED1" w:rsidR="005F44E5">
        <w:rPr>
          <w:sz w:val="24"/>
        </w:rPr>
        <w:t>-</w:t>
      </w:r>
      <w:r w:rsidRPr="00596ED1">
        <w:rPr>
          <w:sz w:val="24"/>
        </w:rPr>
        <w:t>year (</w:t>
      </w:r>
      <w:r w:rsidRPr="00596ED1" w:rsidR="006109A8">
        <w:rPr>
          <w:sz w:val="24"/>
        </w:rPr>
        <w:t>202</w:t>
      </w:r>
      <w:r w:rsidRPr="00596ED1" w:rsidR="004779E2">
        <w:rPr>
          <w:sz w:val="24"/>
        </w:rPr>
        <w:t>1</w:t>
      </w:r>
      <w:r w:rsidRPr="00596ED1">
        <w:rPr>
          <w:sz w:val="24"/>
        </w:rPr>
        <w:t xml:space="preserve"> – </w:t>
      </w:r>
      <w:r w:rsidRPr="00596ED1" w:rsidR="006109A8">
        <w:rPr>
          <w:sz w:val="24"/>
        </w:rPr>
        <w:t>202</w:t>
      </w:r>
      <w:r w:rsidRPr="00596ED1" w:rsidR="004B7C04">
        <w:rPr>
          <w:sz w:val="24"/>
        </w:rPr>
        <w:t>4</w:t>
      </w:r>
      <w:r w:rsidRPr="00596ED1">
        <w:rPr>
          <w:sz w:val="24"/>
        </w:rPr>
        <w:t xml:space="preserve">) </w:t>
      </w:r>
      <w:r w:rsidRPr="00596ED1" w:rsidR="00297ECB">
        <w:rPr>
          <w:sz w:val="24"/>
        </w:rPr>
        <w:t xml:space="preserve">approval period, </w:t>
      </w:r>
      <w:r w:rsidRPr="00596ED1">
        <w:rPr>
          <w:sz w:val="24"/>
        </w:rPr>
        <w:t xml:space="preserve">we </w:t>
      </w:r>
      <w:r w:rsidRPr="00596ED1" w:rsidR="00DF20B3">
        <w:rPr>
          <w:sz w:val="24"/>
        </w:rPr>
        <w:t xml:space="preserve">estimate </w:t>
      </w:r>
      <w:r w:rsidRPr="00596ED1">
        <w:rPr>
          <w:sz w:val="24"/>
        </w:rPr>
        <w:t xml:space="preserve">the </w:t>
      </w:r>
      <w:r w:rsidRPr="00596ED1" w:rsidR="00DF20B3">
        <w:rPr>
          <w:sz w:val="24"/>
        </w:rPr>
        <w:t>time involved for completing a template is 20 hours</w:t>
      </w:r>
      <w:r w:rsidRPr="00596ED1" w:rsidR="00A55033">
        <w:rPr>
          <w:sz w:val="24"/>
        </w:rPr>
        <w:t xml:space="preserve"> for shorter/less complex templates and 40 hours for templates that are more comprehensive/complex. </w:t>
      </w:r>
      <w:r w:rsidRPr="00596ED1" w:rsidR="00231BF9">
        <w:rPr>
          <w:sz w:val="24"/>
        </w:rPr>
        <w:t xml:space="preserve">Under the above scenario, </w:t>
      </w:r>
      <w:r w:rsidRPr="00596ED1" w:rsidR="0080159C">
        <w:rPr>
          <w:sz w:val="24"/>
        </w:rPr>
        <w:t xml:space="preserve">each State </w:t>
      </w:r>
      <w:r w:rsidRPr="00596ED1" w:rsidR="00231BF9">
        <w:rPr>
          <w:sz w:val="24"/>
        </w:rPr>
        <w:t xml:space="preserve">could spend </w:t>
      </w:r>
      <w:r w:rsidRPr="00596ED1" w:rsidR="00A55033">
        <w:rPr>
          <w:sz w:val="24"/>
        </w:rPr>
        <w:t>1</w:t>
      </w:r>
      <w:r w:rsidRPr="00596ED1" w:rsidR="007F6D7C">
        <w:rPr>
          <w:sz w:val="24"/>
        </w:rPr>
        <w:t>,</w:t>
      </w:r>
      <w:r w:rsidRPr="00596ED1" w:rsidR="001078A8">
        <w:rPr>
          <w:sz w:val="24"/>
        </w:rPr>
        <w:t>08</w:t>
      </w:r>
      <w:r w:rsidRPr="00596ED1" w:rsidR="002F0785">
        <w:rPr>
          <w:sz w:val="24"/>
        </w:rPr>
        <w:t>0</w:t>
      </w:r>
      <w:r w:rsidRPr="00596ED1" w:rsidR="0080159C">
        <w:rPr>
          <w:sz w:val="24"/>
        </w:rPr>
        <w:t xml:space="preserve"> hours to produce </w:t>
      </w:r>
      <w:r w:rsidRPr="00596ED1" w:rsidR="001078A8">
        <w:rPr>
          <w:sz w:val="24"/>
        </w:rPr>
        <w:t>38</w:t>
      </w:r>
      <w:r w:rsidRPr="00596ED1" w:rsidR="0080159C">
        <w:rPr>
          <w:sz w:val="24"/>
        </w:rPr>
        <w:t xml:space="preserve"> responses</w:t>
      </w:r>
      <w:r w:rsidRPr="00596ED1" w:rsidR="002F0785">
        <w:rPr>
          <w:sz w:val="24"/>
        </w:rPr>
        <w:t xml:space="preserve"> including 1</w:t>
      </w:r>
      <w:r w:rsidRPr="00596ED1" w:rsidR="002C7CCF">
        <w:rPr>
          <w:sz w:val="24"/>
        </w:rPr>
        <w:t>6</w:t>
      </w:r>
      <w:r w:rsidRPr="00596ED1" w:rsidR="002F0785">
        <w:rPr>
          <w:sz w:val="24"/>
        </w:rPr>
        <w:t xml:space="preserve"> complex templates requiring 40 hours and </w:t>
      </w:r>
      <w:r w:rsidRPr="00596ED1" w:rsidR="001078A8">
        <w:rPr>
          <w:sz w:val="24"/>
        </w:rPr>
        <w:t>22</w:t>
      </w:r>
      <w:r w:rsidRPr="00596ED1" w:rsidR="002F0785">
        <w:rPr>
          <w:sz w:val="24"/>
        </w:rPr>
        <w:t xml:space="preserve"> shorter templates requiring 20 hours</w:t>
      </w:r>
      <w:r w:rsidRPr="00596ED1" w:rsidR="00EA1033">
        <w:rPr>
          <w:sz w:val="24"/>
        </w:rPr>
        <w:t xml:space="preserve"> (1</w:t>
      </w:r>
      <w:r w:rsidRPr="00596ED1" w:rsidR="007F6D7C">
        <w:rPr>
          <w:sz w:val="24"/>
        </w:rPr>
        <w:t>,</w:t>
      </w:r>
      <w:r w:rsidRPr="00596ED1" w:rsidR="002C7CCF">
        <w:rPr>
          <w:sz w:val="24"/>
        </w:rPr>
        <w:t>08</w:t>
      </w:r>
      <w:r w:rsidRPr="00596ED1" w:rsidR="00EA1033">
        <w:rPr>
          <w:sz w:val="24"/>
        </w:rPr>
        <w:t xml:space="preserve">0 hours </w:t>
      </w:r>
      <w:r w:rsidRPr="00596ED1" w:rsidR="00613EAA">
        <w:rPr>
          <w:sz w:val="24"/>
        </w:rPr>
        <w:t>=</w:t>
      </w:r>
      <w:r w:rsidRPr="00596ED1" w:rsidR="00D5731A">
        <w:rPr>
          <w:sz w:val="24"/>
        </w:rPr>
        <w:t xml:space="preserve"> </w:t>
      </w:r>
      <w:r w:rsidRPr="00596ED1" w:rsidR="002F0785">
        <w:rPr>
          <w:sz w:val="24"/>
        </w:rPr>
        <w:t>[1</w:t>
      </w:r>
      <w:r w:rsidRPr="00596ED1" w:rsidR="002C7CCF">
        <w:rPr>
          <w:sz w:val="24"/>
        </w:rPr>
        <w:t>6</w:t>
      </w:r>
      <w:r w:rsidRPr="00596ED1" w:rsidR="002F0785">
        <w:rPr>
          <w:sz w:val="24"/>
        </w:rPr>
        <w:t xml:space="preserve"> templates * 40 hours] + [</w:t>
      </w:r>
      <w:r w:rsidRPr="00596ED1" w:rsidR="002C7CCF">
        <w:rPr>
          <w:sz w:val="24"/>
        </w:rPr>
        <w:t>22</w:t>
      </w:r>
      <w:r w:rsidRPr="00596ED1" w:rsidR="002F0785">
        <w:rPr>
          <w:sz w:val="24"/>
        </w:rPr>
        <w:t xml:space="preserve"> templates * 20 hours])</w:t>
      </w:r>
      <w:r w:rsidRPr="00596ED1" w:rsidR="000460D4">
        <w:rPr>
          <w:sz w:val="24"/>
        </w:rPr>
        <w:t>.</w:t>
      </w:r>
      <w:r w:rsidRPr="00596ED1" w:rsidR="002F0785">
        <w:rPr>
          <w:sz w:val="24"/>
        </w:rPr>
        <w:t xml:space="preserve"> </w:t>
      </w:r>
      <w:r w:rsidRPr="00596ED1" w:rsidR="00D81E81">
        <w:rPr>
          <w:sz w:val="24"/>
        </w:rPr>
        <w:t xml:space="preserve"> If all 56 respondents spent 1</w:t>
      </w:r>
      <w:r w:rsidRPr="00596ED1" w:rsidR="007F6D7C">
        <w:rPr>
          <w:sz w:val="24"/>
        </w:rPr>
        <w:t>,</w:t>
      </w:r>
      <w:r w:rsidRPr="00596ED1" w:rsidR="002C7CCF">
        <w:rPr>
          <w:sz w:val="24"/>
        </w:rPr>
        <w:t>08</w:t>
      </w:r>
      <w:r w:rsidRPr="00596ED1" w:rsidR="002F0785">
        <w:rPr>
          <w:sz w:val="24"/>
        </w:rPr>
        <w:t>0</w:t>
      </w:r>
      <w:r w:rsidRPr="00596ED1" w:rsidR="00D81E81">
        <w:rPr>
          <w:sz w:val="24"/>
        </w:rPr>
        <w:t xml:space="preserve"> hours over the 3-year period, the total 3-year burden would be </w:t>
      </w:r>
      <w:r w:rsidRPr="00596ED1" w:rsidR="002C7CCF">
        <w:rPr>
          <w:sz w:val="24"/>
        </w:rPr>
        <w:t>60</w:t>
      </w:r>
      <w:r w:rsidRPr="00596ED1" w:rsidR="00613EAA">
        <w:rPr>
          <w:sz w:val="24"/>
        </w:rPr>
        <w:t>,</w:t>
      </w:r>
      <w:r w:rsidRPr="00596ED1" w:rsidR="002C7CCF">
        <w:rPr>
          <w:sz w:val="24"/>
        </w:rPr>
        <w:t>480</w:t>
      </w:r>
      <w:r w:rsidRPr="00596ED1" w:rsidR="00D81E81">
        <w:rPr>
          <w:sz w:val="24"/>
        </w:rPr>
        <w:t xml:space="preserve"> hours (1</w:t>
      </w:r>
      <w:r w:rsidRPr="00596ED1" w:rsidR="00297ECB">
        <w:rPr>
          <w:sz w:val="24"/>
        </w:rPr>
        <w:t>,</w:t>
      </w:r>
      <w:r w:rsidRPr="00596ED1" w:rsidR="002C7CCF">
        <w:rPr>
          <w:sz w:val="24"/>
        </w:rPr>
        <w:t>08</w:t>
      </w:r>
      <w:r w:rsidRPr="00596ED1" w:rsidR="002F0785">
        <w:rPr>
          <w:sz w:val="24"/>
        </w:rPr>
        <w:t>0</w:t>
      </w:r>
      <w:r w:rsidRPr="00596ED1" w:rsidR="00D81E81">
        <w:rPr>
          <w:sz w:val="24"/>
        </w:rPr>
        <w:t xml:space="preserve"> hours * 56 States)</w:t>
      </w:r>
      <w:r w:rsidRPr="00596ED1" w:rsidR="001B71EB">
        <w:rPr>
          <w:sz w:val="24"/>
        </w:rPr>
        <w:t>.</w:t>
      </w:r>
    </w:p>
    <w:p w:rsidRPr="00596ED1" w:rsidR="00D81E81" w:rsidP="00A262CC" w:rsidRDefault="00D81E81" w14:paraId="04EA8C50" w14:textId="77777777">
      <w:pPr>
        <w:rPr>
          <w:sz w:val="24"/>
        </w:rPr>
      </w:pPr>
    </w:p>
    <w:p w:rsidRPr="00AC5879" w:rsidR="00297ECB" w:rsidP="00A262CC" w:rsidRDefault="00AC5879" w14:paraId="35157D41" w14:textId="2A89E5DA">
      <w:pPr>
        <w:rPr>
          <w:sz w:val="24"/>
        </w:rPr>
      </w:pPr>
      <w:r w:rsidRPr="00596ED1">
        <w:rPr>
          <w:sz w:val="24"/>
        </w:rPr>
        <w:t xml:space="preserve">See section 15 of this Supporting Statement for our list of </w:t>
      </w:r>
      <w:r w:rsidRPr="00596ED1" w:rsidR="0009603A">
        <w:rPr>
          <w:sz w:val="24"/>
        </w:rPr>
        <w:t xml:space="preserve">projected </w:t>
      </w:r>
      <w:proofErr w:type="spellStart"/>
      <w:r w:rsidRPr="00596ED1" w:rsidR="0009603A">
        <w:rPr>
          <w:sz w:val="24"/>
        </w:rPr>
        <w:t>GenICs</w:t>
      </w:r>
      <w:proofErr w:type="spellEnd"/>
      <w:r w:rsidRPr="00596ED1" w:rsidR="0009603A">
        <w:rPr>
          <w:sz w:val="24"/>
        </w:rPr>
        <w:t>.</w:t>
      </w:r>
    </w:p>
    <w:p w:rsidRPr="00AC5879" w:rsidR="005C619E" w:rsidP="00A262CC" w:rsidRDefault="005C619E" w14:paraId="68193D4C" w14:textId="77777777">
      <w:pPr>
        <w:rPr>
          <w:sz w:val="24"/>
        </w:rPr>
      </w:pPr>
    </w:p>
    <w:p w:rsidRPr="004354D7" w:rsidR="00516A8A" w:rsidP="00516A8A" w:rsidRDefault="00516A8A" w14:paraId="76AB6CB5" w14:textId="79466240">
      <w:pPr>
        <w:rPr>
          <w:i/>
          <w:sz w:val="24"/>
        </w:rPr>
      </w:pPr>
      <w:r w:rsidRPr="004354D7">
        <w:rPr>
          <w:i/>
          <w:sz w:val="24"/>
        </w:rPr>
        <w:t xml:space="preserve">Unanticipated </w:t>
      </w:r>
      <w:proofErr w:type="spellStart"/>
      <w:r w:rsidRPr="004354D7">
        <w:rPr>
          <w:i/>
          <w:sz w:val="24"/>
        </w:rPr>
        <w:t>GenICs</w:t>
      </w:r>
      <w:proofErr w:type="spellEnd"/>
    </w:p>
    <w:p w:rsidRPr="004354D7" w:rsidR="00516A8A" w:rsidP="00A262CC" w:rsidRDefault="00516A8A" w14:paraId="04FA14CD" w14:textId="77777777">
      <w:pPr>
        <w:rPr>
          <w:sz w:val="24"/>
        </w:rPr>
      </w:pPr>
    </w:p>
    <w:p w:rsidRPr="004354D7" w:rsidR="00516A8A" w:rsidP="00A262CC" w:rsidRDefault="00516A8A" w14:paraId="08FCBF3D" w14:textId="067E69A9">
      <w:pPr>
        <w:rPr>
          <w:sz w:val="24"/>
        </w:rPr>
      </w:pPr>
      <w:r w:rsidRPr="004354D7">
        <w:rPr>
          <w:sz w:val="24"/>
        </w:rPr>
        <w:t xml:space="preserve">We propose to add </w:t>
      </w:r>
      <w:r w:rsidRPr="004354D7" w:rsidR="007C61E5">
        <w:rPr>
          <w:sz w:val="24"/>
        </w:rPr>
        <w:t>1</w:t>
      </w:r>
      <w:r w:rsidRPr="004354D7" w:rsidR="005222F0">
        <w:rPr>
          <w:sz w:val="24"/>
        </w:rPr>
        <w:t>3,</w:t>
      </w:r>
      <w:r w:rsidRPr="004354D7" w:rsidR="00FF3B61">
        <w:rPr>
          <w:sz w:val="24"/>
        </w:rPr>
        <w:t>662</w:t>
      </w:r>
      <w:r w:rsidRPr="004354D7" w:rsidR="006922EC">
        <w:rPr>
          <w:sz w:val="24"/>
        </w:rPr>
        <w:t xml:space="preserve"> hours of burden for unanticipated </w:t>
      </w:r>
      <w:r w:rsidRPr="004354D7" w:rsidR="00A46B98">
        <w:rPr>
          <w:sz w:val="24"/>
        </w:rPr>
        <w:t>informant collection requests</w:t>
      </w:r>
      <w:r w:rsidRPr="004354D7" w:rsidR="006922EC">
        <w:rPr>
          <w:sz w:val="24"/>
        </w:rPr>
        <w:t>. This figure will al</w:t>
      </w:r>
      <w:r w:rsidRPr="004354D7" w:rsidR="00A46B98">
        <w:rPr>
          <w:sz w:val="24"/>
        </w:rPr>
        <w:t xml:space="preserve">ign this iteration’s burden ceiling </w:t>
      </w:r>
      <w:r w:rsidRPr="004354D7" w:rsidR="00D574F8">
        <w:rPr>
          <w:sz w:val="24"/>
        </w:rPr>
        <w:t xml:space="preserve">request </w:t>
      </w:r>
      <w:r w:rsidRPr="004354D7" w:rsidR="00A46B98">
        <w:rPr>
          <w:sz w:val="24"/>
        </w:rPr>
        <w:t xml:space="preserve">with our currently approved ceiling, both are </w:t>
      </w:r>
      <w:r w:rsidRPr="004354D7" w:rsidR="004B7C04">
        <w:rPr>
          <w:sz w:val="24"/>
        </w:rPr>
        <w:t>15</w:t>
      </w:r>
      <w:r w:rsidRPr="004354D7" w:rsidR="002E428A">
        <w:rPr>
          <w:sz w:val="24"/>
        </w:rPr>
        <w:t>4</w:t>
      </w:r>
      <w:r w:rsidRPr="004354D7" w:rsidR="004B7C04">
        <w:rPr>
          <w:sz w:val="24"/>
        </w:rPr>
        <w:t>,</w:t>
      </w:r>
      <w:r w:rsidRPr="004354D7" w:rsidR="002E428A">
        <w:rPr>
          <w:sz w:val="24"/>
        </w:rPr>
        <w:t>104</w:t>
      </w:r>
      <w:r w:rsidRPr="004354D7" w:rsidR="004B7C04">
        <w:rPr>
          <w:sz w:val="24"/>
        </w:rPr>
        <w:t xml:space="preserve"> </w:t>
      </w:r>
      <w:r w:rsidRPr="004354D7" w:rsidR="00A46B98">
        <w:rPr>
          <w:sz w:val="24"/>
        </w:rPr>
        <w:t>total hours</w:t>
      </w:r>
      <w:r w:rsidRPr="004354D7" w:rsidR="006922EC">
        <w:rPr>
          <w:sz w:val="24"/>
        </w:rPr>
        <w:t>.</w:t>
      </w:r>
    </w:p>
    <w:p w:rsidRPr="004354D7" w:rsidR="00516A8A" w:rsidP="00A262CC" w:rsidRDefault="00516A8A" w14:paraId="63413491" w14:textId="77777777">
      <w:pPr>
        <w:rPr>
          <w:sz w:val="24"/>
        </w:rPr>
      </w:pPr>
    </w:p>
    <w:p w:rsidRPr="004354D7" w:rsidR="00D71AA2" w:rsidP="00A262CC" w:rsidRDefault="004354D7" w14:paraId="195B6588" w14:textId="3AA83802">
      <w:pPr>
        <w:rPr>
          <w:i/>
          <w:sz w:val="24"/>
        </w:rPr>
      </w:pPr>
      <w:r w:rsidRPr="004354D7">
        <w:rPr>
          <w:i/>
          <w:sz w:val="24"/>
        </w:rPr>
        <w:t xml:space="preserve">Summary of </w:t>
      </w:r>
      <w:r w:rsidRPr="004354D7" w:rsidR="00DA4A5A">
        <w:rPr>
          <w:i/>
          <w:sz w:val="24"/>
        </w:rPr>
        <w:t>Burden</w:t>
      </w:r>
    </w:p>
    <w:p w:rsidRPr="004354D7" w:rsidR="00816C3B" w:rsidP="00A262CC" w:rsidRDefault="00816C3B" w14:paraId="6252E0EE" w14:textId="77777777">
      <w:pPr>
        <w:rPr>
          <w:sz w:val="24"/>
        </w:rPr>
      </w:pPr>
    </w:p>
    <w:p w:rsidRPr="004354D7" w:rsidR="0066300C" w:rsidP="0066300C" w:rsidRDefault="007C61E5" w14:paraId="18A69106" w14:textId="10D40FCF">
      <w:pPr>
        <w:rPr>
          <w:sz w:val="24"/>
        </w:rPr>
      </w:pPr>
      <w:r w:rsidRPr="004354D7">
        <w:rPr>
          <w:sz w:val="24"/>
        </w:rPr>
        <w:t>8</w:t>
      </w:r>
      <w:r w:rsidRPr="004354D7" w:rsidR="00680249">
        <w:rPr>
          <w:sz w:val="24"/>
        </w:rPr>
        <w:t>7</w:t>
      </w:r>
      <w:r w:rsidRPr="004354D7">
        <w:rPr>
          <w:sz w:val="24"/>
        </w:rPr>
        <w:t>,0</w:t>
      </w:r>
      <w:r w:rsidRPr="004354D7" w:rsidR="00680249">
        <w:rPr>
          <w:sz w:val="24"/>
        </w:rPr>
        <w:t>6</w:t>
      </w:r>
      <w:r w:rsidRPr="004354D7">
        <w:rPr>
          <w:sz w:val="24"/>
        </w:rPr>
        <w:t>0</w:t>
      </w:r>
      <w:r w:rsidRPr="004354D7" w:rsidR="0066300C">
        <w:rPr>
          <w:sz w:val="24"/>
        </w:rPr>
        <w:t xml:space="preserve"> </w:t>
      </w:r>
      <w:proofErr w:type="spellStart"/>
      <w:r w:rsidRPr="004354D7" w:rsidR="0066300C">
        <w:rPr>
          <w:sz w:val="24"/>
        </w:rPr>
        <w:t>hr</w:t>
      </w:r>
      <w:proofErr w:type="spellEnd"/>
      <w:r w:rsidRPr="004354D7" w:rsidR="0066300C">
        <w:rPr>
          <w:sz w:val="24"/>
        </w:rPr>
        <w:t xml:space="preserve"> (Currently Approved </w:t>
      </w:r>
      <w:proofErr w:type="spellStart"/>
      <w:r w:rsidRPr="004354D7" w:rsidR="0066300C">
        <w:rPr>
          <w:sz w:val="24"/>
        </w:rPr>
        <w:t>GenICs</w:t>
      </w:r>
      <w:proofErr w:type="spellEnd"/>
      <w:r w:rsidRPr="004354D7" w:rsidR="0066300C">
        <w:rPr>
          <w:sz w:val="24"/>
        </w:rPr>
        <w:t>)</w:t>
      </w:r>
    </w:p>
    <w:p w:rsidRPr="004354D7" w:rsidR="0066300C" w:rsidP="004B7C04" w:rsidRDefault="0066300C" w14:paraId="27161308" w14:textId="76D88890">
      <w:pPr>
        <w:rPr>
          <w:sz w:val="24"/>
        </w:rPr>
      </w:pPr>
      <w:r w:rsidRPr="004354D7">
        <w:rPr>
          <w:sz w:val="24"/>
        </w:rPr>
        <w:t>-</w:t>
      </w:r>
      <w:r w:rsidRPr="004354D7" w:rsidR="00693D19">
        <w:rPr>
          <w:sz w:val="24"/>
        </w:rPr>
        <w:t>7</w:t>
      </w:r>
      <w:r w:rsidRPr="004354D7">
        <w:rPr>
          <w:sz w:val="24"/>
        </w:rPr>
        <w:t>,</w:t>
      </w:r>
      <w:r w:rsidRPr="004354D7" w:rsidR="007C61E5">
        <w:rPr>
          <w:sz w:val="24"/>
        </w:rPr>
        <w:t>098</w:t>
      </w:r>
      <w:r w:rsidRPr="004354D7">
        <w:rPr>
          <w:sz w:val="24"/>
        </w:rPr>
        <w:t xml:space="preserve"> </w:t>
      </w:r>
      <w:proofErr w:type="spellStart"/>
      <w:r w:rsidRPr="004354D7" w:rsidR="007C61E5">
        <w:rPr>
          <w:sz w:val="24"/>
        </w:rPr>
        <w:t>hr</w:t>
      </w:r>
      <w:proofErr w:type="spellEnd"/>
      <w:r w:rsidRPr="004354D7" w:rsidR="007C61E5">
        <w:rPr>
          <w:sz w:val="24"/>
        </w:rPr>
        <w:t xml:space="preserve"> </w:t>
      </w:r>
      <w:r w:rsidRPr="004354D7">
        <w:rPr>
          <w:sz w:val="24"/>
        </w:rPr>
        <w:t xml:space="preserve">(Discontinued </w:t>
      </w:r>
      <w:proofErr w:type="spellStart"/>
      <w:r w:rsidRPr="004354D7">
        <w:rPr>
          <w:sz w:val="24"/>
        </w:rPr>
        <w:t>GenICs</w:t>
      </w:r>
      <w:proofErr w:type="spellEnd"/>
      <w:r w:rsidRPr="004354D7">
        <w:rPr>
          <w:sz w:val="24"/>
        </w:rPr>
        <w:t>)</w:t>
      </w:r>
    </w:p>
    <w:p w:rsidRPr="004354D7" w:rsidR="00B94BC8" w:rsidP="00B94BC8" w:rsidRDefault="00B94BC8" w14:paraId="12A4027D" w14:textId="65D2FD5B">
      <w:pPr>
        <w:rPr>
          <w:sz w:val="24"/>
        </w:rPr>
      </w:pPr>
      <w:r w:rsidRPr="004354D7">
        <w:rPr>
          <w:sz w:val="24"/>
        </w:rPr>
        <w:t xml:space="preserve">+60,480 </w:t>
      </w:r>
      <w:proofErr w:type="spellStart"/>
      <w:r w:rsidRPr="004354D7">
        <w:rPr>
          <w:sz w:val="24"/>
        </w:rPr>
        <w:t>hr</w:t>
      </w:r>
      <w:proofErr w:type="spellEnd"/>
      <w:r w:rsidRPr="004354D7">
        <w:rPr>
          <w:sz w:val="24"/>
        </w:rPr>
        <w:t xml:space="preserve"> </w:t>
      </w:r>
      <w:r w:rsidRPr="004354D7" w:rsidR="00516A8A">
        <w:rPr>
          <w:sz w:val="24"/>
        </w:rPr>
        <w:t>(</w:t>
      </w:r>
      <w:r w:rsidRPr="004354D7">
        <w:rPr>
          <w:sz w:val="24"/>
        </w:rPr>
        <w:t xml:space="preserve">Projected </w:t>
      </w:r>
      <w:proofErr w:type="spellStart"/>
      <w:r w:rsidRPr="004354D7">
        <w:rPr>
          <w:sz w:val="24"/>
        </w:rPr>
        <w:t>GenICs</w:t>
      </w:r>
      <w:proofErr w:type="spellEnd"/>
      <w:r w:rsidRPr="004354D7">
        <w:rPr>
          <w:sz w:val="24"/>
        </w:rPr>
        <w:t>)</w:t>
      </w:r>
    </w:p>
    <w:p w:rsidRPr="004354D7" w:rsidR="005D141A" w:rsidP="005D141A" w:rsidRDefault="006922EC" w14:paraId="28881715" w14:textId="326F22AF">
      <w:pPr>
        <w:rPr>
          <w:sz w:val="24"/>
          <w:u w:val="single"/>
        </w:rPr>
      </w:pPr>
      <w:r w:rsidRPr="004354D7">
        <w:rPr>
          <w:sz w:val="24"/>
          <w:u w:val="single"/>
        </w:rPr>
        <w:t>+</w:t>
      </w:r>
      <w:r w:rsidRPr="004354D7" w:rsidR="00693D19">
        <w:rPr>
          <w:sz w:val="24"/>
          <w:u w:val="single"/>
        </w:rPr>
        <w:t>1</w:t>
      </w:r>
      <w:r w:rsidRPr="004354D7" w:rsidR="00762516">
        <w:rPr>
          <w:sz w:val="24"/>
          <w:u w:val="single"/>
        </w:rPr>
        <w:t>3</w:t>
      </w:r>
      <w:r w:rsidRPr="004354D7" w:rsidR="0051405C">
        <w:rPr>
          <w:sz w:val="24"/>
          <w:u w:val="single"/>
        </w:rPr>
        <w:t>,</w:t>
      </w:r>
      <w:r w:rsidRPr="004354D7" w:rsidR="00680249">
        <w:rPr>
          <w:sz w:val="24"/>
          <w:u w:val="single"/>
        </w:rPr>
        <w:t>662</w:t>
      </w:r>
      <w:r w:rsidRPr="004354D7" w:rsidR="005D141A">
        <w:rPr>
          <w:sz w:val="24"/>
          <w:u w:val="single"/>
        </w:rPr>
        <w:t xml:space="preserve"> </w:t>
      </w:r>
      <w:proofErr w:type="spellStart"/>
      <w:r w:rsidRPr="004354D7" w:rsidR="005D141A">
        <w:rPr>
          <w:sz w:val="24"/>
          <w:u w:val="single"/>
        </w:rPr>
        <w:t>hr</w:t>
      </w:r>
      <w:proofErr w:type="spellEnd"/>
      <w:r w:rsidRPr="004354D7" w:rsidR="005D141A">
        <w:rPr>
          <w:sz w:val="24"/>
          <w:u w:val="single"/>
        </w:rPr>
        <w:t xml:space="preserve"> (Unanticipated </w:t>
      </w:r>
      <w:proofErr w:type="spellStart"/>
      <w:r w:rsidRPr="004354D7" w:rsidR="005D141A">
        <w:rPr>
          <w:sz w:val="24"/>
          <w:u w:val="single"/>
        </w:rPr>
        <w:t>GenICs</w:t>
      </w:r>
      <w:proofErr w:type="spellEnd"/>
      <w:r w:rsidRPr="004354D7" w:rsidR="005D141A">
        <w:rPr>
          <w:sz w:val="24"/>
          <w:u w:val="single"/>
        </w:rPr>
        <w:t>)</w:t>
      </w:r>
    </w:p>
    <w:p w:rsidRPr="004354D7" w:rsidR="0051405C" w:rsidP="005D141A" w:rsidRDefault="0051405C" w14:paraId="6F067DB6" w14:textId="2FC473F2">
      <w:pPr>
        <w:rPr>
          <w:sz w:val="24"/>
        </w:rPr>
      </w:pPr>
      <w:r w:rsidRPr="004354D7">
        <w:rPr>
          <w:sz w:val="24"/>
        </w:rPr>
        <w:t>154,104 TOTAL HOURS</w:t>
      </w:r>
    </w:p>
    <w:p w:rsidRPr="004354D7" w:rsidR="0066300C" w:rsidP="00A262CC" w:rsidRDefault="0066300C" w14:paraId="2C56CFDB" w14:textId="77777777">
      <w:pPr>
        <w:rPr>
          <w:sz w:val="24"/>
        </w:rPr>
      </w:pPr>
    </w:p>
    <w:p w:rsidR="00DF20B3" w:rsidP="00982BB2" w:rsidRDefault="001828F6" w14:paraId="69957E69" w14:textId="0C1CB94B">
      <w:pPr>
        <w:rPr>
          <w:sz w:val="24"/>
        </w:rPr>
      </w:pPr>
      <w:r w:rsidRPr="004354D7">
        <w:rPr>
          <w:sz w:val="24"/>
        </w:rPr>
        <w:t xml:space="preserve">Cost estimates are dependent on our requirements and the respondent’s BLS Occupation Title and wage. Since this information will not be known until upcoming </w:t>
      </w:r>
      <w:proofErr w:type="spellStart"/>
      <w:r w:rsidRPr="004354D7">
        <w:rPr>
          <w:sz w:val="24"/>
        </w:rPr>
        <w:t>GenIC</w:t>
      </w:r>
      <w:r w:rsidRPr="004354D7" w:rsidR="00D67466">
        <w:rPr>
          <w:sz w:val="24"/>
        </w:rPr>
        <w:t>s</w:t>
      </w:r>
      <w:proofErr w:type="spellEnd"/>
      <w:r w:rsidRPr="004354D7" w:rsidR="00D67466">
        <w:rPr>
          <w:sz w:val="24"/>
        </w:rPr>
        <w:t xml:space="preserve"> are </w:t>
      </w:r>
      <w:r w:rsidRPr="004354D7">
        <w:rPr>
          <w:sz w:val="24"/>
        </w:rPr>
        <w:t xml:space="preserve">developed, our cost estimates will be set out when each </w:t>
      </w:r>
      <w:proofErr w:type="spellStart"/>
      <w:r w:rsidRPr="004354D7">
        <w:rPr>
          <w:sz w:val="24"/>
        </w:rPr>
        <w:t>GenIC</w:t>
      </w:r>
      <w:proofErr w:type="spellEnd"/>
      <w:r w:rsidRPr="004354D7">
        <w:rPr>
          <w:sz w:val="24"/>
        </w:rPr>
        <w:t xml:space="preserve"> package is submitted to OMB for approval.</w:t>
      </w:r>
    </w:p>
    <w:p w:rsidRPr="00DF20B3" w:rsidR="001828F6" w:rsidP="00982BB2" w:rsidRDefault="001828F6" w14:paraId="3C639B26" w14:textId="77777777">
      <w:pPr>
        <w:rPr>
          <w:sz w:val="24"/>
        </w:rPr>
      </w:pPr>
    </w:p>
    <w:p w:rsidRPr="00527362" w:rsidR="00671A3F" w:rsidP="00982BB2" w:rsidRDefault="00671A3F" w14:paraId="271F7875" w14:textId="77777777">
      <w:pPr>
        <w:tabs>
          <w:tab w:val="left" w:pos="-1440"/>
        </w:tabs>
        <w:rPr>
          <w:sz w:val="24"/>
        </w:rPr>
      </w:pPr>
      <w:r w:rsidRPr="00527362">
        <w:rPr>
          <w:sz w:val="24"/>
        </w:rPr>
        <w:t>13.</w:t>
      </w:r>
      <w:r w:rsidRPr="00527362">
        <w:rPr>
          <w:sz w:val="24"/>
        </w:rPr>
        <w:tab/>
      </w:r>
      <w:r w:rsidRPr="00527362">
        <w:rPr>
          <w:bCs/>
          <w:sz w:val="24"/>
          <w:u w:val="single"/>
        </w:rPr>
        <w:t>Capital Costs</w:t>
      </w:r>
    </w:p>
    <w:p w:rsidR="00671A3F" w:rsidP="00982BB2" w:rsidRDefault="00671A3F" w14:paraId="7D5CF312" w14:textId="77777777">
      <w:pPr>
        <w:rPr>
          <w:sz w:val="24"/>
        </w:rPr>
      </w:pPr>
    </w:p>
    <w:p w:rsidR="00671A3F" w:rsidP="00982BB2" w:rsidRDefault="00671A3F" w14:paraId="71E6002F" w14:textId="77777777">
      <w:pPr>
        <w:rPr>
          <w:sz w:val="24"/>
        </w:rPr>
      </w:pPr>
      <w:r>
        <w:rPr>
          <w:sz w:val="24"/>
        </w:rPr>
        <w:t>There are no capital costs associated with this information collection.</w:t>
      </w:r>
    </w:p>
    <w:p w:rsidR="0094585F" w:rsidP="00982BB2" w:rsidRDefault="0094585F" w14:paraId="1FA1F4A7" w14:textId="77777777">
      <w:pPr>
        <w:tabs>
          <w:tab w:val="left" w:pos="-1440"/>
        </w:tabs>
        <w:rPr>
          <w:sz w:val="24"/>
        </w:rPr>
      </w:pPr>
    </w:p>
    <w:p w:rsidRPr="00527362" w:rsidR="00671A3F" w:rsidP="00982BB2" w:rsidRDefault="00671A3F" w14:paraId="23335B99" w14:textId="684C253F">
      <w:pPr>
        <w:tabs>
          <w:tab w:val="left" w:pos="-1440"/>
        </w:tabs>
        <w:rPr>
          <w:sz w:val="24"/>
          <w:u w:val="single"/>
        </w:rPr>
      </w:pPr>
      <w:r w:rsidRPr="00527362">
        <w:rPr>
          <w:sz w:val="24"/>
        </w:rPr>
        <w:t>14.</w:t>
      </w:r>
      <w:r w:rsidRPr="00527362">
        <w:rPr>
          <w:sz w:val="24"/>
        </w:rPr>
        <w:tab/>
      </w:r>
      <w:r w:rsidRPr="00527362">
        <w:rPr>
          <w:bCs/>
          <w:sz w:val="24"/>
          <w:u w:val="single"/>
        </w:rPr>
        <w:t>Costs to Federal Government</w:t>
      </w:r>
    </w:p>
    <w:p w:rsidR="00671A3F" w:rsidP="00982BB2" w:rsidRDefault="00671A3F" w14:paraId="044DC784" w14:textId="77777777">
      <w:pPr>
        <w:rPr>
          <w:sz w:val="24"/>
        </w:rPr>
      </w:pPr>
    </w:p>
    <w:p w:rsidRPr="001D5843" w:rsidR="00611C13" w:rsidP="00982BB2" w:rsidRDefault="0080159C" w14:paraId="36EBB8A5" w14:textId="77777777">
      <w:pPr>
        <w:rPr>
          <w:sz w:val="24"/>
        </w:rPr>
      </w:pPr>
      <w:r w:rsidRPr="001D5843">
        <w:rPr>
          <w:sz w:val="24"/>
        </w:rPr>
        <w:t>There is no cost to the Federal government.</w:t>
      </w:r>
    </w:p>
    <w:p w:rsidRPr="001D5843" w:rsidR="0069371D" w:rsidP="00982BB2" w:rsidRDefault="0069371D" w14:paraId="0C17536F" w14:textId="77777777">
      <w:pPr>
        <w:rPr>
          <w:sz w:val="24"/>
        </w:rPr>
      </w:pPr>
    </w:p>
    <w:p w:rsidRPr="00460F99" w:rsidR="00671A3F" w:rsidP="00982BB2" w:rsidRDefault="00671A3F" w14:paraId="75E8735B" w14:textId="77777777">
      <w:pPr>
        <w:tabs>
          <w:tab w:val="left" w:pos="-1440"/>
        </w:tabs>
        <w:rPr>
          <w:sz w:val="24"/>
        </w:rPr>
      </w:pPr>
      <w:r w:rsidRPr="00460F99">
        <w:rPr>
          <w:sz w:val="24"/>
        </w:rPr>
        <w:t>15.</w:t>
      </w:r>
      <w:r w:rsidRPr="00460F99">
        <w:rPr>
          <w:sz w:val="24"/>
        </w:rPr>
        <w:tab/>
      </w:r>
      <w:r w:rsidRPr="00460F99">
        <w:rPr>
          <w:bCs/>
          <w:sz w:val="24"/>
          <w:u w:val="single"/>
        </w:rPr>
        <w:t>Program/Burden Changes</w:t>
      </w:r>
    </w:p>
    <w:p w:rsidRPr="00460F99" w:rsidR="0073642B" w:rsidP="00982BB2" w:rsidRDefault="0073642B" w14:paraId="113C845A" w14:textId="59AE3A33">
      <w:pPr>
        <w:rPr>
          <w:sz w:val="24"/>
        </w:rPr>
      </w:pPr>
    </w:p>
    <w:p w:rsidRPr="00460F99" w:rsidR="0073642B" w:rsidP="00982BB2" w:rsidRDefault="001D5843" w14:paraId="2D7C983C" w14:textId="7B47F3BF">
      <w:pPr>
        <w:rPr>
          <w:sz w:val="24"/>
        </w:rPr>
      </w:pPr>
      <w:r w:rsidRPr="00460F99">
        <w:rPr>
          <w:sz w:val="24"/>
        </w:rPr>
        <w:t xml:space="preserve">In this 2021 iteration we propose to keep our burden ceiling as is (154,104 </w:t>
      </w:r>
      <w:proofErr w:type="spellStart"/>
      <w:r w:rsidRPr="00460F99">
        <w:rPr>
          <w:sz w:val="24"/>
        </w:rPr>
        <w:t>hr</w:t>
      </w:r>
      <w:proofErr w:type="spellEnd"/>
      <w:r w:rsidRPr="00460F99">
        <w:rPr>
          <w:sz w:val="24"/>
        </w:rPr>
        <w:t xml:space="preserve">). Similarly, we are not making any programs changes to the </w:t>
      </w:r>
      <w:proofErr w:type="spellStart"/>
      <w:r w:rsidRPr="00460F99">
        <w:rPr>
          <w:sz w:val="24"/>
        </w:rPr>
        <w:t>GenICs</w:t>
      </w:r>
      <w:proofErr w:type="spellEnd"/>
      <w:r w:rsidRPr="00460F99">
        <w:rPr>
          <w:sz w:val="24"/>
        </w:rPr>
        <w:t xml:space="preserve"> that we seek to extend. </w:t>
      </w:r>
      <w:r w:rsidRPr="00460F99" w:rsidR="00A055B2">
        <w:rPr>
          <w:sz w:val="24"/>
        </w:rPr>
        <w:t>Moving forward, f</w:t>
      </w:r>
      <w:r w:rsidRPr="00460F99">
        <w:rPr>
          <w:sz w:val="24"/>
        </w:rPr>
        <w:t xml:space="preserve">or new and revised </w:t>
      </w:r>
      <w:proofErr w:type="spellStart"/>
      <w:r w:rsidRPr="00460F99">
        <w:rPr>
          <w:sz w:val="24"/>
        </w:rPr>
        <w:t>GenICs</w:t>
      </w:r>
      <w:proofErr w:type="spellEnd"/>
      <w:r w:rsidRPr="00460F99">
        <w:rPr>
          <w:sz w:val="24"/>
        </w:rPr>
        <w:t xml:space="preserve"> we will be publishing 14-day Federal Register notices that will provide interested parties with an opportunity to review and comment on the generic information collection request. Instructions for obtaining the </w:t>
      </w:r>
      <w:proofErr w:type="spellStart"/>
      <w:r w:rsidRPr="00460F99">
        <w:rPr>
          <w:sz w:val="24"/>
        </w:rPr>
        <w:t>GenIC’s</w:t>
      </w:r>
      <w:proofErr w:type="spellEnd"/>
      <w:r w:rsidRPr="00460F99">
        <w:rPr>
          <w:sz w:val="24"/>
        </w:rPr>
        <w:t xml:space="preserve"> documents and for submitting comments will be set out in each Federal Register notice.</w:t>
      </w:r>
    </w:p>
    <w:p w:rsidRPr="00460F99" w:rsidR="001D5843" w:rsidP="00982BB2" w:rsidRDefault="001D5843" w14:paraId="3CB031D0" w14:textId="77777777">
      <w:pPr>
        <w:rPr>
          <w:sz w:val="24"/>
        </w:rPr>
      </w:pPr>
    </w:p>
    <w:p w:rsidRPr="007D2E62" w:rsidR="00BA0B1B" w:rsidP="00BA0B1B" w:rsidRDefault="00BA0B1B" w14:paraId="0D993888" w14:textId="77777777">
      <w:pPr>
        <w:rPr>
          <w:i/>
          <w:sz w:val="24"/>
        </w:rPr>
      </w:pPr>
      <w:r w:rsidRPr="007D2E62">
        <w:rPr>
          <w:i/>
          <w:sz w:val="24"/>
        </w:rPr>
        <w:t xml:space="preserve">Currently Approved </w:t>
      </w:r>
      <w:proofErr w:type="spellStart"/>
      <w:r w:rsidRPr="007D2E62">
        <w:rPr>
          <w:i/>
          <w:sz w:val="24"/>
        </w:rPr>
        <w:t>GenICs</w:t>
      </w:r>
      <w:proofErr w:type="spellEnd"/>
    </w:p>
    <w:p w:rsidRPr="007D2E62" w:rsidR="00BA0B1B" w:rsidP="00982BB2" w:rsidRDefault="00BA0B1B" w14:paraId="3CE0ABB1" w14:textId="77777777">
      <w:pPr>
        <w:rPr>
          <w:sz w:val="24"/>
        </w:rPr>
      </w:pPr>
    </w:p>
    <w:p w:rsidRPr="007D2E62" w:rsidR="00BA0B1B" w:rsidP="00982BB2" w:rsidRDefault="008E7D3E" w14:paraId="12276D4F" w14:textId="48F598C0">
      <w:pPr>
        <w:rPr>
          <w:sz w:val="24"/>
        </w:rPr>
      </w:pPr>
      <w:r w:rsidRPr="007D2E62">
        <w:rPr>
          <w:sz w:val="24"/>
        </w:rPr>
        <w:t xml:space="preserve">For the </w:t>
      </w:r>
      <w:proofErr w:type="spellStart"/>
      <w:r w:rsidRPr="007D2E62">
        <w:rPr>
          <w:sz w:val="24"/>
        </w:rPr>
        <w:t>GenICs</w:t>
      </w:r>
      <w:proofErr w:type="spellEnd"/>
      <w:r w:rsidRPr="007D2E62">
        <w:rPr>
          <w:sz w:val="24"/>
        </w:rPr>
        <w:t xml:space="preserve"> that we propose to keep active, w</w:t>
      </w:r>
      <w:r w:rsidRPr="007D2E62" w:rsidR="00BA0B1B">
        <w:rPr>
          <w:sz w:val="24"/>
        </w:rPr>
        <w:t>e are not making any program changes.</w:t>
      </w:r>
    </w:p>
    <w:p w:rsidRPr="007D2E62" w:rsidR="00BA0B1B" w:rsidP="00982BB2" w:rsidRDefault="00BA0B1B" w14:paraId="4A1A8229" w14:textId="77777777">
      <w:pPr>
        <w:rPr>
          <w:sz w:val="24"/>
        </w:rPr>
      </w:pPr>
    </w:p>
    <w:p w:rsidR="007D2E62" w:rsidP="00982BB2" w:rsidRDefault="007D2E62" w14:paraId="74F3D38E" w14:textId="3C49A5B9">
      <w:pPr>
        <w:rPr>
          <w:sz w:val="24"/>
        </w:rPr>
      </w:pPr>
      <w:r w:rsidRPr="007D2E62">
        <w:rPr>
          <w:sz w:val="24"/>
        </w:rPr>
        <w:t xml:space="preserve">Currently, OMB has approved 87,060 hours of burden for the </w:t>
      </w:r>
      <w:proofErr w:type="spellStart"/>
      <w:r w:rsidRPr="007D2E62">
        <w:rPr>
          <w:sz w:val="24"/>
        </w:rPr>
        <w:t>GenICs</w:t>
      </w:r>
      <w:proofErr w:type="spellEnd"/>
      <w:r w:rsidRPr="007D2E62">
        <w:rPr>
          <w:sz w:val="24"/>
        </w:rPr>
        <w:t xml:space="preserve"> that are set out in the most recent Notice of Action (see attached NOA, dated February 12, 2021).</w:t>
      </w:r>
    </w:p>
    <w:p w:rsidRPr="000E7AA1" w:rsidR="007D2E62" w:rsidP="00982BB2" w:rsidRDefault="007D2E62" w14:paraId="182DA87F" w14:textId="77777777">
      <w:pPr>
        <w:rPr>
          <w:sz w:val="24"/>
        </w:rPr>
      </w:pPr>
    </w:p>
    <w:p w:rsidRPr="00CE7909" w:rsidR="00EF4ACE" w:rsidP="00982BB2" w:rsidRDefault="00DE54E2" w14:paraId="17EBC482" w14:textId="1A57FB88">
      <w:pPr>
        <w:rPr>
          <w:i/>
          <w:sz w:val="24"/>
        </w:rPr>
      </w:pPr>
      <w:r w:rsidRPr="00CE7909">
        <w:rPr>
          <w:i/>
          <w:sz w:val="24"/>
        </w:rPr>
        <w:t xml:space="preserve">Discontinued </w:t>
      </w:r>
      <w:proofErr w:type="spellStart"/>
      <w:r w:rsidRPr="00CE7909">
        <w:rPr>
          <w:i/>
          <w:sz w:val="24"/>
        </w:rPr>
        <w:t>GenICs</w:t>
      </w:r>
      <w:proofErr w:type="spellEnd"/>
    </w:p>
    <w:p w:rsidRPr="00CE7909" w:rsidR="00EF4ACE" w:rsidP="00982BB2" w:rsidRDefault="00EF4ACE" w14:paraId="4ADE712A" w14:textId="77777777">
      <w:pPr>
        <w:rPr>
          <w:sz w:val="24"/>
        </w:rPr>
      </w:pPr>
    </w:p>
    <w:p w:rsidRPr="00CE7909" w:rsidR="00C420CD" w:rsidP="00C420CD" w:rsidRDefault="00C420CD" w14:paraId="14962B9C" w14:textId="70677D86">
      <w:pPr>
        <w:rPr>
          <w:sz w:val="24"/>
        </w:rPr>
      </w:pPr>
      <w:r w:rsidRPr="00CE7909">
        <w:rPr>
          <w:sz w:val="24"/>
        </w:rPr>
        <w:t xml:space="preserve">From the inventory of currently approved </w:t>
      </w:r>
      <w:proofErr w:type="spellStart"/>
      <w:r w:rsidRPr="00CE7909">
        <w:rPr>
          <w:sz w:val="24"/>
        </w:rPr>
        <w:t>GenICs</w:t>
      </w:r>
      <w:proofErr w:type="spellEnd"/>
      <w:r w:rsidRPr="00CE7909">
        <w:rPr>
          <w:sz w:val="24"/>
        </w:rPr>
        <w:t xml:space="preserve"> (see attached NOA, dated </w:t>
      </w:r>
      <w:r w:rsidRPr="00CE7909" w:rsidR="00023571">
        <w:rPr>
          <w:sz w:val="24"/>
        </w:rPr>
        <w:t>February 12</w:t>
      </w:r>
      <w:r w:rsidRPr="00CE7909" w:rsidR="004B7C04">
        <w:rPr>
          <w:sz w:val="24"/>
        </w:rPr>
        <w:t>, 2021</w:t>
      </w:r>
      <w:r w:rsidRPr="00CE7909">
        <w:rPr>
          <w:sz w:val="24"/>
        </w:rPr>
        <w:t>) we propose to discontinue the following as they are no longer needed:</w:t>
      </w:r>
    </w:p>
    <w:p w:rsidRPr="00CE7909" w:rsidR="00C420CD" w:rsidP="00982BB2" w:rsidRDefault="00C420CD" w14:paraId="78864C7A" w14:textId="77777777">
      <w:pPr>
        <w:rPr>
          <w:sz w:val="24"/>
        </w:rPr>
      </w:pPr>
    </w:p>
    <w:tbl>
      <w:tblPr>
        <w:tblW w:w="7600" w:type="dxa"/>
        <w:tblInd w:w="113" w:type="dxa"/>
        <w:tblLook w:val="04A0" w:firstRow="1" w:lastRow="0" w:firstColumn="1" w:lastColumn="0" w:noHBand="0" w:noVBand="1"/>
      </w:tblPr>
      <w:tblGrid>
        <w:gridCol w:w="600"/>
        <w:gridCol w:w="5800"/>
        <w:gridCol w:w="1200"/>
      </w:tblGrid>
      <w:tr w:rsidRPr="00CE7909" w:rsidR="00DE54E2" w:rsidTr="00805821" w14:paraId="196CDC89" w14:textId="77777777">
        <w:trPr>
          <w:trHeight w:val="300"/>
          <w:tblHeader/>
        </w:trPr>
        <w:tc>
          <w:tcPr>
            <w:tcW w:w="6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E7909" w:rsidR="00DE54E2" w:rsidP="00DE54E2" w:rsidRDefault="00DE54E2" w14:paraId="694683FE" w14:textId="77777777">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No.</w:t>
            </w:r>
          </w:p>
        </w:tc>
        <w:tc>
          <w:tcPr>
            <w:tcW w:w="5800" w:type="dxa"/>
            <w:tcBorders>
              <w:top w:val="single" w:color="auto" w:sz="4" w:space="0"/>
              <w:left w:val="nil"/>
              <w:bottom w:val="single" w:color="auto" w:sz="4" w:space="0"/>
              <w:right w:val="single" w:color="auto" w:sz="4" w:space="0"/>
            </w:tcBorders>
            <w:shd w:val="clear" w:color="auto" w:fill="auto"/>
            <w:vAlign w:val="bottom"/>
            <w:hideMark/>
          </w:tcPr>
          <w:p w:rsidRPr="00CE7909" w:rsidR="00DE54E2" w:rsidP="00DE54E2" w:rsidRDefault="00DE54E2" w14:paraId="51429D49" w14:textId="77777777">
            <w:pPr>
              <w:widowControl/>
              <w:autoSpaceDE/>
              <w:autoSpaceDN/>
              <w:adjustRightInd/>
              <w:rPr>
                <w:rFonts w:ascii="Calibri" w:hAnsi="Calibri"/>
                <w:color w:val="000000"/>
                <w:sz w:val="22"/>
                <w:szCs w:val="22"/>
              </w:rPr>
            </w:pPr>
            <w:r w:rsidRPr="00CE7909">
              <w:rPr>
                <w:rFonts w:ascii="Calibri" w:hAnsi="Calibri"/>
                <w:color w:val="000000"/>
                <w:sz w:val="22"/>
                <w:szCs w:val="22"/>
              </w:rPr>
              <w:t>Title</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CE7909" w:rsidR="00DE54E2" w:rsidP="00A04E41" w:rsidRDefault="00A04E41" w14:paraId="0398D696" w14:textId="4D477D48">
            <w:pPr>
              <w:widowControl/>
              <w:autoSpaceDE/>
              <w:autoSpaceDN/>
              <w:adjustRightInd/>
              <w:rPr>
                <w:rFonts w:ascii="Calibri" w:hAnsi="Calibri"/>
                <w:color w:val="000000"/>
                <w:sz w:val="22"/>
                <w:szCs w:val="22"/>
              </w:rPr>
            </w:pPr>
            <w:r w:rsidRPr="00CE7909">
              <w:rPr>
                <w:rFonts w:ascii="Calibri" w:hAnsi="Calibri"/>
                <w:color w:val="000000"/>
                <w:sz w:val="22"/>
                <w:szCs w:val="22"/>
              </w:rPr>
              <w:t>Time (</w:t>
            </w:r>
            <w:proofErr w:type="spellStart"/>
            <w:r w:rsidRPr="00CE7909">
              <w:rPr>
                <w:rFonts w:ascii="Calibri" w:hAnsi="Calibri"/>
                <w:color w:val="000000"/>
                <w:sz w:val="22"/>
                <w:szCs w:val="22"/>
              </w:rPr>
              <w:t>hr</w:t>
            </w:r>
            <w:proofErr w:type="spellEnd"/>
            <w:r w:rsidRPr="00CE7909">
              <w:rPr>
                <w:rFonts w:ascii="Calibri" w:hAnsi="Calibri"/>
                <w:color w:val="000000"/>
                <w:sz w:val="22"/>
                <w:szCs w:val="22"/>
              </w:rPr>
              <w:t>)</w:t>
            </w:r>
          </w:p>
        </w:tc>
      </w:tr>
      <w:tr w:rsidRPr="00CE7909" w:rsidR="00DE54E2" w:rsidTr="007C61E5" w14:paraId="1AC47C8B"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00553569" w14:textId="428A1ECD">
            <w:pPr>
              <w:widowControl/>
              <w:autoSpaceDE/>
              <w:autoSpaceDN/>
              <w:adjustRightInd/>
              <w:jc w:val="center"/>
              <w:rPr>
                <w:rFonts w:ascii="Calibri" w:hAnsi="Calibri"/>
                <w:sz w:val="22"/>
                <w:szCs w:val="22"/>
              </w:rPr>
            </w:pPr>
            <w:r w:rsidRPr="00CE7909">
              <w:rPr>
                <w:rFonts w:ascii="Calibri" w:hAnsi="Calibri"/>
                <w:sz w:val="22"/>
                <w:szCs w:val="22"/>
              </w:rPr>
              <w:t>15</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FEEB51D" w14:textId="01D5EE0E">
            <w:pPr>
              <w:widowControl/>
              <w:autoSpaceDE/>
              <w:autoSpaceDN/>
              <w:adjustRightInd/>
              <w:rPr>
                <w:rFonts w:ascii="Calibri" w:hAnsi="Calibri"/>
                <w:sz w:val="22"/>
                <w:szCs w:val="22"/>
              </w:rPr>
            </w:pPr>
            <w:r w:rsidRPr="00CE7909">
              <w:rPr>
                <w:rFonts w:ascii="Calibri" w:hAnsi="Calibri"/>
                <w:sz w:val="22"/>
                <w:szCs w:val="22"/>
              </w:rPr>
              <w:t>Medicaid State Plan Eligibility</w:t>
            </w:r>
            <w:r w:rsidRPr="00CE7909" w:rsidR="000E7AA1">
              <w:rPr>
                <w:rFonts w:ascii="Calibri" w:hAnsi="Calibri"/>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DE54E2" w14:paraId="63A70DAC" w14:textId="77777777">
            <w:pPr>
              <w:widowControl/>
              <w:autoSpaceDE/>
              <w:autoSpaceDN/>
              <w:adjustRightInd/>
              <w:jc w:val="right"/>
              <w:rPr>
                <w:rFonts w:ascii="Calibri" w:hAnsi="Calibri"/>
                <w:sz w:val="22"/>
                <w:szCs w:val="22"/>
              </w:rPr>
            </w:pPr>
            <w:r w:rsidRPr="00CE7909">
              <w:rPr>
                <w:rFonts w:ascii="Calibri" w:hAnsi="Calibri"/>
                <w:sz w:val="22"/>
                <w:szCs w:val="22"/>
              </w:rPr>
              <w:t>1,120</w:t>
            </w:r>
          </w:p>
        </w:tc>
      </w:tr>
      <w:tr w:rsidRPr="00CE7909" w:rsidR="00DE54E2" w:rsidTr="007C61E5" w14:paraId="41BFE7C2"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EEA9A0A" w14:textId="47CC896F">
            <w:pPr>
              <w:widowControl/>
              <w:autoSpaceDE/>
              <w:autoSpaceDN/>
              <w:adjustRightInd/>
              <w:jc w:val="center"/>
              <w:rPr>
                <w:rFonts w:ascii="Calibri" w:hAnsi="Calibri"/>
                <w:sz w:val="22"/>
                <w:szCs w:val="22"/>
              </w:rPr>
            </w:pPr>
            <w:r w:rsidRPr="00CE7909">
              <w:rPr>
                <w:rFonts w:ascii="Calibri" w:hAnsi="Calibri"/>
                <w:sz w:val="22"/>
                <w:szCs w:val="22"/>
              </w:rPr>
              <w:t>22</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09245EA8" w14:textId="071A3394">
            <w:pPr>
              <w:widowControl/>
              <w:autoSpaceDE/>
              <w:autoSpaceDN/>
              <w:adjustRightInd/>
              <w:rPr>
                <w:rFonts w:ascii="Calibri" w:hAnsi="Calibri"/>
                <w:sz w:val="22"/>
                <w:szCs w:val="22"/>
              </w:rPr>
            </w:pPr>
            <w:r w:rsidRPr="00CE7909">
              <w:rPr>
                <w:rFonts w:ascii="Calibri" w:hAnsi="Calibri"/>
                <w:sz w:val="22"/>
                <w:szCs w:val="22"/>
              </w:rPr>
              <w:t>Health Home SPA</w:t>
            </w:r>
            <w:r w:rsidRPr="00CE7909" w:rsidR="000E7AA1">
              <w:rPr>
                <w:rFonts w:ascii="Calibri" w:hAnsi="Calibri"/>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3501198" w14:textId="0E5DCB10">
            <w:pPr>
              <w:widowControl/>
              <w:autoSpaceDE/>
              <w:autoSpaceDN/>
              <w:adjustRightInd/>
              <w:jc w:val="right"/>
              <w:rPr>
                <w:rFonts w:ascii="Calibri" w:hAnsi="Calibri"/>
                <w:sz w:val="22"/>
                <w:szCs w:val="22"/>
              </w:rPr>
            </w:pPr>
            <w:r w:rsidRPr="00CE7909">
              <w:rPr>
                <w:rFonts w:ascii="Calibri" w:hAnsi="Calibri"/>
                <w:sz w:val="22"/>
                <w:szCs w:val="22"/>
              </w:rPr>
              <w:t>2,400</w:t>
            </w:r>
          </w:p>
        </w:tc>
      </w:tr>
      <w:tr w:rsidRPr="00CE7909" w:rsidR="00DE54E2" w:rsidTr="007C61E5" w14:paraId="0CB42183"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A2ADAC2" w14:textId="0CC13926">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26</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9174A26" w14:textId="133979DB">
            <w:pPr>
              <w:widowControl/>
              <w:autoSpaceDE/>
              <w:autoSpaceDN/>
              <w:adjustRightInd/>
              <w:rPr>
                <w:rFonts w:ascii="Calibri" w:hAnsi="Calibri"/>
                <w:color w:val="000000"/>
                <w:sz w:val="22"/>
                <w:szCs w:val="22"/>
              </w:rPr>
            </w:pPr>
            <w:r w:rsidRPr="00CE7909">
              <w:rPr>
                <w:rFonts w:ascii="Calibri" w:hAnsi="Calibri"/>
                <w:color w:val="000000"/>
                <w:sz w:val="22"/>
                <w:szCs w:val="22"/>
              </w:rPr>
              <w:t>Medicaid Adult Core Set Measures Reporting Template</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6D846F71" w14:textId="3E89B778">
            <w:pPr>
              <w:widowControl/>
              <w:autoSpaceDE/>
              <w:autoSpaceDN/>
              <w:adjustRightInd/>
              <w:jc w:val="right"/>
              <w:rPr>
                <w:rFonts w:ascii="Calibri" w:hAnsi="Calibri"/>
                <w:color w:val="000000"/>
                <w:sz w:val="22"/>
                <w:szCs w:val="22"/>
              </w:rPr>
            </w:pPr>
            <w:r w:rsidRPr="00CE7909">
              <w:rPr>
                <w:rFonts w:ascii="Calibri" w:hAnsi="Calibri"/>
                <w:color w:val="000000"/>
                <w:sz w:val="22"/>
                <w:szCs w:val="22"/>
              </w:rPr>
              <w:t>2,240</w:t>
            </w:r>
          </w:p>
        </w:tc>
      </w:tr>
      <w:tr w:rsidRPr="00CE7909" w:rsidR="00DE54E2" w:rsidTr="007C61E5" w14:paraId="3CD548A9"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57661F3" w14:textId="6BBA27C4">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45</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9988C6E" w14:textId="1F047CCD">
            <w:pPr>
              <w:widowControl/>
              <w:autoSpaceDE/>
              <w:autoSpaceDN/>
              <w:adjustRightInd/>
              <w:rPr>
                <w:rFonts w:ascii="Calibri" w:hAnsi="Calibri"/>
                <w:color w:val="000000"/>
                <w:sz w:val="22"/>
                <w:szCs w:val="22"/>
              </w:rPr>
            </w:pPr>
            <w:r w:rsidRPr="00CE7909">
              <w:rPr>
                <w:rFonts w:ascii="Calibri" w:hAnsi="Calibri"/>
                <w:color w:val="000000"/>
                <w:sz w:val="22"/>
                <w:szCs w:val="22"/>
              </w:rPr>
              <w:t>Maternal and Infant Health Quality</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4C503A31" w14:textId="08606AA7">
            <w:pPr>
              <w:widowControl/>
              <w:autoSpaceDE/>
              <w:autoSpaceDN/>
              <w:adjustRightInd/>
              <w:jc w:val="right"/>
              <w:rPr>
                <w:rFonts w:ascii="Calibri" w:hAnsi="Calibri"/>
                <w:color w:val="000000"/>
                <w:sz w:val="22"/>
                <w:szCs w:val="22"/>
              </w:rPr>
            </w:pPr>
            <w:r w:rsidRPr="00CE7909">
              <w:rPr>
                <w:rFonts w:ascii="Calibri" w:hAnsi="Calibri"/>
                <w:color w:val="000000"/>
                <w:sz w:val="22"/>
                <w:szCs w:val="22"/>
              </w:rPr>
              <w:t>112</w:t>
            </w:r>
          </w:p>
        </w:tc>
      </w:tr>
      <w:tr w:rsidRPr="00CE7909" w:rsidR="00DE54E2" w:rsidTr="007C61E5" w14:paraId="7B3FE14F"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5D515395" w14:textId="5F94768C">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47</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14007351" w14:textId="0A347C2F">
            <w:pPr>
              <w:widowControl/>
              <w:autoSpaceDE/>
              <w:autoSpaceDN/>
              <w:adjustRightInd/>
              <w:rPr>
                <w:rFonts w:ascii="Calibri" w:hAnsi="Calibri"/>
                <w:color w:val="000000"/>
                <w:sz w:val="22"/>
                <w:szCs w:val="22"/>
              </w:rPr>
            </w:pPr>
            <w:r w:rsidRPr="00CE7909">
              <w:rPr>
                <w:rFonts w:ascii="Calibri" w:hAnsi="Calibri"/>
                <w:color w:val="000000"/>
                <w:sz w:val="22"/>
                <w:szCs w:val="22"/>
              </w:rPr>
              <w:t>Health Home Core Sets</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7054AB63" w14:textId="7AD79739">
            <w:pPr>
              <w:widowControl/>
              <w:autoSpaceDE/>
              <w:autoSpaceDN/>
              <w:adjustRightInd/>
              <w:jc w:val="right"/>
              <w:rPr>
                <w:rFonts w:ascii="Calibri" w:hAnsi="Calibri"/>
                <w:color w:val="000000"/>
                <w:sz w:val="22"/>
                <w:szCs w:val="22"/>
              </w:rPr>
            </w:pPr>
            <w:r w:rsidRPr="00CE7909">
              <w:rPr>
                <w:rFonts w:ascii="Calibri" w:hAnsi="Calibri"/>
                <w:color w:val="000000"/>
                <w:sz w:val="22"/>
                <w:szCs w:val="22"/>
              </w:rPr>
              <w:t>1,200</w:t>
            </w:r>
          </w:p>
        </w:tc>
      </w:tr>
      <w:tr w:rsidRPr="00CE7909" w:rsidR="007C61E5" w:rsidTr="007C61E5" w14:paraId="4269E774"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tcPr>
          <w:p w:rsidRPr="00CE7909" w:rsidR="007C61E5" w:rsidP="000E7AA1" w:rsidRDefault="007C61E5" w14:paraId="0AB54717" w14:textId="305E233F">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60</w:t>
            </w:r>
          </w:p>
        </w:tc>
        <w:tc>
          <w:tcPr>
            <w:tcW w:w="5800" w:type="dxa"/>
            <w:tcBorders>
              <w:top w:val="nil"/>
              <w:left w:val="nil"/>
              <w:bottom w:val="single" w:color="auto" w:sz="4" w:space="0"/>
              <w:right w:val="single" w:color="auto" w:sz="4" w:space="0"/>
            </w:tcBorders>
            <w:shd w:val="clear" w:color="auto" w:fill="auto"/>
            <w:vAlign w:val="bottom"/>
          </w:tcPr>
          <w:p w:rsidRPr="00CE7909" w:rsidR="007C61E5" w:rsidP="00DE54E2" w:rsidRDefault="007C61E5" w14:paraId="6774EC7C" w14:textId="296C807E">
            <w:pPr>
              <w:widowControl/>
              <w:autoSpaceDE/>
              <w:autoSpaceDN/>
              <w:adjustRightInd/>
              <w:rPr>
                <w:rFonts w:ascii="Calibri" w:hAnsi="Calibri"/>
                <w:color w:val="000000"/>
                <w:sz w:val="22"/>
                <w:szCs w:val="22"/>
              </w:rPr>
            </w:pPr>
            <w:r w:rsidRPr="00CE7909">
              <w:rPr>
                <w:rFonts w:ascii="Calibri" w:hAnsi="Calibri"/>
                <w:color w:val="000000"/>
                <w:sz w:val="22"/>
                <w:szCs w:val="22"/>
              </w:rPr>
              <w:t>1115 Support Act Survey of Housing Related Supports</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tcPr>
          <w:p w:rsidRPr="00CE7909" w:rsidR="007C61E5" w:rsidP="00DE54E2" w:rsidRDefault="007C61E5" w14:paraId="0BA1348E" w14:textId="13E5F061">
            <w:pPr>
              <w:widowControl/>
              <w:autoSpaceDE/>
              <w:autoSpaceDN/>
              <w:adjustRightInd/>
              <w:jc w:val="right"/>
              <w:rPr>
                <w:rFonts w:ascii="Calibri" w:hAnsi="Calibri"/>
                <w:color w:val="000000"/>
                <w:sz w:val="22"/>
                <w:szCs w:val="22"/>
              </w:rPr>
            </w:pPr>
            <w:r w:rsidRPr="00CE7909">
              <w:rPr>
                <w:rFonts w:ascii="Calibri" w:hAnsi="Calibri"/>
                <w:color w:val="000000"/>
                <w:sz w:val="22"/>
                <w:szCs w:val="22"/>
              </w:rPr>
              <w:t>26</w:t>
            </w:r>
          </w:p>
        </w:tc>
      </w:tr>
      <w:tr w:rsidRPr="00805821" w:rsidR="00DE54E2" w:rsidTr="007C61E5" w14:paraId="2909D909" w14:textId="77777777">
        <w:trPr>
          <w:trHeight w:val="300"/>
          <w:tblHeader/>
        </w:trPr>
        <w:tc>
          <w:tcPr>
            <w:tcW w:w="6400"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805821" w:rsidR="00DE54E2" w:rsidP="00DE54E2" w:rsidRDefault="00DE54E2" w14:paraId="049F4C81" w14:textId="77777777">
            <w:pPr>
              <w:widowControl/>
              <w:autoSpaceDE/>
              <w:autoSpaceDN/>
              <w:adjustRightInd/>
              <w:jc w:val="right"/>
              <w:rPr>
                <w:rFonts w:ascii="Calibri" w:hAnsi="Calibri"/>
                <w:bCs/>
                <w:color w:val="000000"/>
                <w:sz w:val="22"/>
                <w:szCs w:val="22"/>
              </w:rPr>
            </w:pPr>
            <w:r w:rsidRPr="00805821">
              <w:rPr>
                <w:rFonts w:ascii="Calibri" w:hAnsi="Calibri"/>
                <w:bCs/>
                <w:color w:val="000000"/>
                <w:sz w:val="22"/>
                <w:szCs w:val="22"/>
              </w:rPr>
              <w:t>TOTAL</w:t>
            </w:r>
          </w:p>
        </w:tc>
        <w:tc>
          <w:tcPr>
            <w:tcW w:w="1200" w:type="dxa"/>
            <w:tcBorders>
              <w:top w:val="nil"/>
              <w:left w:val="nil"/>
              <w:bottom w:val="single" w:color="auto" w:sz="4" w:space="0"/>
              <w:right w:val="single" w:color="auto" w:sz="4" w:space="0"/>
            </w:tcBorders>
            <w:shd w:val="clear" w:color="auto" w:fill="auto"/>
            <w:vAlign w:val="bottom"/>
            <w:hideMark/>
          </w:tcPr>
          <w:p w:rsidRPr="00805821" w:rsidR="00DE54E2" w:rsidP="00693D19" w:rsidRDefault="007C61E5" w14:paraId="6E46B139" w14:textId="7858A4B4">
            <w:pPr>
              <w:widowControl/>
              <w:autoSpaceDE/>
              <w:autoSpaceDN/>
              <w:adjustRightInd/>
              <w:jc w:val="right"/>
              <w:rPr>
                <w:rFonts w:ascii="Calibri" w:hAnsi="Calibri"/>
                <w:bCs/>
                <w:color w:val="000000"/>
                <w:sz w:val="22"/>
                <w:szCs w:val="22"/>
              </w:rPr>
            </w:pPr>
            <w:r w:rsidRPr="00805821">
              <w:rPr>
                <w:rFonts w:ascii="Calibri" w:hAnsi="Calibri"/>
                <w:bCs/>
                <w:color w:val="000000"/>
                <w:sz w:val="22"/>
                <w:szCs w:val="22"/>
              </w:rPr>
              <w:t>7,098</w:t>
            </w:r>
          </w:p>
        </w:tc>
      </w:tr>
    </w:tbl>
    <w:p w:rsidRPr="007818D2" w:rsidR="00EF4ACE" w:rsidP="00982BB2" w:rsidRDefault="00FC6DD4" w14:paraId="52A82C1A" w14:textId="3A7050BB">
      <w:pPr>
        <w:rPr>
          <w:i/>
          <w:sz w:val="18"/>
          <w:szCs w:val="18"/>
        </w:rPr>
      </w:pPr>
      <w:r w:rsidRPr="007818D2">
        <w:rPr>
          <w:i/>
          <w:sz w:val="18"/>
          <w:szCs w:val="18"/>
        </w:rPr>
        <w:t>*W</w:t>
      </w:r>
      <w:r w:rsidRPr="007818D2" w:rsidR="000E7AA1">
        <w:rPr>
          <w:i/>
          <w:sz w:val="18"/>
          <w:szCs w:val="18"/>
        </w:rPr>
        <w:t>hile w</w:t>
      </w:r>
      <w:r w:rsidRPr="007818D2">
        <w:rPr>
          <w:i/>
          <w:sz w:val="18"/>
          <w:szCs w:val="18"/>
        </w:rPr>
        <w:t xml:space="preserve">e are removing from this 0938-1148 control number, the requirements and burden remain active, and approved by OMB, under our </w:t>
      </w:r>
      <w:proofErr w:type="spellStart"/>
      <w:r w:rsidRPr="007818D2">
        <w:rPr>
          <w:i/>
          <w:sz w:val="18"/>
          <w:szCs w:val="18"/>
        </w:rPr>
        <w:t>MACPro</w:t>
      </w:r>
      <w:proofErr w:type="spellEnd"/>
      <w:r w:rsidRPr="007818D2">
        <w:rPr>
          <w:i/>
          <w:sz w:val="18"/>
          <w:szCs w:val="18"/>
        </w:rPr>
        <w:t xml:space="preserve"> </w:t>
      </w:r>
      <w:r w:rsidRPr="007818D2" w:rsidR="001122DC">
        <w:rPr>
          <w:i/>
          <w:sz w:val="18"/>
          <w:szCs w:val="18"/>
        </w:rPr>
        <w:t>collection of information (CMS-10434, OMB 0938-1188).</w:t>
      </w:r>
    </w:p>
    <w:p w:rsidRPr="007818D2" w:rsidR="00FC6DD4" w:rsidP="00982BB2" w:rsidRDefault="00FC6DD4" w14:paraId="47CC35DE" w14:textId="0722184F">
      <w:pPr>
        <w:rPr>
          <w:i/>
          <w:sz w:val="18"/>
          <w:szCs w:val="18"/>
        </w:rPr>
      </w:pPr>
      <w:r w:rsidRPr="007818D2">
        <w:rPr>
          <w:i/>
          <w:sz w:val="18"/>
          <w:szCs w:val="18"/>
        </w:rPr>
        <w:t>**This was a one-time needs assessment.</w:t>
      </w:r>
    </w:p>
    <w:p w:rsidRPr="000E7AA1" w:rsidR="00FC6DD4" w:rsidP="00982BB2" w:rsidRDefault="00FC6DD4" w14:paraId="7CCB6BCD" w14:textId="77777777">
      <w:pPr>
        <w:rPr>
          <w:sz w:val="24"/>
        </w:rPr>
      </w:pPr>
    </w:p>
    <w:p w:rsidRPr="00CE7909" w:rsidR="005C619E" w:rsidP="005C619E" w:rsidRDefault="005C619E" w14:paraId="6D077D5E" w14:textId="77777777">
      <w:pPr>
        <w:rPr>
          <w:i/>
          <w:sz w:val="24"/>
        </w:rPr>
      </w:pPr>
      <w:r w:rsidRPr="00CE7909">
        <w:rPr>
          <w:i/>
          <w:sz w:val="24"/>
        </w:rPr>
        <w:t xml:space="preserve">Projected </w:t>
      </w:r>
      <w:proofErr w:type="spellStart"/>
      <w:r w:rsidRPr="00CE7909">
        <w:rPr>
          <w:i/>
          <w:sz w:val="24"/>
        </w:rPr>
        <w:t>GenICs</w:t>
      </w:r>
      <w:proofErr w:type="spellEnd"/>
    </w:p>
    <w:p w:rsidRPr="009A2222" w:rsidR="00EF4ACE" w:rsidP="00982BB2" w:rsidRDefault="00EF4ACE" w14:paraId="495BADDE" w14:textId="77777777">
      <w:pPr>
        <w:rPr>
          <w:sz w:val="24"/>
        </w:rPr>
      </w:pPr>
    </w:p>
    <w:p w:rsidRPr="009A2222" w:rsidR="00C420CD" w:rsidP="00C420CD" w:rsidRDefault="00C420CD" w14:paraId="00F17492" w14:textId="3C4034FD">
      <w:pPr>
        <w:rPr>
          <w:sz w:val="24"/>
        </w:rPr>
      </w:pPr>
      <w:r w:rsidRPr="009A2222">
        <w:rPr>
          <w:sz w:val="24"/>
        </w:rPr>
        <w:t>For the upcoming 3-year (</w:t>
      </w:r>
      <w:r w:rsidRPr="009A2222" w:rsidR="007C61E5">
        <w:rPr>
          <w:sz w:val="24"/>
        </w:rPr>
        <w:t>2021</w:t>
      </w:r>
      <w:r w:rsidRPr="009A2222">
        <w:rPr>
          <w:sz w:val="24"/>
        </w:rPr>
        <w:t xml:space="preserve"> – 20</w:t>
      </w:r>
      <w:r w:rsidRPr="009A2222" w:rsidR="00693D19">
        <w:rPr>
          <w:sz w:val="24"/>
        </w:rPr>
        <w:t>2</w:t>
      </w:r>
      <w:r w:rsidRPr="009A2222" w:rsidR="004B7C04">
        <w:rPr>
          <w:sz w:val="24"/>
        </w:rPr>
        <w:t>4</w:t>
      </w:r>
      <w:r w:rsidRPr="009A2222">
        <w:rPr>
          <w:sz w:val="24"/>
        </w:rPr>
        <w:t>) approval period, we estimate the time involved for completing a template is 20 hours for shorter/less complex templates and 40 hours for templates that are more comprehensive/complex. Under the above scenario, each State could spend 1,080 hours to produce 38 responses including 16 complex templates requiring 40 hours and 22 shorter templates requiring 20 hours (1,080 hours = [16 templates * 40 hours] + [22 templates * 20 hours]).  If all 56 respondents spent 1,080 hours over the 3-year period, the total 3-year burden would be 60,480 hours (1,080 hours * 56 States).</w:t>
      </w:r>
    </w:p>
    <w:p w:rsidRPr="009A2222" w:rsidR="00C420CD" w:rsidP="00982BB2" w:rsidRDefault="00C420CD" w14:paraId="0FAB6716" w14:textId="77777777">
      <w:pPr>
        <w:rPr>
          <w:sz w:val="24"/>
        </w:rPr>
      </w:pPr>
    </w:p>
    <w:tbl>
      <w:tblPr>
        <w:tblW w:w="9940" w:type="dxa"/>
        <w:tblInd w:w="113" w:type="dxa"/>
        <w:tblLook w:val="04A0" w:firstRow="1" w:lastRow="0" w:firstColumn="1" w:lastColumn="0" w:noHBand="0" w:noVBand="1"/>
      </w:tblPr>
      <w:tblGrid>
        <w:gridCol w:w="5280"/>
        <w:gridCol w:w="1755"/>
        <w:gridCol w:w="1256"/>
        <w:gridCol w:w="1649"/>
      </w:tblGrid>
      <w:tr w:rsidRPr="00805821" w:rsidR="005C619E" w:rsidTr="00693D19" w14:paraId="2B0C9146" w14:textId="77777777">
        <w:trPr>
          <w:trHeight w:val="240"/>
          <w:tblHeader/>
        </w:trPr>
        <w:tc>
          <w:tcPr>
            <w:tcW w:w="5280" w:type="dxa"/>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805821" w:rsidR="005C619E" w:rsidP="005C619E" w:rsidRDefault="005C619E" w14:paraId="5274902B" w14:textId="77777777">
            <w:pPr>
              <w:widowControl/>
              <w:autoSpaceDE/>
              <w:autoSpaceDN/>
              <w:adjustRightInd/>
              <w:jc w:val="center"/>
              <w:rPr>
                <w:rFonts w:ascii="Arial" w:hAnsi="Arial" w:cs="Arial"/>
                <w:bCs/>
                <w:szCs w:val="20"/>
              </w:rPr>
            </w:pPr>
            <w:r w:rsidRPr="00805821">
              <w:rPr>
                <w:rFonts w:ascii="Arial" w:hAnsi="Arial" w:cs="Arial"/>
                <w:bCs/>
                <w:szCs w:val="20"/>
              </w:rPr>
              <w:lastRenderedPageBreak/>
              <w:t>Title</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805821" w:rsidR="005C619E" w:rsidP="005C619E" w:rsidRDefault="005C619E" w14:paraId="5CCBA008" w14:textId="77777777">
            <w:pPr>
              <w:widowControl/>
              <w:autoSpaceDE/>
              <w:autoSpaceDN/>
              <w:adjustRightInd/>
              <w:jc w:val="center"/>
              <w:rPr>
                <w:rFonts w:ascii="Arial" w:hAnsi="Arial" w:cs="Arial"/>
                <w:bCs/>
                <w:szCs w:val="20"/>
              </w:rPr>
            </w:pPr>
            <w:r w:rsidRPr="00805821">
              <w:rPr>
                <w:rFonts w:ascii="Arial" w:hAnsi="Arial" w:cs="Arial"/>
                <w:bCs/>
                <w:szCs w:val="20"/>
              </w:rPr>
              <w:t>Target Rollout Date</w:t>
            </w:r>
          </w:p>
        </w:tc>
        <w:tc>
          <w:tcPr>
            <w:tcW w:w="1256" w:type="dxa"/>
            <w:vMerge w:val="restart"/>
            <w:tcBorders>
              <w:top w:val="single" w:color="000000" w:sz="4" w:space="0"/>
              <w:left w:val="single" w:color="000000" w:sz="4" w:space="0"/>
              <w:bottom w:val="single" w:color="000000" w:sz="4" w:space="0"/>
              <w:right w:val="nil"/>
            </w:tcBorders>
            <w:shd w:val="clear" w:color="auto" w:fill="auto"/>
            <w:hideMark/>
          </w:tcPr>
          <w:p w:rsidRPr="00805821" w:rsidR="005C619E" w:rsidP="005C619E" w:rsidRDefault="005C619E" w14:paraId="0AC727A7" w14:textId="77777777">
            <w:pPr>
              <w:widowControl/>
              <w:autoSpaceDE/>
              <w:autoSpaceDN/>
              <w:adjustRightInd/>
              <w:jc w:val="center"/>
              <w:rPr>
                <w:rFonts w:ascii="Arial" w:hAnsi="Arial" w:cs="Arial"/>
                <w:bCs/>
                <w:szCs w:val="20"/>
              </w:rPr>
            </w:pPr>
            <w:r w:rsidRPr="00805821">
              <w:rPr>
                <w:rFonts w:ascii="Arial" w:hAnsi="Arial" w:cs="Arial"/>
                <w:bCs/>
                <w:szCs w:val="20"/>
              </w:rPr>
              <w:t>Projected Time Per Response (</w:t>
            </w:r>
            <w:proofErr w:type="spellStart"/>
            <w:r w:rsidRPr="00805821">
              <w:rPr>
                <w:rFonts w:ascii="Arial" w:hAnsi="Arial" w:cs="Arial"/>
                <w:bCs/>
                <w:szCs w:val="20"/>
              </w:rPr>
              <w:t>hr</w:t>
            </w:r>
            <w:proofErr w:type="spellEnd"/>
            <w:r w:rsidRPr="00805821">
              <w:rPr>
                <w:rFonts w:ascii="Arial" w:hAnsi="Arial" w:cs="Arial"/>
                <w:bCs/>
                <w:szCs w:val="20"/>
              </w:rPr>
              <w:t>)</w:t>
            </w:r>
          </w:p>
        </w:tc>
        <w:tc>
          <w:tcPr>
            <w:tcW w:w="1649"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805821" w:rsidR="005C619E" w:rsidP="005C619E" w:rsidRDefault="005C619E" w14:paraId="1548F5DB" w14:textId="77777777">
            <w:pPr>
              <w:widowControl/>
              <w:autoSpaceDE/>
              <w:autoSpaceDN/>
              <w:adjustRightInd/>
              <w:jc w:val="center"/>
              <w:rPr>
                <w:rFonts w:ascii="Arial" w:hAnsi="Arial" w:cs="Arial"/>
                <w:bCs/>
                <w:szCs w:val="20"/>
              </w:rPr>
            </w:pPr>
            <w:r w:rsidRPr="00805821">
              <w:rPr>
                <w:rFonts w:ascii="Arial" w:hAnsi="Arial" w:cs="Arial"/>
                <w:bCs/>
                <w:szCs w:val="20"/>
              </w:rPr>
              <w:t>Projected Time (</w:t>
            </w:r>
            <w:proofErr w:type="spellStart"/>
            <w:r w:rsidRPr="00805821">
              <w:rPr>
                <w:rFonts w:ascii="Arial" w:hAnsi="Arial" w:cs="Arial"/>
                <w:bCs/>
                <w:szCs w:val="20"/>
              </w:rPr>
              <w:t>hr</w:t>
            </w:r>
            <w:proofErr w:type="spellEnd"/>
            <w:r w:rsidRPr="00805821">
              <w:rPr>
                <w:rFonts w:ascii="Arial" w:hAnsi="Arial" w:cs="Arial"/>
                <w:bCs/>
                <w:szCs w:val="20"/>
              </w:rPr>
              <w:t>)</w:t>
            </w:r>
          </w:p>
        </w:tc>
      </w:tr>
      <w:tr w:rsidRPr="00C736CD" w:rsidR="005C619E" w:rsidTr="005C619E" w14:paraId="396BDB4E" w14:textId="77777777">
        <w:trPr>
          <w:trHeight w:val="765"/>
        </w:trPr>
        <w:tc>
          <w:tcPr>
            <w:tcW w:w="5280" w:type="dxa"/>
            <w:vMerge/>
            <w:tcBorders>
              <w:top w:val="single" w:color="000000" w:sz="4" w:space="0"/>
              <w:left w:val="single" w:color="000000" w:sz="4" w:space="0"/>
              <w:bottom w:val="single" w:color="000000" w:sz="4" w:space="0"/>
              <w:right w:val="single" w:color="000000" w:sz="4" w:space="0"/>
            </w:tcBorders>
            <w:vAlign w:val="center"/>
            <w:hideMark/>
          </w:tcPr>
          <w:p w:rsidRPr="00C736CD" w:rsidR="005C619E" w:rsidP="005C619E" w:rsidRDefault="005C619E" w14:paraId="1C2E058C" w14:textId="77777777">
            <w:pPr>
              <w:widowControl/>
              <w:autoSpaceDE/>
              <w:autoSpaceDN/>
              <w:adjustRightInd/>
              <w:rPr>
                <w:rFonts w:ascii="Arial" w:hAnsi="Arial" w:cs="Arial"/>
                <w:b/>
                <w:bCs/>
                <w:szCs w:val="20"/>
              </w:rPr>
            </w:pPr>
          </w:p>
        </w:tc>
        <w:tc>
          <w:tcPr>
            <w:tcW w:w="1755" w:type="dxa"/>
            <w:vMerge/>
            <w:tcBorders>
              <w:top w:val="single" w:color="000000" w:sz="4" w:space="0"/>
              <w:left w:val="single" w:color="000000" w:sz="4" w:space="0"/>
              <w:bottom w:val="single" w:color="000000" w:sz="4" w:space="0"/>
              <w:right w:val="single" w:color="000000" w:sz="4" w:space="0"/>
            </w:tcBorders>
            <w:vAlign w:val="center"/>
            <w:hideMark/>
          </w:tcPr>
          <w:p w:rsidRPr="00C736CD" w:rsidR="005C619E" w:rsidP="005C619E" w:rsidRDefault="005C619E" w14:paraId="2C977A8B" w14:textId="77777777">
            <w:pPr>
              <w:widowControl/>
              <w:autoSpaceDE/>
              <w:autoSpaceDN/>
              <w:adjustRightInd/>
              <w:rPr>
                <w:rFonts w:ascii="Arial" w:hAnsi="Arial" w:cs="Arial"/>
                <w:b/>
                <w:bCs/>
                <w:szCs w:val="20"/>
              </w:rPr>
            </w:pPr>
          </w:p>
        </w:tc>
        <w:tc>
          <w:tcPr>
            <w:tcW w:w="1256" w:type="dxa"/>
            <w:vMerge/>
            <w:tcBorders>
              <w:top w:val="single" w:color="000000" w:sz="4" w:space="0"/>
              <w:left w:val="single" w:color="000000" w:sz="4" w:space="0"/>
              <w:bottom w:val="single" w:color="000000" w:sz="4" w:space="0"/>
              <w:right w:val="nil"/>
            </w:tcBorders>
            <w:vAlign w:val="center"/>
            <w:hideMark/>
          </w:tcPr>
          <w:p w:rsidRPr="00C736CD" w:rsidR="005C619E" w:rsidP="005C619E" w:rsidRDefault="005C619E" w14:paraId="4A44E031" w14:textId="77777777">
            <w:pPr>
              <w:widowControl/>
              <w:autoSpaceDE/>
              <w:autoSpaceDN/>
              <w:adjustRightInd/>
              <w:rPr>
                <w:rFonts w:ascii="Arial" w:hAnsi="Arial" w:cs="Arial"/>
                <w:b/>
                <w:bCs/>
                <w:szCs w:val="20"/>
              </w:rPr>
            </w:pPr>
          </w:p>
        </w:tc>
        <w:tc>
          <w:tcPr>
            <w:tcW w:w="1649" w:type="dxa"/>
            <w:vMerge/>
            <w:tcBorders>
              <w:top w:val="single" w:color="auto" w:sz="4" w:space="0"/>
              <w:left w:val="single" w:color="auto" w:sz="4" w:space="0"/>
              <w:bottom w:val="single" w:color="auto" w:sz="4" w:space="0"/>
              <w:right w:val="single" w:color="auto" w:sz="4" w:space="0"/>
            </w:tcBorders>
            <w:vAlign w:val="center"/>
            <w:hideMark/>
          </w:tcPr>
          <w:p w:rsidRPr="00C736CD" w:rsidR="005C619E" w:rsidP="005C619E" w:rsidRDefault="005C619E" w14:paraId="4F598C65" w14:textId="77777777">
            <w:pPr>
              <w:widowControl/>
              <w:autoSpaceDE/>
              <w:autoSpaceDN/>
              <w:adjustRightInd/>
              <w:rPr>
                <w:rFonts w:ascii="Arial" w:hAnsi="Arial" w:cs="Arial"/>
                <w:b/>
                <w:bCs/>
                <w:szCs w:val="20"/>
              </w:rPr>
            </w:pPr>
          </w:p>
        </w:tc>
      </w:tr>
      <w:tr w:rsidRPr="00C736CD" w:rsidR="005C619E" w:rsidTr="005C619E" w14:paraId="40FBCA3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9C9064A" w14:textId="77777777">
            <w:pPr>
              <w:widowControl/>
              <w:autoSpaceDE/>
              <w:autoSpaceDN/>
              <w:adjustRightInd/>
              <w:rPr>
                <w:rFonts w:ascii="Arial" w:hAnsi="Arial" w:cs="Arial"/>
                <w:szCs w:val="20"/>
              </w:rPr>
            </w:pPr>
            <w:r w:rsidRPr="00C736CD">
              <w:rPr>
                <w:rFonts w:ascii="Arial" w:hAnsi="Arial" w:cs="Arial"/>
                <w:szCs w:val="20"/>
              </w:rPr>
              <w:t>ACA Sec 2001: Benchmark</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003459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08924DE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FC3AE1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854410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68A13BA" w14:textId="77777777">
            <w:pPr>
              <w:widowControl/>
              <w:autoSpaceDE/>
              <w:autoSpaceDN/>
              <w:adjustRightInd/>
              <w:rPr>
                <w:rFonts w:ascii="Arial" w:hAnsi="Arial" w:cs="Arial"/>
                <w:szCs w:val="20"/>
              </w:rPr>
            </w:pPr>
            <w:r w:rsidRPr="00C736CD">
              <w:rPr>
                <w:rFonts w:ascii="Arial" w:hAnsi="Arial" w:cs="Arial"/>
                <w:szCs w:val="20"/>
              </w:rPr>
              <w:t>ACA Sec 2003: Premium Assistance for ESI</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A237553"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D58D82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46A2D2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0A418B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350C640" w14:textId="77777777">
            <w:pPr>
              <w:widowControl/>
              <w:autoSpaceDE/>
              <w:autoSpaceDN/>
              <w:adjustRightInd/>
              <w:rPr>
                <w:rFonts w:ascii="Arial" w:hAnsi="Arial" w:cs="Arial"/>
                <w:szCs w:val="20"/>
              </w:rPr>
            </w:pPr>
            <w:r w:rsidRPr="00C736CD">
              <w:rPr>
                <w:rFonts w:ascii="Arial" w:hAnsi="Arial" w:cs="Arial"/>
                <w:szCs w:val="20"/>
              </w:rPr>
              <w:t>ACA Sec 2202: Presumptive Eligibility by Hospitals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CD24B0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A9469A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AA7563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552681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254BA96" w14:textId="77777777">
            <w:pPr>
              <w:widowControl/>
              <w:autoSpaceDE/>
              <w:autoSpaceDN/>
              <w:adjustRightInd/>
              <w:rPr>
                <w:rFonts w:ascii="Arial" w:hAnsi="Arial" w:cs="Arial"/>
                <w:szCs w:val="20"/>
              </w:rPr>
            </w:pPr>
            <w:r w:rsidRPr="00C736CD">
              <w:rPr>
                <w:rFonts w:ascii="Arial" w:hAnsi="Arial" w:cs="Arial"/>
                <w:szCs w:val="20"/>
              </w:rPr>
              <w:t>ACA Sec 2301: Coverage of Freestanding Birth Centers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786D65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ADAD81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8A10BE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57B24F1"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56F5B7F" w14:textId="77777777">
            <w:pPr>
              <w:widowControl/>
              <w:autoSpaceDE/>
              <w:autoSpaceDN/>
              <w:adjustRightInd/>
              <w:rPr>
                <w:rFonts w:ascii="Arial" w:hAnsi="Arial" w:cs="Arial"/>
                <w:szCs w:val="20"/>
              </w:rPr>
            </w:pPr>
            <w:r w:rsidRPr="00C736CD">
              <w:rPr>
                <w:rFonts w:ascii="Arial" w:hAnsi="Arial" w:cs="Arial"/>
                <w:szCs w:val="20"/>
              </w:rPr>
              <w:t>ACA Sec 2302: Concurrent Hospice Care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C15F29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109B5A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C8A6CC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D51AFF2"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0452311" w14:textId="77777777">
            <w:pPr>
              <w:widowControl/>
              <w:autoSpaceDE/>
              <w:autoSpaceDN/>
              <w:adjustRightInd/>
              <w:rPr>
                <w:rFonts w:ascii="Arial" w:hAnsi="Arial" w:cs="Arial"/>
                <w:szCs w:val="20"/>
              </w:rPr>
            </w:pPr>
            <w:r w:rsidRPr="00C736CD">
              <w:rPr>
                <w:rFonts w:ascii="Arial" w:hAnsi="Arial" w:cs="Arial"/>
                <w:szCs w:val="20"/>
              </w:rPr>
              <w:t>ACA Sec 2303: Coverage of Family Planning Services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75F242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7FA07D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2E0B94A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E34AAB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1D78705" w14:textId="77777777">
            <w:pPr>
              <w:widowControl/>
              <w:autoSpaceDE/>
              <w:autoSpaceDN/>
              <w:adjustRightInd/>
              <w:rPr>
                <w:rFonts w:ascii="Arial" w:hAnsi="Arial" w:cs="Arial"/>
                <w:szCs w:val="20"/>
              </w:rPr>
            </w:pPr>
            <w:r w:rsidRPr="00C736CD">
              <w:rPr>
                <w:rFonts w:ascii="Arial" w:hAnsi="Arial" w:cs="Arial"/>
                <w:szCs w:val="20"/>
              </w:rPr>
              <w:t>ACA Sec 2404: Spousal Impoverishment</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46395D3"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B776C4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F82F66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23435F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586C0CA" w14:textId="77777777">
            <w:pPr>
              <w:widowControl/>
              <w:autoSpaceDE/>
              <w:autoSpaceDN/>
              <w:adjustRightInd/>
              <w:rPr>
                <w:rFonts w:ascii="Arial" w:hAnsi="Arial" w:cs="Arial"/>
                <w:szCs w:val="20"/>
              </w:rPr>
            </w:pPr>
            <w:r w:rsidRPr="00C736CD">
              <w:rPr>
                <w:rFonts w:ascii="Arial" w:hAnsi="Arial" w:cs="Arial"/>
                <w:szCs w:val="20"/>
              </w:rPr>
              <w:t>ACA Sec 4106: Preventive Services for Adults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7D9F050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891FE1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3CCC87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7142D1D9"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807BE9D" w14:textId="77777777">
            <w:pPr>
              <w:widowControl/>
              <w:autoSpaceDE/>
              <w:autoSpaceDN/>
              <w:adjustRightInd/>
              <w:rPr>
                <w:rFonts w:ascii="Arial" w:hAnsi="Arial" w:cs="Arial"/>
                <w:szCs w:val="20"/>
              </w:rPr>
            </w:pPr>
            <w:r w:rsidRPr="00C736CD">
              <w:rPr>
                <w:rFonts w:ascii="Arial" w:hAnsi="Arial" w:cs="Arial"/>
                <w:szCs w:val="20"/>
              </w:rPr>
              <w:t>ACA Section 1312: Residency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C288478"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96EDE1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D4BD54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0B96635E"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B795ABC" w14:textId="77777777">
            <w:pPr>
              <w:widowControl/>
              <w:autoSpaceDE/>
              <w:autoSpaceDN/>
              <w:adjustRightInd/>
              <w:rPr>
                <w:rFonts w:ascii="Arial" w:hAnsi="Arial" w:cs="Arial"/>
                <w:szCs w:val="20"/>
              </w:rPr>
            </w:pPr>
            <w:r w:rsidRPr="00C736CD">
              <w:rPr>
                <w:rFonts w:ascii="Arial" w:hAnsi="Arial" w:cs="Arial"/>
                <w:szCs w:val="20"/>
              </w:rPr>
              <w:t>ACA Section 1331:  Basic Health Plan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99A9D2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B8C16F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8590EB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31450D7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36EBB62" w14:textId="77777777">
            <w:pPr>
              <w:widowControl/>
              <w:autoSpaceDE/>
              <w:autoSpaceDN/>
              <w:adjustRightInd/>
              <w:rPr>
                <w:rFonts w:ascii="Arial" w:hAnsi="Arial" w:cs="Arial"/>
                <w:szCs w:val="20"/>
              </w:rPr>
            </w:pPr>
            <w:r w:rsidRPr="00C736CD">
              <w:rPr>
                <w:rFonts w:ascii="Arial" w:hAnsi="Arial" w:cs="Arial"/>
                <w:szCs w:val="20"/>
              </w:rPr>
              <w:t>ACA Section 1411: Appeals Process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A1754D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C1EF62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AD6108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F850E4"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1237DC1" w14:textId="77777777">
            <w:pPr>
              <w:widowControl/>
              <w:autoSpaceDE/>
              <w:autoSpaceDN/>
              <w:adjustRightInd/>
              <w:rPr>
                <w:rFonts w:ascii="Arial" w:hAnsi="Arial" w:cs="Arial"/>
                <w:szCs w:val="20"/>
              </w:rPr>
            </w:pPr>
            <w:r w:rsidRPr="00C736CD">
              <w:rPr>
                <w:rFonts w:ascii="Arial" w:hAnsi="Arial" w:cs="Arial"/>
                <w:szCs w:val="20"/>
              </w:rPr>
              <w:t>ACA Section 1413 /2201 HUB verification sources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099C2CE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7747BC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ABE636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DE9EF5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554418F0" w14:textId="77777777">
            <w:pPr>
              <w:widowControl/>
              <w:autoSpaceDE/>
              <w:autoSpaceDN/>
              <w:adjustRightInd/>
              <w:rPr>
                <w:rFonts w:ascii="Arial" w:hAnsi="Arial" w:cs="Arial"/>
                <w:szCs w:val="20"/>
              </w:rPr>
            </w:pPr>
            <w:r w:rsidRPr="00C736CD">
              <w:rPr>
                <w:rFonts w:ascii="Arial" w:hAnsi="Arial" w:cs="Arial"/>
                <w:szCs w:val="20"/>
              </w:rPr>
              <w:t>ACA Section 1413: Alternative Streamlined Application Template (CMS)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07D8E6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BCD99E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996167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F2B7B4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28F90FB" w14:textId="77777777">
            <w:pPr>
              <w:widowControl/>
              <w:autoSpaceDE/>
              <w:autoSpaceDN/>
              <w:adjustRightInd/>
              <w:rPr>
                <w:rFonts w:ascii="Arial" w:hAnsi="Arial" w:cs="Arial"/>
                <w:szCs w:val="20"/>
              </w:rPr>
            </w:pPr>
            <w:r w:rsidRPr="00C736CD">
              <w:rPr>
                <w:rFonts w:ascii="Arial" w:hAnsi="Arial" w:cs="Arial"/>
                <w:szCs w:val="20"/>
              </w:rPr>
              <w:t xml:space="preserve">ACA Section 1413: Verifications (Financial and </w:t>
            </w:r>
            <w:proofErr w:type="spellStart"/>
            <w:r w:rsidRPr="00C736CD">
              <w:rPr>
                <w:rFonts w:ascii="Arial" w:hAnsi="Arial" w:cs="Arial"/>
                <w:szCs w:val="20"/>
              </w:rPr>
              <w:t>non Financial</w:t>
            </w:r>
            <w:proofErr w:type="spellEnd"/>
            <w:r w:rsidRPr="00C736CD">
              <w:rPr>
                <w:rFonts w:ascii="Arial" w:hAnsi="Arial" w:cs="Arial"/>
                <w:szCs w:val="20"/>
              </w:rPr>
              <w:t>)</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8B9C5C0"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9E4250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06E367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7B8BCA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224E753" w14:textId="77777777">
            <w:pPr>
              <w:widowControl/>
              <w:autoSpaceDE/>
              <w:autoSpaceDN/>
              <w:adjustRightInd/>
              <w:rPr>
                <w:rFonts w:ascii="Arial" w:hAnsi="Arial" w:cs="Arial"/>
                <w:szCs w:val="20"/>
              </w:rPr>
            </w:pPr>
            <w:r w:rsidRPr="00C736CD">
              <w:rPr>
                <w:rFonts w:ascii="Arial" w:hAnsi="Arial" w:cs="Arial"/>
                <w:szCs w:val="20"/>
              </w:rPr>
              <w:t>ACA Section 2002: Coordination with Exchange ( Medicaid and CHIP)</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CCB2C2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969953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28DDF3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2097C2D"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5297E85" w14:textId="77777777">
            <w:pPr>
              <w:widowControl/>
              <w:autoSpaceDE/>
              <w:autoSpaceDN/>
              <w:adjustRightInd/>
              <w:rPr>
                <w:rFonts w:ascii="Arial" w:hAnsi="Arial" w:cs="Arial"/>
                <w:szCs w:val="20"/>
              </w:rPr>
            </w:pPr>
            <w:r w:rsidRPr="00C736CD">
              <w:rPr>
                <w:rFonts w:ascii="Arial" w:hAnsi="Arial" w:cs="Arial"/>
                <w:szCs w:val="20"/>
              </w:rPr>
              <w:t>ACA Section 2004: Former Foster Care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3E7B53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B1F02D2"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FBC335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301F56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0ED846A" w14:textId="77777777">
            <w:pPr>
              <w:widowControl/>
              <w:autoSpaceDE/>
              <w:autoSpaceDN/>
              <w:adjustRightInd/>
              <w:rPr>
                <w:rFonts w:ascii="Arial" w:hAnsi="Arial" w:cs="Arial"/>
                <w:szCs w:val="20"/>
              </w:rPr>
            </w:pPr>
            <w:r w:rsidRPr="00C736CD">
              <w:rPr>
                <w:rFonts w:ascii="Arial" w:hAnsi="Arial" w:cs="Arial"/>
                <w:szCs w:val="20"/>
              </w:rPr>
              <w:t>ACA Section 2303:  Family Planning - Eligibility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2FDCDF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DD284E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0421A92"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374042F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D31651C" w14:textId="77777777">
            <w:pPr>
              <w:widowControl/>
              <w:autoSpaceDE/>
              <w:autoSpaceDN/>
              <w:adjustRightInd/>
              <w:rPr>
                <w:rFonts w:ascii="Arial" w:hAnsi="Arial" w:cs="Arial"/>
                <w:szCs w:val="20"/>
              </w:rPr>
            </w:pPr>
            <w:r w:rsidRPr="00C736CD">
              <w:rPr>
                <w:rFonts w:ascii="Arial" w:hAnsi="Arial" w:cs="Arial"/>
                <w:szCs w:val="20"/>
              </w:rPr>
              <w:t>Designation of Single State Agency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B00DDD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B4A824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1473BDA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92E93CD"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75571D1" w14:textId="77777777">
            <w:pPr>
              <w:widowControl/>
              <w:autoSpaceDE/>
              <w:autoSpaceDN/>
              <w:adjustRightInd/>
              <w:rPr>
                <w:rFonts w:ascii="Arial" w:hAnsi="Arial" w:cs="Arial"/>
                <w:szCs w:val="20"/>
              </w:rPr>
            </w:pPr>
            <w:r w:rsidRPr="00C736CD">
              <w:rPr>
                <w:rFonts w:ascii="Arial" w:hAnsi="Arial" w:cs="Arial"/>
                <w:szCs w:val="20"/>
              </w:rPr>
              <w:t>Election of Tax Credit Disregards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3FC3D55"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EC9E0F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1C90E19"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A5AC79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AE8D43A" w14:textId="77777777">
            <w:pPr>
              <w:widowControl/>
              <w:autoSpaceDE/>
              <w:autoSpaceDN/>
              <w:adjustRightInd/>
              <w:rPr>
                <w:rFonts w:ascii="Arial" w:hAnsi="Arial" w:cs="Arial"/>
                <w:szCs w:val="20"/>
              </w:rPr>
            </w:pPr>
            <w:r w:rsidRPr="00C736CD">
              <w:rPr>
                <w:rFonts w:ascii="Arial" w:hAnsi="Arial" w:cs="Arial"/>
                <w:szCs w:val="20"/>
              </w:rPr>
              <w:t>EQRO Protocols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1227AC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2CC151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A52823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59BEC558"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7A86BA9" w14:textId="77777777">
            <w:pPr>
              <w:widowControl/>
              <w:autoSpaceDE/>
              <w:autoSpaceDN/>
              <w:adjustRightInd/>
              <w:rPr>
                <w:rFonts w:ascii="Arial" w:hAnsi="Arial" w:cs="Arial"/>
                <w:szCs w:val="20"/>
              </w:rPr>
            </w:pPr>
            <w:r w:rsidRPr="00C736CD">
              <w:rPr>
                <w:rFonts w:ascii="Arial" w:hAnsi="Arial" w:cs="Arial"/>
                <w:szCs w:val="20"/>
              </w:rPr>
              <w:t>Implementation of Asset Verification System</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33710E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328F637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1E7193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1157BDC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6A59890" w14:textId="77777777">
            <w:pPr>
              <w:widowControl/>
              <w:autoSpaceDE/>
              <w:autoSpaceDN/>
              <w:adjustRightInd/>
              <w:rPr>
                <w:rFonts w:ascii="Arial" w:hAnsi="Arial" w:cs="Arial"/>
                <w:szCs w:val="20"/>
              </w:rPr>
            </w:pPr>
            <w:r w:rsidRPr="00C736CD">
              <w:rPr>
                <w:rFonts w:ascii="Arial" w:hAnsi="Arial" w:cs="Arial"/>
                <w:szCs w:val="20"/>
              </w:rPr>
              <w:t>Implementation of MEQC data for PERM data</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9DA8CC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05683A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206938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55BCD3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E183330" w14:textId="77777777">
            <w:pPr>
              <w:widowControl/>
              <w:autoSpaceDE/>
              <w:autoSpaceDN/>
              <w:adjustRightInd/>
              <w:rPr>
                <w:rFonts w:ascii="Arial" w:hAnsi="Arial" w:cs="Arial"/>
                <w:szCs w:val="20"/>
              </w:rPr>
            </w:pPr>
            <w:r w:rsidRPr="00C736CD">
              <w:rPr>
                <w:rFonts w:ascii="Arial" w:hAnsi="Arial" w:cs="Arial"/>
                <w:szCs w:val="20"/>
              </w:rPr>
              <w:t>Implementation of Premium Assistance in Medicaid</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170A59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98E1E2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C28694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41C73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DBA925" w14:textId="77777777">
            <w:pPr>
              <w:widowControl/>
              <w:autoSpaceDE/>
              <w:autoSpaceDN/>
              <w:adjustRightInd/>
              <w:rPr>
                <w:rFonts w:ascii="Arial" w:hAnsi="Arial" w:cs="Arial"/>
                <w:szCs w:val="20"/>
              </w:rPr>
            </w:pPr>
            <w:r w:rsidRPr="00C736CD">
              <w:rPr>
                <w:rFonts w:ascii="Arial" w:hAnsi="Arial" w:cs="Arial"/>
                <w:szCs w:val="20"/>
              </w:rPr>
              <w:t>Implementation of the Alignment of LIS and MSP Asset Tests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EF4A9D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B2455D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BFD6CB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D8772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A8424B3" w14:textId="77777777">
            <w:pPr>
              <w:widowControl/>
              <w:autoSpaceDE/>
              <w:autoSpaceDN/>
              <w:adjustRightInd/>
              <w:rPr>
                <w:rFonts w:ascii="Arial" w:hAnsi="Arial" w:cs="Arial"/>
                <w:szCs w:val="20"/>
              </w:rPr>
            </w:pPr>
            <w:r w:rsidRPr="00C736CD">
              <w:rPr>
                <w:rFonts w:ascii="Arial" w:hAnsi="Arial" w:cs="Arial"/>
                <w:szCs w:val="20"/>
              </w:rPr>
              <w:lastRenderedPageBreak/>
              <w:t>Implementation of the Public Assistance Reporting Information System (PARIS)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A80EF2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F64467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4F0617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63FCC0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F5F502F" w14:textId="77777777">
            <w:pPr>
              <w:widowControl/>
              <w:autoSpaceDE/>
              <w:autoSpaceDN/>
              <w:adjustRightInd/>
              <w:rPr>
                <w:rFonts w:ascii="Arial" w:hAnsi="Arial" w:cs="Arial"/>
                <w:szCs w:val="20"/>
              </w:rPr>
            </w:pPr>
            <w:r w:rsidRPr="00C736CD">
              <w:rPr>
                <w:rFonts w:ascii="Arial" w:hAnsi="Arial" w:cs="Arial"/>
                <w:szCs w:val="20"/>
              </w:rPr>
              <w:t>Medicaid and CHIP Statistical Enrollment Data System (SEDS)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693E614"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02EE604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DF0B44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4E1FC5E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882EBAE" w14:textId="77777777">
            <w:pPr>
              <w:widowControl/>
              <w:autoSpaceDE/>
              <w:autoSpaceDN/>
              <w:adjustRightInd/>
              <w:rPr>
                <w:rFonts w:ascii="Arial" w:hAnsi="Arial" w:cs="Arial"/>
                <w:szCs w:val="20"/>
              </w:rPr>
            </w:pPr>
            <w:r w:rsidRPr="00C736CD">
              <w:rPr>
                <w:rFonts w:ascii="Arial" w:hAnsi="Arial" w:cs="Arial"/>
                <w:szCs w:val="20"/>
              </w:rPr>
              <w:t>Medicaid Eligibility Cards for Homeless Individuals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198427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93A70F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20BEA1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0FAA7A"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3F7F115" w14:textId="77777777">
            <w:pPr>
              <w:widowControl/>
              <w:autoSpaceDE/>
              <w:autoSpaceDN/>
              <w:adjustRightInd/>
              <w:rPr>
                <w:rFonts w:ascii="Arial" w:hAnsi="Arial" w:cs="Arial"/>
                <w:szCs w:val="20"/>
              </w:rPr>
            </w:pPr>
            <w:r w:rsidRPr="00C736CD">
              <w:rPr>
                <w:rFonts w:ascii="Arial" w:hAnsi="Arial" w:cs="Arial"/>
                <w:szCs w:val="20"/>
              </w:rPr>
              <w:t>Medical Child Support Cooperation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9E87504"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5DDF1B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E8FF75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223CAF0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80BF22B" w14:textId="77777777">
            <w:pPr>
              <w:widowControl/>
              <w:autoSpaceDE/>
              <w:autoSpaceDN/>
              <w:adjustRightInd/>
              <w:rPr>
                <w:rFonts w:ascii="Arial" w:hAnsi="Arial" w:cs="Arial"/>
                <w:szCs w:val="20"/>
              </w:rPr>
            </w:pPr>
            <w:r w:rsidRPr="00C736CD">
              <w:rPr>
                <w:rFonts w:ascii="Arial" w:hAnsi="Arial" w:cs="Arial"/>
                <w:szCs w:val="20"/>
              </w:rPr>
              <w:t>Option to Cover Certain Children and Pregnant Women lawfully residing in the US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7D56526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3A34FB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B352E4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2901219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12C46F" w14:textId="77777777">
            <w:pPr>
              <w:widowControl/>
              <w:autoSpaceDE/>
              <w:autoSpaceDN/>
              <w:adjustRightInd/>
              <w:rPr>
                <w:rFonts w:ascii="Arial" w:hAnsi="Arial" w:cs="Arial"/>
                <w:szCs w:val="20"/>
              </w:rPr>
            </w:pPr>
            <w:r w:rsidRPr="00C736CD">
              <w:rPr>
                <w:rFonts w:ascii="Arial" w:hAnsi="Arial" w:cs="Arial"/>
                <w:szCs w:val="20"/>
              </w:rPr>
              <w:t>Performance Measures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24068E9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A9946D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54090D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CEAD969"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B7221AE" w14:textId="77777777">
            <w:pPr>
              <w:widowControl/>
              <w:autoSpaceDE/>
              <w:autoSpaceDN/>
              <w:adjustRightInd/>
              <w:rPr>
                <w:rFonts w:ascii="Arial" w:hAnsi="Arial" w:cs="Arial"/>
                <w:szCs w:val="20"/>
              </w:rPr>
            </w:pPr>
            <w:r w:rsidRPr="00C736CD">
              <w:rPr>
                <w:rFonts w:ascii="Arial" w:hAnsi="Arial" w:cs="Arial"/>
                <w:szCs w:val="20"/>
              </w:rPr>
              <w:t>Secretarial Certification of health plans in the Exchange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482CDCD"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391E172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26AF94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12A3C3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8A37434" w14:textId="77777777">
            <w:pPr>
              <w:widowControl/>
              <w:autoSpaceDE/>
              <w:autoSpaceDN/>
              <w:adjustRightInd/>
              <w:rPr>
                <w:rFonts w:ascii="Arial" w:hAnsi="Arial" w:cs="Arial"/>
                <w:szCs w:val="20"/>
              </w:rPr>
            </w:pPr>
            <w:r w:rsidRPr="00C736CD">
              <w:rPr>
                <w:rFonts w:ascii="Arial" w:hAnsi="Arial" w:cs="Arial"/>
                <w:szCs w:val="20"/>
              </w:rPr>
              <w:t>Secretarial Issue Streamlined Application (CCIIO-CMS)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01ADA777"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DFE390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1CDE8F4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B80E1F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C555CD4" w14:textId="77777777">
            <w:pPr>
              <w:widowControl/>
              <w:autoSpaceDE/>
              <w:autoSpaceDN/>
              <w:adjustRightInd/>
              <w:rPr>
                <w:rFonts w:ascii="Arial" w:hAnsi="Arial" w:cs="Arial"/>
                <w:szCs w:val="20"/>
              </w:rPr>
            </w:pPr>
            <w:r w:rsidRPr="00C736CD">
              <w:rPr>
                <w:rFonts w:ascii="Arial" w:hAnsi="Arial" w:cs="Arial"/>
                <w:szCs w:val="20"/>
              </w:rPr>
              <w:t>Systematic Alien Verification for Entitlements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21D7101A"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2917C4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258960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70AE2E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A697C85" w14:textId="77777777">
            <w:pPr>
              <w:widowControl/>
              <w:autoSpaceDE/>
              <w:autoSpaceDN/>
              <w:adjustRightInd/>
              <w:rPr>
                <w:rFonts w:ascii="Arial" w:hAnsi="Arial" w:cs="Arial"/>
                <w:szCs w:val="20"/>
              </w:rPr>
            </w:pPr>
            <w:r w:rsidRPr="00C736CD">
              <w:rPr>
                <w:rFonts w:ascii="Arial" w:hAnsi="Arial" w:cs="Arial"/>
                <w:szCs w:val="20"/>
              </w:rPr>
              <w:t>Tobacco cessation coverage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BDAF89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A7ED55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ECBAF2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4D31E21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7B078D6" w14:textId="77777777">
            <w:pPr>
              <w:widowControl/>
              <w:autoSpaceDE/>
              <w:autoSpaceDN/>
              <w:adjustRightInd/>
              <w:rPr>
                <w:rFonts w:ascii="Arial" w:hAnsi="Arial" w:cs="Arial"/>
                <w:szCs w:val="20"/>
              </w:rPr>
            </w:pPr>
            <w:r w:rsidRPr="00C736CD">
              <w:rPr>
                <w:rFonts w:ascii="Arial" w:hAnsi="Arial" w:cs="Arial"/>
                <w:szCs w:val="20"/>
              </w:rPr>
              <w:t>Transitional MA for Low Income Families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818824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F4BDF0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CB6D5B9"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01CFAA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BA6113" w14:textId="77777777">
            <w:pPr>
              <w:widowControl/>
              <w:autoSpaceDE/>
              <w:autoSpaceDN/>
              <w:adjustRightInd/>
              <w:rPr>
                <w:rFonts w:ascii="Arial" w:hAnsi="Arial" w:cs="Arial"/>
                <w:szCs w:val="20"/>
              </w:rPr>
            </w:pPr>
            <w:r w:rsidRPr="00C736CD">
              <w:rPr>
                <w:rFonts w:ascii="Arial" w:hAnsi="Arial" w:cs="Arial"/>
                <w:szCs w:val="20"/>
              </w:rPr>
              <w:t>Tribal Consultation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22AC08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D292F2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00377F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742A993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2C85838" w14:textId="77777777">
            <w:pPr>
              <w:widowControl/>
              <w:autoSpaceDE/>
              <w:autoSpaceDN/>
              <w:adjustRightInd/>
              <w:rPr>
                <w:rFonts w:ascii="Arial" w:hAnsi="Arial" w:cs="Arial"/>
                <w:szCs w:val="20"/>
              </w:rPr>
            </w:pPr>
            <w:r w:rsidRPr="00C736CD">
              <w:rPr>
                <w:rFonts w:ascii="Arial" w:hAnsi="Arial" w:cs="Arial"/>
                <w:szCs w:val="20"/>
              </w:rPr>
              <w:t>Tuberculosis coverage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AED32BD"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8C040B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227EC3C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CE3857D" w14:textId="77777777">
        <w:trPr>
          <w:trHeight w:val="480"/>
        </w:trPr>
        <w:tc>
          <w:tcPr>
            <w:tcW w:w="5280" w:type="dxa"/>
            <w:tcBorders>
              <w:top w:val="nil"/>
              <w:left w:val="single" w:color="000000" w:sz="4" w:space="0"/>
              <w:bottom w:val="nil"/>
              <w:right w:val="single" w:color="000000" w:sz="4" w:space="0"/>
            </w:tcBorders>
            <w:shd w:val="clear" w:color="auto" w:fill="auto"/>
            <w:hideMark/>
          </w:tcPr>
          <w:p w:rsidRPr="00C736CD" w:rsidR="005C619E" w:rsidP="005C619E" w:rsidRDefault="005C619E" w14:paraId="2143C119" w14:textId="77777777">
            <w:pPr>
              <w:widowControl/>
              <w:autoSpaceDE/>
              <w:autoSpaceDN/>
              <w:adjustRightInd/>
              <w:rPr>
                <w:rFonts w:ascii="Arial" w:hAnsi="Arial" w:cs="Arial"/>
                <w:szCs w:val="20"/>
              </w:rPr>
            </w:pPr>
            <w:r w:rsidRPr="00C736CD">
              <w:rPr>
                <w:rFonts w:ascii="Arial" w:hAnsi="Arial" w:cs="Arial"/>
                <w:szCs w:val="20"/>
              </w:rPr>
              <w:t>Medicaid Premiums</w:t>
            </w:r>
          </w:p>
        </w:tc>
        <w:tc>
          <w:tcPr>
            <w:tcW w:w="1755" w:type="dxa"/>
            <w:tcBorders>
              <w:top w:val="nil"/>
              <w:left w:val="nil"/>
              <w:bottom w:val="nil"/>
              <w:right w:val="single" w:color="000000" w:sz="4" w:space="0"/>
            </w:tcBorders>
            <w:shd w:val="clear" w:color="auto" w:fill="auto"/>
            <w:hideMark/>
          </w:tcPr>
          <w:p w:rsidRPr="00C736CD" w:rsidR="005C619E" w:rsidP="005C619E" w:rsidRDefault="005C619E" w14:paraId="3F539CE5"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nil"/>
              <w:right w:val="nil"/>
            </w:tcBorders>
            <w:shd w:val="clear" w:color="auto" w:fill="auto"/>
            <w:hideMark/>
          </w:tcPr>
          <w:p w:rsidRPr="00C736CD" w:rsidR="005C619E" w:rsidP="005C619E" w:rsidRDefault="005C619E" w14:paraId="05B6DB9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nil"/>
              <w:right w:val="single" w:color="auto" w:sz="4" w:space="0"/>
            </w:tcBorders>
            <w:shd w:val="clear" w:color="auto" w:fill="auto"/>
            <w:noWrap/>
            <w:hideMark/>
          </w:tcPr>
          <w:p w:rsidRPr="00C736CD" w:rsidR="005C619E" w:rsidP="005C619E" w:rsidRDefault="005C619E" w14:paraId="531377B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5D58D8B4" w14:textId="77777777">
        <w:trPr>
          <w:trHeight w:val="255"/>
        </w:trPr>
        <w:tc>
          <w:tcPr>
            <w:tcW w:w="8291" w:type="dxa"/>
            <w:gridSpan w:val="3"/>
            <w:tcBorders>
              <w:top w:val="single" w:color="auto" w:sz="4" w:space="0"/>
              <w:left w:val="single" w:color="auto" w:sz="4" w:space="0"/>
              <w:bottom w:val="single" w:color="auto" w:sz="4" w:space="0"/>
              <w:right w:val="single" w:color="auto" w:sz="4" w:space="0"/>
            </w:tcBorders>
            <w:shd w:val="clear" w:color="auto" w:fill="auto"/>
            <w:hideMark/>
          </w:tcPr>
          <w:p w:rsidRPr="00C736CD" w:rsidR="005C619E" w:rsidP="005C619E" w:rsidRDefault="005C619E" w14:paraId="2F84CB20" w14:textId="77777777">
            <w:pPr>
              <w:widowControl/>
              <w:autoSpaceDE/>
              <w:autoSpaceDN/>
              <w:adjustRightInd/>
              <w:jc w:val="right"/>
              <w:rPr>
                <w:rFonts w:ascii="Arial" w:hAnsi="Arial" w:cs="Arial"/>
                <w:color w:val="000000"/>
                <w:szCs w:val="20"/>
              </w:rPr>
            </w:pPr>
            <w:r w:rsidRPr="00C736CD">
              <w:rPr>
                <w:rFonts w:ascii="Arial" w:hAnsi="Arial" w:cs="Arial"/>
                <w:color w:val="000000"/>
                <w:szCs w:val="20"/>
              </w:rPr>
              <w:t>TOTAL</w:t>
            </w:r>
          </w:p>
        </w:tc>
        <w:tc>
          <w:tcPr>
            <w:tcW w:w="1649" w:type="dxa"/>
            <w:tcBorders>
              <w:top w:val="single" w:color="auto" w:sz="4" w:space="0"/>
              <w:left w:val="nil"/>
              <w:bottom w:val="single" w:color="auto" w:sz="4" w:space="0"/>
              <w:right w:val="single" w:color="auto" w:sz="4" w:space="0"/>
            </w:tcBorders>
            <w:shd w:val="clear" w:color="auto" w:fill="auto"/>
            <w:noWrap/>
            <w:hideMark/>
          </w:tcPr>
          <w:p w:rsidRPr="00C736CD" w:rsidR="005C619E" w:rsidP="005C619E" w:rsidRDefault="005C619E" w14:paraId="147165B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60,480</w:t>
            </w:r>
          </w:p>
        </w:tc>
      </w:tr>
    </w:tbl>
    <w:p w:rsidRPr="00C736CD" w:rsidR="00EF4ACE" w:rsidP="00982BB2" w:rsidRDefault="00EF4ACE" w14:paraId="5D29F696" w14:textId="77777777">
      <w:pPr>
        <w:rPr>
          <w:sz w:val="24"/>
        </w:rPr>
      </w:pPr>
    </w:p>
    <w:p w:rsidRPr="00B9252F" w:rsidR="009359EE" w:rsidP="009359EE" w:rsidRDefault="009359EE" w14:paraId="1E614293" w14:textId="77777777">
      <w:pPr>
        <w:rPr>
          <w:i/>
          <w:sz w:val="24"/>
        </w:rPr>
      </w:pPr>
      <w:r w:rsidRPr="00B9252F">
        <w:rPr>
          <w:i/>
          <w:sz w:val="24"/>
        </w:rPr>
        <w:t xml:space="preserve">Unanticipated </w:t>
      </w:r>
      <w:proofErr w:type="spellStart"/>
      <w:r w:rsidRPr="00B9252F">
        <w:rPr>
          <w:i/>
          <w:sz w:val="24"/>
        </w:rPr>
        <w:t>GenICs</w:t>
      </w:r>
      <w:proofErr w:type="spellEnd"/>
    </w:p>
    <w:p w:rsidRPr="00C736CD" w:rsidR="009359EE" w:rsidP="009359EE" w:rsidRDefault="009359EE" w14:paraId="1443D626" w14:textId="77777777">
      <w:pPr>
        <w:rPr>
          <w:sz w:val="24"/>
        </w:rPr>
      </w:pPr>
    </w:p>
    <w:p w:rsidRPr="00C736CD" w:rsidR="009359EE" w:rsidP="009359EE" w:rsidRDefault="009359EE" w14:paraId="097B33FE" w14:textId="063D97B8">
      <w:pPr>
        <w:rPr>
          <w:sz w:val="24"/>
        </w:rPr>
      </w:pPr>
      <w:r w:rsidRPr="00C736CD">
        <w:rPr>
          <w:sz w:val="24"/>
        </w:rPr>
        <w:t>We propose to add 1</w:t>
      </w:r>
      <w:r w:rsidRPr="00C736CD" w:rsidR="00762516">
        <w:rPr>
          <w:sz w:val="24"/>
        </w:rPr>
        <w:t>3</w:t>
      </w:r>
      <w:r w:rsidRPr="00C736CD">
        <w:rPr>
          <w:sz w:val="24"/>
        </w:rPr>
        <w:t>,</w:t>
      </w:r>
      <w:r w:rsidRPr="00C736CD" w:rsidR="00197280">
        <w:rPr>
          <w:sz w:val="24"/>
        </w:rPr>
        <w:t>662</w:t>
      </w:r>
      <w:r w:rsidRPr="00C736CD">
        <w:rPr>
          <w:sz w:val="24"/>
        </w:rPr>
        <w:t xml:space="preserve"> hours of burden for unanticipated informant collection requests. This figure will align this iteration’s burden ceiling request with our currently approved ceiling, both are 154,104 total hours.</w:t>
      </w:r>
    </w:p>
    <w:p w:rsidRPr="00C736CD" w:rsidR="009359EE" w:rsidP="009359EE" w:rsidRDefault="009359EE" w14:paraId="568655FD" w14:textId="77777777">
      <w:pPr>
        <w:rPr>
          <w:sz w:val="24"/>
        </w:rPr>
      </w:pPr>
    </w:p>
    <w:p w:rsidRPr="00C736CD" w:rsidR="009359EE" w:rsidP="009359EE" w:rsidRDefault="005C2595" w14:paraId="7A9DA605" w14:textId="03F21E1A">
      <w:pPr>
        <w:rPr>
          <w:i/>
          <w:sz w:val="24"/>
        </w:rPr>
      </w:pPr>
      <w:r>
        <w:rPr>
          <w:i/>
          <w:sz w:val="24"/>
        </w:rPr>
        <w:t xml:space="preserve">Summary of </w:t>
      </w:r>
      <w:r w:rsidRPr="00C736CD" w:rsidR="009359EE">
        <w:rPr>
          <w:i/>
          <w:sz w:val="24"/>
        </w:rPr>
        <w:t>Burden</w:t>
      </w:r>
      <w:r>
        <w:rPr>
          <w:i/>
          <w:sz w:val="24"/>
        </w:rPr>
        <w:t xml:space="preserve"> Changes</w:t>
      </w:r>
    </w:p>
    <w:p w:rsidRPr="00C736CD" w:rsidR="009359EE" w:rsidP="009359EE" w:rsidRDefault="009359EE" w14:paraId="0CF7093A" w14:textId="77777777">
      <w:pPr>
        <w:rPr>
          <w:sz w:val="24"/>
        </w:rPr>
      </w:pPr>
    </w:p>
    <w:p w:rsidRPr="00C736CD" w:rsidR="009359EE" w:rsidP="009359EE" w:rsidRDefault="007E5458" w14:paraId="7C29AFD6" w14:textId="00189CBA">
      <w:pPr>
        <w:rPr>
          <w:sz w:val="24"/>
        </w:rPr>
      </w:pPr>
      <w:r w:rsidRPr="00C736CD">
        <w:rPr>
          <w:sz w:val="24"/>
        </w:rPr>
        <w:t>87,060</w:t>
      </w:r>
      <w:r w:rsidRPr="00C736CD" w:rsidR="009359EE">
        <w:rPr>
          <w:sz w:val="24"/>
        </w:rPr>
        <w:t xml:space="preserve"> </w:t>
      </w:r>
      <w:proofErr w:type="spellStart"/>
      <w:r w:rsidRPr="00C736CD" w:rsidR="009359EE">
        <w:rPr>
          <w:sz w:val="24"/>
        </w:rPr>
        <w:t>hr</w:t>
      </w:r>
      <w:proofErr w:type="spellEnd"/>
      <w:r w:rsidRPr="00C736CD" w:rsidR="009359EE">
        <w:rPr>
          <w:sz w:val="24"/>
        </w:rPr>
        <w:t xml:space="preserve"> (Currently Approved </w:t>
      </w:r>
      <w:proofErr w:type="spellStart"/>
      <w:r w:rsidRPr="00C736CD" w:rsidR="009359EE">
        <w:rPr>
          <w:sz w:val="24"/>
        </w:rPr>
        <w:t>GenICs</w:t>
      </w:r>
      <w:proofErr w:type="spellEnd"/>
      <w:r w:rsidRPr="00C736CD" w:rsidR="009359EE">
        <w:rPr>
          <w:sz w:val="24"/>
        </w:rPr>
        <w:t>)</w:t>
      </w:r>
    </w:p>
    <w:p w:rsidRPr="00C736CD" w:rsidR="009359EE" w:rsidP="009359EE" w:rsidRDefault="009359EE" w14:paraId="664BA6AA" w14:textId="5E09FF3D">
      <w:pPr>
        <w:rPr>
          <w:sz w:val="24"/>
        </w:rPr>
      </w:pPr>
      <w:r w:rsidRPr="00C736CD">
        <w:rPr>
          <w:sz w:val="24"/>
        </w:rPr>
        <w:t>-</w:t>
      </w:r>
      <w:r w:rsidRPr="00C736CD" w:rsidR="00693D19">
        <w:rPr>
          <w:sz w:val="24"/>
        </w:rPr>
        <w:t>7</w:t>
      </w:r>
      <w:r w:rsidRPr="00C736CD">
        <w:rPr>
          <w:sz w:val="24"/>
        </w:rPr>
        <w:t>,</w:t>
      </w:r>
      <w:r w:rsidRPr="00C736CD" w:rsidR="00693D19">
        <w:rPr>
          <w:sz w:val="24"/>
        </w:rPr>
        <w:t>0</w:t>
      </w:r>
      <w:r w:rsidRPr="00C736CD" w:rsidR="00833371">
        <w:rPr>
          <w:sz w:val="24"/>
        </w:rPr>
        <w:t>98</w:t>
      </w:r>
      <w:r w:rsidRPr="00C736CD">
        <w:rPr>
          <w:sz w:val="24"/>
        </w:rPr>
        <w:t xml:space="preserve"> </w:t>
      </w:r>
      <w:proofErr w:type="spellStart"/>
      <w:r w:rsidRPr="00C736CD">
        <w:rPr>
          <w:sz w:val="24"/>
        </w:rPr>
        <w:t>hr</w:t>
      </w:r>
      <w:proofErr w:type="spellEnd"/>
      <w:r w:rsidRPr="00C736CD">
        <w:rPr>
          <w:sz w:val="24"/>
        </w:rPr>
        <w:t xml:space="preserve"> (Discontinued </w:t>
      </w:r>
      <w:proofErr w:type="spellStart"/>
      <w:r w:rsidRPr="00C736CD">
        <w:rPr>
          <w:sz w:val="24"/>
        </w:rPr>
        <w:t>GenICs</w:t>
      </w:r>
      <w:proofErr w:type="spellEnd"/>
      <w:r w:rsidRPr="00C736CD">
        <w:rPr>
          <w:sz w:val="24"/>
        </w:rPr>
        <w:t>)</w:t>
      </w:r>
    </w:p>
    <w:p w:rsidRPr="00C736CD" w:rsidR="009359EE" w:rsidP="009359EE" w:rsidRDefault="009359EE" w14:paraId="7F45C6C2" w14:textId="77777777">
      <w:pPr>
        <w:rPr>
          <w:sz w:val="24"/>
        </w:rPr>
      </w:pPr>
      <w:r w:rsidRPr="00C736CD">
        <w:rPr>
          <w:sz w:val="24"/>
        </w:rPr>
        <w:t xml:space="preserve">+60,480 </w:t>
      </w:r>
      <w:proofErr w:type="spellStart"/>
      <w:r w:rsidRPr="00C736CD">
        <w:rPr>
          <w:sz w:val="24"/>
        </w:rPr>
        <w:t>hr</w:t>
      </w:r>
      <w:proofErr w:type="spellEnd"/>
      <w:r w:rsidRPr="00C736CD">
        <w:rPr>
          <w:sz w:val="24"/>
        </w:rPr>
        <w:t xml:space="preserve"> (Projected </w:t>
      </w:r>
      <w:proofErr w:type="spellStart"/>
      <w:r w:rsidRPr="00C736CD">
        <w:rPr>
          <w:sz w:val="24"/>
        </w:rPr>
        <w:t>GenICs</w:t>
      </w:r>
      <w:proofErr w:type="spellEnd"/>
      <w:r w:rsidRPr="00C736CD">
        <w:rPr>
          <w:sz w:val="24"/>
        </w:rPr>
        <w:t>)</w:t>
      </w:r>
    </w:p>
    <w:p w:rsidRPr="00C736CD" w:rsidR="009359EE" w:rsidP="009359EE" w:rsidRDefault="009359EE" w14:paraId="32E6FC1C" w14:textId="4B414304">
      <w:pPr>
        <w:rPr>
          <w:sz w:val="24"/>
          <w:u w:val="single"/>
        </w:rPr>
      </w:pPr>
      <w:r w:rsidRPr="00C736CD">
        <w:rPr>
          <w:sz w:val="24"/>
          <w:u w:val="single"/>
        </w:rPr>
        <w:t>+1</w:t>
      </w:r>
      <w:r w:rsidRPr="00C736CD" w:rsidR="00762516">
        <w:rPr>
          <w:sz w:val="24"/>
          <w:u w:val="single"/>
        </w:rPr>
        <w:t>3</w:t>
      </w:r>
      <w:r w:rsidRPr="00C736CD">
        <w:rPr>
          <w:sz w:val="24"/>
          <w:u w:val="single"/>
        </w:rPr>
        <w:t>,</w:t>
      </w:r>
      <w:r w:rsidRPr="00C736CD" w:rsidR="003E5C87">
        <w:rPr>
          <w:sz w:val="24"/>
          <w:u w:val="single"/>
        </w:rPr>
        <w:t>66</w:t>
      </w:r>
      <w:r w:rsidRPr="00C736CD" w:rsidR="00762516">
        <w:rPr>
          <w:sz w:val="24"/>
          <w:u w:val="single"/>
        </w:rPr>
        <w:t>2</w:t>
      </w:r>
      <w:r w:rsidRPr="00C736CD">
        <w:rPr>
          <w:sz w:val="24"/>
          <w:u w:val="single"/>
        </w:rPr>
        <w:t xml:space="preserve"> </w:t>
      </w:r>
      <w:proofErr w:type="spellStart"/>
      <w:r w:rsidRPr="00C736CD">
        <w:rPr>
          <w:sz w:val="24"/>
          <w:u w:val="single"/>
        </w:rPr>
        <w:t>hr</w:t>
      </w:r>
      <w:proofErr w:type="spellEnd"/>
      <w:r w:rsidRPr="00C736CD">
        <w:rPr>
          <w:sz w:val="24"/>
          <w:u w:val="single"/>
        </w:rPr>
        <w:t xml:space="preserve"> (Unanticipated </w:t>
      </w:r>
      <w:proofErr w:type="spellStart"/>
      <w:r w:rsidRPr="00C736CD">
        <w:rPr>
          <w:sz w:val="24"/>
          <w:u w:val="single"/>
        </w:rPr>
        <w:t>GenICs</w:t>
      </w:r>
      <w:proofErr w:type="spellEnd"/>
      <w:r w:rsidRPr="00C736CD">
        <w:rPr>
          <w:sz w:val="24"/>
          <w:u w:val="single"/>
        </w:rPr>
        <w:t>)</w:t>
      </w:r>
    </w:p>
    <w:p w:rsidRPr="00A46B98" w:rsidR="009359EE" w:rsidP="009359EE" w:rsidRDefault="009359EE" w14:paraId="62628CEB" w14:textId="3B0D4360">
      <w:pPr>
        <w:rPr>
          <w:sz w:val="24"/>
        </w:rPr>
      </w:pPr>
      <w:r w:rsidRPr="00C736CD">
        <w:rPr>
          <w:sz w:val="24"/>
        </w:rPr>
        <w:t>154,104 TOTAL HOURS</w:t>
      </w:r>
    </w:p>
    <w:p w:rsidR="009359EE" w:rsidP="00982BB2" w:rsidRDefault="009359EE" w14:paraId="72EC64BD" w14:textId="77777777">
      <w:pPr>
        <w:rPr>
          <w:sz w:val="24"/>
        </w:rPr>
      </w:pPr>
    </w:p>
    <w:p w:rsidRPr="00527362" w:rsidR="00671A3F" w:rsidP="00982BB2" w:rsidRDefault="00671A3F" w14:paraId="62518C70" w14:textId="77777777">
      <w:pPr>
        <w:tabs>
          <w:tab w:val="left" w:pos="-1440"/>
        </w:tabs>
        <w:rPr>
          <w:sz w:val="24"/>
        </w:rPr>
      </w:pPr>
      <w:r w:rsidRPr="00527362">
        <w:rPr>
          <w:sz w:val="24"/>
        </w:rPr>
        <w:t>16.</w:t>
      </w:r>
      <w:r w:rsidRPr="00527362">
        <w:rPr>
          <w:sz w:val="24"/>
        </w:rPr>
        <w:tab/>
      </w:r>
      <w:r w:rsidRPr="00527362">
        <w:rPr>
          <w:bCs/>
          <w:sz w:val="24"/>
          <w:u w:val="single"/>
        </w:rPr>
        <w:t>Publication and Tabulation Dates</w:t>
      </w:r>
    </w:p>
    <w:p w:rsidR="00671A3F" w:rsidP="00982BB2" w:rsidRDefault="00671A3F" w14:paraId="6D858677" w14:textId="77777777">
      <w:pPr>
        <w:rPr>
          <w:sz w:val="24"/>
        </w:rPr>
      </w:pPr>
    </w:p>
    <w:p w:rsidR="00184A68" w:rsidP="00A262CC" w:rsidRDefault="00F501C6" w14:paraId="36848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There are no plans to publish the information for statistical use.</w:t>
      </w:r>
    </w:p>
    <w:p w:rsidR="00671A3F" w:rsidP="00982BB2" w:rsidRDefault="00671A3F" w14:paraId="14EF6848" w14:textId="77777777">
      <w:pPr>
        <w:rPr>
          <w:sz w:val="24"/>
        </w:rPr>
      </w:pPr>
    </w:p>
    <w:p w:rsidRPr="00527362" w:rsidR="00671A3F" w:rsidP="00982BB2" w:rsidRDefault="00671A3F" w14:paraId="3F8061BB" w14:textId="77777777">
      <w:pPr>
        <w:tabs>
          <w:tab w:val="left" w:pos="-1440"/>
        </w:tabs>
        <w:rPr>
          <w:sz w:val="24"/>
        </w:rPr>
      </w:pPr>
      <w:r w:rsidRPr="00527362">
        <w:rPr>
          <w:sz w:val="24"/>
        </w:rPr>
        <w:t>17.</w:t>
      </w:r>
      <w:r w:rsidRPr="00527362">
        <w:rPr>
          <w:sz w:val="24"/>
        </w:rPr>
        <w:tab/>
      </w:r>
      <w:r w:rsidRPr="00527362">
        <w:rPr>
          <w:bCs/>
          <w:sz w:val="24"/>
          <w:u w:val="single"/>
        </w:rPr>
        <w:t>Expiration Date</w:t>
      </w:r>
    </w:p>
    <w:p w:rsidR="00671A3F" w:rsidP="00982BB2" w:rsidRDefault="00671A3F" w14:paraId="3B321907" w14:textId="77777777">
      <w:pPr>
        <w:rPr>
          <w:sz w:val="24"/>
        </w:rPr>
      </w:pPr>
    </w:p>
    <w:p w:rsidRPr="002E636A" w:rsidR="00671A3F" w:rsidP="00982BB2" w:rsidRDefault="00671A3F" w14:paraId="0BF6F012" w14:textId="3222E324">
      <w:pPr>
        <w:rPr>
          <w:sz w:val="24"/>
        </w:rPr>
      </w:pPr>
      <w:r w:rsidRPr="002E636A">
        <w:rPr>
          <w:sz w:val="24"/>
        </w:rPr>
        <w:t xml:space="preserve">CMS </w:t>
      </w:r>
      <w:r w:rsidRPr="002E636A" w:rsidR="00565289">
        <w:rPr>
          <w:sz w:val="24"/>
        </w:rPr>
        <w:t>is asking for a</w:t>
      </w:r>
      <w:r w:rsidRPr="002E636A" w:rsidR="00CE7C4E">
        <w:rPr>
          <w:sz w:val="24"/>
        </w:rPr>
        <w:t>n e</w:t>
      </w:r>
      <w:r w:rsidRPr="002E636A" w:rsidR="00565289">
        <w:rPr>
          <w:sz w:val="24"/>
        </w:rPr>
        <w:t>xe</w:t>
      </w:r>
      <w:r w:rsidRPr="002E636A" w:rsidR="00731F3D">
        <w:rPr>
          <w:sz w:val="24"/>
        </w:rPr>
        <w:t>m</w:t>
      </w:r>
      <w:r w:rsidRPr="002E636A" w:rsidR="00565289">
        <w:rPr>
          <w:sz w:val="24"/>
        </w:rPr>
        <w:t xml:space="preserve">ption </w:t>
      </w:r>
      <w:r w:rsidRPr="002E636A" w:rsidR="00CE7C4E">
        <w:rPr>
          <w:sz w:val="24"/>
        </w:rPr>
        <w:t xml:space="preserve">from </w:t>
      </w:r>
      <w:r w:rsidRPr="002E636A" w:rsidR="00565289">
        <w:rPr>
          <w:sz w:val="24"/>
        </w:rPr>
        <w:t xml:space="preserve">displaying the expiration date on our </w:t>
      </w:r>
      <w:r w:rsidRPr="002E636A" w:rsidR="00CE7C4E">
        <w:rPr>
          <w:sz w:val="24"/>
        </w:rPr>
        <w:t>generic instruments</w:t>
      </w:r>
      <w:r w:rsidRPr="002E636A" w:rsidR="00565289">
        <w:rPr>
          <w:sz w:val="24"/>
        </w:rPr>
        <w:t xml:space="preserve">.  </w:t>
      </w:r>
      <w:r w:rsidRPr="002E636A" w:rsidR="00CE7C4E">
        <w:rPr>
          <w:sz w:val="24"/>
        </w:rPr>
        <w:t xml:space="preserve">The exemption </w:t>
      </w:r>
      <w:r w:rsidRPr="002E636A" w:rsidR="00565289">
        <w:rPr>
          <w:sz w:val="24"/>
        </w:rPr>
        <w:t xml:space="preserve">would reduce work on replacing the expiration date every 3 years with the renewal of the Generic Umbrella package.  We currently have </w:t>
      </w:r>
      <w:r w:rsidRPr="002E636A" w:rsidR="007B5FD4">
        <w:rPr>
          <w:sz w:val="24"/>
        </w:rPr>
        <w:t xml:space="preserve">more than 50 </w:t>
      </w:r>
      <w:r w:rsidRPr="002E636A" w:rsidR="00565289">
        <w:rPr>
          <w:sz w:val="24"/>
        </w:rPr>
        <w:t xml:space="preserve">approved </w:t>
      </w:r>
      <w:proofErr w:type="spellStart"/>
      <w:r w:rsidRPr="002E636A" w:rsidR="00565289">
        <w:rPr>
          <w:sz w:val="24"/>
        </w:rPr>
        <w:t>GenICs</w:t>
      </w:r>
      <w:proofErr w:type="spellEnd"/>
      <w:r w:rsidRPr="002E636A" w:rsidR="00565289">
        <w:rPr>
          <w:sz w:val="24"/>
        </w:rPr>
        <w:t>.  Most of these may have multiple templates associated with them.</w:t>
      </w:r>
    </w:p>
    <w:p w:rsidRPr="002E636A" w:rsidR="00671A3F" w:rsidP="00982BB2" w:rsidRDefault="00671A3F" w14:paraId="1B64A3CE" w14:textId="77777777">
      <w:pPr>
        <w:rPr>
          <w:sz w:val="24"/>
        </w:rPr>
      </w:pPr>
    </w:p>
    <w:p w:rsidR="00AC12AB" w:rsidP="00982BB2" w:rsidRDefault="00AC12AB" w14:paraId="7EECD153" w14:textId="7F709A0A">
      <w:pPr>
        <w:rPr>
          <w:sz w:val="24"/>
        </w:rPr>
      </w:pPr>
      <w:r w:rsidRPr="002E636A">
        <w:rPr>
          <w:sz w:val="24"/>
        </w:rPr>
        <w:t>Moreover, in certain cases displaying the expiration date causes unnecessary</w:t>
      </w:r>
      <w:r>
        <w:rPr>
          <w:sz w:val="24"/>
        </w:rPr>
        <w:t xml:space="preserve"> burden and confusion</w:t>
      </w:r>
      <w:r w:rsidR="00C065A2">
        <w:rPr>
          <w:sz w:val="24"/>
        </w:rPr>
        <w:t xml:space="preserve">, especially </w:t>
      </w:r>
      <w:r>
        <w:rPr>
          <w:sz w:val="24"/>
        </w:rPr>
        <w:t xml:space="preserve">in instances where the </w:t>
      </w:r>
      <w:r w:rsidR="00801E11">
        <w:rPr>
          <w:sz w:val="24"/>
        </w:rPr>
        <w:t xml:space="preserve">expiration date is near the approval date. In one </w:t>
      </w:r>
      <w:r w:rsidR="002333E4">
        <w:rPr>
          <w:sz w:val="24"/>
        </w:rPr>
        <w:t xml:space="preserve">real </w:t>
      </w:r>
      <w:r w:rsidR="00801E11">
        <w:rPr>
          <w:sz w:val="24"/>
        </w:rPr>
        <w:t xml:space="preserve">example, </w:t>
      </w:r>
      <w:r w:rsidR="002333E4">
        <w:rPr>
          <w:sz w:val="24"/>
        </w:rPr>
        <w:t xml:space="preserve">a </w:t>
      </w:r>
      <w:proofErr w:type="spellStart"/>
      <w:r w:rsidR="00801E11">
        <w:rPr>
          <w:sz w:val="24"/>
        </w:rPr>
        <w:t>GenIC</w:t>
      </w:r>
      <w:proofErr w:type="spellEnd"/>
      <w:r w:rsidR="00801E11">
        <w:rPr>
          <w:sz w:val="24"/>
        </w:rPr>
        <w:t xml:space="preserve"> was approved on October 29, 2014, while the expiration date </w:t>
      </w:r>
      <w:r w:rsidR="00E458CE">
        <w:rPr>
          <w:sz w:val="24"/>
        </w:rPr>
        <w:t>wa</w:t>
      </w:r>
      <w:r w:rsidR="00801E11">
        <w:rPr>
          <w:sz w:val="24"/>
        </w:rPr>
        <w:t>s a few days later, on October 31, 2014. It would be confusing to respondents to forward templates on Oct 29</w:t>
      </w:r>
      <w:r w:rsidR="00731F3D">
        <w:rPr>
          <w:sz w:val="24"/>
        </w:rPr>
        <w:t>th</w:t>
      </w:r>
      <w:r w:rsidR="00801E11">
        <w:rPr>
          <w:sz w:val="24"/>
        </w:rPr>
        <w:t xml:space="preserve"> with an expiration date of Oct 31</w:t>
      </w:r>
      <w:r w:rsidR="00731F3D">
        <w:rPr>
          <w:sz w:val="24"/>
        </w:rPr>
        <w:t>st</w:t>
      </w:r>
      <w:r w:rsidR="00801E11">
        <w:rPr>
          <w:sz w:val="24"/>
        </w:rPr>
        <w:t xml:space="preserve"> of the same year.  It would also be burdensome to produce and revise the expiration dates in such a short period of time.</w:t>
      </w:r>
    </w:p>
    <w:p w:rsidR="00AC12AB" w:rsidP="00982BB2" w:rsidRDefault="00AC12AB" w14:paraId="5E2765E5" w14:textId="77777777">
      <w:pPr>
        <w:rPr>
          <w:sz w:val="24"/>
        </w:rPr>
      </w:pPr>
    </w:p>
    <w:p w:rsidRPr="00527362" w:rsidR="00671A3F" w:rsidP="00982BB2" w:rsidRDefault="00671A3F" w14:paraId="287CEF10" w14:textId="77777777">
      <w:pPr>
        <w:tabs>
          <w:tab w:val="left" w:pos="-1440"/>
        </w:tabs>
        <w:rPr>
          <w:sz w:val="24"/>
        </w:rPr>
      </w:pPr>
      <w:r w:rsidRPr="00527362">
        <w:rPr>
          <w:sz w:val="24"/>
        </w:rPr>
        <w:t>18.</w:t>
      </w:r>
      <w:r w:rsidRPr="00527362">
        <w:rPr>
          <w:sz w:val="24"/>
        </w:rPr>
        <w:tab/>
      </w:r>
      <w:r w:rsidRPr="00527362">
        <w:rPr>
          <w:bCs/>
          <w:sz w:val="24"/>
          <w:u w:val="single"/>
        </w:rPr>
        <w:t xml:space="preserve">Certification </w:t>
      </w:r>
      <w:r w:rsidRPr="00527362" w:rsidR="0005522B">
        <w:rPr>
          <w:bCs/>
          <w:sz w:val="24"/>
          <w:u w:val="single"/>
        </w:rPr>
        <w:t>State</w:t>
      </w:r>
      <w:r w:rsidRPr="00527362">
        <w:rPr>
          <w:bCs/>
          <w:sz w:val="24"/>
          <w:u w:val="single"/>
        </w:rPr>
        <w:t>ment</w:t>
      </w:r>
    </w:p>
    <w:p w:rsidR="00671A3F" w:rsidP="00982BB2" w:rsidRDefault="00671A3F" w14:paraId="5BEC0FBA" w14:textId="77777777">
      <w:pPr>
        <w:rPr>
          <w:sz w:val="24"/>
        </w:rPr>
      </w:pPr>
    </w:p>
    <w:p w:rsidR="00671A3F" w:rsidP="00A262CC" w:rsidRDefault="00671A3F" w14:paraId="0A244763" w14:textId="77777777">
      <w:pPr>
        <w:rPr>
          <w:sz w:val="24"/>
        </w:rPr>
      </w:pPr>
      <w:r>
        <w:rPr>
          <w:sz w:val="24"/>
        </w:rPr>
        <w:t>There are no exceptions.</w:t>
      </w:r>
    </w:p>
    <w:p w:rsidR="00671A3F" w:rsidP="00982BB2" w:rsidRDefault="00671A3F" w14:paraId="2CD35B43" w14:textId="77777777">
      <w:pPr>
        <w:rPr>
          <w:sz w:val="24"/>
        </w:rPr>
      </w:pPr>
    </w:p>
    <w:p w:rsidRPr="00527362" w:rsidR="00671A3F" w:rsidP="00982BB2" w:rsidRDefault="00536239" w14:paraId="4360D8F4" w14:textId="77777777">
      <w:pPr>
        <w:pStyle w:val="Heading2"/>
        <w:ind w:left="0" w:firstLine="0"/>
      </w:pPr>
      <w:r w:rsidRPr="00527362">
        <w:t>B</w:t>
      </w:r>
      <w:r w:rsidRPr="00527362" w:rsidR="00671A3F">
        <w:t>.</w:t>
      </w:r>
      <w:r w:rsidRPr="00527362" w:rsidR="00671A3F">
        <w:tab/>
        <w:t>COLLECTION OF INFORMATION EMPLOYING STATISTICAL METHODS</w:t>
      </w:r>
    </w:p>
    <w:p w:rsidR="00671A3F" w:rsidP="00982BB2" w:rsidRDefault="00671A3F" w14:paraId="756FEAA5" w14:textId="77777777">
      <w:pPr>
        <w:rPr>
          <w:b/>
          <w:bCs/>
          <w:sz w:val="24"/>
        </w:rPr>
      </w:pPr>
    </w:p>
    <w:p w:rsidR="00936216" w:rsidP="00A262CC" w:rsidRDefault="00671A3F" w14:paraId="79A2449A" w14:textId="44F3629A">
      <w:pPr>
        <w:rPr>
          <w:sz w:val="24"/>
        </w:rPr>
      </w:pPr>
      <w:r>
        <w:rPr>
          <w:sz w:val="24"/>
        </w:rPr>
        <w:t xml:space="preserve">The use of statistical methods does not apply for purposes of this </w:t>
      </w:r>
      <w:r w:rsidR="009B4B7A">
        <w:rPr>
          <w:sz w:val="24"/>
        </w:rPr>
        <w:t>collection.</w:t>
      </w:r>
    </w:p>
    <w:p w:rsidR="009E6E10" w:rsidP="00A262CC" w:rsidRDefault="009E6E10" w14:paraId="6B18294E" w14:textId="77777777">
      <w:pPr>
        <w:rPr>
          <w:sz w:val="24"/>
        </w:rPr>
      </w:pPr>
    </w:p>
    <w:sectPr w:rsidR="009E6E10" w:rsidSect="000E074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B0F2" w14:textId="77777777" w:rsidR="00AE6ACD" w:rsidRDefault="00AE6ACD">
      <w:r>
        <w:separator/>
      </w:r>
    </w:p>
  </w:endnote>
  <w:endnote w:type="continuationSeparator" w:id="0">
    <w:p w14:paraId="66375496" w14:textId="77777777" w:rsidR="00AE6ACD" w:rsidRDefault="00AE6ACD">
      <w:r>
        <w:continuationSeparator/>
      </w:r>
    </w:p>
  </w:endnote>
  <w:endnote w:type="continuationNotice" w:id="1">
    <w:p w14:paraId="6AEB3F39" w14:textId="77777777" w:rsidR="00AE6ACD" w:rsidRDefault="00AE6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C14D" w14:textId="77777777" w:rsidR="000E0741" w:rsidRDefault="000E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371025"/>
      <w:docPartObj>
        <w:docPartGallery w:val="Page Numbers (Bottom of Page)"/>
        <w:docPartUnique/>
      </w:docPartObj>
    </w:sdtPr>
    <w:sdtEndPr>
      <w:rPr>
        <w:noProof/>
      </w:rPr>
    </w:sdtEndPr>
    <w:sdtContent>
      <w:p w14:paraId="0CC8333F" w14:textId="5F86664B" w:rsidR="000E0741" w:rsidRDefault="000E0741">
        <w:pPr>
          <w:pStyle w:val="Footer"/>
          <w:jc w:val="center"/>
        </w:pPr>
        <w:r>
          <w:fldChar w:fldCharType="begin"/>
        </w:r>
        <w:r>
          <w:instrText xml:space="preserve"> PAGE   \* MERGEFORMAT </w:instrText>
        </w:r>
        <w:r>
          <w:fldChar w:fldCharType="separate"/>
        </w:r>
        <w:r w:rsidR="00666DB8">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B43C" w14:textId="77777777" w:rsidR="000E0741" w:rsidRDefault="000E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1B27" w14:textId="77777777" w:rsidR="00AE6ACD" w:rsidRDefault="00AE6ACD">
      <w:r>
        <w:separator/>
      </w:r>
    </w:p>
  </w:footnote>
  <w:footnote w:type="continuationSeparator" w:id="0">
    <w:p w14:paraId="4081AFF3" w14:textId="77777777" w:rsidR="00AE6ACD" w:rsidRDefault="00AE6ACD">
      <w:r>
        <w:continuationSeparator/>
      </w:r>
    </w:p>
  </w:footnote>
  <w:footnote w:type="continuationNotice" w:id="1">
    <w:p w14:paraId="4BC1327E" w14:textId="77777777" w:rsidR="00AE6ACD" w:rsidRDefault="00AE6A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5A4C" w14:textId="77777777" w:rsidR="000E0741" w:rsidRDefault="000E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CC7A" w14:textId="77777777" w:rsidR="00AE6ACD" w:rsidRDefault="00AE6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2D58" w14:textId="77777777" w:rsidR="000E0741" w:rsidRDefault="000E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0744A"/>
    <w:rsid w:val="00023571"/>
    <w:rsid w:val="00037F7D"/>
    <w:rsid w:val="00042A0D"/>
    <w:rsid w:val="000460D4"/>
    <w:rsid w:val="00050416"/>
    <w:rsid w:val="000504B7"/>
    <w:rsid w:val="0005522B"/>
    <w:rsid w:val="00057FDA"/>
    <w:rsid w:val="000769D5"/>
    <w:rsid w:val="000874A5"/>
    <w:rsid w:val="00091C24"/>
    <w:rsid w:val="0009603A"/>
    <w:rsid w:val="00096C86"/>
    <w:rsid w:val="000A7B6C"/>
    <w:rsid w:val="000B39FE"/>
    <w:rsid w:val="000B6F7D"/>
    <w:rsid w:val="000C042B"/>
    <w:rsid w:val="000E0741"/>
    <w:rsid w:val="000E3199"/>
    <w:rsid w:val="000E67C1"/>
    <w:rsid w:val="000E7AA1"/>
    <w:rsid w:val="00101496"/>
    <w:rsid w:val="001078A8"/>
    <w:rsid w:val="001122DC"/>
    <w:rsid w:val="00120EFA"/>
    <w:rsid w:val="00127E4A"/>
    <w:rsid w:val="0014017E"/>
    <w:rsid w:val="00141EB9"/>
    <w:rsid w:val="00162827"/>
    <w:rsid w:val="0016318A"/>
    <w:rsid w:val="00167E3E"/>
    <w:rsid w:val="001828F6"/>
    <w:rsid w:val="00184A68"/>
    <w:rsid w:val="00191797"/>
    <w:rsid w:val="00197280"/>
    <w:rsid w:val="001B1C91"/>
    <w:rsid w:val="001B71EB"/>
    <w:rsid w:val="001C4922"/>
    <w:rsid w:val="001C4AE6"/>
    <w:rsid w:val="001C4CC6"/>
    <w:rsid w:val="001D3154"/>
    <w:rsid w:val="001D5843"/>
    <w:rsid w:val="001E79E7"/>
    <w:rsid w:val="001F34A4"/>
    <w:rsid w:val="00201FEA"/>
    <w:rsid w:val="0020361F"/>
    <w:rsid w:val="00206B77"/>
    <w:rsid w:val="00231BF9"/>
    <w:rsid w:val="002330E5"/>
    <w:rsid w:val="002333E4"/>
    <w:rsid w:val="00241DF6"/>
    <w:rsid w:val="00261910"/>
    <w:rsid w:val="00277334"/>
    <w:rsid w:val="00284C9D"/>
    <w:rsid w:val="00292E12"/>
    <w:rsid w:val="00297ECB"/>
    <w:rsid w:val="002A46C2"/>
    <w:rsid w:val="002B0C36"/>
    <w:rsid w:val="002B6661"/>
    <w:rsid w:val="002C7CCF"/>
    <w:rsid w:val="002E01B0"/>
    <w:rsid w:val="002E428A"/>
    <w:rsid w:val="002E636A"/>
    <w:rsid w:val="002F0785"/>
    <w:rsid w:val="002F2267"/>
    <w:rsid w:val="00303928"/>
    <w:rsid w:val="00303E4C"/>
    <w:rsid w:val="00325C1A"/>
    <w:rsid w:val="0032672E"/>
    <w:rsid w:val="003336D5"/>
    <w:rsid w:val="00340479"/>
    <w:rsid w:val="003411AC"/>
    <w:rsid w:val="003470FD"/>
    <w:rsid w:val="00351B72"/>
    <w:rsid w:val="00357899"/>
    <w:rsid w:val="00374B9A"/>
    <w:rsid w:val="003807AD"/>
    <w:rsid w:val="00387787"/>
    <w:rsid w:val="003B2A52"/>
    <w:rsid w:val="003B34F9"/>
    <w:rsid w:val="003D0211"/>
    <w:rsid w:val="003D3E22"/>
    <w:rsid w:val="003E540A"/>
    <w:rsid w:val="003E5C87"/>
    <w:rsid w:val="003F6C35"/>
    <w:rsid w:val="004068AA"/>
    <w:rsid w:val="00413189"/>
    <w:rsid w:val="004354D7"/>
    <w:rsid w:val="00455F1B"/>
    <w:rsid w:val="00460F99"/>
    <w:rsid w:val="004612E3"/>
    <w:rsid w:val="00462307"/>
    <w:rsid w:val="00464271"/>
    <w:rsid w:val="004677BD"/>
    <w:rsid w:val="004779E2"/>
    <w:rsid w:val="004839DA"/>
    <w:rsid w:val="00495500"/>
    <w:rsid w:val="00497E8F"/>
    <w:rsid w:val="004A04C2"/>
    <w:rsid w:val="004B7C04"/>
    <w:rsid w:val="004C1129"/>
    <w:rsid w:val="004D490D"/>
    <w:rsid w:val="004E793A"/>
    <w:rsid w:val="004F6D18"/>
    <w:rsid w:val="00501CB5"/>
    <w:rsid w:val="00505C31"/>
    <w:rsid w:val="0051405C"/>
    <w:rsid w:val="00516A8A"/>
    <w:rsid w:val="005222F0"/>
    <w:rsid w:val="0052300E"/>
    <w:rsid w:val="00527362"/>
    <w:rsid w:val="00536239"/>
    <w:rsid w:val="00541045"/>
    <w:rsid w:val="00554E24"/>
    <w:rsid w:val="00565289"/>
    <w:rsid w:val="005704A2"/>
    <w:rsid w:val="00570D68"/>
    <w:rsid w:val="00590067"/>
    <w:rsid w:val="00596ED1"/>
    <w:rsid w:val="005C2595"/>
    <w:rsid w:val="005C464C"/>
    <w:rsid w:val="005C619E"/>
    <w:rsid w:val="005D141A"/>
    <w:rsid w:val="005E3063"/>
    <w:rsid w:val="005E734D"/>
    <w:rsid w:val="005F44E5"/>
    <w:rsid w:val="006109A8"/>
    <w:rsid w:val="00611C13"/>
    <w:rsid w:val="00613EAA"/>
    <w:rsid w:val="006341D7"/>
    <w:rsid w:val="00650F6C"/>
    <w:rsid w:val="00651D48"/>
    <w:rsid w:val="0066300C"/>
    <w:rsid w:val="00666DB8"/>
    <w:rsid w:val="0066733C"/>
    <w:rsid w:val="00671A3F"/>
    <w:rsid w:val="00680249"/>
    <w:rsid w:val="006922EC"/>
    <w:rsid w:val="0069371D"/>
    <w:rsid w:val="00693D19"/>
    <w:rsid w:val="006B01DA"/>
    <w:rsid w:val="006B23FE"/>
    <w:rsid w:val="006E700A"/>
    <w:rsid w:val="006F0B4A"/>
    <w:rsid w:val="006F2445"/>
    <w:rsid w:val="00731F3D"/>
    <w:rsid w:val="0073393F"/>
    <w:rsid w:val="0073642B"/>
    <w:rsid w:val="007453FD"/>
    <w:rsid w:val="00762516"/>
    <w:rsid w:val="00775C7D"/>
    <w:rsid w:val="007818D2"/>
    <w:rsid w:val="007B0506"/>
    <w:rsid w:val="007B0DF3"/>
    <w:rsid w:val="007B5FD4"/>
    <w:rsid w:val="007C5E58"/>
    <w:rsid w:val="007C61E5"/>
    <w:rsid w:val="007C64B1"/>
    <w:rsid w:val="007D2E62"/>
    <w:rsid w:val="007D551E"/>
    <w:rsid w:val="007E5458"/>
    <w:rsid w:val="007F6562"/>
    <w:rsid w:val="007F6D7C"/>
    <w:rsid w:val="0080159C"/>
    <w:rsid w:val="00801E11"/>
    <w:rsid w:val="00804CCF"/>
    <w:rsid w:val="00805821"/>
    <w:rsid w:val="00812481"/>
    <w:rsid w:val="00812EE0"/>
    <w:rsid w:val="00814074"/>
    <w:rsid w:val="00816C3B"/>
    <w:rsid w:val="00825502"/>
    <w:rsid w:val="00825A31"/>
    <w:rsid w:val="00833371"/>
    <w:rsid w:val="0083410C"/>
    <w:rsid w:val="0083752B"/>
    <w:rsid w:val="008436A1"/>
    <w:rsid w:val="0085644C"/>
    <w:rsid w:val="00860FF8"/>
    <w:rsid w:val="00882C38"/>
    <w:rsid w:val="00890541"/>
    <w:rsid w:val="0089733E"/>
    <w:rsid w:val="008A02EC"/>
    <w:rsid w:val="008B33C4"/>
    <w:rsid w:val="008B7BAA"/>
    <w:rsid w:val="008E7A3A"/>
    <w:rsid w:val="008E7D3E"/>
    <w:rsid w:val="008F5A7E"/>
    <w:rsid w:val="008F5FC3"/>
    <w:rsid w:val="00913346"/>
    <w:rsid w:val="009152A1"/>
    <w:rsid w:val="009159E6"/>
    <w:rsid w:val="00920595"/>
    <w:rsid w:val="0092317E"/>
    <w:rsid w:val="00924700"/>
    <w:rsid w:val="00925426"/>
    <w:rsid w:val="009359EE"/>
    <w:rsid w:val="00936216"/>
    <w:rsid w:val="00941DC7"/>
    <w:rsid w:val="0094585F"/>
    <w:rsid w:val="00961E0C"/>
    <w:rsid w:val="009822F7"/>
    <w:rsid w:val="00982BB2"/>
    <w:rsid w:val="009965A2"/>
    <w:rsid w:val="00997797"/>
    <w:rsid w:val="009A2222"/>
    <w:rsid w:val="009A53A5"/>
    <w:rsid w:val="009B4B7A"/>
    <w:rsid w:val="009C6A10"/>
    <w:rsid w:val="009D169C"/>
    <w:rsid w:val="009E6E10"/>
    <w:rsid w:val="009F12B8"/>
    <w:rsid w:val="00A00C3D"/>
    <w:rsid w:val="00A048F0"/>
    <w:rsid w:val="00A04E41"/>
    <w:rsid w:val="00A055B2"/>
    <w:rsid w:val="00A117A6"/>
    <w:rsid w:val="00A14965"/>
    <w:rsid w:val="00A16CCB"/>
    <w:rsid w:val="00A262CC"/>
    <w:rsid w:val="00A275FD"/>
    <w:rsid w:val="00A46B98"/>
    <w:rsid w:val="00A55033"/>
    <w:rsid w:val="00A62048"/>
    <w:rsid w:val="00A711B6"/>
    <w:rsid w:val="00A76904"/>
    <w:rsid w:val="00A7728F"/>
    <w:rsid w:val="00A920D7"/>
    <w:rsid w:val="00A9414B"/>
    <w:rsid w:val="00AA7595"/>
    <w:rsid w:val="00AB120F"/>
    <w:rsid w:val="00AC12AB"/>
    <w:rsid w:val="00AC5879"/>
    <w:rsid w:val="00AC5D79"/>
    <w:rsid w:val="00AE5C5E"/>
    <w:rsid w:val="00AE6ACD"/>
    <w:rsid w:val="00AF04A3"/>
    <w:rsid w:val="00B56683"/>
    <w:rsid w:val="00B6106C"/>
    <w:rsid w:val="00B851F1"/>
    <w:rsid w:val="00B9252F"/>
    <w:rsid w:val="00B93009"/>
    <w:rsid w:val="00B94BC8"/>
    <w:rsid w:val="00B977CE"/>
    <w:rsid w:val="00BA0B1B"/>
    <w:rsid w:val="00BA2652"/>
    <w:rsid w:val="00BA4D84"/>
    <w:rsid w:val="00BC23D5"/>
    <w:rsid w:val="00BC7E1A"/>
    <w:rsid w:val="00BE58C0"/>
    <w:rsid w:val="00BF054D"/>
    <w:rsid w:val="00BF4DCB"/>
    <w:rsid w:val="00BF5BEA"/>
    <w:rsid w:val="00C065A2"/>
    <w:rsid w:val="00C1038A"/>
    <w:rsid w:val="00C117E6"/>
    <w:rsid w:val="00C1601D"/>
    <w:rsid w:val="00C420CD"/>
    <w:rsid w:val="00C6328A"/>
    <w:rsid w:val="00C66E51"/>
    <w:rsid w:val="00C706BA"/>
    <w:rsid w:val="00C70AEC"/>
    <w:rsid w:val="00C736CD"/>
    <w:rsid w:val="00C7488A"/>
    <w:rsid w:val="00C830C2"/>
    <w:rsid w:val="00C9353B"/>
    <w:rsid w:val="00CA55FC"/>
    <w:rsid w:val="00CA6C9F"/>
    <w:rsid w:val="00CB367B"/>
    <w:rsid w:val="00CC6C3E"/>
    <w:rsid w:val="00CD0D79"/>
    <w:rsid w:val="00CE7909"/>
    <w:rsid w:val="00CE7C4E"/>
    <w:rsid w:val="00D00763"/>
    <w:rsid w:val="00D04585"/>
    <w:rsid w:val="00D06212"/>
    <w:rsid w:val="00D06AB4"/>
    <w:rsid w:val="00D11563"/>
    <w:rsid w:val="00D160B7"/>
    <w:rsid w:val="00D26D14"/>
    <w:rsid w:val="00D4537B"/>
    <w:rsid w:val="00D546D3"/>
    <w:rsid w:val="00D55BD4"/>
    <w:rsid w:val="00D5731A"/>
    <w:rsid w:val="00D574F8"/>
    <w:rsid w:val="00D60A5A"/>
    <w:rsid w:val="00D67466"/>
    <w:rsid w:val="00D71AA2"/>
    <w:rsid w:val="00D76E79"/>
    <w:rsid w:val="00D81E81"/>
    <w:rsid w:val="00D92A48"/>
    <w:rsid w:val="00DA4A5A"/>
    <w:rsid w:val="00DD18DB"/>
    <w:rsid w:val="00DD29E9"/>
    <w:rsid w:val="00DE54E2"/>
    <w:rsid w:val="00DE6096"/>
    <w:rsid w:val="00DF20B3"/>
    <w:rsid w:val="00E06331"/>
    <w:rsid w:val="00E14BDC"/>
    <w:rsid w:val="00E22534"/>
    <w:rsid w:val="00E3271E"/>
    <w:rsid w:val="00E458CE"/>
    <w:rsid w:val="00E518F7"/>
    <w:rsid w:val="00E57438"/>
    <w:rsid w:val="00E6245D"/>
    <w:rsid w:val="00E91240"/>
    <w:rsid w:val="00E94458"/>
    <w:rsid w:val="00EA1033"/>
    <w:rsid w:val="00EA3CEB"/>
    <w:rsid w:val="00EA3FA9"/>
    <w:rsid w:val="00EB1222"/>
    <w:rsid w:val="00EB4AD9"/>
    <w:rsid w:val="00EB5CCD"/>
    <w:rsid w:val="00EC3867"/>
    <w:rsid w:val="00ED7AC3"/>
    <w:rsid w:val="00EF144C"/>
    <w:rsid w:val="00EF4ACE"/>
    <w:rsid w:val="00EF5727"/>
    <w:rsid w:val="00F0010A"/>
    <w:rsid w:val="00F501C6"/>
    <w:rsid w:val="00F5435F"/>
    <w:rsid w:val="00F7619E"/>
    <w:rsid w:val="00FC6DD4"/>
    <w:rsid w:val="00FD5491"/>
    <w:rsid w:val="00FF29B7"/>
    <w:rsid w:val="00FF3B61"/>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ADC5226"/>
  <w15:docId w15:val="{3120CFF2-53F0-4F23-907F-42AAD90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uiPriority w:val="34"/>
    <w:qFormat/>
    <w:rsid w:val="007C61E5"/>
    <w:pPr>
      <w:ind w:left="720"/>
      <w:contextualSpacing/>
    </w:pPr>
  </w:style>
  <w:style w:type="character" w:customStyle="1" w:styleId="FooterChar">
    <w:name w:val="Footer Char"/>
    <w:basedOn w:val="DefaultParagraphFont"/>
    <w:link w:val="Footer"/>
    <w:uiPriority w:val="99"/>
    <w:rsid w:val="000E074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346099">
      <w:bodyDiv w:val="1"/>
      <w:marLeft w:val="0"/>
      <w:marRight w:val="0"/>
      <w:marTop w:val="0"/>
      <w:marBottom w:val="0"/>
      <w:divBdr>
        <w:top w:val="none" w:sz="0" w:space="0" w:color="auto"/>
        <w:left w:val="none" w:sz="0" w:space="0" w:color="auto"/>
        <w:bottom w:val="none" w:sz="0" w:space="0" w:color="auto"/>
        <w:right w:val="none" w:sz="0" w:space="0" w:color="auto"/>
      </w:divBdr>
    </w:div>
    <w:div w:id="16601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582-84D3-4519-A0D1-928D2538C853}">
  <ds:schemaRefs>
    <ds:schemaRef ds:uri="http://schemas.microsoft.com/office/2006/metadata/properties"/>
    <ds:schemaRef ds:uri="http://purl.org/dc/term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144ea41b-304c-4c03-99c4-debb02094f92"/>
    <ds:schemaRef ds:uri="http://www.w3.org/XML/1998/namespace"/>
  </ds:schemaRefs>
</ds:datastoreItem>
</file>

<file path=customXml/itemProps2.xml><?xml version="1.0" encoding="utf-8"?>
<ds:datastoreItem xmlns:ds="http://schemas.openxmlformats.org/officeDocument/2006/customXml" ds:itemID="{DA5766EC-7443-4208-943D-4112EC6A9BA5}">
  <ds:schemaRefs>
    <ds:schemaRef ds:uri="http://schemas.microsoft.com/sharepoint/v3/contenttype/forms"/>
  </ds:schemaRefs>
</ds:datastoreItem>
</file>

<file path=customXml/itemProps3.xml><?xml version="1.0" encoding="utf-8"?>
<ds:datastoreItem xmlns:ds="http://schemas.openxmlformats.org/officeDocument/2006/customXml" ds:itemID="{21CFDA33-2CFD-409B-8F85-A5812638E873}">
  <ds:schemaRefs>
    <ds:schemaRef ds:uri="Microsoft.SharePoint.Taxonomy.ContentTypeSync"/>
  </ds:schemaRefs>
</ds:datastoreItem>
</file>

<file path=customXml/itemProps4.xml><?xml version="1.0" encoding="utf-8"?>
<ds:datastoreItem xmlns:ds="http://schemas.openxmlformats.org/officeDocument/2006/customXml" ds:itemID="{86A94826-E0B6-42F9-8CEC-6CA83C96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F506E-D2F0-4E87-946C-16EC5510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2388</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3</cp:revision>
  <cp:lastPrinted>2014-10-30T18:05:00Z</cp:lastPrinted>
  <dcterms:created xsi:type="dcterms:W3CDTF">2021-03-19T15:45:00Z</dcterms:created>
  <dcterms:modified xsi:type="dcterms:W3CDTF">2021-03-19T15:46:00Z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