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12E" w:rsidR="003F1EB4" w:rsidP="00A02D17" w:rsidRDefault="003F1EB4" w14:paraId="05E2CD60" w14:textId="77777777">
      <w:pPr>
        <w:jc w:val="center"/>
        <w:rPr>
          <w:szCs w:val="24"/>
        </w:rPr>
      </w:pPr>
      <w:r w:rsidRPr="0032412E">
        <w:rPr>
          <w:szCs w:val="24"/>
        </w:rPr>
        <w:t>Supporting Statement for Paperwork Reduction Act Submissions</w:t>
      </w:r>
    </w:p>
    <w:p w:rsidR="00EE6D8E" w:rsidP="00A02D17" w:rsidRDefault="003F1EB4" w14:paraId="5B7600DF" w14:textId="2CD8FDBB">
      <w:pPr>
        <w:pStyle w:val="Heading1"/>
        <w:spacing w:before="0"/>
        <w:jc w:val="center"/>
        <w:rPr>
          <w:rFonts w:ascii="Times New Roman" w:hAnsi="Times New Roman" w:cs="Times New Roman"/>
          <w:color w:val="auto"/>
          <w:sz w:val="24"/>
          <w:szCs w:val="24"/>
        </w:rPr>
      </w:pPr>
      <w:r w:rsidRPr="0085095E">
        <w:rPr>
          <w:rFonts w:ascii="Times New Roman" w:hAnsi="Times New Roman" w:cs="Times New Roman"/>
          <w:color w:val="auto"/>
          <w:sz w:val="24"/>
          <w:szCs w:val="24"/>
        </w:rPr>
        <w:t xml:space="preserve">Medicare Enrollment Application </w:t>
      </w:r>
      <w:r w:rsidRPr="0085095E" w:rsidR="001625D1">
        <w:rPr>
          <w:rFonts w:ascii="Times New Roman" w:hAnsi="Times New Roman" w:cs="Times New Roman"/>
          <w:color w:val="auto"/>
          <w:sz w:val="24"/>
          <w:szCs w:val="24"/>
        </w:rPr>
        <w:t xml:space="preserve">for </w:t>
      </w:r>
      <w:r w:rsidRPr="0085095E" w:rsidR="00D439A9">
        <w:rPr>
          <w:rFonts w:ascii="Times New Roman" w:hAnsi="Times New Roman" w:cs="Times New Roman"/>
          <w:color w:val="auto"/>
          <w:sz w:val="24"/>
          <w:szCs w:val="24"/>
        </w:rPr>
        <w:t>Clinics/Group</w:t>
      </w:r>
    </w:p>
    <w:p w:rsidRPr="0085095E" w:rsidR="001625D1" w:rsidP="00A02D17" w:rsidRDefault="00D439A9" w14:paraId="68ED8888" w14:textId="4794A70A">
      <w:pPr>
        <w:pStyle w:val="Heading1"/>
        <w:spacing w:before="0"/>
        <w:jc w:val="center"/>
        <w:rPr>
          <w:rFonts w:ascii="Times New Roman" w:hAnsi="Times New Roman" w:cs="Times New Roman"/>
          <w:color w:val="auto"/>
          <w:sz w:val="24"/>
          <w:szCs w:val="24"/>
        </w:rPr>
      </w:pPr>
      <w:r w:rsidRPr="0085095E">
        <w:rPr>
          <w:rFonts w:ascii="Times New Roman" w:hAnsi="Times New Roman" w:cs="Times New Roman"/>
          <w:color w:val="auto"/>
          <w:sz w:val="24"/>
          <w:szCs w:val="24"/>
        </w:rPr>
        <w:t>Practices</w:t>
      </w:r>
      <w:r w:rsidR="00EE6D8E">
        <w:rPr>
          <w:rFonts w:ascii="Times New Roman" w:hAnsi="Times New Roman" w:cs="Times New Roman"/>
          <w:color w:val="auto"/>
          <w:sz w:val="24"/>
          <w:szCs w:val="24"/>
        </w:rPr>
        <w:t xml:space="preserve"> and Other Suppliers</w:t>
      </w:r>
    </w:p>
    <w:p w:rsidRPr="0085095E" w:rsidR="001625D1" w:rsidP="00A02D17" w:rsidRDefault="001625D1" w14:paraId="7B9BAD22" w14:textId="4739ECD6">
      <w:pPr>
        <w:pStyle w:val="Heading1"/>
        <w:spacing w:before="0"/>
        <w:jc w:val="center"/>
        <w:rPr>
          <w:rFonts w:ascii="Times New Roman" w:hAnsi="Times New Roman" w:eastAsia="Times New Roman" w:cs="Times New Roman"/>
          <w:color w:val="auto"/>
          <w:sz w:val="24"/>
          <w:szCs w:val="24"/>
        </w:rPr>
      </w:pPr>
      <w:r w:rsidRPr="0085095E">
        <w:rPr>
          <w:rFonts w:ascii="Times New Roman" w:hAnsi="Times New Roman" w:eastAsia="Times New Roman" w:cs="Times New Roman"/>
          <w:color w:val="auto"/>
          <w:sz w:val="24"/>
          <w:szCs w:val="24"/>
        </w:rPr>
        <w:t>CM</w:t>
      </w:r>
      <w:r w:rsidRPr="0085095E">
        <w:rPr>
          <w:rFonts w:ascii="Times New Roman" w:hAnsi="Times New Roman" w:eastAsia="Times New Roman" w:cs="Times New Roman"/>
          <w:color w:val="auto"/>
          <w:spacing w:val="1"/>
          <w:sz w:val="24"/>
          <w:szCs w:val="24"/>
        </w:rPr>
        <w:t>S</w:t>
      </w:r>
      <w:r w:rsidRPr="0085095E">
        <w:rPr>
          <w:rFonts w:ascii="Times New Roman" w:hAnsi="Times New Roman" w:eastAsia="Times New Roman" w:cs="Times New Roman"/>
          <w:color w:val="auto"/>
          <w:spacing w:val="-1"/>
          <w:sz w:val="24"/>
          <w:szCs w:val="24"/>
        </w:rPr>
        <w:t>-855</w:t>
      </w:r>
      <w:r w:rsidRPr="0085095E" w:rsidR="00D439A9">
        <w:rPr>
          <w:rFonts w:ascii="Times New Roman" w:hAnsi="Times New Roman" w:eastAsia="Times New Roman" w:cs="Times New Roman"/>
          <w:color w:val="auto"/>
          <w:spacing w:val="-1"/>
          <w:sz w:val="24"/>
          <w:szCs w:val="24"/>
        </w:rPr>
        <w:t>B</w:t>
      </w:r>
      <w:r w:rsidR="00CE5D61">
        <w:rPr>
          <w:rFonts w:ascii="Times New Roman" w:hAnsi="Times New Roman" w:eastAsia="Times New Roman" w:cs="Times New Roman"/>
          <w:color w:val="auto"/>
          <w:spacing w:val="-1"/>
          <w:sz w:val="24"/>
          <w:szCs w:val="24"/>
        </w:rPr>
        <w:t xml:space="preserve">, </w:t>
      </w:r>
      <w:r w:rsidRPr="0085095E">
        <w:rPr>
          <w:rFonts w:ascii="Times New Roman" w:hAnsi="Times New Roman" w:eastAsia="Times New Roman" w:cs="Times New Roman"/>
          <w:color w:val="auto"/>
          <w:sz w:val="24"/>
          <w:szCs w:val="24"/>
        </w:rPr>
        <w:t>OMB Control Number: 0938-</w:t>
      </w:r>
      <w:r w:rsidR="0085095E">
        <w:rPr>
          <w:rFonts w:ascii="Times New Roman" w:hAnsi="Times New Roman" w:eastAsia="Times New Roman" w:cs="Times New Roman"/>
          <w:color w:val="auto"/>
          <w:sz w:val="24"/>
          <w:szCs w:val="24"/>
        </w:rPr>
        <w:t>13</w:t>
      </w:r>
      <w:r w:rsidR="00B54634">
        <w:rPr>
          <w:rFonts w:ascii="Times New Roman" w:hAnsi="Times New Roman" w:eastAsia="Times New Roman" w:cs="Times New Roman"/>
          <w:color w:val="auto"/>
          <w:sz w:val="24"/>
          <w:szCs w:val="24"/>
        </w:rPr>
        <w:t>7</w:t>
      </w:r>
      <w:r w:rsidR="0085095E">
        <w:rPr>
          <w:rFonts w:ascii="Times New Roman" w:hAnsi="Times New Roman" w:eastAsia="Times New Roman" w:cs="Times New Roman"/>
          <w:color w:val="auto"/>
          <w:sz w:val="24"/>
          <w:szCs w:val="24"/>
        </w:rPr>
        <w:t>7</w:t>
      </w:r>
    </w:p>
    <w:p w:rsidRPr="00087B19" w:rsidR="00661E4B" w:rsidP="00A02D17" w:rsidRDefault="00661E4B" w14:paraId="2DDCD60F" w14:textId="77777777">
      <w:pPr>
        <w:jc w:val="both"/>
      </w:pPr>
    </w:p>
    <w:p w:rsidRPr="009C764B" w:rsidR="003F1EB4" w:rsidP="00A02D17" w:rsidRDefault="003F1EB4" w14:paraId="0076B23E" w14:textId="77777777">
      <w:pPr>
        <w:pStyle w:val="Heading2"/>
        <w:numPr>
          <w:ilvl w:val="0"/>
          <w:numId w:val="0"/>
        </w:numPr>
        <w:jc w:val="both"/>
        <w:rPr>
          <w:u w:val="none"/>
        </w:rPr>
      </w:pPr>
      <w:r w:rsidRPr="009C764B">
        <w:rPr>
          <w:u w:val="none"/>
        </w:rPr>
        <w:t>BACKGROUND</w:t>
      </w:r>
    </w:p>
    <w:p w:rsidRPr="00087B19" w:rsidR="003F1EB4" w:rsidP="00A02D17" w:rsidRDefault="003F1EB4" w14:paraId="64A094AA" w14:textId="77777777"/>
    <w:p w:rsidRPr="00087B19" w:rsidR="00D639FC" w:rsidP="00A02D17" w:rsidRDefault="00D639FC" w14:paraId="7F743B09" w14:textId="20703453">
      <w:pPr>
        <w:rPr>
          <w:i/>
          <w:szCs w:val="24"/>
        </w:rPr>
      </w:pPr>
      <w:r w:rsidRPr="00087B19">
        <w:t>The primary function of the CMS-</w:t>
      </w:r>
      <w:r w:rsidRPr="00087B19" w:rsidR="00D439A9">
        <w:t>855B</w:t>
      </w:r>
      <w:r w:rsidRPr="00087B19">
        <w:t xml:space="preserve"> Medicare enrollment application </w:t>
      </w:r>
      <w:r w:rsidRPr="00087B19" w:rsidR="002674C4">
        <w:t xml:space="preserve">for </w:t>
      </w:r>
      <w:r w:rsidRPr="00087B19" w:rsidR="001C781B">
        <w:t>suppliers</w:t>
      </w:r>
      <w:r w:rsidR="00E966A0">
        <w:t>/providers</w:t>
      </w:r>
      <w:r w:rsidR="00321C10">
        <w:t xml:space="preserve"> </w:t>
      </w:r>
      <w:r w:rsidRPr="00087B19">
        <w:t xml:space="preserve">is to gather information from </w:t>
      </w:r>
      <w:r w:rsidRPr="00087B19" w:rsidR="001C781B">
        <w:t>the supplier</w:t>
      </w:r>
      <w:r w:rsidRPr="00087B19">
        <w:t xml:space="preserve"> that tells us who </w:t>
      </w:r>
      <w:r w:rsidRPr="00087B19" w:rsidR="001C781B">
        <w:t>the supplier</w:t>
      </w:r>
      <w:r w:rsidRPr="00087B19">
        <w:t xml:space="preserve"> is, whether </w:t>
      </w:r>
      <w:r w:rsidRPr="00087B19" w:rsidR="001C781B">
        <w:t>the supplier</w:t>
      </w:r>
      <w:r w:rsidR="00E966A0">
        <w:t>/provider</w:t>
      </w:r>
      <w:r w:rsidRPr="00087B19">
        <w:t xml:space="preserve"> meets certain qualifications to be a </w:t>
      </w:r>
      <w:r w:rsidRPr="00087B19" w:rsidR="002674C4">
        <w:t xml:space="preserve">Medicare </w:t>
      </w:r>
      <w:r w:rsidRPr="00087B19">
        <w:t xml:space="preserve">health care provider or supplier, where </w:t>
      </w:r>
      <w:r w:rsidRPr="00087B19" w:rsidR="001C781B">
        <w:t>the supplier</w:t>
      </w:r>
      <w:r w:rsidR="00E966A0">
        <w:t>/provider</w:t>
      </w:r>
      <w:r w:rsidRPr="00087B19" w:rsidR="002674C4">
        <w:t xml:space="preserve"> </w:t>
      </w:r>
      <w:r w:rsidRPr="00087B19">
        <w:t>practices or renders services, and other information necessary to establish correct claims payments.</w:t>
      </w:r>
    </w:p>
    <w:p w:rsidRPr="00AB7D0A" w:rsidR="007B7C94" w:rsidP="00A02D17" w:rsidRDefault="007B7C94" w14:paraId="16939AA2" w14:textId="77777777"/>
    <w:p w:rsidRPr="00AB7D0A" w:rsidR="00406952" w:rsidP="00A02D17" w:rsidRDefault="00916A12" w14:paraId="345521F7" w14:textId="6D13F6AC">
      <w:r w:rsidRPr="00AB7D0A">
        <w:t xml:space="preserve">The proposed changes in this collection of information request is associated with our August 17, 2020 (85 FR </w:t>
      </w:r>
      <w:r w:rsidRPr="00AB7D0A" w:rsidR="000256BF">
        <w:t>50074</w:t>
      </w:r>
      <w:r w:rsidRPr="00AB7D0A">
        <w:t>) proposed rule (CMS-1734-P, RIN 0938-AU10)</w:t>
      </w:r>
      <w:r w:rsidRPr="00AB7D0A" w:rsidR="00AB7D0A">
        <w:t xml:space="preserve"> entitled, “</w:t>
      </w:r>
      <w:r w:rsidRPr="00AB7D0A" w:rsidR="00406952">
        <w:t>Revisions to Payment Policies under the Medicare Physician Fee Schedule, Quality Payment Program and Other Revisions to Part B for CY 2021</w:t>
      </w:r>
      <w:r w:rsidRPr="00AB7D0A" w:rsidR="00AB7D0A">
        <w:t>.”</w:t>
      </w:r>
    </w:p>
    <w:p w:rsidRPr="00AB7D0A" w:rsidR="00406952" w:rsidP="00A02D17" w:rsidRDefault="00406952" w14:paraId="6EEA79F2" w14:textId="77777777"/>
    <w:p w:rsidR="00F16565" w:rsidP="00A02D17" w:rsidRDefault="007B7C94" w14:paraId="53B38C1C" w14:textId="43D1AF88">
      <w:r w:rsidRPr="00DB233C">
        <w:t>Existing § 424.67 outlines a number of enr</w:t>
      </w:r>
      <w:r>
        <w:t xml:space="preserve">ollment requirements for OTPs.  </w:t>
      </w:r>
      <w:r w:rsidRPr="00DB233C" w:rsidR="00E966A0">
        <w:t>One requirement, addressed in § 424.67(b</w:t>
      </w:r>
      <w:proofErr w:type="gramStart"/>
      <w:r w:rsidRPr="00DB233C" w:rsidR="00E966A0">
        <w:t>)(</w:t>
      </w:r>
      <w:proofErr w:type="gramEnd"/>
      <w:r w:rsidRPr="00DB233C" w:rsidR="00E966A0">
        <w:t>1), is that OTPs must complete the Form CMS-855B application (Medicare Enrollment Application: Clinics/Group Practices and Certain Other Suppliers; OMB #: 0938-1377) to enroll in Medicare. The reference to the Form CMS-855B in § 424.67(b</w:t>
      </w:r>
      <w:proofErr w:type="gramStart"/>
      <w:r w:rsidRPr="00DB233C" w:rsidR="00E966A0">
        <w:t>)(</w:t>
      </w:r>
      <w:proofErr w:type="gramEnd"/>
      <w:r w:rsidRPr="00DB233C" w:rsidR="00E966A0">
        <w:t xml:space="preserve">1) was predicated in part on the assumption that OTPs would generally submit the CMS-1500 claim form (Health Insurance Claim Form; OMB Control No.: 0938-1197) to receive payment for their services.  However, as mentioned previously in section II.I.4. </w:t>
      </w:r>
      <w:proofErr w:type="gramStart"/>
      <w:r w:rsidRPr="00DB233C" w:rsidR="00E966A0">
        <w:t>of</w:t>
      </w:r>
      <w:proofErr w:type="gramEnd"/>
      <w:r w:rsidRPr="00DB233C" w:rsidR="00E966A0">
        <w:t xml:space="preserve"> th</w:t>
      </w:r>
      <w:r w:rsidR="00F15D91">
        <w:t>e</w:t>
      </w:r>
      <w:r w:rsidRPr="00DB233C" w:rsidR="00E966A0">
        <w:t xml:space="preserve"> proposed rule, we have received requests to allow OTPs to bill for services on an institutional claim form (specifically, the 837I).  To do so, these OTPs would have to enroll in Medicare via the Form CMS-855A (Medicare Enrollment Application for Institutional Providers (OMB # 0938-0685)).  To account for circumstances where an OTP wishes to pursue Form CMS-855A enrollment for the reason stated above, we have proposed these changes.  Additionally, </w:t>
      </w:r>
      <w:r w:rsidR="00E966A0">
        <w:rPr>
          <w:bCs/>
        </w:rPr>
        <w:t>w</w:t>
      </w:r>
      <w:r w:rsidRPr="00494489" w:rsidR="00E966A0">
        <w:t>e foresee three main implications associated with our proposed changes to § 424.67.  First, newly enrolling OTPs would be able to complete and submit a Form CMS-855A (Medicare Enrollment Application - Institutional Providers) instead of a Form CMS-855B.  Second, we anticipate that numerous OTPs that are currently enrolled via the Form CMS-855B would terminate the latter enrollments and complete/submit a Form CMS-855A application in order to bill for OTP services via the 837I.  (As stated in proposed/revised § 424.67(c), an OTP cannot be enrolled via both the Form CMS-855A and Form CMS-855B; it must choose one of these two enrollment mechanisms.)  Third, it is possible that some OTPs that enroll using the Form CMS-855A (pursuant to revised § 424.67(b)) would later change their enrollment to a Form CMS-855B.</w:t>
      </w:r>
      <w:r>
        <w:t xml:space="preserve">  </w:t>
      </w:r>
    </w:p>
    <w:p w:rsidR="00F16565" w:rsidP="00A02D17" w:rsidRDefault="00F16565" w14:paraId="316A17A0" w14:textId="77777777"/>
    <w:p w:rsidR="00E966A0" w:rsidP="00A02D17" w:rsidRDefault="007B7C94" w14:paraId="76D5664E" w14:textId="048B15E8">
      <w:r>
        <w:t xml:space="preserve">The overall burden </w:t>
      </w:r>
      <w:r w:rsidR="003566BA">
        <w:t xml:space="preserve">would add </w:t>
      </w:r>
      <w:r w:rsidR="004F68E5">
        <w:t>10 new respondents in the next 3 years</w:t>
      </w:r>
      <w:r w:rsidR="003566BA">
        <w:t xml:space="preserve">. We are not </w:t>
      </w:r>
      <w:r>
        <w:t>propos</w:t>
      </w:r>
      <w:r w:rsidR="003566BA">
        <w:t xml:space="preserve">ing any </w:t>
      </w:r>
      <w:r>
        <w:t>changes to the CMS-855B</w:t>
      </w:r>
      <w:r w:rsidR="003566BA">
        <w:t xml:space="preserve"> form</w:t>
      </w:r>
      <w:r>
        <w:t xml:space="preserve">. </w:t>
      </w:r>
    </w:p>
    <w:p w:rsidRPr="00087B19" w:rsidR="00D22037" w:rsidP="00A02D17" w:rsidRDefault="00D22037" w14:paraId="05B21FBB" w14:textId="77777777">
      <w:pPr>
        <w:ind w:left="360"/>
        <w:rPr>
          <w:rFonts w:ascii="Times" w:hAnsi="Times"/>
          <w:szCs w:val="18"/>
        </w:rPr>
      </w:pPr>
    </w:p>
    <w:p w:rsidRPr="00F81DDC" w:rsidR="003F1EB4" w:rsidP="00A02D17" w:rsidRDefault="003F1EB4" w14:paraId="3F1C1252" w14:textId="77777777">
      <w:pPr>
        <w:pStyle w:val="ListParagraph"/>
        <w:numPr>
          <w:ilvl w:val="0"/>
          <w:numId w:val="40"/>
        </w:numPr>
        <w:ind w:left="0" w:firstLine="0"/>
        <w:contextualSpacing w:val="0"/>
        <w:rPr>
          <w:b/>
        </w:rPr>
      </w:pPr>
      <w:r w:rsidRPr="00F81DDC">
        <w:rPr>
          <w:b/>
        </w:rPr>
        <w:t>JUSTIFICATION</w:t>
      </w:r>
    </w:p>
    <w:p w:rsidRPr="00087B19" w:rsidR="003F1EB4" w:rsidP="00A02D17" w:rsidRDefault="003F1EB4" w14:paraId="32F7A041" w14:textId="77777777"/>
    <w:p w:rsidRPr="00BD793A" w:rsidR="003F1EB4" w:rsidP="00A02D17" w:rsidRDefault="003F1EB4" w14:paraId="60CBB248" w14:textId="77777777">
      <w:pPr>
        <w:pStyle w:val="1"/>
        <w:numPr>
          <w:ilvl w:val="0"/>
          <w:numId w:val="2"/>
        </w:numPr>
        <w:tabs>
          <w:tab w:val="left" w:pos="-1440"/>
        </w:tabs>
        <w:rPr>
          <w:u w:val="single"/>
        </w:rPr>
      </w:pPr>
      <w:r w:rsidRPr="00BD793A">
        <w:rPr>
          <w:u w:val="single"/>
        </w:rPr>
        <w:t>Need and Legal Basis</w:t>
      </w:r>
    </w:p>
    <w:p w:rsidRPr="00087B19" w:rsidR="003F1EB4" w:rsidP="00A02D17" w:rsidRDefault="003F1EB4" w14:paraId="018357BD" w14:textId="77777777"/>
    <w:p w:rsidRPr="00087B19" w:rsidR="00D35F93" w:rsidP="00A02D17" w:rsidRDefault="00D35F93" w14:paraId="26C9B080" w14:textId="77777777">
      <w:r w:rsidRPr="00087B19">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rsidRPr="00087B19" w:rsidR="00D35F93" w:rsidP="00A02D17" w:rsidRDefault="00D35F93" w14:paraId="2284D2E1" w14:textId="77777777"/>
    <w:p w:rsidRPr="00087B19" w:rsidR="00E0613E" w:rsidP="00A02D17" w:rsidRDefault="00F0103A" w14:paraId="5C9ABF71" w14:textId="697114C7">
      <w:pPr>
        <w:numPr>
          <w:ilvl w:val="0"/>
          <w:numId w:val="14"/>
        </w:numPr>
        <w:rPr>
          <w:szCs w:val="24"/>
        </w:rPr>
      </w:pPr>
      <w:r>
        <w:t>42 CFR</w:t>
      </w:r>
      <w:r w:rsidRPr="00087B19" w:rsidR="00E0613E">
        <w:rPr>
          <w:szCs w:val="24"/>
        </w:rPr>
        <w:t xml:space="preserve">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 supplies.</w:t>
      </w:r>
    </w:p>
    <w:p w:rsidRPr="00087B19" w:rsidR="00D35F93" w:rsidP="00A02D17" w:rsidRDefault="00D35F93" w14:paraId="37AF2F00" w14:textId="77777777">
      <w:pPr>
        <w:numPr>
          <w:ilvl w:val="0"/>
          <w:numId w:val="14"/>
        </w:numPr>
      </w:pPr>
      <w:r w:rsidRPr="00087B19">
        <w:lastRenderedPageBreak/>
        <w:t>Sections 1814(a), 1815(a), and 1833(e) of the Act require the submission of information necessary to determine the amounts due to a provider or other person.</w:t>
      </w:r>
    </w:p>
    <w:p w:rsidRPr="00087B19" w:rsidR="00D35F93" w:rsidP="00A02D17" w:rsidRDefault="00D35F93" w14:paraId="56AAE62B" w14:textId="7C87ECC4">
      <w:pPr>
        <w:numPr>
          <w:ilvl w:val="0"/>
          <w:numId w:val="15"/>
        </w:numPr>
      </w:pPr>
      <w:r w:rsidRPr="00087B19">
        <w:t>Section 1842(r) of the Act requires us to establish a system for furnishing a unique identifier for each p</w:t>
      </w:r>
      <w:r w:rsidRPr="00087B19" w:rsidR="00DC05B8">
        <w:t>rovider/supplier</w:t>
      </w:r>
      <w:r w:rsidRPr="00087B19">
        <w:t xml:space="preserve"> who furnishes services for which payment may be made.  In order to do so, we need to collect information unique to that provider or supplier.</w:t>
      </w:r>
    </w:p>
    <w:p w:rsidRPr="00087B19" w:rsidR="00D35F93" w:rsidP="00A02D17" w:rsidRDefault="00D35F93" w14:paraId="754CF149" w14:textId="12C70B3F">
      <w:pPr>
        <w:numPr>
          <w:ilvl w:val="0"/>
          <w:numId w:val="17"/>
        </w:numPr>
      </w:pPr>
      <w:r w:rsidRPr="00087B19">
        <w:t>Section 1866(j</w:t>
      </w:r>
      <w:proofErr w:type="gramStart"/>
      <w:r w:rsidRPr="00087B19">
        <w:t>)(</w:t>
      </w:r>
      <w:proofErr w:type="gramEnd"/>
      <w:r w:rsidRPr="00087B19">
        <w:t>1)(C) of the Act requires us to consult with providers and suppliers of services before making changes in provider</w:t>
      </w:r>
      <w:r w:rsidRPr="00087B19" w:rsidR="009811C2">
        <w:t>/supplier</w:t>
      </w:r>
      <w:r w:rsidRPr="00087B19">
        <w:t xml:space="preserve"> enrollment forms.</w:t>
      </w:r>
    </w:p>
    <w:p w:rsidRPr="00087B19" w:rsidR="00D35F93" w:rsidP="00A02D17" w:rsidRDefault="00D35F93" w14:paraId="23D16C6A" w14:textId="77777777">
      <w:pPr>
        <w:numPr>
          <w:ilvl w:val="0"/>
          <w:numId w:val="18"/>
        </w:numPr>
      </w:pPr>
      <w:r w:rsidRPr="00087B19">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Pr="00087B19" w:rsidR="00D35F93" w:rsidP="00A02D17" w:rsidRDefault="00D35F93" w14:paraId="3438F1C1" w14:textId="77777777">
      <w:pPr>
        <w:numPr>
          <w:ilvl w:val="0"/>
          <w:numId w:val="19"/>
        </w:numPr>
      </w:pPr>
      <w:r w:rsidRPr="00087B19">
        <w:t>Section 31001(I) of the Debt Collection Improvement Act of 1996 (DCIA) (Public Law 104-134) amended 31 U.S.C. 7701 by adding paragraph (c) to require that any person or entity doing business with the Federal Government provide their Tax Identification Number (TIN).</w:t>
      </w:r>
    </w:p>
    <w:p w:rsidRPr="00087B19" w:rsidR="00D35F93" w:rsidP="00A02D17" w:rsidRDefault="00D35F93" w14:paraId="079F4B63" w14:textId="77777777">
      <w:pPr>
        <w:numPr>
          <w:ilvl w:val="0"/>
          <w:numId w:val="19"/>
        </w:numPr>
      </w:pPr>
      <w:r w:rsidRPr="00087B19">
        <w:t>Section 1866(b</w:t>
      </w:r>
      <w:proofErr w:type="gramStart"/>
      <w:r w:rsidRPr="00087B19">
        <w:t>)(</w:t>
      </w:r>
      <w:proofErr w:type="gramEnd"/>
      <w:r w:rsidRPr="00087B19">
        <w:t>2)(D) and 1842(h)(8) of the Act require denial of enrollment (directly or indirectly) of persons convicted of a felony for a period not less than 10 years from the date of conviction.</w:t>
      </w:r>
    </w:p>
    <w:p w:rsidRPr="00087B19" w:rsidR="007C1539" w:rsidP="00A02D17" w:rsidRDefault="009C282B" w14:paraId="051BD961" w14:textId="2AAC6BD5">
      <w:pPr>
        <w:numPr>
          <w:ilvl w:val="0"/>
          <w:numId w:val="19"/>
        </w:numPr>
      </w:pPr>
      <w:r>
        <w:t>S</w:t>
      </w:r>
      <w:r w:rsidRPr="00087B19" w:rsidR="007C1539">
        <w:t xml:space="preserve">ection 424.502, defines enrollment and enrollment related terms.  </w:t>
      </w:r>
    </w:p>
    <w:p w:rsidRPr="00087B19" w:rsidR="00D35F93" w:rsidP="00A02D17" w:rsidRDefault="00D35F93" w14:paraId="186F0B7F" w14:textId="77777777">
      <w:pPr>
        <w:numPr>
          <w:ilvl w:val="0"/>
          <w:numId w:val="19"/>
        </w:numPr>
      </w:pPr>
      <w:r w:rsidRPr="00087B19">
        <w:rPr>
          <w:szCs w:val="24"/>
        </w:rPr>
        <w:t>Sections 1102 and 1871 of the Act, provide general authority for the Secretary to prescribe regulations for the efficient administration of the Medicare program</w:t>
      </w:r>
    </w:p>
    <w:p w:rsidRPr="00087B19" w:rsidR="00D35F93" w:rsidP="00A02D17" w:rsidRDefault="00D35F93" w14:paraId="7718D5E2" w14:textId="77777777">
      <w:pPr>
        <w:pStyle w:val="ColorfulList-Accent11"/>
        <w:widowControl/>
        <w:numPr>
          <w:ilvl w:val="0"/>
          <w:numId w:val="19"/>
        </w:numPr>
        <w:autoSpaceDE w:val="0"/>
        <w:autoSpaceDN w:val="0"/>
        <w:snapToGrid w:val="0"/>
        <w:rPr>
          <w:szCs w:val="24"/>
        </w:rPr>
      </w:pPr>
      <w:r w:rsidRPr="00087B19">
        <w:rPr>
          <w:szCs w:val="24"/>
        </w:rPr>
        <w:t>The Internal Revenue (IRS) Code, section 3402</w:t>
      </w:r>
      <w:r w:rsidRPr="00087B19" w:rsidR="00302BE8">
        <w:rPr>
          <w:szCs w:val="24"/>
        </w:rPr>
        <w:t>(t)</w:t>
      </w:r>
      <w:r w:rsidRPr="00087B19">
        <w:rPr>
          <w:szCs w:val="24"/>
        </w:rPr>
        <w:t xml:space="preserve"> requires us to collect additional information about the proprietary/non-profit structure of a Medicare provider/supplier to allow exclusion of non-profit organization from the mandatory 3% tax withholding.</w:t>
      </w:r>
    </w:p>
    <w:p w:rsidRPr="00087B19" w:rsidR="00D35F93" w:rsidP="00A02D17" w:rsidRDefault="00D35F93" w14:paraId="0ED23BA3" w14:textId="77777777">
      <w:pPr>
        <w:pStyle w:val="ColorfulList-Accent11"/>
        <w:widowControl/>
        <w:numPr>
          <w:ilvl w:val="0"/>
          <w:numId w:val="19"/>
        </w:numPr>
        <w:autoSpaceDE w:val="0"/>
        <w:autoSpaceDN w:val="0"/>
        <w:snapToGrid w:val="0"/>
        <w:rPr>
          <w:szCs w:val="24"/>
        </w:rPr>
      </w:pPr>
      <w:r w:rsidRPr="00087B19">
        <w:rPr>
          <w:szCs w:val="24"/>
        </w:rPr>
        <w:t xml:space="preserve">The IRS section 501(c) requires each Medicare provider/supplier to report information about its proprietary/non-profit structure to the IRS for tax withholding determination. </w:t>
      </w:r>
    </w:p>
    <w:p w:rsidRPr="00087B19" w:rsidR="006C7C03" w:rsidP="00A02D17" w:rsidRDefault="006C7C03" w14:paraId="57625237" w14:textId="77777777">
      <w:pPr>
        <w:numPr>
          <w:ilvl w:val="0"/>
          <w:numId w:val="19"/>
        </w:numPr>
      </w:pPr>
      <w:r w:rsidRPr="00087B19">
        <w:t>The Patient Protection and Affordable Care Act, section 3109(a) allows certain Medicare supplier types to be exempt from the accreditation requirement.</w:t>
      </w:r>
    </w:p>
    <w:p w:rsidRPr="00087B19" w:rsidR="0005415E" w:rsidP="00A02D17" w:rsidRDefault="0005415E" w14:paraId="71F8E1F7" w14:textId="3CD9B47F">
      <w:pPr>
        <w:numPr>
          <w:ilvl w:val="0"/>
          <w:numId w:val="19"/>
        </w:numPr>
      </w:pPr>
      <w:r w:rsidRPr="00087B19">
        <w:t>Section 1866(</w:t>
      </w:r>
      <w:r w:rsidRPr="00087B19" w:rsidR="0041417E">
        <w:t>j</w:t>
      </w:r>
      <w:r w:rsidRPr="00087B19">
        <w:t>)(2)(A) of the Act requires the Secretary, in consultation with the Department of Health and Human Services' Office of the Inspector General, to establish procedures under which screening is conducted with respect to providers</w:t>
      </w:r>
      <w:r w:rsidRPr="00087B19" w:rsidR="005D3546">
        <w:t>/suppliers</w:t>
      </w:r>
      <w:r w:rsidRPr="00087B19">
        <w:t xml:space="preserve"> of medical or other items or services and suppliers under Medicare, Medicaid, and CHIP. </w:t>
      </w:r>
    </w:p>
    <w:p w:rsidRPr="00087B19" w:rsidR="0005415E" w:rsidP="00A02D17" w:rsidRDefault="0005415E" w14:paraId="7401C6B3" w14:textId="6179E605">
      <w:pPr>
        <w:numPr>
          <w:ilvl w:val="0"/>
          <w:numId w:val="19"/>
        </w:numPr>
      </w:pPr>
      <w:r w:rsidRPr="00087B19">
        <w:t>Section 1866(</w:t>
      </w:r>
      <w:r w:rsidRPr="00087B19" w:rsidR="00EE5793">
        <w:t>j</w:t>
      </w:r>
      <w:r w:rsidRPr="00087B19">
        <w:t>)(2)(B) of the Act requires the Secretary to determine the level of screening to be conducted according to the risk of fraud, waste, and abuse with respect to the category of provider or supplier.</w:t>
      </w:r>
    </w:p>
    <w:p w:rsidRPr="00087B19" w:rsidR="00492AB8" w:rsidP="00A02D17" w:rsidRDefault="00492AB8" w14:paraId="0330B88B" w14:textId="77777777">
      <w:pPr>
        <w:numPr>
          <w:ilvl w:val="0"/>
          <w:numId w:val="19"/>
        </w:numPr>
      </w:pPr>
      <w:r w:rsidRPr="00087B19">
        <w:t>Section 1848(k</w:t>
      </w:r>
      <w:proofErr w:type="gramStart"/>
      <w:r w:rsidRPr="00087B19">
        <w:t>)(</w:t>
      </w:r>
      <w:proofErr w:type="gramEnd"/>
      <w:r w:rsidRPr="00087B19">
        <w:t>3)(B</w:t>
      </w:r>
      <w:r w:rsidRPr="00087B19" w:rsidR="006D0E06">
        <w:t>) defines</w:t>
      </w:r>
      <w:r w:rsidRPr="00087B19">
        <w:t xml:space="preserve"> covered professional services and eligible professionals.</w:t>
      </w:r>
    </w:p>
    <w:p w:rsidRPr="00087B19" w:rsidR="00A50175" w:rsidP="00A02D17" w:rsidRDefault="00A50175" w14:paraId="7F24552E" w14:textId="77777777">
      <w:pPr>
        <w:numPr>
          <w:ilvl w:val="0"/>
          <w:numId w:val="19"/>
        </w:numPr>
        <w:rPr>
          <w:szCs w:val="24"/>
        </w:rPr>
      </w:pPr>
      <w:r w:rsidRPr="00087B19">
        <w:rPr>
          <w:color w:val="000000"/>
          <w:szCs w:val="24"/>
        </w:rPr>
        <w:t>Section 3004(b</w:t>
      </w:r>
      <w:proofErr w:type="gramStart"/>
      <w:r w:rsidRPr="00087B19">
        <w:rPr>
          <w:color w:val="000000"/>
          <w:szCs w:val="24"/>
        </w:rPr>
        <w:t>)(</w:t>
      </w:r>
      <w:proofErr w:type="gramEnd"/>
      <w:r w:rsidRPr="00087B19">
        <w:rPr>
          <w:color w:val="000000"/>
          <w:szCs w:val="24"/>
        </w:rPr>
        <w:t>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rsidRPr="00087B19" w:rsidR="006C7C03" w:rsidP="00A02D17" w:rsidRDefault="006C7C03" w14:paraId="746A4333" w14:textId="0593060E">
      <w:pPr>
        <w:numPr>
          <w:ilvl w:val="0"/>
          <w:numId w:val="19"/>
        </w:numPr>
      </w:pPr>
      <w:r w:rsidRPr="00087B19">
        <w:t xml:space="preserve">The Medicare Improvements for Patients and Providers Act of 2008 (MIPPA), section 135(a) amended section 1834(e) of the Social Security Act and required the Secretary to designate organizations to accredit suppliers, including but not limited to </w:t>
      </w:r>
      <w:r w:rsidRPr="00087B19" w:rsidR="00DC05B8">
        <w:t xml:space="preserve">suppliers, </w:t>
      </w:r>
      <w:r w:rsidRPr="00087B19">
        <w:t xml:space="preserve">physicians, non-physician practitioners and </w:t>
      </w:r>
      <w:r w:rsidRPr="00087B19">
        <w:lastRenderedPageBreak/>
        <w:t xml:space="preserve">Independent Diagnostic Testing Facilities, that furnish the technical component of advanced diagnostic imaging services. </w:t>
      </w:r>
    </w:p>
    <w:p w:rsidRPr="00087B19" w:rsidR="00480141" w:rsidP="00A02D17" w:rsidRDefault="00AA5ED1" w14:paraId="67BE0363" w14:textId="17682AAC">
      <w:pPr>
        <w:numPr>
          <w:ilvl w:val="0"/>
          <w:numId w:val="19"/>
        </w:numPr>
        <w:rPr>
          <w:szCs w:val="24"/>
        </w:rPr>
      </w:pPr>
      <w:r w:rsidRPr="00087B19">
        <w:t xml:space="preserve">Section 2205 of </w:t>
      </w:r>
      <w:r w:rsidRPr="00087B19">
        <w:rPr>
          <w:szCs w:val="24"/>
        </w:rPr>
        <w:t xml:space="preserve">the </w:t>
      </w:r>
      <w:r w:rsidRPr="00087B19">
        <w:rPr>
          <w:bCs/>
          <w:szCs w:val="24"/>
          <w:shd w:val="clear" w:color="auto" w:fill="FFFFFF"/>
        </w:rPr>
        <w:t xml:space="preserve">Substance Use-Disorder Prevention that Promotes Opioid Recovery and Treatment for Patients and Communities Act or the SUPPORT for Patients and Communities Act requires </w:t>
      </w:r>
      <w:r w:rsidRPr="00087B19">
        <w:rPr>
          <w:szCs w:val="24"/>
        </w:rPr>
        <w:t>a new Medicare Part B benefit for opioid use disorder (OUD) treatment services furnished by opioid treatment programs (OTPs) beginning on or after January 1, 2020. </w:t>
      </w:r>
    </w:p>
    <w:p w:rsidRPr="00087B19" w:rsidR="006C7C03" w:rsidP="00A02D17" w:rsidRDefault="006C7C03" w14:paraId="2BA0DE6F" w14:textId="7F2D2BE9">
      <w:pPr>
        <w:numPr>
          <w:ilvl w:val="0"/>
          <w:numId w:val="19"/>
        </w:numPr>
        <w:rPr>
          <w:szCs w:val="24"/>
        </w:rPr>
      </w:pPr>
      <w:r w:rsidRPr="00087B19">
        <w:rPr>
          <w:szCs w:val="24"/>
          <w:shd w:val="clear" w:color="auto" w:fill="FFFFFF"/>
        </w:rPr>
        <w:t>Section 6401(a) of the Affordable Care Act (ACA) requires the Secretary to impose a fee on each "institutional provider of medical or other items or services and suppliers." The fee is to be used by the Secretary to cover the cost of program integrity efforts including the cost of screening associated with provider</w:t>
      </w:r>
      <w:r w:rsidRPr="00087B19" w:rsidR="005D3546">
        <w:rPr>
          <w:szCs w:val="24"/>
          <w:shd w:val="clear" w:color="auto" w:fill="FFFFFF"/>
        </w:rPr>
        <w:t>/supplier</w:t>
      </w:r>
      <w:r w:rsidRPr="00087B19">
        <w:rPr>
          <w:szCs w:val="24"/>
          <w:shd w:val="clear" w:color="auto" w:fill="FFFFFF"/>
        </w:rPr>
        <w:t xml:space="preserve"> enrollment processes, including those under section 1866(j) and section 1128J of the Social Security Act.</w:t>
      </w:r>
    </w:p>
    <w:p w:rsidRPr="00087B19" w:rsidR="002D4396" w:rsidP="00A02D17" w:rsidRDefault="002D4396" w14:paraId="035848CA" w14:textId="794674C5">
      <w:pPr>
        <w:widowControl/>
        <w:numPr>
          <w:ilvl w:val="0"/>
          <w:numId w:val="19"/>
        </w:numPr>
        <w:rPr>
          <w:szCs w:val="24"/>
        </w:rPr>
      </w:pPr>
      <w:r w:rsidRPr="00087B19">
        <w:rPr>
          <w:szCs w:val="24"/>
        </w:rPr>
        <w:t>Section 6201(c), of the Affordable Care Act (ACA) Subtitle C, requires DHHS to obtain state and national background checks on prospective employees, including national fingerprint-based criminal history record checks.</w:t>
      </w:r>
    </w:p>
    <w:p w:rsidRPr="00087B19" w:rsidR="0005415E" w:rsidP="00A02D17" w:rsidRDefault="00D35F93" w14:paraId="5582192C" w14:textId="77777777">
      <w:pPr>
        <w:numPr>
          <w:ilvl w:val="0"/>
          <w:numId w:val="19"/>
        </w:numPr>
      </w:pPr>
      <w:r w:rsidRPr="00087B19">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Pr="00087B19" w:rsidR="0005415E" w:rsidP="00A02D17" w:rsidRDefault="0005415E" w14:paraId="2A8EBEF9" w14:textId="77777777">
      <w:pPr>
        <w:rPr>
          <w:i/>
        </w:rPr>
      </w:pPr>
    </w:p>
    <w:p w:rsidRPr="00087B19" w:rsidR="00D35F93" w:rsidP="00A02D17" w:rsidRDefault="00D35F93" w14:paraId="41411E2A" w14:textId="3BE13156">
      <w:r w:rsidRPr="00087B19">
        <w:t xml:space="preserve">The CMS-855 applications collect this information, including the information necessary to uniquely identify and enumerate the provider/supplier.  Additional information necessary </w:t>
      </w:r>
      <w:r w:rsidRPr="00087B19">
        <w:rPr>
          <w:bCs/>
          <w:szCs w:val="24"/>
        </w:rPr>
        <w:t>to ensure that providers and suppliers meet all applicable Medicare requirements</w:t>
      </w:r>
      <w:r w:rsidRPr="00087B19">
        <w:t xml:space="preserve"> and to process claims accurately and timely are also collected on the CMS-855 application</w:t>
      </w:r>
      <w:r w:rsidRPr="00087B19" w:rsidR="00376A53">
        <w:t>s.</w:t>
      </w:r>
      <w:r w:rsidRPr="00087B19">
        <w:t xml:space="preserve">  </w:t>
      </w:r>
      <w:r w:rsidRPr="00087B19" w:rsidR="008B126A">
        <w:t>This information also ensures that the data collected allows CMS to make correct payments to providers and suppliers under the Medicare program as established by Title XVIII of the Act.</w:t>
      </w:r>
    </w:p>
    <w:p w:rsidRPr="00087B19" w:rsidR="00D22037" w:rsidP="00A02D17" w:rsidRDefault="00D22037" w14:paraId="50EF418A" w14:textId="77777777"/>
    <w:p w:rsidRPr="00BD793A" w:rsidR="003F1EB4" w:rsidP="00A02D17" w:rsidRDefault="003F1EB4" w14:paraId="78CF7B01" w14:textId="77777777">
      <w:pPr>
        <w:numPr>
          <w:ilvl w:val="0"/>
          <w:numId w:val="2"/>
        </w:numPr>
        <w:rPr>
          <w:u w:val="single"/>
        </w:rPr>
      </w:pPr>
      <w:r w:rsidRPr="00BD793A">
        <w:rPr>
          <w:u w:val="single"/>
        </w:rPr>
        <w:t>Purpose and users of the information</w:t>
      </w:r>
    </w:p>
    <w:p w:rsidRPr="00087B19" w:rsidR="003F1EB4" w:rsidP="00A02D17" w:rsidRDefault="003F1EB4" w14:paraId="4AAEBC17" w14:textId="77777777">
      <w:pPr>
        <w:pStyle w:val="Header"/>
        <w:tabs>
          <w:tab w:val="clear" w:pos="4320"/>
          <w:tab w:val="clear" w:pos="8640"/>
        </w:tabs>
      </w:pPr>
    </w:p>
    <w:p w:rsidR="00211DCC" w:rsidP="00A02D17" w:rsidRDefault="00D24723" w14:paraId="41DF9462" w14:textId="00FA8414">
      <w:r>
        <w:rPr>
          <w:szCs w:val="24"/>
        </w:rPr>
        <w:t>S</w:t>
      </w:r>
      <w:r w:rsidRPr="00087B19" w:rsidR="00F42584">
        <w:rPr>
          <w:szCs w:val="24"/>
        </w:rPr>
        <w:t xml:space="preserve">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w:t>
      </w:r>
      <w:r w:rsidRPr="00087B19" w:rsidR="00F42584">
        <w:t>Sections 1814(a), 1815(a), and 1833(e) of the Act require the submission of information necessary to determine the amounts due to a provider or other person.</w:t>
      </w:r>
    </w:p>
    <w:p w:rsidRPr="00087B19" w:rsidR="00A02D17" w:rsidP="00A02D17" w:rsidRDefault="00A02D17" w14:paraId="25A99A9B" w14:textId="77777777"/>
    <w:p w:rsidRPr="00087B19" w:rsidR="00275363" w:rsidP="00A02D17" w:rsidRDefault="00275363" w14:paraId="09C8CC22" w14:textId="042B2E87">
      <w:pPr>
        <w:widowControl/>
        <w:ind w:right="605"/>
        <w:rPr>
          <w:snapToGrid/>
          <w:sz w:val="22"/>
        </w:rPr>
      </w:pPr>
      <w:r w:rsidRPr="00087B19">
        <w:t xml:space="preserve">The CMS-855B is submitted by an applicant to the </w:t>
      </w:r>
      <w:r w:rsidRPr="00087B19">
        <w:rPr>
          <w:szCs w:val="24"/>
        </w:rPr>
        <w:t xml:space="preserve">Medicare Administrative Contractors (MACs) to </w:t>
      </w:r>
      <w:r w:rsidRPr="00087B19">
        <w:t xml:space="preserve">initially apply for a Medicare billing number, and thereafter to </w:t>
      </w:r>
      <w:r w:rsidRPr="00087B19">
        <w:rPr>
          <w:spacing w:val="7"/>
        </w:rPr>
        <w:t>revalidate Medicare enrollment, reactivate Medicare enrollment, enroll with another MAC in a different geographic location, to report a change to current Medicare enrollment information, and to voluntary terminate the supplier’s</w:t>
      </w:r>
      <w:r w:rsidR="00E966A0">
        <w:rPr>
          <w:spacing w:val="7"/>
        </w:rPr>
        <w:t xml:space="preserve"> or provider’s</w:t>
      </w:r>
      <w:r w:rsidRPr="00087B19">
        <w:rPr>
          <w:spacing w:val="7"/>
        </w:rPr>
        <w:t xml:space="preserve"> Medicare enrollment, as</w:t>
      </w:r>
      <w:r w:rsidRPr="00087B19">
        <w:t xml:space="preserve"> applicable.  It is used by new applicants as well as suppliers</w:t>
      </w:r>
      <w:r w:rsidR="00E966A0">
        <w:t>/providers</w:t>
      </w:r>
      <w:r w:rsidRPr="00087B19">
        <w:t xml:space="preserve"> already enrolled in Medicare but need to submit the form for a reason other than initial enrollment into the Medicare program.  </w:t>
      </w:r>
      <w:r w:rsidRPr="00087B19">
        <w:rPr>
          <w:rFonts w:eastAsiaTheme="minorHAnsi"/>
          <w:snapToGrid/>
          <w:w w:val="115"/>
          <w:szCs w:val="24"/>
        </w:rPr>
        <w:t>A medical practice, group/clinic or other supplier</w:t>
      </w:r>
      <w:r w:rsidR="00E966A0">
        <w:rPr>
          <w:rFonts w:eastAsiaTheme="minorHAnsi"/>
          <w:snapToGrid/>
          <w:w w:val="115"/>
          <w:szCs w:val="24"/>
        </w:rPr>
        <w:t>/provider</w:t>
      </w:r>
      <w:r w:rsidRPr="00087B19">
        <w:rPr>
          <w:rFonts w:eastAsiaTheme="minorHAnsi"/>
          <w:snapToGrid/>
          <w:w w:val="115"/>
          <w:szCs w:val="24"/>
        </w:rPr>
        <w:t xml:space="preserve"> that will bill for Medicare Part B services </w:t>
      </w:r>
      <w:r w:rsidRPr="00087B19">
        <w:rPr>
          <w:rFonts w:eastAsiaTheme="minorHAnsi"/>
          <w:snapToGrid/>
          <w:szCs w:val="24"/>
        </w:rPr>
        <w:t xml:space="preserve">(e.g., group practices, clinics, independent laboratories, </w:t>
      </w:r>
      <w:r w:rsidRPr="00087B19" w:rsidR="00140F92">
        <w:rPr>
          <w:rFonts w:eastAsiaTheme="minorHAnsi"/>
          <w:snapToGrid/>
          <w:szCs w:val="24"/>
        </w:rPr>
        <w:t xml:space="preserve">opioid treatment programs, </w:t>
      </w:r>
      <w:r w:rsidRPr="00087B19">
        <w:rPr>
          <w:rFonts w:eastAsiaTheme="minorHAnsi"/>
          <w:snapToGrid/>
          <w:szCs w:val="24"/>
        </w:rPr>
        <w:t xml:space="preserve">portable x-ray suppliers) </w:t>
      </w:r>
      <w:r w:rsidRPr="00087B19">
        <w:t xml:space="preserve">complete this form for the submittal reasons above. </w:t>
      </w:r>
    </w:p>
    <w:p w:rsidRPr="00087B19" w:rsidR="00211DCC" w:rsidP="00A02D17" w:rsidRDefault="00211DCC" w14:paraId="3E6C236C" w14:textId="77777777"/>
    <w:p w:rsidR="00F42584" w:rsidP="00A02D17" w:rsidRDefault="00F42584" w14:paraId="5597C1CC" w14:textId="73FB19E3">
      <w:pPr>
        <w:rPr>
          <w:bCs/>
          <w:szCs w:val="24"/>
        </w:rPr>
      </w:pPr>
      <w:r w:rsidRPr="00087B19">
        <w:rPr>
          <w:bCs/>
          <w:szCs w:val="24"/>
        </w:rPr>
        <w:lastRenderedPageBreak/>
        <w:t>The MAC establishes Medicare Identification Numbers.  The MACs store these numbers</w:t>
      </w:r>
      <w:r w:rsidRPr="00087B19" w:rsidR="00661E4B">
        <w:rPr>
          <w:bCs/>
          <w:szCs w:val="24"/>
        </w:rPr>
        <w:t xml:space="preserve"> and information</w:t>
      </w:r>
      <w:r w:rsidRPr="00087B19">
        <w:rPr>
          <w:bCs/>
          <w:szCs w:val="24"/>
        </w:rPr>
        <w:t xml:space="preserve"> in </w:t>
      </w:r>
      <w:r w:rsidRPr="00087B19" w:rsidR="00124F2C">
        <w:rPr>
          <w:bCs/>
          <w:szCs w:val="24"/>
        </w:rPr>
        <w:t xml:space="preserve">CMS’ </w:t>
      </w:r>
      <w:r w:rsidRPr="00087B19" w:rsidR="00124F2C">
        <w:rPr>
          <w:szCs w:val="24"/>
        </w:rPr>
        <w:t>Provider Enrollment, Chain and Ownership System (PECOS).</w:t>
      </w:r>
      <w:r w:rsidRPr="00087B19">
        <w:rPr>
          <w:szCs w:val="24"/>
        </w:rPr>
        <w:t xml:space="preserve">  </w:t>
      </w:r>
      <w:r w:rsidRPr="00087B19" w:rsidR="00661E4B">
        <w:rPr>
          <w:szCs w:val="24"/>
        </w:rPr>
        <w:t xml:space="preserve">The application is used by the CMS’ contractors to collect data ensures that the applicant has the necessary information for unique identification.  </w:t>
      </w:r>
      <w:r w:rsidRPr="00087B19">
        <w:rPr>
          <w:bCs/>
          <w:szCs w:val="24"/>
        </w:rPr>
        <w:t>The license numbers that come through paper applications are validated against state licensing websites.  All the license numbers are captured and stored in</w:t>
      </w:r>
      <w:r w:rsidRPr="00087B19" w:rsidR="00124F2C">
        <w:rPr>
          <w:bCs/>
          <w:szCs w:val="24"/>
        </w:rPr>
        <w:t xml:space="preserve"> t</w:t>
      </w:r>
      <w:r w:rsidRPr="00087B19">
        <w:rPr>
          <w:bCs/>
          <w:szCs w:val="24"/>
        </w:rPr>
        <w:t>he MAC database.  Social Security Numbers (SSN</w:t>
      </w:r>
      <w:r w:rsidRPr="00087B19" w:rsidR="00275363">
        <w:rPr>
          <w:bCs/>
          <w:szCs w:val="24"/>
        </w:rPr>
        <w:t>s</w:t>
      </w:r>
      <w:r w:rsidRPr="00087B19">
        <w:rPr>
          <w:bCs/>
          <w:szCs w:val="24"/>
        </w:rPr>
        <w:t xml:space="preserve">) are validated against the Social Security Administration database (SSA) and only the valid entries are allowed to proceed in the process of getting a Medicare </w:t>
      </w:r>
      <w:r w:rsidRPr="00087B19" w:rsidR="00661E4B">
        <w:rPr>
          <w:bCs/>
          <w:szCs w:val="24"/>
        </w:rPr>
        <w:t>billing</w:t>
      </w:r>
      <w:r w:rsidRPr="00087B19">
        <w:rPr>
          <w:bCs/>
          <w:szCs w:val="24"/>
        </w:rPr>
        <w:t xml:space="preserve"> </w:t>
      </w:r>
      <w:r w:rsidRPr="00087B19" w:rsidR="00661E4B">
        <w:rPr>
          <w:bCs/>
          <w:szCs w:val="24"/>
        </w:rPr>
        <w:t>n</w:t>
      </w:r>
      <w:r w:rsidRPr="00087B19">
        <w:rPr>
          <w:bCs/>
          <w:szCs w:val="24"/>
        </w:rPr>
        <w:t xml:space="preserve">umber.  International Tax Identification Numbers (ITINs) are not validated.  However, if a user enters ITIN, additional forms of identification (e.g., driver’s license, passport or birth certificate) are required.  Both ITINs and SSNs are captured in the MAC database and disseminated only to </w:t>
      </w:r>
      <w:proofErr w:type="gramStart"/>
      <w:r w:rsidRPr="00087B19">
        <w:rPr>
          <w:bCs/>
          <w:szCs w:val="24"/>
        </w:rPr>
        <w:t>approved</w:t>
      </w:r>
      <w:proofErr w:type="gramEnd"/>
      <w:r w:rsidRPr="00087B19">
        <w:rPr>
          <w:bCs/>
          <w:szCs w:val="24"/>
        </w:rPr>
        <w:t xml:space="preserve"> CMS stakeholders.  Mailing address, practice location address and contact information is captured to contact the </w:t>
      </w:r>
      <w:r w:rsidRPr="00087B19" w:rsidR="005D3546">
        <w:rPr>
          <w:bCs/>
          <w:szCs w:val="24"/>
        </w:rPr>
        <w:t>supplier</w:t>
      </w:r>
      <w:r w:rsidRPr="00087B19">
        <w:rPr>
          <w:bCs/>
          <w:szCs w:val="24"/>
        </w:rPr>
        <w:t xml:space="preserve">.  Specialty type is captured to identify the specialty of the </w:t>
      </w:r>
      <w:r w:rsidRPr="00087B19" w:rsidR="005D3546">
        <w:rPr>
          <w:bCs/>
          <w:szCs w:val="24"/>
        </w:rPr>
        <w:t>supplier</w:t>
      </w:r>
      <w:r w:rsidRPr="00087B19">
        <w:rPr>
          <w:bCs/>
          <w:szCs w:val="24"/>
        </w:rPr>
        <w:t xml:space="preserve">.  The information obtained is to help prevent fraud by allowing vetting of the </w:t>
      </w:r>
      <w:r w:rsidRPr="00087B19" w:rsidR="00661E4B">
        <w:rPr>
          <w:bCs/>
          <w:szCs w:val="24"/>
        </w:rPr>
        <w:t>suppliers</w:t>
      </w:r>
      <w:r w:rsidRPr="00087B19">
        <w:rPr>
          <w:bCs/>
          <w:szCs w:val="24"/>
        </w:rPr>
        <w:t xml:space="preserve"> as well as to ensure a </w:t>
      </w:r>
      <w:r w:rsidRPr="00087B19" w:rsidR="001C7A48">
        <w:rPr>
          <w:bCs/>
          <w:szCs w:val="24"/>
        </w:rPr>
        <w:t xml:space="preserve">supplier is not </w:t>
      </w:r>
      <w:r w:rsidRPr="00087B19" w:rsidR="00661E4B">
        <w:rPr>
          <w:bCs/>
          <w:szCs w:val="24"/>
        </w:rPr>
        <w:t>illegitimately</w:t>
      </w:r>
      <w:r w:rsidRPr="00087B19" w:rsidR="001C7A48">
        <w:rPr>
          <w:bCs/>
          <w:szCs w:val="24"/>
        </w:rPr>
        <w:t xml:space="preserve"> attempting to get a Medicare billing number</w:t>
      </w:r>
      <w:r w:rsidRPr="00087B19">
        <w:rPr>
          <w:bCs/>
          <w:szCs w:val="24"/>
        </w:rPr>
        <w:t>.</w:t>
      </w:r>
      <w:r w:rsidRPr="00087B19" w:rsidR="001C7A48">
        <w:rPr>
          <w:bCs/>
          <w:szCs w:val="24"/>
        </w:rPr>
        <w:t xml:space="preserve">  In addition, the information collected allows CMS and the MACs to determine relationships among those with Medicare billing numbers.  For example, a supplier who enrolls as a group practice may also have an individual Medicare billing number </w:t>
      </w:r>
      <w:r w:rsidRPr="00087B19" w:rsidR="00C94A8D">
        <w:rPr>
          <w:bCs/>
          <w:szCs w:val="24"/>
        </w:rPr>
        <w:t xml:space="preserve">for private practice </w:t>
      </w:r>
      <w:r w:rsidRPr="00087B19" w:rsidR="001C7A48">
        <w:rPr>
          <w:bCs/>
          <w:szCs w:val="24"/>
        </w:rPr>
        <w:t>as well as part ownership in a hospital.  This information is determined during the enrollment process.  If any relationship is prohibited by CMS regulation, the supplier would be denied a Medicare billing number and other measures</w:t>
      </w:r>
      <w:r w:rsidRPr="00087B19" w:rsidR="00124F2C">
        <w:rPr>
          <w:bCs/>
          <w:szCs w:val="24"/>
        </w:rPr>
        <w:t xml:space="preserve"> </w:t>
      </w:r>
      <w:r w:rsidRPr="00087B19" w:rsidR="00275363">
        <w:rPr>
          <w:bCs/>
          <w:szCs w:val="24"/>
        </w:rPr>
        <w:t>may</w:t>
      </w:r>
      <w:r w:rsidRPr="00087B19" w:rsidR="00124F2C">
        <w:rPr>
          <w:bCs/>
          <w:szCs w:val="24"/>
        </w:rPr>
        <w:t xml:space="preserve"> be taken</w:t>
      </w:r>
      <w:r w:rsidRPr="00087B19" w:rsidR="001C7A48">
        <w:rPr>
          <w:bCs/>
          <w:szCs w:val="24"/>
        </w:rPr>
        <w:t>, such as revocation of the supplier’s ind</w:t>
      </w:r>
      <w:r w:rsidRPr="00087B19" w:rsidR="00124F2C">
        <w:rPr>
          <w:bCs/>
          <w:szCs w:val="24"/>
        </w:rPr>
        <w:t>ividual Medicare billing number or an enrollment bar</w:t>
      </w:r>
      <w:r w:rsidRPr="00087B19" w:rsidR="00661E4B">
        <w:rPr>
          <w:bCs/>
          <w:szCs w:val="24"/>
        </w:rPr>
        <w:t xml:space="preserve"> </w:t>
      </w:r>
      <w:r w:rsidRPr="00087B19" w:rsidR="00124F2C">
        <w:rPr>
          <w:bCs/>
          <w:szCs w:val="24"/>
        </w:rPr>
        <w:t xml:space="preserve">so the supplier </w:t>
      </w:r>
      <w:r w:rsidRPr="00087B19" w:rsidR="00661E4B">
        <w:rPr>
          <w:bCs/>
          <w:szCs w:val="24"/>
        </w:rPr>
        <w:t xml:space="preserve">will </w:t>
      </w:r>
      <w:r w:rsidRPr="00087B19" w:rsidR="00124F2C">
        <w:rPr>
          <w:bCs/>
          <w:szCs w:val="24"/>
        </w:rPr>
        <w:t>not get a Medicare billing number</w:t>
      </w:r>
      <w:r w:rsidRPr="00087B19" w:rsidR="00C94A8D">
        <w:rPr>
          <w:bCs/>
          <w:szCs w:val="24"/>
        </w:rPr>
        <w:t xml:space="preserve"> for a set number of years, depending on the enrollment bar issued to the supplier</w:t>
      </w:r>
      <w:r w:rsidRPr="00087B19" w:rsidR="00124F2C">
        <w:rPr>
          <w:bCs/>
          <w:szCs w:val="24"/>
        </w:rPr>
        <w:t>.</w:t>
      </w:r>
    </w:p>
    <w:p w:rsidRPr="00087B19" w:rsidR="00C91620" w:rsidP="00A02D17" w:rsidRDefault="00C91620" w14:paraId="031D1D1E" w14:textId="77777777">
      <w:pPr>
        <w:rPr>
          <w:bCs/>
          <w:szCs w:val="24"/>
        </w:rPr>
      </w:pPr>
    </w:p>
    <w:p w:rsidRPr="00087B19" w:rsidR="00D22037" w:rsidP="00A02D17" w:rsidRDefault="00D22037" w14:paraId="299A1F48" w14:textId="645CC680">
      <w:r w:rsidRPr="00087B19">
        <w:t xml:space="preserve">The collection and verification of this information defends and protects our beneficiaries from illegitimate </w:t>
      </w:r>
      <w:r w:rsidRPr="00087B19" w:rsidR="005D3546">
        <w:t>supplier</w:t>
      </w:r>
      <w:r w:rsidRPr="00087B19">
        <w:t>s.  These procedures also protect the Medicare Trust Fund against fraud.  It gathers information that allow Medicare contractors to ensure that the supplier is not sanctioned from the Medicare and/or Medicaid program(s), or debarred, or excluded from 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w:t>
      </w:r>
    </w:p>
    <w:p w:rsidRPr="00087B19" w:rsidR="00D22037" w:rsidP="00A02D17" w:rsidRDefault="00D22037" w14:paraId="667E149B" w14:textId="77777777">
      <w:pPr>
        <w:rPr>
          <w:szCs w:val="24"/>
        </w:rPr>
      </w:pPr>
    </w:p>
    <w:p w:rsidRPr="00BD793A" w:rsidR="003F1EB4" w:rsidP="00A02D17" w:rsidRDefault="003F1EB4" w14:paraId="2848E647" w14:textId="77777777">
      <w:pPr>
        <w:numPr>
          <w:ilvl w:val="0"/>
          <w:numId w:val="2"/>
        </w:numPr>
        <w:tabs>
          <w:tab w:val="left" w:pos="-1440"/>
        </w:tabs>
        <w:rPr>
          <w:u w:val="single"/>
        </w:rPr>
      </w:pPr>
      <w:r w:rsidRPr="00BD793A">
        <w:rPr>
          <w:u w:val="single"/>
        </w:rPr>
        <w:t>Improved Information Techniques</w:t>
      </w:r>
    </w:p>
    <w:p w:rsidRPr="00087B19" w:rsidR="003F1EB4" w:rsidP="00A02D17" w:rsidRDefault="003F1EB4" w14:paraId="0FB708A3" w14:textId="77777777">
      <w:pPr>
        <w:pStyle w:val="Header"/>
        <w:tabs>
          <w:tab w:val="clear" w:pos="4320"/>
          <w:tab w:val="clear" w:pos="8640"/>
        </w:tabs>
      </w:pPr>
    </w:p>
    <w:p w:rsidRPr="00087B19" w:rsidR="003F1EB4" w:rsidP="00A02D17" w:rsidRDefault="003F1EB4" w14:paraId="7BD31CB1" w14:textId="77777777">
      <w:r w:rsidRPr="00087B19">
        <w:t xml:space="preserve">This collection lends itself to electronic collection methods and is currently available through the CMS website.  </w:t>
      </w:r>
      <w:r w:rsidRPr="00087B19">
        <w:rPr>
          <w:szCs w:val="24"/>
        </w:rPr>
        <w:t xml:space="preserve">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Pr="00087B19" w:rsidR="00014A81">
        <w:rPr>
          <w:szCs w:val="24"/>
        </w:rPr>
        <w:t xml:space="preserve">The supplier has access to its own records.  </w:t>
      </w:r>
      <w:r w:rsidRPr="00087B19" w:rsidR="000521C7">
        <w:t xml:space="preserve">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 application.  </w:t>
      </w:r>
      <w:r w:rsidRPr="00087B19">
        <w:rPr>
          <w:szCs w:val="24"/>
        </w:rPr>
        <w:t xml:space="preserve">The data stored in PECOS mirrors the data collected on the CMS-855s (Medicare Enrollment Applications) and is maintained indefinitely as both historical and current information.  CMS also supports an Internet-based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w:t>
      </w:r>
      <w:r w:rsidRPr="00087B19" w:rsidR="005966BC">
        <w:rPr>
          <w:szCs w:val="24"/>
        </w:rPr>
        <w:t xml:space="preserve"> </w:t>
      </w:r>
      <w:r w:rsidRPr="00087B19">
        <w:t xml:space="preserve">CMS </w:t>
      </w:r>
      <w:r w:rsidRPr="00087B19" w:rsidR="005966BC">
        <w:t>also</w:t>
      </w:r>
      <w:r w:rsidRPr="00087B19">
        <w:t xml:space="preserve"> has the ability to allow suppliers to upload supporting documentation (required for </w:t>
      </w:r>
      <w:r w:rsidRPr="00087B19">
        <w:lastRenderedPageBreak/>
        <w:t xml:space="preserve">enrollment) electronically.  CMS has also adopted an electronic signature standard; however, </w:t>
      </w:r>
      <w:r w:rsidRPr="00087B19" w:rsidR="00014A81">
        <w:t>suppliers</w:t>
      </w:r>
      <w:r w:rsidRPr="00087B19">
        <w:t xml:space="preserve"> will have the choice to e-sign via the CMS website or to submit a hard copy of the CMS-</w:t>
      </w:r>
      <w:r w:rsidRPr="00087B19" w:rsidR="00D439A9">
        <w:t>855B</w:t>
      </w:r>
      <w:r w:rsidRPr="00087B19">
        <w:t xml:space="preserve"> certification page with an original signature.  Periodically, CMS will require adjustment to the format of the CMS-855 form (either paper, electronic or both) for clarity or to improve form design.  These adjustments do not alter the current OMB data collection approval.  </w:t>
      </w:r>
      <w:r w:rsidRPr="00087B19" w:rsidR="00036680">
        <w:t>Currently, approximately 36% of individual provider/suppliers use the electronic method of enrolling in the Medicare program via the PECOS system.</w:t>
      </w:r>
    </w:p>
    <w:p w:rsidRPr="00087B19" w:rsidR="003F1EB4" w:rsidP="00A02D17" w:rsidRDefault="003F1EB4" w14:paraId="50707DBA" w14:textId="77777777"/>
    <w:p w:rsidRPr="00BD793A" w:rsidR="003F1EB4" w:rsidP="00A02D17" w:rsidRDefault="003F1EB4" w14:paraId="06943525" w14:textId="77777777">
      <w:pPr>
        <w:numPr>
          <w:ilvl w:val="0"/>
          <w:numId w:val="2"/>
        </w:numPr>
        <w:tabs>
          <w:tab w:val="left" w:pos="-1440"/>
        </w:tabs>
        <w:rPr>
          <w:u w:val="single"/>
        </w:rPr>
      </w:pPr>
      <w:r w:rsidRPr="00BD793A">
        <w:rPr>
          <w:u w:val="single"/>
        </w:rPr>
        <w:t>Duplication and Similar Information</w:t>
      </w:r>
    </w:p>
    <w:p w:rsidRPr="00087B19" w:rsidR="003F1EB4" w:rsidP="00A02D17" w:rsidRDefault="003F1EB4" w14:paraId="7EC7877B" w14:textId="77777777"/>
    <w:p w:rsidR="00E0363A" w:rsidP="00A02D17" w:rsidRDefault="003F1EB4" w14:paraId="3CA0DBCB" w14:textId="7E019049">
      <w:pPr>
        <w:rPr>
          <w:szCs w:val="24"/>
        </w:rPr>
      </w:pPr>
      <w:r w:rsidRPr="00087B19">
        <w:t xml:space="preserve">There is no duplicative information collection instrument or process.  </w:t>
      </w:r>
      <w:r w:rsidRPr="00E0363A" w:rsidR="00E96B98">
        <w:rPr>
          <w:szCs w:val="24"/>
        </w:rPr>
        <w:t>CMS revised this form to ensure there was no duplication</w:t>
      </w:r>
      <w:r w:rsidR="00E0363A">
        <w:rPr>
          <w:szCs w:val="24"/>
        </w:rPr>
        <w:t xml:space="preserve"> for the supplier completing the form</w:t>
      </w:r>
      <w:r w:rsidRPr="00E0363A" w:rsidR="00E96B98">
        <w:rPr>
          <w:szCs w:val="24"/>
        </w:rPr>
        <w:t xml:space="preserve">.  </w:t>
      </w:r>
    </w:p>
    <w:p w:rsidR="00E0363A" w:rsidP="00A02D17" w:rsidRDefault="00E0363A" w14:paraId="23A7979C" w14:textId="77777777">
      <w:pPr>
        <w:rPr>
          <w:szCs w:val="24"/>
        </w:rPr>
      </w:pPr>
    </w:p>
    <w:p w:rsidRPr="00E0363A" w:rsidR="00E0363A" w:rsidP="00A02D17" w:rsidRDefault="00E96B98" w14:paraId="5E27D7CE" w14:textId="6F700BFF">
      <w:pPr>
        <w:rPr>
          <w:szCs w:val="24"/>
        </w:rPr>
      </w:pPr>
      <w:r w:rsidRPr="00E0363A">
        <w:rPr>
          <w:szCs w:val="24"/>
        </w:rPr>
        <w:t xml:space="preserve">For example, </w:t>
      </w:r>
      <w:r w:rsidRPr="00E0363A" w:rsidR="00E0363A">
        <w:rPr>
          <w:szCs w:val="24"/>
        </w:rPr>
        <w:t>CMS:</w:t>
      </w:r>
    </w:p>
    <w:p w:rsidRPr="00E0363A" w:rsidR="00E96B98" w:rsidP="00A02D17" w:rsidRDefault="00E0363A" w14:paraId="3FA57A96" w14:textId="5B76A515">
      <w:pPr>
        <w:pStyle w:val="ListParagraph"/>
        <w:numPr>
          <w:ilvl w:val="0"/>
          <w:numId w:val="39"/>
        </w:numPr>
        <w:contextualSpacing w:val="0"/>
        <w:rPr>
          <w:szCs w:val="24"/>
        </w:rPr>
      </w:pPr>
      <w:r w:rsidRPr="00E0363A">
        <w:rPr>
          <w:szCs w:val="24"/>
        </w:rPr>
        <w:t>Added</w:t>
      </w:r>
      <w:r w:rsidRPr="00E0363A" w:rsidR="00E96B98">
        <w:rPr>
          <w:szCs w:val="24"/>
        </w:rPr>
        <w:t xml:space="preserve"> </w:t>
      </w:r>
      <w:r w:rsidRPr="00E0363A">
        <w:rPr>
          <w:szCs w:val="24"/>
        </w:rPr>
        <w:t xml:space="preserve">a </w:t>
      </w:r>
      <w:r w:rsidRPr="00E0363A" w:rsidR="00E96B98">
        <w:rPr>
          <w:szCs w:val="24"/>
        </w:rPr>
        <w:t>checkbox</w:t>
      </w:r>
      <w:r w:rsidRPr="00E0363A">
        <w:rPr>
          <w:szCs w:val="24"/>
        </w:rPr>
        <w:t xml:space="preserve"> above the Remittance Notice/Special Payments address</w:t>
      </w:r>
      <w:r w:rsidRPr="00E0363A" w:rsidR="00E96B98">
        <w:rPr>
          <w:szCs w:val="24"/>
        </w:rPr>
        <w:t xml:space="preserve">, "Check here if your Remittance Notice/Special Payments should be mailed to your Correspondence Address in section 2A4 and skip this section."  </w:t>
      </w:r>
      <w:r w:rsidRPr="00E0363A">
        <w:rPr>
          <w:szCs w:val="24"/>
        </w:rPr>
        <w:t xml:space="preserve">The </w:t>
      </w:r>
      <w:r w:rsidRPr="00E0363A" w:rsidR="00E96B98">
        <w:rPr>
          <w:szCs w:val="24"/>
        </w:rPr>
        <w:t xml:space="preserve">checkbox </w:t>
      </w:r>
      <w:r>
        <w:rPr>
          <w:szCs w:val="24"/>
        </w:rPr>
        <w:t xml:space="preserve">will be used </w:t>
      </w:r>
      <w:r w:rsidRPr="00E0363A" w:rsidR="00E96B98">
        <w:rPr>
          <w:szCs w:val="24"/>
        </w:rPr>
        <w:t>to reduce possible duplication of reporting</w:t>
      </w:r>
      <w:r w:rsidRPr="00E0363A">
        <w:rPr>
          <w:szCs w:val="24"/>
        </w:rPr>
        <w:t xml:space="preserve"> the same correspondence address twice.</w:t>
      </w:r>
    </w:p>
    <w:p w:rsidRPr="00E0363A" w:rsidR="00E96B98" w:rsidP="00A02D17" w:rsidRDefault="00E0363A" w14:paraId="26C80C43" w14:textId="36FE6D6B">
      <w:pPr>
        <w:pStyle w:val="ListParagraph"/>
        <w:numPr>
          <w:ilvl w:val="0"/>
          <w:numId w:val="39"/>
        </w:numPr>
        <w:contextualSpacing w:val="0"/>
        <w:rPr>
          <w:szCs w:val="24"/>
        </w:rPr>
      </w:pPr>
      <w:r w:rsidRPr="00E0363A">
        <w:rPr>
          <w:szCs w:val="24"/>
        </w:rPr>
        <w:t>Deleted</w:t>
      </w:r>
      <w:r w:rsidRPr="00E0363A" w:rsidR="00E96B98">
        <w:rPr>
          <w:szCs w:val="24"/>
        </w:rPr>
        <w:t xml:space="preserve"> subsection "New Enrollees </w:t>
      </w:r>
      <w:r w:rsidRPr="00E0363A">
        <w:rPr>
          <w:szCs w:val="24"/>
        </w:rPr>
        <w:t>and Those with a</w:t>
      </w:r>
      <w:r w:rsidRPr="00E0363A" w:rsidR="00E96B98">
        <w:rPr>
          <w:szCs w:val="24"/>
        </w:rPr>
        <w:t xml:space="preserve"> New Tax ID Number."  This information is included in the subsection "Who Should Complete This Application."</w:t>
      </w:r>
    </w:p>
    <w:p w:rsidRPr="00E0363A" w:rsidR="003F1EB4" w:rsidP="00A02D17" w:rsidRDefault="00E96B98" w14:paraId="3305426B" w14:textId="4C09F952">
      <w:pPr>
        <w:pStyle w:val="ListParagraph"/>
        <w:numPr>
          <w:ilvl w:val="0"/>
          <w:numId w:val="39"/>
        </w:numPr>
        <w:contextualSpacing w:val="0"/>
        <w:rPr>
          <w:szCs w:val="24"/>
        </w:rPr>
      </w:pPr>
      <w:r w:rsidRPr="00E0363A">
        <w:rPr>
          <w:szCs w:val="24"/>
        </w:rPr>
        <w:t xml:space="preserve">Deleted subsection "Enrolled Medicare Suppliers" </w:t>
      </w:r>
      <w:r w:rsidRPr="00E0363A" w:rsidR="00E0363A">
        <w:rPr>
          <w:szCs w:val="24"/>
        </w:rPr>
        <w:t>because the d</w:t>
      </w:r>
      <w:r w:rsidRPr="00E0363A">
        <w:rPr>
          <w:szCs w:val="24"/>
        </w:rPr>
        <w:t>efinitions were redundant</w:t>
      </w:r>
      <w:r w:rsidR="00E0363A">
        <w:rPr>
          <w:szCs w:val="24"/>
        </w:rPr>
        <w:t>.  There is a definition section at the beginning of the form</w:t>
      </w:r>
      <w:r w:rsidR="000E38BE">
        <w:rPr>
          <w:szCs w:val="24"/>
        </w:rPr>
        <w:t>.  Duplicating the definitions in this subsection would require the supplier to read the definitions twice.</w:t>
      </w:r>
    </w:p>
    <w:p w:rsidRPr="00E0363A" w:rsidR="00E96B98" w:rsidP="00A02D17" w:rsidRDefault="00E96B98" w14:paraId="2DAE6C35" w14:textId="33798F01">
      <w:pPr>
        <w:pStyle w:val="ListParagraph"/>
        <w:numPr>
          <w:ilvl w:val="0"/>
          <w:numId w:val="39"/>
        </w:numPr>
        <w:contextualSpacing w:val="0"/>
        <w:rPr>
          <w:szCs w:val="24"/>
        </w:rPr>
      </w:pPr>
      <w:r w:rsidRPr="00E0363A">
        <w:rPr>
          <w:szCs w:val="24"/>
        </w:rPr>
        <w:t>Removed middle column</w:t>
      </w:r>
      <w:r w:rsidRPr="00E0363A" w:rsidR="00E0363A">
        <w:rPr>
          <w:szCs w:val="24"/>
        </w:rPr>
        <w:t xml:space="preserve"> of the table for Final Adverse Legal Actions.  The middle column was</w:t>
      </w:r>
      <w:r w:rsidRPr="00E0363A">
        <w:rPr>
          <w:szCs w:val="24"/>
        </w:rPr>
        <w:t>, "Billing Number Information</w:t>
      </w:r>
      <w:r w:rsidRPr="00E0363A" w:rsidR="00E0363A">
        <w:rPr>
          <w:szCs w:val="24"/>
        </w:rPr>
        <w:t>.</w:t>
      </w:r>
      <w:r w:rsidRPr="00E0363A">
        <w:rPr>
          <w:szCs w:val="24"/>
        </w:rPr>
        <w:t xml:space="preserve">" </w:t>
      </w:r>
      <w:r w:rsidRPr="00E0363A" w:rsidR="00E0363A">
        <w:rPr>
          <w:szCs w:val="24"/>
        </w:rPr>
        <w:t xml:space="preserve"> </w:t>
      </w:r>
      <w:r w:rsidRPr="00E0363A">
        <w:rPr>
          <w:szCs w:val="24"/>
        </w:rPr>
        <w:t xml:space="preserve">CMS can derive the billing number information from the next section </w:t>
      </w:r>
      <w:r w:rsidRPr="00E0363A" w:rsidR="00E0363A">
        <w:rPr>
          <w:szCs w:val="24"/>
        </w:rPr>
        <w:t xml:space="preserve">in the application </w:t>
      </w:r>
      <w:r w:rsidRPr="00E0363A">
        <w:rPr>
          <w:szCs w:val="24"/>
        </w:rPr>
        <w:t>and therefore the collection would be redundant.</w:t>
      </w:r>
    </w:p>
    <w:p w:rsidRPr="000E38BE" w:rsidR="000E38BE" w:rsidP="00A02D17" w:rsidRDefault="00E96B98" w14:paraId="76A79957" w14:textId="77777777">
      <w:pPr>
        <w:pStyle w:val="ListParagraph"/>
        <w:widowControl/>
        <w:numPr>
          <w:ilvl w:val="0"/>
          <w:numId w:val="39"/>
        </w:numPr>
        <w:contextualSpacing w:val="0"/>
        <w:rPr>
          <w:szCs w:val="24"/>
        </w:rPr>
      </w:pPr>
      <w:r w:rsidRPr="00E0363A">
        <w:rPr>
          <w:snapToGrid/>
          <w:szCs w:val="24"/>
        </w:rPr>
        <w:t>Deleted the question, "Is this technician employed by a hospital?" with yes/no checkboxes and "If yes, provide the name of the hospital here:" with a line space for the answer.  CMS can derive and add this information to enrollment records independent of a self-reporting requirement</w:t>
      </w:r>
      <w:r w:rsidR="000E38BE">
        <w:rPr>
          <w:snapToGrid/>
          <w:szCs w:val="24"/>
        </w:rPr>
        <w:t>.</w:t>
      </w:r>
    </w:p>
    <w:p w:rsidR="000E38BE" w:rsidP="00A02D17" w:rsidRDefault="000E38BE" w14:paraId="6884D3F8" w14:textId="77777777">
      <w:pPr>
        <w:widowControl/>
        <w:rPr>
          <w:szCs w:val="24"/>
        </w:rPr>
      </w:pPr>
    </w:p>
    <w:p w:rsidRPr="00BD793A" w:rsidR="003F1EB4" w:rsidP="00A02D17" w:rsidRDefault="003F1EB4" w14:paraId="6C46ACB6" w14:textId="77777777">
      <w:pPr>
        <w:numPr>
          <w:ilvl w:val="0"/>
          <w:numId w:val="2"/>
        </w:numPr>
        <w:rPr>
          <w:u w:val="single"/>
        </w:rPr>
      </w:pPr>
      <w:r w:rsidRPr="00BD793A">
        <w:rPr>
          <w:u w:val="single"/>
        </w:rPr>
        <w:t>Small Business</w:t>
      </w:r>
    </w:p>
    <w:p w:rsidRPr="00087B19" w:rsidR="003F1EB4" w:rsidP="00A02D17" w:rsidRDefault="003F1EB4" w14:paraId="6E5CAB64" w14:textId="77777777"/>
    <w:p w:rsidRPr="00087B19" w:rsidR="00C335B0" w:rsidP="00A02D17" w:rsidRDefault="00014A81" w14:paraId="7427FD1B" w14:textId="3C87B28E">
      <w:r w:rsidRPr="00087B19">
        <w:rPr>
          <w:szCs w:val="24"/>
        </w:rPr>
        <w:t>A Medicare billing number is required of all health care suppliers/providers who wish to submit claims for payment to the Medicare Trust Fund so it will affect small businesses who wish to have a Medicare billing number</w:t>
      </w:r>
      <w:r w:rsidRPr="00087B19" w:rsidR="00DF1286">
        <w:t>. H</w:t>
      </w:r>
      <w:r w:rsidRPr="00087B19" w:rsidR="00C335B0">
        <w:t xml:space="preserve">owever, these businesses have always been required to provide CMS with the same information in order to enroll in the Medicare program to submit information for CMS to ensure the </w:t>
      </w:r>
      <w:r w:rsidRPr="00087B19" w:rsidR="005D3546">
        <w:t>supplier</w:t>
      </w:r>
      <w:r w:rsidRPr="00087B19" w:rsidR="00C335B0">
        <w:t>s are legitimate and to collect information to successfully process their Medicare claims.</w:t>
      </w:r>
    </w:p>
    <w:p w:rsidRPr="00087B19" w:rsidR="003F1EB4" w:rsidP="00A02D17" w:rsidRDefault="003F1EB4" w14:paraId="747482FD" w14:textId="77777777"/>
    <w:p w:rsidRPr="00BD793A" w:rsidR="003F1EB4" w:rsidP="00A02D17" w:rsidRDefault="003F1EB4" w14:paraId="34D21CB2" w14:textId="77777777">
      <w:pPr>
        <w:numPr>
          <w:ilvl w:val="0"/>
          <w:numId w:val="2"/>
        </w:numPr>
        <w:tabs>
          <w:tab w:val="left" w:pos="-1440"/>
        </w:tabs>
        <w:rPr>
          <w:u w:val="single"/>
        </w:rPr>
      </w:pPr>
      <w:r w:rsidRPr="00BD793A">
        <w:rPr>
          <w:u w:val="single"/>
        </w:rPr>
        <w:t>Less Frequent Collections</w:t>
      </w:r>
    </w:p>
    <w:p w:rsidRPr="00087B19" w:rsidR="003F1EB4" w:rsidP="00A02D17" w:rsidRDefault="003F1EB4" w14:paraId="7BA3AB02" w14:textId="77777777"/>
    <w:p w:rsidRPr="00087B19" w:rsidR="00BF7AA2" w:rsidP="00A02D17" w:rsidRDefault="00A41A49" w14:paraId="50E45D78" w14:textId="77777777">
      <w:r w:rsidRPr="00087B19">
        <w:t xml:space="preserve">This information is collected on an as needed basis.  The information provided on these forms is necessary for </w:t>
      </w:r>
      <w:r w:rsidRPr="00087B19" w:rsidR="00DF1286">
        <w:t xml:space="preserve">initial </w:t>
      </w:r>
      <w:r w:rsidRPr="00087B19">
        <w:t>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provider/supplier meets all statutory and regulatory requirements</w:t>
      </w:r>
      <w:r w:rsidRPr="00087B19" w:rsidR="00DF1286">
        <w:t xml:space="preserve">, </w:t>
      </w:r>
      <w:r w:rsidRPr="00087B19">
        <w:t>are properly credentialed in their specialty (if applicable), and to collect relevant information to process the provider’s/supplier’s claims in a timely and accurate manner.</w:t>
      </w:r>
      <w:r w:rsidRPr="00087B19" w:rsidR="00BF7AA2">
        <w:t xml:space="preserve">  </w:t>
      </w:r>
    </w:p>
    <w:p w:rsidRPr="00087B19" w:rsidR="00BF7AA2" w:rsidP="00A02D17" w:rsidRDefault="00BF7AA2" w14:paraId="63E2943E" w14:textId="77777777"/>
    <w:p w:rsidRPr="00087B19" w:rsidR="00A41A49" w:rsidP="00A02D17" w:rsidRDefault="00BF7AA2" w14:paraId="065DEB97" w14:textId="77777777">
      <w:r w:rsidRPr="00087B19">
        <w:t xml:space="preserve">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w:t>
      </w:r>
      <w:r w:rsidRPr="00087B19" w:rsidR="00A41A49">
        <w:t>In addition, to ensure uniform data submissions, CMS requires that all changes to previously submitted enrollment data be reported via this enrollment application.</w:t>
      </w:r>
    </w:p>
    <w:p w:rsidRPr="00087B19" w:rsidR="003F1EB4" w:rsidP="00A02D17" w:rsidRDefault="003F1EB4" w14:paraId="5E537031" w14:textId="77777777"/>
    <w:p w:rsidRPr="00BD793A" w:rsidR="003F1EB4" w:rsidP="00A02D17" w:rsidRDefault="003F1EB4" w14:paraId="4203E623" w14:textId="77777777">
      <w:pPr>
        <w:numPr>
          <w:ilvl w:val="0"/>
          <w:numId w:val="2"/>
        </w:numPr>
        <w:rPr>
          <w:u w:val="single"/>
        </w:rPr>
      </w:pPr>
      <w:r w:rsidRPr="00BD793A">
        <w:rPr>
          <w:u w:val="single"/>
        </w:rPr>
        <w:t>Special Circumstances</w:t>
      </w:r>
    </w:p>
    <w:p w:rsidRPr="00087B19" w:rsidR="003F1EB4" w:rsidP="00A02D17" w:rsidRDefault="003F1EB4" w14:paraId="2AA09A7E" w14:textId="77777777"/>
    <w:p w:rsidRPr="00D01063" w:rsidR="00090B7A" w:rsidP="00A02D17" w:rsidRDefault="00090B7A" w14:paraId="1BE88789" w14:textId="6DEB00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0B7A">
        <w:t xml:space="preserve">The </w:t>
      </w:r>
      <w:r>
        <w:t xml:space="preserve">collected </w:t>
      </w:r>
      <w:r w:rsidRPr="00090B7A">
        <w:t>information is necessary for initial enrollment in the Medicare program.</w:t>
      </w:r>
      <w:r>
        <w:t xml:space="preserve"> </w:t>
      </w:r>
      <w:r w:rsidRPr="00090B7A">
        <w:t>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w:t>
      </w:r>
      <w:r>
        <w:t xml:space="preserve"> Otherwise, t</w:t>
      </w:r>
      <w:r w:rsidRPr="00D01063">
        <w:t>here are no special circumstances that would require an information collection to be conducted in a manner that requires respondents to:</w:t>
      </w:r>
    </w:p>
    <w:p w:rsidRPr="00D01063" w:rsidR="00090B7A" w:rsidP="00A02D17" w:rsidRDefault="00090B7A" w14:paraId="42A45B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D01063" w:rsidR="00090B7A" w:rsidP="00A02D17" w:rsidRDefault="00090B7A" w14:paraId="359DEDF6" w14:textId="29C8242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rsidRPr="00D01063" w:rsidR="00090B7A" w:rsidP="00A02D17" w:rsidRDefault="00090B7A" w14:paraId="06BEBD07"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rsidRPr="00D01063" w:rsidR="00090B7A" w:rsidP="00A02D17" w:rsidRDefault="00090B7A" w14:paraId="5E667408"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rsidRPr="00D01063" w:rsidR="00090B7A" w:rsidP="00A02D17" w:rsidRDefault="00090B7A" w14:paraId="1B7E437B"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t>;</w:t>
      </w:r>
    </w:p>
    <w:p w:rsidRPr="00D01063" w:rsidR="00090B7A" w:rsidP="00A02D17" w:rsidRDefault="00090B7A" w14:paraId="55EF80BA"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rsidRPr="00D01063" w:rsidR="00090B7A" w:rsidP="00A02D17" w:rsidRDefault="00090B7A" w14:paraId="602A3E81"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1063" w:rsidR="00090B7A" w:rsidP="00A02D17" w:rsidRDefault="00090B7A" w14:paraId="4FACBA06" w14:textId="77777777">
      <w:pPr>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rsidRPr="00087B19" w:rsidR="003F1EB4" w:rsidP="00A02D17" w:rsidRDefault="003F1EB4" w14:paraId="097AFBBB" w14:textId="77777777"/>
    <w:p w:rsidRPr="00BD793A" w:rsidR="003F1EB4" w:rsidP="00A02D17" w:rsidRDefault="003F1EB4" w14:paraId="4E17F838" w14:textId="77777777">
      <w:pPr>
        <w:numPr>
          <w:ilvl w:val="0"/>
          <w:numId w:val="2"/>
        </w:numPr>
        <w:tabs>
          <w:tab w:val="left" w:pos="-1440"/>
        </w:tabs>
        <w:rPr>
          <w:u w:val="single"/>
        </w:rPr>
      </w:pPr>
      <w:r w:rsidRPr="00BD793A">
        <w:rPr>
          <w:u w:val="single"/>
        </w:rPr>
        <w:t>Federal Register Notice/Outside Consultation</w:t>
      </w:r>
    </w:p>
    <w:p w:rsidRPr="00087B19" w:rsidR="003F1EB4" w:rsidP="00A02D17" w:rsidRDefault="003F1EB4" w14:paraId="089A5A88" w14:textId="77777777"/>
    <w:p w:rsidR="00065389" w:rsidP="00A02D17" w:rsidRDefault="00065389" w14:paraId="4D753275" w14:textId="610390AA">
      <w:pPr>
        <w:widowControl/>
        <w:rPr>
          <w:rFonts w:eastAsiaTheme="minorHAnsi"/>
          <w:snapToGrid/>
          <w:szCs w:val="24"/>
        </w:rPr>
      </w:pPr>
      <w:r w:rsidRPr="00087B19">
        <w:rPr>
          <w:i/>
        </w:rPr>
        <w:t>Federal Register Notice</w:t>
      </w:r>
    </w:p>
    <w:p w:rsidR="00065389" w:rsidP="00A02D17" w:rsidRDefault="00065389" w14:paraId="1FA03AFC" w14:textId="16C027BA">
      <w:pPr>
        <w:widowControl/>
        <w:rPr>
          <w:rFonts w:eastAsiaTheme="minorHAnsi"/>
          <w:snapToGrid/>
          <w:szCs w:val="24"/>
        </w:rPr>
      </w:pPr>
    </w:p>
    <w:p w:rsidR="00905FD0" w:rsidP="00A02D17" w:rsidRDefault="00905FD0" w14:paraId="2FE1AF5D" w14:textId="2857BA3E">
      <w:r w:rsidRPr="00481317">
        <w:t xml:space="preserve">Serving as the 60-day notice, the proposed rule (CMS-1734-P, RIN 0938-AU10) filed for public inspection on </w:t>
      </w:r>
      <w:r w:rsidRPr="000529B7" w:rsidR="000529B7">
        <w:t>August 4, 2020</w:t>
      </w:r>
      <w:r w:rsidR="00C6387A">
        <w:t>,</w:t>
      </w:r>
      <w:r w:rsidRPr="00481317">
        <w:t xml:space="preserve"> and publish</w:t>
      </w:r>
      <w:r w:rsidR="00C6387A">
        <w:t>ed</w:t>
      </w:r>
      <w:r w:rsidRPr="00481317">
        <w:t xml:space="preserve"> in the Federal Register on </w:t>
      </w:r>
      <w:r w:rsidR="000529B7">
        <w:t>August 17</w:t>
      </w:r>
      <w:r w:rsidRPr="00481317">
        <w:t xml:space="preserve"> (85 FR </w:t>
      </w:r>
      <w:r w:rsidRPr="00C6387A" w:rsidR="00C6387A">
        <w:t>50074</w:t>
      </w:r>
      <w:r w:rsidRPr="00481317">
        <w:t>).</w:t>
      </w:r>
      <w:r>
        <w:t xml:space="preserve"> Public comments are due on/by </w:t>
      </w:r>
      <w:r w:rsidR="00264AD4">
        <w:t>October 5, 2020</w:t>
      </w:r>
      <w:r>
        <w:t>.</w:t>
      </w:r>
    </w:p>
    <w:p w:rsidRPr="00087B19" w:rsidR="000529B7" w:rsidP="00A02D17" w:rsidRDefault="000529B7" w14:paraId="3B6B72B5" w14:textId="77777777">
      <w:pPr>
        <w:widowControl/>
        <w:rPr>
          <w:rFonts w:eastAsiaTheme="minorHAnsi"/>
          <w:snapToGrid/>
          <w:szCs w:val="24"/>
        </w:rPr>
      </w:pPr>
    </w:p>
    <w:p w:rsidR="00065389" w:rsidP="00A02D17" w:rsidRDefault="00065389" w14:paraId="182E663D" w14:textId="47C22B0E">
      <w:pPr>
        <w:widowControl/>
        <w:rPr>
          <w:rFonts w:eastAsiaTheme="minorHAnsi"/>
          <w:snapToGrid/>
          <w:szCs w:val="24"/>
        </w:rPr>
      </w:pPr>
      <w:r w:rsidRPr="00087B19">
        <w:rPr>
          <w:i/>
        </w:rPr>
        <w:t>Outside Consultation</w:t>
      </w:r>
    </w:p>
    <w:p w:rsidR="00065389" w:rsidP="00A02D17" w:rsidRDefault="00065389" w14:paraId="06E2D997" w14:textId="77777777">
      <w:pPr>
        <w:widowControl/>
        <w:rPr>
          <w:rFonts w:eastAsiaTheme="minorHAnsi"/>
          <w:snapToGrid/>
          <w:szCs w:val="24"/>
        </w:rPr>
      </w:pPr>
    </w:p>
    <w:p w:rsidRPr="00087B19" w:rsidR="001C62AC" w:rsidP="00A02D17" w:rsidRDefault="001C62AC" w14:paraId="3CA7E86F" w14:textId="0F299888">
      <w:pPr>
        <w:widowControl/>
        <w:rPr>
          <w:rFonts w:ascii="Calibri" w:hAnsi="Calibri" w:eastAsiaTheme="minorHAnsi"/>
          <w:snapToGrid/>
          <w:szCs w:val="24"/>
        </w:rPr>
      </w:pPr>
      <w:r w:rsidRPr="00087B19">
        <w:rPr>
          <w:rFonts w:eastAsiaTheme="minorHAnsi"/>
          <w:snapToGrid/>
          <w:szCs w:val="24"/>
        </w:rPr>
        <w:t>No outside consultation was sought.</w:t>
      </w:r>
    </w:p>
    <w:p w:rsidRPr="00087B19" w:rsidR="003F1EB4" w:rsidP="00A02D17" w:rsidRDefault="003F1EB4" w14:paraId="108CCE48" w14:textId="77777777"/>
    <w:p w:rsidRPr="00BD793A" w:rsidR="003F1EB4" w:rsidP="00A02D17" w:rsidRDefault="003F1EB4" w14:paraId="15A56B18" w14:textId="77777777">
      <w:pPr>
        <w:numPr>
          <w:ilvl w:val="0"/>
          <w:numId w:val="2"/>
        </w:numPr>
        <w:tabs>
          <w:tab w:val="left" w:pos="-1440"/>
        </w:tabs>
        <w:rPr>
          <w:u w:val="single"/>
        </w:rPr>
      </w:pPr>
      <w:r w:rsidRPr="00BD793A">
        <w:rPr>
          <w:u w:val="single"/>
        </w:rPr>
        <w:t>Payment/Gift to Respondents</w:t>
      </w:r>
    </w:p>
    <w:p w:rsidRPr="00087B19" w:rsidR="003F1EB4" w:rsidP="00A02D17" w:rsidRDefault="003F1EB4" w14:paraId="060A2BCC" w14:textId="77777777"/>
    <w:p w:rsidR="00095CB0" w:rsidP="00A02D17" w:rsidRDefault="00095CB0" w14:paraId="5E308E97" w14:textId="77777777">
      <w:pPr>
        <w:rPr>
          <w:snapToGrid/>
          <w:szCs w:val="24"/>
        </w:rPr>
      </w:pPr>
      <w:r>
        <w:rPr>
          <w:szCs w:val="24"/>
        </w:rPr>
        <w:t>The function of the CMS-855B form is to collect and verify data that proves the legitimacy of the enrolling supplier and to collect information for correct claims payment.  Once completed, submitted, processed, and accepted, the respondent will be able to receive payment for medical procedures and/or services rendered to Medicare beneficiaries in accordance with the Medicare claims payment system.</w:t>
      </w:r>
    </w:p>
    <w:p w:rsidRPr="00087B19" w:rsidR="003F1EB4" w:rsidP="00A02D17" w:rsidRDefault="003F1EB4" w14:paraId="72B7A532" w14:textId="77777777"/>
    <w:p w:rsidRPr="00BD793A" w:rsidR="003F1EB4" w:rsidP="00A02D17" w:rsidRDefault="003F1EB4" w14:paraId="0A496B79" w14:textId="77777777">
      <w:pPr>
        <w:numPr>
          <w:ilvl w:val="0"/>
          <w:numId w:val="2"/>
        </w:numPr>
        <w:rPr>
          <w:u w:val="single"/>
        </w:rPr>
      </w:pPr>
      <w:r w:rsidRPr="00BD793A">
        <w:rPr>
          <w:u w:val="single"/>
        </w:rPr>
        <w:t>Confidentiality</w:t>
      </w:r>
    </w:p>
    <w:p w:rsidRPr="00087B19" w:rsidR="003F1EB4" w:rsidP="00A02D17" w:rsidRDefault="003F1EB4" w14:paraId="3DACC19F" w14:textId="77777777"/>
    <w:p w:rsidRPr="00087B19" w:rsidR="003F1EB4" w:rsidP="00A02D17" w:rsidRDefault="003F1EB4" w14:paraId="278CC13D" w14:textId="77777777">
      <w:r w:rsidRPr="00087B19">
        <w:t>CMS will comply with all Privacy Act, Freedom of Information laws and regulations that apply to this collection.  Privileged or confidential commercial or financial information is protected from public disclosure by Federal law 5 U.S.C. 522(b</w:t>
      </w:r>
      <w:proofErr w:type="gramStart"/>
      <w:r w:rsidRPr="00087B19">
        <w:t>)(</w:t>
      </w:r>
      <w:proofErr w:type="gramEnd"/>
      <w:r w:rsidRPr="00087B19">
        <w:t>4) and Executive Order 12600.</w:t>
      </w:r>
    </w:p>
    <w:p w:rsidRPr="00087B19" w:rsidR="003F1EB4" w:rsidP="00A02D17" w:rsidRDefault="003F1EB4" w14:paraId="5DDDF7C8" w14:textId="77777777"/>
    <w:p w:rsidRPr="00087B19" w:rsidR="00BF7AA2" w:rsidP="00A02D17" w:rsidRDefault="007F0A5D" w14:paraId="27779D75" w14:textId="17788028">
      <w:pPr>
        <w:rPr>
          <w:szCs w:val="24"/>
        </w:rPr>
      </w:pPr>
      <w:r w:rsidRPr="007F0A5D">
        <w:rPr>
          <w:szCs w:val="24"/>
        </w:rPr>
        <w:t>The data will be provided</w:t>
      </w:r>
      <w:r>
        <w:rPr>
          <w:szCs w:val="24"/>
        </w:rPr>
        <w:t xml:space="preserve"> </w:t>
      </w:r>
      <w:r w:rsidRPr="007F0A5D">
        <w:rPr>
          <w:szCs w:val="24"/>
        </w:rPr>
        <w:t>from CMS’ database of enrolled</w:t>
      </w:r>
      <w:r>
        <w:rPr>
          <w:szCs w:val="24"/>
        </w:rPr>
        <w:t xml:space="preserve"> </w:t>
      </w:r>
      <w:r w:rsidRPr="007F0A5D">
        <w:rPr>
          <w:szCs w:val="24"/>
        </w:rPr>
        <w:t>Medicare providers and suppliers</w:t>
      </w:r>
      <w:r>
        <w:rPr>
          <w:szCs w:val="24"/>
        </w:rPr>
        <w:t>.</w:t>
      </w:r>
      <w:r w:rsidRPr="007F0A5D">
        <w:rPr>
          <w:szCs w:val="24"/>
        </w:rPr>
        <w:t xml:space="preserve"> </w:t>
      </w:r>
      <w:r w:rsidRPr="00087B19" w:rsidR="00BF7AA2">
        <w:rPr>
          <w:szCs w:val="24"/>
        </w:rPr>
        <w:t xml:space="preserve">The </w:t>
      </w:r>
      <w:r w:rsidRPr="00087B19" w:rsidR="00880173">
        <w:rPr>
          <w:szCs w:val="24"/>
        </w:rPr>
        <w:t>SORN title is</w:t>
      </w:r>
      <w:r w:rsidRPr="00087B19" w:rsidR="00BF7AA2">
        <w:rPr>
          <w:szCs w:val="24"/>
        </w:rPr>
        <w:t xml:space="preserve"> Provider Enrollment, Chain and Ownership System </w:t>
      </w:r>
      <w:r w:rsidRPr="00087B19" w:rsidR="00BF7AA2">
        <w:rPr>
          <w:spacing w:val="-1"/>
          <w:szCs w:val="24"/>
        </w:rPr>
        <w:t>(PECOS)</w:t>
      </w:r>
      <w:r w:rsidRPr="00087B19" w:rsidR="00880173">
        <w:rPr>
          <w:spacing w:val="-1"/>
          <w:szCs w:val="24"/>
        </w:rPr>
        <w:t xml:space="preserve">, number </w:t>
      </w:r>
      <w:r w:rsidRPr="00087B19" w:rsidR="00880173">
        <w:rPr>
          <w:szCs w:val="24"/>
        </w:rPr>
        <w:t>09-70-0532</w:t>
      </w:r>
      <w:r>
        <w:rPr>
          <w:szCs w:val="24"/>
        </w:rPr>
        <w:t xml:space="preserve"> </w:t>
      </w:r>
      <w:r w:rsidRPr="007F0A5D">
        <w:rPr>
          <w:szCs w:val="24"/>
        </w:rPr>
        <w:t>(July 31, 2019; 84 FR 37393)</w:t>
      </w:r>
      <w:r w:rsidRPr="00087B19" w:rsidR="00880173">
        <w:rPr>
          <w:szCs w:val="24"/>
        </w:rPr>
        <w:t>.</w:t>
      </w:r>
    </w:p>
    <w:p w:rsidRPr="00087B19" w:rsidR="00D22037" w:rsidP="00A02D17" w:rsidRDefault="00D22037" w14:paraId="1D77FF2F" w14:textId="77777777"/>
    <w:p w:rsidRPr="00BD793A" w:rsidR="003F1EB4" w:rsidP="00A02D17" w:rsidRDefault="003F1EB4" w14:paraId="6380834C" w14:textId="77777777">
      <w:pPr>
        <w:numPr>
          <w:ilvl w:val="0"/>
          <w:numId w:val="2"/>
        </w:numPr>
        <w:tabs>
          <w:tab w:val="left" w:pos="-1440"/>
        </w:tabs>
        <w:rPr>
          <w:u w:val="single"/>
        </w:rPr>
      </w:pPr>
      <w:r w:rsidRPr="00BD793A">
        <w:rPr>
          <w:u w:val="single"/>
        </w:rPr>
        <w:t>Sensitive Questions</w:t>
      </w:r>
    </w:p>
    <w:p w:rsidRPr="00087B19" w:rsidR="003F1EB4" w:rsidP="00A02D17" w:rsidRDefault="003F1EB4" w14:paraId="5439F2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4553" w:rsidP="00A02D17" w:rsidRDefault="00874553" w14:paraId="3EEF5099" w14:textId="77777777">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Pr="00087B19" w:rsidR="003F1EB4" w:rsidP="00A02D17" w:rsidRDefault="003F1EB4" w14:paraId="48B5EA8C" w14:textId="77777777"/>
    <w:p w:rsidRPr="00BD793A" w:rsidR="003F1EB4" w:rsidP="00A02D17" w:rsidRDefault="003F1EB4" w14:paraId="05F3DA73" w14:textId="7E80B4A2">
      <w:pPr>
        <w:numPr>
          <w:ilvl w:val="0"/>
          <w:numId w:val="2"/>
        </w:numPr>
        <w:rPr>
          <w:u w:val="single"/>
        </w:rPr>
      </w:pPr>
      <w:r w:rsidRPr="00BD793A">
        <w:rPr>
          <w:u w:val="single"/>
        </w:rPr>
        <w:t>Burden Estimate</w:t>
      </w:r>
      <w:r w:rsidRPr="00BD793A" w:rsidR="006B3DF4">
        <w:rPr>
          <w:u w:val="single"/>
        </w:rPr>
        <w:t>s</w:t>
      </w:r>
    </w:p>
    <w:p w:rsidR="003F1EB4" w:rsidP="00A02D17" w:rsidRDefault="003F1EB4" w14:paraId="77101C3B" w14:textId="4B1291AA">
      <w:pPr>
        <w:rPr>
          <w:b/>
        </w:rPr>
      </w:pPr>
    </w:p>
    <w:p w:rsidR="007263A6" w:rsidP="00A02D17" w:rsidRDefault="007263A6" w14:paraId="4AB49F99" w14:textId="77777777">
      <w:pPr>
        <w:rPr>
          <w:szCs w:val="24"/>
        </w:rPr>
      </w:pPr>
      <w:r w:rsidRPr="00D67D00">
        <w:rPr>
          <w:szCs w:val="24"/>
        </w:rPr>
        <w:t>In preparing the following OTP enrollment estimates, we: (1) reviewed internal PECOS and billing data concerning existing OTP Form CMS-855 enrollments and claim submissions; and (2) considered feedback recently received from the OTP community regarding potential billing and enrollment options.  Based on this, we project that over the first 3 years of our proposed changes to § 424.67:</w:t>
      </w:r>
    </w:p>
    <w:p w:rsidR="007263A6" w:rsidP="00A02D17" w:rsidRDefault="007263A6" w14:paraId="28BCA81E" w14:textId="77777777">
      <w:pPr>
        <w:rPr>
          <w:szCs w:val="24"/>
        </w:rPr>
      </w:pPr>
    </w:p>
    <w:p w:rsidRPr="00F15D91" w:rsidR="004575B1" w:rsidP="00F15D91" w:rsidRDefault="007263A6" w14:paraId="226B06D1" w14:textId="243D4806">
      <w:pPr>
        <w:ind w:left="117"/>
        <w:rPr>
          <w:szCs w:val="24"/>
        </w:rPr>
      </w:pPr>
      <w:r w:rsidRPr="00F15D91">
        <w:rPr>
          <w:szCs w:val="24"/>
        </w:rPr>
        <w:t>About 10 OTPs that enroll using the Form CMS-855A would later change their enrollment to a Form CMS-855B.</w:t>
      </w:r>
    </w:p>
    <w:p w:rsidRPr="00087B19" w:rsidR="004575B1" w:rsidP="00A02D17" w:rsidRDefault="004575B1" w14:paraId="0B444EEE" w14:textId="77777777">
      <w:pPr>
        <w:rPr>
          <w:b/>
        </w:rPr>
      </w:pPr>
    </w:p>
    <w:p w:rsidRPr="00B92AEF" w:rsidR="001625D1" w:rsidP="00A02D17" w:rsidRDefault="006B3DF4" w14:paraId="4017F4F3" w14:textId="5B88AE7F">
      <w:pPr>
        <w:pStyle w:val="ListParagraph"/>
        <w:widowControl/>
        <w:numPr>
          <w:ilvl w:val="0"/>
          <w:numId w:val="22"/>
        </w:numPr>
        <w:kinsoku w:val="0"/>
        <w:overflowPunct w:val="0"/>
        <w:autoSpaceDE w:val="0"/>
        <w:autoSpaceDN w:val="0"/>
        <w:adjustRightInd w:val="0"/>
        <w:ind w:right="266"/>
        <w:contextualSpacing w:val="0"/>
        <w:rPr>
          <w:rFonts w:eastAsiaTheme="minorHAnsi"/>
          <w:snapToGrid/>
          <w:szCs w:val="24"/>
          <w:highlight w:val="green"/>
          <w:u w:val="single"/>
        </w:rPr>
      </w:pPr>
      <w:r w:rsidRPr="00B92AEF">
        <w:rPr>
          <w:highlight w:val="green"/>
        </w:rPr>
        <w:t>Time</w:t>
      </w:r>
      <w:r w:rsidRPr="00B92AEF" w:rsidR="008C5B77">
        <w:rPr>
          <w:highlight w:val="green"/>
        </w:rPr>
        <w:t xml:space="preserve"> Estimates</w:t>
      </w:r>
    </w:p>
    <w:p w:rsidRPr="00087B19" w:rsidR="001625D1" w:rsidP="00A02D17" w:rsidRDefault="001625D1" w14:paraId="721CEF4F" w14:textId="77777777">
      <w:pPr>
        <w:pStyle w:val="BodyText"/>
        <w:kinsoku w:val="0"/>
        <w:overflowPunct w:val="0"/>
        <w:spacing w:before="0"/>
        <w:ind w:left="117" w:right="266"/>
        <w:rPr>
          <w:sz w:val="24"/>
          <w:szCs w:val="24"/>
          <w:u w:val="single"/>
        </w:rPr>
      </w:pPr>
    </w:p>
    <w:p w:rsidR="004F68E5" w:rsidP="00A02D17" w:rsidRDefault="001625D1" w14:paraId="6C0ED23A" w14:textId="77777777">
      <w:pPr>
        <w:widowControl/>
        <w:tabs>
          <w:tab w:val="left" w:pos="1898"/>
        </w:tabs>
        <w:kinsoku w:val="0"/>
        <w:overflowPunct w:val="0"/>
        <w:autoSpaceDE w:val="0"/>
        <w:autoSpaceDN w:val="0"/>
        <w:adjustRightInd w:val="0"/>
        <w:ind w:right="292"/>
        <w:rPr>
          <w:szCs w:val="24"/>
        </w:rPr>
      </w:pPr>
      <w:r w:rsidRPr="00087B19">
        <w:rPr>
          <w:szCs w:val="24"/>
        </w:rPr>
        <w:t>For this proposed revision of the CMS-</w:t>
      </w:r>
      <w:r w:rsidRPr="00087B19" w:rsidR="00D439A9">
        <w:rPr>
          <w:szCs w:val="24"/>
        </w:rPr>
        <w:t>855B</w:t>
      </w:r>
      <w:r w:rsidRPr="00087B19">
        <w:rPr>
          <w:szCs w:val="24"/>
        </w:rPr>
        <w:t>, CMS has recalculated the estimated burden hours.  CMS</w:t>
      </w:r>
      <w:r w:rsidRPr="00087B19">
        <w:rPr>
          <w:spacing w:val="-1"/>
          <w:szCs w:val="24"/>
        </w:rPr>
        <w:t xml:space="preserve"> </w:t>
      </w:r>
      <w:r w:rsidRPr="00087B19">
        <w:rPr>
          <w:szCs w:val="24"/>
        </w:rPr>
        <w:t>believes</w:t>
      </w:r>
      <w:r w:rsidRPr="00087B19">
        <w:rPr>
          <w:spacing w:val="13"/>
          <w:szCs w:val="24"/>
        </w:rPr>
        <w:t xml:space="preserve"> </w:t>
      </w:r>
      <w:r w:rsidRPr="00087B19">
        <w:rPr>
          <w:szCs w:val="24"/>
        </w:rPr>
        <w:t>this</w:t>
      </w:r>
      <w:r w:rsidRPr="00087B19">
        <w:rPr>
          <w:spacing w:val="5"/>
          <w:szCs w:val="24"/>
        </w:rPr>
        <w:t xml:space="preserve"> </w:t>
      </w:r>
      <w:r w:rsidRPr="00087B19">
        <w:rPr>
          <w:szCs w:val="24"/>
        </w:rPr>
        <w:t>recalculation</w:t>
      </w:r>
      <w:r w:rsidRPr="00087B19">
        <w:rPr>
          <w:spacing w:val="33"/>
          <w:szCs w:val="24"/>
        </w:rPr>
        <w:t xml:space="preserve"> </w:t>
      </w:r>
      <w:r w:rsidRPr="00087B19">
        <w:rPr>
          <w:szCs w:val="24"/>
        </w:rPr>
        <w:t>is</w:t>
      </w:r>
      <w:r w:rsidRPr="00087B19">
        <w:rPr>
          <w:spacing w:val="-4"/>
          <w:szCs w:val="24"/>
        </w:rPr>
        <w:t xml:space="preserve"> </w:t>
      </w:r>
      <w:r w:rsidRPr="00087B19">
        <w:rPr>
          <w:szCs w:val="24"/>
        </w:rPr>
        <w:t>necessary</w:t>
      </w:r>
      <w:r w:rsidRPr="00087B19">
        <w:rPr>
          <w:spacing w:val="21"/>
          <w:szCs w:val="24"/>
        </w:rPr>
        <w:t xml:space="preserve"> </w:t>
      </w:r>
      <w:r w:rsidRPr="00087B19">
        <w:rPr>
          <w:szCs w:val="24"/>
        </w:rPr>
        <w:t>because</w:t>
      </w:r>
      <w:r w:rsidRPr="00087B19">
        <w:rPr>
          <w:spacing w:val="22"/>
          <w:szCs w:val="24"/>
        </w:rPr>
        <w:t xml:space="preserve"> </w:t>
      </w:r>
      <w:r w:rsidRPr="00087B19">
        <w:rPr>
          <w:szCs w:val="24"/>
        </w:rPr>
        <w:t>this</w:t>
      </w:r>
      <w:r w:rsidRPr="00087B19">
        <w:rPr>
          <w:spacing w:val="1"/>
          <w:szCs w:val="24"/>
        </w:rPr>
        <w:t xml:space="preserve"> </w:t>
      </w:r>
      <w:r w:rsidRPr="00087B19">
        <w:rPr>
          <w:szCs w:val="24"/>
        </w:rPr>
        <w:t>data</w:t>
      </w:r>
      <w:r w:rsidRPr="00087B19">
        <w:rPr>
          <w:spacing w:val="4"/>
          <w:szCs w:val="24"/>
        </w:rPr>
        <w:t xml:space="preserve"> </w:t>
      </w:r>
      <w:r w:rsidRPr="00087B19">
        <w:rPr>
          <w:szCs w:val="24"/>
        </w:rPr>
        <w:t>collection</w:t>
      </w:r>
      <w:r w:rsidRPr="00087B19">
        <w:rPr>
          <w:spacing w:val="14"/>
          <w:szCs w:val="24"/>
        </w:rPr>
        <w:t xml:space="preserve"> </w:t>
      </w:r>
      <w:r w:rsidRPr="00087B19">
        <w:rPr>
          <w:szCs w:val="24"/>
        </w:rPr>
        <w:t xml:space="preserve">tool has not been </w:t>
      </w:r>
      <w:r w:rsidRPr="00087B19" w:rsidR="00140F92">
        <w:rPr>
          <w:szCs w:val="24"/>
        </w:rPr>
        <w:t xml:space="preserve">properly </w:t>
      </w:r>
      <w:r w:rsidRPr="00087B19">
        <w:rPr>
          <w:szCs w:val="24"/>
        </w:rPr>
        <w:t>revised since 2011.  In addition,</w:t>
      </w:r>
      <w:r w:rsidRPr="00087B19">
        <w:rPr>
          <w:spacing w:val="5"/>
          <w:szCs w:val="24"/>
        </w:rPr>
        <w:t xml:space="preserve"> </w:t>
      </w:r>
      <w:r w:rsidRPr="00087B19">
        <w:rPr>
          <w:szCs w:val="24"/>
        </w:rPr>
        <w:t>the</w:t>
      </w:r>
      <w:r w:rsidRPr="00087B19">
        <w:rPr>
          <w:spacing w:val="10"/>
          <w:szCs w:val="24"/>
        </w:rPr>
        <w:t xml:space="preserve"> </w:t>
      </w:r>
      <w:r w:rsidRPr="00087B19">
        <w:rPr>
          <w:szCs w:val="24"/>
        </w:rPr>
        <w:t>number</w:t>
      </w:r>
      <w:r w:rsidRPr="00087B19">
        <w:rPr>
          <w:spacing w:val="17"/>
          <w:szCs w:val="24"/>
        </w:rPr>
        <w:t xml:space="preserve"> </w:t>
      </w:r>
      <w:r w:rsidRPr="00087B19">
        <w:rPr>
          <w:szCs w:val="24"/>
        </w:rPr>
        <w:t>of</w:t>
      </w:r>
      <w:r w:rsidRPr="00087B19">
        <w:rPr>
          <w:spacing w:val="4"/>
          <w:szCs w:val="24"/>
        </w:rPr>
        <w:t xml:space="preserve"> </w:t>
      </w:r>
      <w:r w:rsidRPr="00087B19">
        <w:rPr>
          <w:szCs w:val="24"/>
        </w:rPr>
        <w:t>affected</w:t>
      </w:r>
      <w:r w:rsidRPr="00087B19">
        <w:rPr>
          <w:spacing w:val="15"/>
          <w:szCs w:val="24"/>
        </w:rPr>
        <w:t xml:space="preserve"> </w:t>
      </w:r>
      <w:r w:rsidRPr="00087B19">
        <w:rPr>
          <w:szCs w:val="24"/>
        </w:rPr>
        <w:t>users,</w:t>
      </w:r>
      <w:r w:rsidRPr="00087B19">
        <w:rPr>
          <w:spacing w:val="16"/>
          <w:szCs w:val="24"/>
        </w:rPr>
        <w:t xml:space="preserve"> </w:t>
      </w:r>
      <w:r w:rsidRPr="00087B19">
        <w:rPr>
          <w:szCs w:val="24"/>
        </w:rPr>
        <w:t>actual</w:t>
      </w:r>
      <w:r w:rsidRPr="00087B19">
        <w:rPr>
          <w:spacing w:val="7"/>
          <w:szCs w:val="24"/>
        </w:rPr>
        <w:t xml:space="preserve"> </w:t>
      </w:r>
      <w:r w:rsidRPr="00087B19">
        <w:rPr>
          <w:szCs w:val="24"/>
        </w:rPr>
        <w:t>data</w:t>
      </w:r>
      <w:r w:rsidRPr="00087B19">
        <w:rPr>
          <w:spacing w:val="6"/>
          <w:szCs w:val="24"/>
        </w:rPr>
        <w:t xml:space="preserve"> </w:t>
      </w:r>
      <w:r w:rsidRPr="00087B19">
        <w:rPr>
          <w:szCs w:val="24"/>
        </w:rPr>
        <w:t>collected</w:t>
      </w:r>
      <w:r w:rsidRPr="00087B19">
        <w:rPr>
          <w:spacing w:val="25"/>
          <w:szCs w:val="24"/>
        </w:rPr>
        <w:t xml:space="preserve"> </w:t>
      </w:r>
      <w:r w:rsidRPr="00087B19">
        <w:rPr>
          <w:szCs w:val="24"/>
        </w:rPr>
        <w:t>and</w:t>
      </w:r>
      <w:r w:rsidRPr="00087B19">
        <w:rPr>
          <w:spacing w:val="7"/>
          <w:szCs w:val="24"/>
        </w:rPr>
        <w:t xml:space="preserve"> </w:t>
      </w:r>
      <w:r w:rsidRPr="00087B19">
        <w:rPr>
          <w:szCs w:val="24"/>
        </w:rPr>
        <w:t>the</w:t>
      </w:r>
      <w:r w:rsidRPr="00087B19">
        <w:rPr>
          <w:spacing w:val="10"/>
          <w:szCs w:val="24"/>
        </w:rPr>
        <w:t xml:space="preserve"> </w:t>
      </w:r>
      <w:r w:rsidRPr="00087B19">
        <w:rPr>
          <w:szCs w:val="24"/>
        </w:rPr>
        <w:t>collection methods</w:t>
      </w:r>
      <w:r w:rsidRPr="00087B19">
        <w:rPr>
          <w:spacing w:val="10"/>
          <w:szCs w:val="24"/>
        </w:rPr>
        <w:t xml:space="preserve"> </w:t>
      </w:r>
      <w:r w:rsidRPr="00087B19">
        <w:rPr>
          <w:szCs w:val="24"/>
        </w:rPr>
        <w:t>have</w:t>
      </w:r>
      <w:r w:rsidRPr="00087B19">
        <w:rPr>
          <w:spacing w:val="14"/>
          <w:szCs w:val="24"/>
        </w:rPr>
        <w:t xml:space="preserve"> </w:t>
      </w:r>
      <w:r w:rsidRPr="00087B19">
        <w:rPr>
          <w:szCs w:val="24"/>
        </w:rPr>
        <w:t>changed</w:t>
      </w:r>
      <w:r w:rsidRPr="00087B19">
        <w:rPr>
          <w:spacing w:val="19"/>
          <w:szCs w:val="24"/>
        </w:rPr>
        <w:t xml:space="preserve"> </w:t>
      </w:r>
      <w:r w:rsidRPr="00087B19">
        <w:rPr>
          <w:szCs w:val="24"/>
        </w:rPr>
        <w:t>significantly.</w:t>
      </w:r>
      <w:r w:rsidRPr="00087B19" w:rsidR="004B3703">
        <w:rPr>
          <w:spacing w:val="27"/>
          <w:szCs w:val="24"/>
        </w:rPr>
        <w:t xml:space="preserve">  </w:t>
      </w:r>
      <w:r w:rsidRPr="00087B19">
        <w:rPr>
          <w:szCs w:val="24"/>
        </w:rPr>
        <w:t>CMS</w:t>
      </w:r>
      <w:r w:rsidRPr="00087B19">
        <w:rPr>
          <w:spacing w:val="4"/>
          <w:szCs w:val="24"/>
        </w:rPr>
        <w:t xml:space="preserve"> </w:t>
      </w:r>
      <w:r w:rsidRPr="00087B19">
        <w:rPr>
          <w:szCs w:val="24"/>
        </w:rPr>
        <w:t>believes</w:t>
      </w:r>
      <w:r w:rsidRPr="00087B19">
        <w:rPr>
          <w:spacing w:val="13"/>
          <w:szCs w:val="24"/>
        </w:rPr>
        <w:t xml:space="preserve"> </w:t>
      </w:r>
      <w:r w:rsidRPr="00087B19">
        <w:rPr>
          <w:szCs w:val="24"/>
        </w:rPr>
        <w:t>these</w:t>
      </w:r>
      <w:r w:rsidRPr="00087B19">
        <w:rPr>
          <w:spacing w:val="5"/>
          <w:szCs w:val="24"/>
        </w:rPr>
        <w:t xml:space="preserve"> </w:t>
      </w:r>
      <w:r w:rsidRPr="00087B19">
        <w:rPr>
          <w:szCs w:val="24"/>
        </w:rPr>
        <w:t>new</w:t>
      </w:r>
      <w:r w:rsidRPr="00087B19">
        <w:rPr>
          <w:spacing w:val="9"/>
          <w:szCs w:val="24"/>
        </w:rPr>
        <w:t xml:space="preserve"> </w:t>
      </w:r>
      <w:r w:rsidRPr="00087B19">
        <w:rPr>
          <w:szCs w:val="24"/>
        </w:rPr>
        <w:t>burden</w:t>
      </w:r>
      <w:r w:rsidRPr="00087B19">
        <w:rPr>
          <w:spacing w:val="21"/>
          <w:szCs w:val="24"/>
        </w:rPr>
        <w:t xml:space="preserve"> hours</w:t>
      </w:r>
      <w:r w:rsidRPr="00087B19">
        <w:rPr>
          <w:spacing w:val="8"/>
          <w:szCs w:val="24"/>
        </w:rPr>
        <w:t xml:space="preserve"> </w:t>
      </w:r>
      <w:r w:rsidRPr="00087B19">
        <w:rPr>
          <w:szCs w:val="24"/>
        </w:rPr>
        <w:t>accurately</w:t>
      </w:r>
      <w:r w:rsidRPr="00087B19">
        <w:rPr>
          <w:spacing w:val="18"/>
          <w:szCs w:val="24"/>
        </w:rPr>
        <w:t xml:space="preserve"> </w:t>
      </w:r>
      <w:r w:rsidRPr="00087B19">
        <w:rPr>
          <w:szCs w:val="24"/>
        </w:rPr>
        <w:t>reflects</w:t>
      </w:r>
      <w:r w:rsidRPr="00087B19">
        <w:rPr>
          <w:spacing w:val="10"/>
          <w:szCs w:val="24"/>
        </w:rPr>
        <w:t xml:space="preserve"> </w:t>
      </w:r>
      <w:r w:rsidRPr="00087B19">
        <w:rPr>
          <w:szCs w:val="24"/>
        </w:rPr>
        <w:t>the</w:t>
      </w:r>
      <w:r w:rsidRPr="00087B19">
        <w:rPr>
          <w:spacing w:val="1"/>
          <w:szCs w:val="24"/>
        </w:rPr>
        <w:t xml:space="preserve"> </w:t>
      </w:r>
      <w:r w:rsidRPr="00087B19">
        <w:rPr>
          <w:szCs w:val="24"/>
        </w:rPr>
        <w:t>current</w:t>
      </w:r>
      <w:r w:rsidRPr="00087B19">
        <w:rPr>
          <w:spacing w:val="9"/>
          <w:szCs w:val="24"/>
        </w:rPr>
        <w:t xml:space="preserve"> </w:t>
      </w:r>
      <w:r w:rsidRPr="00087B19">
        <w:rPr>
          <w:szCs w:val="24"/>
        </w:rPr>
        <w:t>burden</w:t>
      </w:r>
      <w:r w:rsidRPr="00087B19">
        <w:rPr>
          <w:spacing w:val="15"/>
          <w:szCs w:val="24"/>
        </w:rPr>
        <w:t xml:space="preserve"> </w:t>
      </w:r>
      <w:r w:rsidRPr="00087B19">
        <w:rPr>
          <w:szCs w:val="24"/>
        </w:rPr>
        <w:t>for</w:t>
      </w:r>
      <w:r w:rsidRPr="00087B19">
        <w:rPr>
          <w:spacing w:val="2"/>
          <w:szCs w:val="24"/>
        </w:rPr>
        <w:t xml:space="preserve"> </w:t>
      </w:r>
      <w:r w:rsidRPr="00087B19">
        <w:rPr>
          <w:szCs w:val="24"/>
        </w:rPr>
        <w:t>the</w:t>
      </w:r>
      <w:r w:rsidRPr="00087B19">
        <w:rPr>
          <w:spacing w:val="6"/>
          <w:szCs w:val="24"/>
        </w:rPr>
        <w:t xml:space="preserve"> </w:t>
      </w:r>
      <w:r w:rsidRPr="00087B19">
        <w:rPr>
          <w:szCs w:val="24"/>
        </w:rPr>
        <w:t>purposes</w:t>
      </w:r>
      <w:r w:rsidRPr="00087B19">
        <w:rPr>
          <w:spacing w:val="15"/>
          <w:szCs w:val="24"/>
        </w:rPr>
        <w:t xml:space="preserve"> </w:t>
      </w:r>
      <w:r w:rsidRPr="00087B19">
        <w:rPr>
          <w:szCs w:val="24"/>
        </w:rPr>
        <w:t>of</w:t>
      </w:r>
      <w:r w:rsidRPr="00087B19">
        <w:rPr>
          <w:spacing w:val="-5"/>
          <w:szCs w:val="24"/>
        </w:rPr>
        <w:t xml:space="preserve"> </w:t>
      </w:r>
      <w:r w:rsidRPr="00087B19">
        <w:rPr>
          <w:szCs w:val="24"/>
        </w:rPr>
        <w:t>this</w:t>
      </w:r>
      <w:r w:rsidRPr="00087B19">
        <w:rPr>
          <w:spacing w:val="10"/>
          <w:szCs w:val="24"/>
        </w:rPr>
        <w:t xml:space="preserve"> </w:t>
      </w:r>
      <w:r w:rsidRPr="00087B19">
        <w:rPr>
          <w:szCs w:val="24"/>
        </w:rPr>
        <w:t>application</w:t>
      </w:r>
      <w:r w:rsidRPr="00087B19">
        <w:rPr>
          <w:spacing w:val="16"/>
          <w:szCs w:val="24"/>
        </w:rPr>
        <w:t xml:space="preserve"> </w:t>
      </w:r>
      <w:r w:rsidRPr="00087B19">
        <w:rPr>
          <w:szCs w:val="24"/>
        </w:rPr>
        <w:t>when</w:t>
      </w:r>
      <w:r w:rsidRPr="00087B19">
        <w:rPr>
          <w:spacing w:val="11"/>
          <w:szCs w:val="24"/>
        </w:rPr>
        <w:t xml:space="preserve"> </w:t>
      </w:r>
      <w:r w:rsidRPr="00087B19">
        <w:rPr>
          <w:szCs w:val="24"/>
        </w:rPr>
        <w:t>completing</w:t>
      </w:r>
      <w:r w:rsidRPr="00087B19">
        <w:rPr>
          <w:spacing w:val="7"/>
          <w:szCs w:val="24"/>
        </w:rPr>
        <w:t xml:space="preserve"> </w:t>
      </w:r>
      <w:r w:rsidRPr="00087B19">
        <w:rPr>
          <w:szCs w:val="24"/>
        </w:rPr>
        <w:t>this</w:t>
      </w:r>
      <w:r w:rsidRPr="00087B19">
        <w:rPr>
          <w:spacing w:val="5"/>
          <w:szCs w:val="24"/>
        </w:rPr>
        <w:t xml:space="preserve"> </w:t>
      </w:r>
      <w:r w:rsidRPr="00087B19">
        <w:rPr>
          <w:szCs w:val="24"/>
        </w:rPr>
        <w:t>proposed</w:t>
      </w:r>
      <w:r w:rsidRPr="00087B19">
        <w:rPr>
          <w:spacing w:val="29"/>
          <w:szCs w:val="24"/>
        </w:rPr>
        <w:t xml:space="preserve"> </w:t>
      </w:r>
      <w:r w:rsidRPr="00087B19">
        <w:rPr>
          <w:szCs w:val="24"/>
        </w:rPr>
        <w:t>revision</w:t>
      </w:r>
      <w:r w:rsidRPr="00087B19">
        <w:rPr>
          <w:spacing w:val="23"/>
          <w:szCs w:val="24"/>
        </w:rPr>
        <w:t xml:space="preserve"> </w:t>
      </w:r>
      <w:r w:rsidRPr="00087B19">
        <w:rPr>
          <w:szCs w:val="24"/>
        </w:rPr>
        <w:t>of</w:t>
      </w:r>
      <w:r w:rsidRPr="00087B19">
        <w:rPr>
          <w:spacing w:val="-1"/>
          <w:szCs w:val="24"/>
        </w:rPr>
        <w:t xml:space="preserve"> </w:t>
      </w:r>
      <w:r w:rsidRPr="00087B19">
        <w:rPr>
          <w:szCs w:val="24"/>
        </w:rPr>
        <w:t>the CMS-</w:t>
      </w:r>
      <w:r w:rsidRPr="00087B19" w:rsidR="00D439A9">
        <w:rPr>
          <w:szCs w:val="24"/>
        </w:rPr>
        <w:t>855B</w:t>
      </w:r>
      <w:r w:rsidRPr="00087B19">
        <w:rPr>
          <w:szCs w:val="24"/>
        </w:rPr>
        <w:t>.</w:t>
      </w:r>
      <w:r w:rsidRPr="00087B19" w:rsidR="004B3703">
        <w:rPr>
          <w:spacing w:val="27"/>
          <w:szCs w:val="24"/>
        </w:rPr>
        <w:t xml:space="preserve"> </w:t>
      </w:r>
      <w:r w:rsidRPr="00087B19">
        <w:rPr>
          <w:szCs w:val="24"/>
        </w:rPr>
        <w:t>CMS</w:t>
      </w:r>
      <w:r w:rsidRPr="00087B19">
        <w:rPr>
          <w:spacing w:val="4"/>
          <w:szCs w:val="24"/>
        </w:rPr>
        <w:t xml:space="preserve"> </w:t>
      </w:r>
      <w:r w:rsidRPr="00087B19">
        <w:rPr>
          <w:szCs w:val="24"/>
        </w:rPr>
        <w:t>is</w:t>
      </w:r>
      <w:r w:rsidRPr="00087B19">
        <w:rPr>
          <w:spacing w:val="-9"/>
          <w:szCs w:val="24"/>
        </w:rPr>
        <w:t xml:space="preserve"> </w:t>
      </w:r>
      <w:r w:rsidRPr="00087B19">
        <w:rPr>
          <w:szCs w:val="24"/>
        </w:rPr>
        <w:t>basing</w:t>
      </w:r>
      <w:r w:rsidRPr="00087B19">
        <w:rPr>
          <w:spacing w:val="11"/>
          <w:szCs w:val="24"/>
        </w:rPr>
        <w:t xml:space="preserve"> </w:t>
      </w:r>
      <w:r w:rsidRPr="00087B19">
        <w:rPr>
          <w:szCs w:val="24"/>
        </w:rPr>
        <w:t>the</w:t>
      </w:r>
      <w:r w:rsidRPr="00087B19">
        <w:rPr>
          <w:spacing w:val="6"/>
          <w:szCs w:val="24"/>
        </w:rPr>
        <w:t xml:space="preserve"> </w:t>
      </w:r>
      <w:r w:rsidRPr="00087B19">
        <w:rPr>
          <w:szCs w:val="24"/>
        </w:rPr>
        <w:t>new</w:t>
      </w:r>
      <w:r w:rsidRPr="00087B19">
        <w:rPr>
          <w:spacing w:val="9"/>
          <w:szCs w:val="24"/>
        </w:rPr>
        <w:t xml:space="preserve"> </w:t>
      </w:r>
      <w:r w:rsidRPr="00087B19">
        <w:rPr>
          <w:szCs w:val="24"/>
        </w:rPr>
        <w:t>burden</w:t>
      </w:r>
      <w:r w:rsidRPr="00087B19">
        <w:rPr>
          <w:spacing w:val="21"/>
          <w:szCs w:val="24"/>
        </w:rPr>
        <w:t xml:space="preserve"> </w:t>
      </w:r>
      <w:r w:rsidRPr="00087B19">
        <w:rPr>
          <w:szCs w:val="24"/>
        </w:rPr>
        <w:t>amounts</w:t>
      </w:r>
      <w:r w:rsidRPr="00087B19">
        <w:rPr>
          <w:spacing w:val="15"/>
          <w:szCs w:val="24"/>
        </w:rPr>
        <w:t xml:space="preserve"> </w:t>
      </w:r>
      <w:r w:rsidRPr="00087B19">
        <w:rPr>
          <w:szCs w:val="24"/>
        </w:rPr>
        <w:t>on</w:t>
      </w:r>
      <w:r w:rsidRPr="00087B19">
        <w:rPr>
          <w:spacing w:val="-2"/>
          <w:szCs w:val="24"/>
        </w:rPr>
        <w:t xml:space="preserve"> </w:t>
      </w:r>
      <w:r w:rsidRPr="00087B19">
        <w:rPr>
          <w:szCs w:val="24"/>
        </w:rPr>
        <w:t>data</w:t>
      </w:r>
      <w:r w:rsidRPr="00087B19">
        <w:rPr>
          <w:spacing w:val="2"/>
          <w:szCs w:val="24"/>
        </w:rPr>
        <w:t xml:space="preserve"> </w:t>
      </w:r>
      <w:r w:rsidRPr="00087B19">
        <w:rPr>
          <w:szCs w:val="24"/>
        </w:rPr>
        <w:t>compiled</w:t>
      </w:r>
      <w:r w:rsidRPr="00087B19">
        <w:rPr>
          <w:spacing w:val="22"/>
          <w:szCs w:val="24"/>
        </w:rPr>
        <w:t xml:space="preserve"> </w:t>
      </w:r>
      <w:r w:rsidRPr="00087B19">
        <w:rPr>
          <w:szCs w:val="24"/>
        </w:rPr>
        <w:t>from</w:t>
      </w:r>
      <w:r w:rsidRPr="00087B19">
        <w:rPr>
          <w:spacing w:val="11"/>
          <w:szCs w:val="24"/>
        </w:rPr>
        <w:t xml:space="preserve"> </w:t>
      </w:r>
      <w:r w:rsidRPr="00087B19">
        <w:rPr>
          <w:szCs w:val="24"/>
        </w:rPr>
        <w:t>PECOS and the Medicare Administrative Contractors (MACs).</w:t>
      </w:r>
      <w:r w:rsidRPr="00087B19">
        <w:rPr>
          <w:spacing w:val="21"/>
          <w:szCs w:val="24"/>
        </w:rPr>
        <w:t xml:space="preserve">  </w:t>
      </w:r>
      <w:r w:rsidRPr="00087B19">
        <w:rPr>
          <w:szCs w:val="24"/>
        </w:rPr>
        <w:t>The</w:t>
      </w:r>
      <w:r w:rsidRPr="00087B19">
        <w:rPr>
          <w:spacing w:val="2"/>
          <w:szCs w:val="24"/>
        </w:rPr>
        <w:t xml:space="preserve"> </w:t>
      </w:r>
      <w:r w:rsidRPr="00087B19">
        <w:rPr>
          <w:szCs w:val="24"/>
        </w:rPr>
        <w:t>new</w:t>
      </w:r>
      <w:r w:rsidRPr="00087B19">
        <w:rPr>
          <w:spacing w:val="1"/>
          <w:szCs w:val="24"/>
        </w:rPr>
        <w:t xml:space="preserve"> </w:t>
      </w:r>
      <w:r w:rsidRPr="00087B19">
        <w:rPr>
          <w:szCs w:val="24"/>
        </w:rPr>
        <w:t>estimates</w:t>
      </w:r>
      <w:r w:rsidRPr="00087B19">
        <w:rPr>
          <w:spacing w:val="18"/>
          <w:szCs w:val="24"/>
        </w:rPr>
        <w:t xml:space="preserve"> </w:t>
      </w:r>
      <w:r w:rsidRPr="00087B19">
        <w:rPr>
          <w:szCs w:val="24"/>
        </w:rPr>
        <w:t>for</w:t>
      </w:r>
      <w:r w:rsidRPr="00087B19">
        <w:rPr>
          <w:spacing w:val="1"/>
          <w:szCs w:val="24"/>
        </w:rPr>
        <w:t xml:space="preserve"> </w:t>
      </w:r>
      <w:r w:rsidRPr="00087B19">
        <w:rPr>
          <w:szCs w:val="24"/>
        </w:rPr>
        <w:t>completing</w:t>
      </w:r>
      <w:r w:rsidRPr="00087B19">
        <w:rPr>
          <w:spacing w:val="11"/>
          <w:szCs w:val="24"/>
        </w:rPr>
        <w:t xml:space="preserve"> </w:t>
      </w:r>
      <w:r w:rsidRPr="00087B19">
        <w:rPr>
          <w:szCs w:val="24"/>
        </w:rPr>
        <w:t>the</w:t>
      </w:r>
      <w:r w:rsidRPr="00087B19">
        <w:rPr>
          <w:spacing w:val="10"/>
          <w:szCs w:val="24"/>
        </w:rPr>
        <w:t xml:space="preserve"> </w:t>
      </w:r>
      <w:r w:rsidRPr="00087B19">
        <w:rPr>
          <w:szCs w:val="24"/>
        </w:rPr>
        <w:t>CMS-</w:t>
      </w:r>
      <w:r w:rsidRPr="00087B19" w:rsidR="00D439A9">
        <w:rPr>
          <w:szCs w:val="24"/>
        </w:rPr>
        <w:t>855B</w:t>
      </w:r>
      <w:r w:rsidRPr="00087B19">
        <w:rPr>
          <w:spacing w:val="16"/>
          <w:szCs w:val="24"/>
        </w:rPr>
        <w:t xml:space="preserve"> </w:t>
      </w:r>
      <w:r w:rsidRPr="00087B19">
        <w:rPr>
          <w:szCs w:val="24"/>
        </w:rPr>
        <w:t>Medicare</w:t>
      </w:r>
      <w:r w:rsidRPr="00087B19">
        <w:rPr>
          <w:spacing w:val="28"/>
          <w:szCs w:val="24"/>
        </w:rPr>
        <w:t xml:space="preserve"> </w:t>
      </w:r>
      <w:r w:rsidRPr="00087B19">
        <w:rPr>
          <w:szCs w:val="24"/>
        </w:rPr>
        <w:t>enrollment</w:t>
      </w:r>
      <w:r w:rsidRPr="00087B19">
        <w:rPr>
          <w:spacing w:val="18"/>
          <w:szCs w:val="24"/>
        </w:rPr>
        <w:t xml:space="preserve"> </w:t>
      </w:r>
      <w:r w:rsidRPr="00087B19">
        <w:rPr>
          <w:szCs w:val="24"/>
        </w:rPr>
        <w:t>application</w:t>
      </w:r>
      <w:r w:rsidRPr="00087B19">
        <w:rPr>
          <w:spacing w:val="16"/>
          <w:szCs w:val="24"/>
        </w:rPr>
        <w:t xml:space="preserve"> </w:t>
      </w:r>
      <w:r w:rsidRPr="00087B19">
        <w:rPr>
          <w:szCs w:val="24"/>
        </w:rPr>
        <w:t>form</w:t>
      </w:r>
      <w:r w:rsidRPr="00087B19">
        <w:rPr>
          <w:spacing w:val="6"/>
          <w:szCs w:val="24"/>
        </w:rPr>
        <w:t xml:space="preserve"> </w:t>
      </w:r>
      <w:r w:rsidRPr="00087B19">
        <w:rPr>
          <w:szCs w:val="24"/>
        </w:rPr>
        <w:t>for</w:t>
      </w:r>
      <w:r w:rsidRPr="00087B19">
        <w:rPr>
          <w:spacing w:val="7"/>
          <w:szCs w:val="24"/>
        </w:rPr>
        <w:t xml:space="preserve"> the s</w:t>
      </w:r>
      <w:r w:rsidRPr="00087B19" w:rsidR="00325838">
        <w:rPr>
          <w:spacing w:val="7"/>
          <w:szCs w:val="24"/>
        </w:rPr>
        <w:t>ix</w:t>
      </w:r>
      <w:r w:rsidRPr="00087B19">
        <w:rPr>
          <w:spacing w:val="7"/>
          <w:szCs w:val="24"/>
        </w:rPr>
        <w:t xml:space="preserve"> submission reasons shown in the burden tables (initial enrollment,</w:t>
      </w:r>
      <w:r w:rsidRPr="00087B19" w:rsidR="00325838">
        <w:rPr>
          <w:spacing w:val="7"/>
          <w:szCs w:val="24"/>
        </w:rPr>
        <w:t xml:space="preserve"> enrolling with another MAC,</w:t>
      </w:r>
      <w:r w:rsidRPr="00087B19">
        <w:rPr>
          <w:spacing w:val="7"/>
          <w:szCs w:val="24"/>
        </w:rPr>
        <w:t xml:space="preserve"> revalidation, reactivation, reporting a change of Medicare enrollment information, and voluntary termination of Medicare enrollment) </w:t>
      </w:r>
      <w:r w:rsidRPr="00087B19">
        <w:rPr>
          <w:szCs w:val="24"/>
        </w:rPr>
        <w:t>are</w:t>
      </w:r>
      <w:r w:rsidRPr="00087B19">
        <w:rPr>
          <w:spacing w:val="-2"/>
          <w:szCs w:val="24"/>
        </w:rPr>
        <w:t xml:space="preserve"> </w:t>
      </w:r>
      <w:r w:rsidRPr="00087B19">
        <w:rPr>
          <w:szCs w:val="24"/>
        </w:rPr>
        <w:t>taken</w:t>
      </w:r>
      <w:r w:rsidRPr="00087B19">
        <w:rPr>
          <w:spacing w:val="16"/>
          <w:szCs w:val="24"/>
        </w:rPr>
        <w:t xml:space="preserve"> </w:t>
      </w:r>
      <w:r w:rsidRPr="00087B19">
        <w:rPr>
          <w:szCs w:val="24"/>
        </w:rPr>
        <w:t>directly</w:t>
      </w:r>
      <w:r w:rsidRPr="00087B19">
        <w:rPr>
          <w:spacing w:val="13"/>
          <w:szCs w:val="24"/>
        </w:rPr>
        <w:t xml:space="preserve"> </w:t>
      </w:r>
      <w:r w:rsidRPr="00087B19">
        <w:rPr>
          <w:szCs w:val="24"/>
        </w:rPr>
        <w:t>from</w:t>
      </w:r>
      <w:r w:rsidRPr="00087B19">
        <w:rPr>
          <w:spacing w:val="1"/>
          <w:szCs w:val="24"/>
        </w:rPr>
        <w:t xml:space="preserve"> </w:t>
      </w:r>
      <w:r w:rsidRPr="00087B19">
        <w:rPr>
          <w:szCs w:val="24"/>
        </w:rPr>
        <w:t>the</w:t>
      </w:r>
      <w:r w:rsidRPr="00087B19">
        <w:rPr>
          <w:spacing w:val="16"/>
          <w:szCs w:val="24"/>
        </w:rPr>
        <w:t xml:space="preserve"> </w:t>
      </w:r>
      <w:r w:rsidRPr="00087B19">
        <w:rPr>
          <w:szCs w:val="24"/>
        </w:rPr>
        <w:t>actual</w:t>
      </w:r>
      <w:r w:rsidRPr="00087B19">
        <w:rPr>
          <w:spacing w:val="13"/>
          <w:szCs w:val="24"/>
        </w:rPr>
        <w:t xml:space="preserve"> </w:t>
      </w:r>
      <w:r w:rsidRPr="00087B19">
        <w:rPr>
          <w:szCs w:val="24"/>
        </w:rPr>
        <w:lastRenderedPageBreak/>
        <w:t>applications</w:t>
      </w:r>
      <w:r w:rsidRPr="00087B19">
        <w:rPr>
          <w:spacing w:val="15"/>
          <w:szCs w:val="24"/>
        </w:rPr>
        <w:t xml:space="preserve"> </w:t>
      </w:r>
      <w:r w:rsidRPr="00087B19">
        <w:rPr>
          <w:szCs w:val="24"/>
        </w:rPr>
        <w:t>processed</w:t>
      </w:r>
      <w:r w:rsidRPr="00087B19">
        <w:rPr>
          <w:spacing w:val="28"/>
          <w:szCs w:val="24"/>
        </w:rPr>
        <w:t xml:space="preserve"> </w:t>
      </w:r>
      <w:r w:rsidRPr="00087B19">
        <w:rPr>
          <w:szCs w:val="24"/>
        </w:rPr>
        <w:t>for</w:t>
      </w:r>
      <w:r w:rsidRPr="00087B19">
        <w:rPr>
          <w:spacing w:val="2"/>
          <w:szCs w:val="24"/>
        </w:rPr>
        <w:t xml:space="preserve"> </w:t>
      </w:r>
      <w:r w:rsidRPr="00087B19">
        <w:rPr>
          <w:szCs w:val="24"/>
        </w:rPr>
        <w:t>calendar year</w:t>
      </w:r>
      <w:r w:rsidR="00213983">
        <w:rPr>
          <w:szCs w:val="24"/>
        </w:rPr>
        <w:t xml:space="preserve"> 2018.</w:t>
      </w:r>
      <w:r w:rsidRPr="00087B19">
        <w:rPr>
          <w:szCs w:val="24"/>
        </w:rPr>
        <w:t xml:space="preserve">  The</w:t>
      </w:r>
      <w:r w:rsidRPr="00087B19">
        <w:rPr>
          <w:spacing w:val="2"/>
          <w:szCs w:val="24"/>
        </w:rPr>
        <w:t xml:space="preserve"> </w:t>
      </w:r>
      <w:r w:rsidRPr="00087B19">
        <w:rPr>
          <w:szCs w:val="24"/>
        </w:rPr>
        <w:t>new</w:t>
      </w:r>
      <w:r w:rsidRPr="00087B19">
        <w:rPr>
          <w:spacing w:val="15"/>
          <w:szCs w:val="24"/>
        </w:rPr>
        <w:t xml:space="preserve"> </w:t>
      </w:r>
      <w:r w:rsidRPr="00087B19">
        <w:rPr>
          <w:szCs w:val="24"/>
        </w:rPr>
        <w:t>figures of processed applications</w:t>
      </w:r>
      <w:r w:rsidRPr="00087B19">
        <w:rPr>
          <w:spacing w:val="15"/>
          <w:szCs w:val="24"/>
        </w:rPr>
        <w:t xml:space="preserve"> </w:t>
      </w:r>
      <w:r w:rsidRPr="00087B19">
        <w:rPr>
          <w:szCs w:val="24"/>
        </w:rPr>
        <w:t>are</w:t>
      </w:r>
      <w:r w:rsidRPr="00087B19">
        <w:rPr>
          <w:spacing w:val="5"/>
          <w:szCs w:val="24"/>
        </w:rPr>
        <w:t xml:space="preserve"> </w:t>
      </w:r>
      <w:r w:rsidRPr="00087B19">
        <w:rPr>
          <w:szCs w:val="24"/>
        </w:rPr>
        <w:t>exact</w:t>
      </w:r>
      <w:r w:rsidRPr="00087B19">
        <w:rPr>
          <w:spacing w:val="1"/>
          <w:szCs w:val="24"/>
        </w:rPr>
        <w:t xml:space="preserve"> </w:t>
      </w:r>
      <w:r w:rsidRPr="00087B19">
        <w:rPr>
          <w:szCs w:val="24"/>
        </w:rPr>
        <w:t>and</w:t>
      </w:r>
      <w:r w:rsidRPr="00087B19">
        <w:rPr>
          <w:spacing w:val="2"/>
          <w:szCs w:val="24"/>
        </w:rPr>
        <w:t xml:space="preserve"> </w:t>
      </w:r>
      <w:r w:rsidRPr="00087B19">
        <w:rPr>
          <w:szCs w:val="24"/>
        </w:rPr>
        <w:t>therefore</w:t>
      </w:r>
      <w:r w:rsidRPr="00087B19">
        <w:rPr>
          <w:spacing w:val="24"/>
          <w:szCs w:val="24"/>
        </w:rPr>
        <w:t xml:space="preserve"> </w:t>
      </w:r>
      <w:r w:rsidRPr="00087B19">
        <w:rPr>
          <w:szCs w:val="24"/>
        </w:rPr>
        <w:t>more</w:t>
      </w:r>
      <w:r w:rsidRPr="00087B19">
        <w:rPr>
          <w:spacing w:val="18"/>
          <w:szCs w:val="24"/>
        </w:rPr>
        <w:t xml:space="preserve"> </w:t>
      </w:r>
      <w:r w:rsidRPr="00087B19">
        <w:rPr>
          <w:szCs w:val="24"/>
        </w:rPr>
        <w:t>accurate</w:t>
      </w:r>
      <w:r w:rsidRPr="00087B19">
        <w:rPr>
          <w:spacing w:val="7"/>
          <w:szCs w:val="24"/>
        </w:rPr>
        <w:t xml:space="preserve"> </w:t>
      </w:r>
      <w:r w:rsidRPr="00087B19">
        <w:rPr>
          <w:szCs w:val="24"/>
        </w:rPr>
        <w:t>than</w:t>
      </w:r>
      <w:r w:rsidRPr="00087B19">
        <w:rPr>
          <w:spacing w:val="9"/>
          <w:szCs w:val="24"/>
        </w:rPr>
        <w:t xml:space="preserve"> </w:t>
      </w:r>
      <w:r w:rsidRPr="00087B19">
        <w:rPr>
          <w:szCs w:val="24"/>
        </w:rPr>
        <w:t>the</w:t>
      </w:r>
      <w:r w:rsidRPr="00087B19">
        <w:rPr>
          <w:spacing w:val="6"/>
          <w:szCs w:val="24"/>
        </w:rPr>
        <w:t xml:space="preserve"> </w:t>
      </w:r>
      <w:r w:rsidRPr="00087B19">
        <w:rPr>
          <w:szCs w:val="24"/>
        </w:rPr>
        <w:t>prior</w:t>
      </w:r>
      <w:r w:rsidRPr="00087B19">
        <w:rPr>
          <w:spacing w:val="19"/>
          <w:szCs w:val="24"/>
        </w:rPr>
        <w:t xml:space="preserve"> </w:t>
      </w:r>
      <w:r w:rsidRPr="00087B19">
        <w:rPr>
          <w:szCs w:val="24"/>
        </w:rPr>
        <w:t xml:space="preserve">estimates.  </w:t>
      </w:r>
    </w:p>
    <w:p w:rsidR="004F68E5" w:rsidP="00A02D17" w:rsidRDefault="004F68E5" w14:paraId="4EDE0357" w14:textId="77777777"/>
    <w:p w:rsidR="004F68E5" w:rsidP="00A02D17" w:rsidRDefault="004F68E5" w14:paraId="50354F4B" w14:textId="6F41856F">
      <w:r>
        <w:t>PFS (CMS-1734-P)</w:t>
      </w:r>
    </w:p>
    <w:p w:rsidR="004F68E5" w:rsidP="00A02D17" w:rsidRDefault="004F68E5" w14:paraId="3FA8E687" w14:textId="4DA09A31"/>
    <w:p w:rsidR="004F68E5" w:rsidP="00A02D17" w:rsidRDefault="004F68E5" w14:paraId="254818C7" w14:textId="340DA585">
      <w:r>
        <w:t xml:space="preserve">CMS </w:t>
      </w:r>
      <w:r w:rsidR="00F15D91">
        <w:t xml:space="preserve">would </w:t>
      </w:r>
      <w:r>
        <w:t xml:space="preserve">add 10 suppliers to the initial enroll count to accommodate the proposals to modify </w:t>
      </w:r>
      <w:r w:rsidRPr="00DB233C">
        <w:t>§ 424.67 to</w:t>
      </w:r>
      <w:r>
        <w:t xml:space="preserve"> allow Opioid Treatment Programs enroll with either the CMS-855B.</w:t>
      </w:r>
    </w:p>
    <w:p w:rsidRPr="00087B19" w:rsidR="004B3703" w:rsidP="00A02D17" w:rsidRDefault="004B3703" w14:paraId="1B40B575" w14:textId="54390702">
      <w:pPr>
        <w:widowControl/>
        <w:tabs>
          <w:tab w:val="left" w:pos="1898"/>
        </w:tabs>
        <w:kinsoku w:val="0"/>
        <w:overflowPunct w:val="0"/>
        <w:autoSpaceDE w:val="0"/>
        <w:autoSpaceDN w:val="0"/>
        <w:adjustRightInd w:val="0"/>
        <w:ind w:right="292"/>
      </w:pPr>
    </w:p>
    <w:p w:rsidRPr="002F44B7" w:rsidR="008F20AF" w:rsidP="00A02D17" w:rsidRDefault="008F20AF" w14:paraId="32FC0168" w14:textId="488C0E9D">
      <w:pPr>
        <w:rPr>
          <w:b/>
          <w:u w:val="single"/>
        </w:rPr>
      </w:pPr>
      <w:r w:rsidRPr="002F44B7">
        <w:rPr>
          <w:b/>
          <w:u w:val="single"/>
        </w:rPr>
        <w:t>Table 1 – Total Number of CMS-855Bs Processed per Year by Reason for Submittal</w:t>
      </w:r>
      <w:r w:rsidRPr="002F44B7" w:rsidR="00213983">
        <w:rPr>
          <w:b/>
          <w:u w:val="single"/>
        </w:rPr>
        <w:t xml:space="preserve"> (2018)</w:t>
      </w:r>
    </w:p>
    <w:p w:rsidRPr="002F44B7" w:rsidR="008F20AF" w:rsidP="00A02D17" w:rsidRDefault="008F20AF" w14:paraId="08CEC50E" w14:textId="77777777">
      <w:pPr>
        <w:rPr>
          <w:b/>
          <w:u w:val="single"/>
        </w:rPr>
      </w:pPr>
    </w:p>
    <w:tbl>
      <w:tblPr>
        <w:tblStyle w:val="TableGrid"/>
        <w:tblW w:w="10795" w:type="dxa"/>
        <w:tblLook w:val="04A0" w:firstRow="1" w:lastRow="0" w:firstColumn="1" w:lastColumn="0" w:noHBand="0" w:noVBand="1"/>
      </w:tblPr>
      <w:tblGrid>
        <w:gridCol w:w="4855"/>
        <w:gridCol w:w="5940"/>
      </w:tblGrid>
      <w:tr w:rsidRPr="002F44B7" w:rsidR="008F20AF" w:rsidTr="00475A5A" w14:paraId="6004CE39" w14:textId="77777777">
        <w:tc>
          <w:tcPr>
            <w:tcW w:w="4855" w:type="dxa"/>
          </w:tcPr>
          <w:p w:rsidRPr="002F44B7" w:rsidR="008F20AF" w:rsidP="00A02D17" w:rsidRDefault="008F20AF" w14:paraId="7F6A6E7E" w14:textId="77777777">
            <w:pPr>
              <w:rPr>
                <w:b/>
              </w:rPr>
            </w:pPr>
            <w:r w:rsidRPr="002F44B7">
              <w:rPr>
                <w:b/>
              </w:rPr>
              <w:t xml:space="preserve">Reason for Submittal </w:t>
            </w:r>
          </w:p>
        </w:tc>
        <w:tc>
          <w:tcPr>
            <w:tcW w:w="5940" w:type="dxa"/>
          </w:tcPr>
          <w:p w:rsidRPr="002F44B7" w:rsidR="008F20AF" w:rsidP="00A02D17" w:rsidRDefault="008F20AF" w14:paraId="311DD1C2" w14:textId="0886EDC8">
            <w:pPr>
              <w:rPr>
                <w:b/>
              </w:rPr>
            </w:pPr>
            <w:r w:rsidRPr="002F44B7">
              <w:rPr>
                <w:b/>
              </w:rPr>
              <w:t xml:space="preserve">Total Number of CMS-855Bs Processed per year </w:t>
            </w:r>
            <w:r w:rsidRPr="002F44B7" w:rsidR="00213983">
              <w:rPr>
                <w:b/>
              </w:rPr>
              <w:t>(2018)</w:t>
            </w:r>
            <w:r w:rsidRPr="002F44B7">
              <w:rPr>
                <w:b/>
              </w:rPr>
              <w:t xml:space="preserve"> </w:t>
            </w:r>
          </w:p>
        </w:tc>
      </w:tr>
      <w:tr w:rsidRPr="002F44B7" w:rsidR="008F20AF" w:rsidTr="00475A5A" w14:paraId="01B1642D" w14:textId="77777777">
        <w:tc>
          <w:tcPr>
            <w:tcW w:w="4855" w:type="dxa"/>
          </w:tcPr>
          <w:p w:rsidRPr="002F44B7" w:rsidR="008F20AF" w:rsidP="00A02D17" w:rsidRDefault="008F20AF" w14:paraId="33685D3D" w14:textId="77777777">
            <w:r w:rsidRPr="002F44B7">
              <w:t>Initial Enrollment</w:t>
            </w:r>
          </w:p>
        </w:tc>
        <w:tc>
          <w:tcPr>
            <w:tcW w:w="5940" w:type="dxa"/>
            <w:vAlign w:val="center"/>
          </w:tcPr>
          <w:p w:rsidRPr="002F44B7" w:rsidR="008F20AF" w:rsidP="00A02D17" w:rsidRDefault="008F20AF" w14:paraId="45CDC2A7" w14:textId="5FA9A49E">
            <w:r w:rsidRPr="002F44B7">
              <w:t>15,187</w:t>
            </w:r>
            <w:r w:rsidRPr="002F44B7" w:rsidR="00B73960">
              <w:t xml:space="preserve"> + 1,900 = 17,</w:t>
            </w:r>
            <w:r w:rsidRPr="002F44B7" w:rsidR="004F68E5">
              <w:t>797</w:t>
            </w:r>
          </w:p>
        </w:tc>
      </w:tr>
      <w:tr w:rsidRPr="002F44B7" w:rsidR="008F20AF" w:rsidTr="00475A5A" w14:paraId="47F4114D" w14:textId="77777777">
        <w:tc>
          <w:tcPr>
            <w:tcW w:w="4855" w:type="dxa"/>
          </w:tcPr>
          <w:p w:rsidRPr="002F44B7" w:rsidR="008F20AF" w:rsidP="00A02D17" w:rsidRDefault="008F20AF" w14:paraId="0D5CCE38" w14:textId="77777777">
            <w:r w:rsidRPr="002F44B7">
              <w:t>Enrolling with Another MAC</w:t>
            </w:r>
          </w:p>
        </w:tc>
        <w:tc>
          <w:tcPr>
            <w:tcW w:w="5940" w:type="dxa"/>
            <w:vAlign w:val="center"/>
          </w:tcPr>
          <w:p w:rsidRPr="002F44B7" w:rsidR="008F20AF" w:rsidP="00A02D17" w:rsidRDefault="008F20AF" w14:paraId="3C5FF2D8" w14:textId="77777777">
            <w:r w:rsidRPr="002F44B7">
              <w:t>37</w:t>
            </w:r>
          </w:p>
        </w:tc>
      </w:tr>
      <w:tr w:rsidRPr="002F44B7" w:rsidR="008F20AF" w:rsidTr="00475A5A" w14:paraId="07318145" w14:textId="77777777">
        <w:tc>
          <w:tcPr>
            <w:tcW w:w="4855" w:type="dxa"/>
          </w:tcPr>
          <w:p w:rsidRPr="002F44B7" w:rsidR="008F20AF" w:rsidP="00A02D17" w:rsidRDefault="008F20AF" w14:paraId="79487FBA" w14:textId="77777777">
            <w:r w:rsidRPr="002F44B7">
              <w:t>Revalidation</w:t>
            </w:r>
          </w:p>
        </w:tc>
        <w:tc>
          <w:tcPr>
            <w:tcW w:w="5940" w:type="dxa"/>
            <w:vAlign w:val="center"/>
          </w:tcPr>
          <w:p w:rsidRPr="002F44B7" w:rsidR="008F20AF" w:rsidP="00A02D17" w:rsidRDefault="008F20AF" w14:paraId="6D58EAB8" w14:textId="77777777">
            <w:r w:rsidRPr="002F44B7">
              <w:t>31,211</w:t>
            </w:r>
          </w:p>
        </w:tc>
      </w:tr>
      <w:tr w:rsidRPr="002F44B7" w:rsidR="008F20AF" w:rsidTr="00475A5A" w14:paraId="270E3932" w14:textId="77777777">
        <w:tc>
          <w:tcPr>
            <w:tcW w:w="4855" w:type="dxa"/>
          </w:tcPr>
          <w:p w:rsidRPr="002F44B7" w:rsidR="008F20AF" w:rsidP="00A02D17" w:rsidRDefault="008F20AF" w14:paraId="1138E140" w14:textId="77777777">
            <w:r w:rsidRPr="002F44B7">
              <w:t>Reactivation</w:t>
            </w:r>
          </w:p>
        </w:tc>
        <w:tc>
          <w:tcPr>
            <w:tcW w:w="5940" w:type="dxa"/>
            <w:vAlign w:val="center"/>
          </w:tcPr>
          <w:p w:rsidRPr="002F44B7" w:rsidR="008F20AF" w:rsidP="00A02D17" w:rsidRDefault="008F20AF" w14:paraId="4E261C08" w14:textId="77777777">
            <w:r w:rsidRPr="002F44B7">
              <w:t>1,316</w:t>
            </w:r>
          </w:p>
        </w:tc>
      </w:tr>
      <w:tr w:rsidRPr="002F44B7" w:rsidR="008F20AF" w:rsidTr="00475A5A" w14:paraId="0300708D" w14:textId="77777777">
        <w:tc>
          <w:tcPr>
            <w:tcW w:w="4855" w:type="dxa"/>
          </w:tcPr>
          <w:p w:rsidRPr="002F44B7" w:rsidR="008F20AF" w:rsidP="00A02D17" w:rsidRDefault="008F20AF" w14:paraId="67B50848" w14:textId="77777777">
            <w:r w:rsidRPr="002F44B7">
              <w:t>Reporting a Change of Medicare Enrollment Information</w:t>
            </w:r>
          </w:p>
        </w:tc>
        <w:tc>
          <w:tcPr>
            <w:tcW w:w="5940" w:type="dxa"/>
            <w:vAlign w:val="center"/>
          </w:tcPr>
          <w:p w:rsidRPr="002F44B7" w:rsidR="008F20AF" w:rsidP="00A02D17" w:rsidRDefault="008F20AF" w14:paraId="270B992F" w14:textId="77777777">
            <w:r w:rsidRPr="002F44B7">
              <w:t>55,650</w:t>
            </w:r>
          </w:p>
        </w:tc>
      </w:tr>
      <w:tr w:rsidRPr="002F44B7" w:rsidR="008F20AF" w:rsidTr="00475A5A" w14:paraId="1C095AD5" w14:textId="77777777">
        <w:tc>
          <w:tcPr>
            <w:tcW w:w="4855" w:type="dxa"/>
          </w:tcPr>
          <w:p w:rsidRPr="002F44B7" w:rsidR="008F20AF" w:rsidP="00A02D17" w:rsidRDefault="008F20AF" w14:paraId="42EA87D8" w14:textId="77777777">
            <w:r w:rsidRPr="002F44B7">
              <w:lastRenderedPageBreak/>
              <w:t>Voluntary Termination of Medicare Enrollment</w:t>
            </w:r>
          </w:p>
        </w:tc>
        <w:tc>
          <w:tcPr>
            <w:tcW w:w="5940" w:type="dxa"/>
            <w:vAlign w:val="center"/>
          </w:tcPr>
          <w:p w:rsidRPr="002F44B7" w:rsidR="008F20AF" w:rsidP="00A02D17" w:rsidRDefault="008F20AF" w14:paraId="3A6A5345" w14:textId="77777777">
            <w:r w:rsidRPr="002F44B7">
              <w:t>3,931</w:t>
            </w:r>
          </w:p>
        </w:tc>
      </w:tr>
      <w:tr w:rsidRPr="002F44B7" w:rsidR="008F20AF" w:rsidTr="00475A5A" w14:paraId="03E16B0B" w14:textId="77777777">
        <w:tc>
          <w:tcPr>
            <w:tcW w:w="4855" w:type="dxa"/>
          </w:tcPr>
          <w:p w:rsidRPr="002F44B7" w:rsidR="008F20AF" w:rsidP="00A02D17" w:rsidRDefault="008F20AF" w14:paraId="2DEE4BE9" w14:textId="77777777">
            <w:pPr>
              <w:rPr>
                <w:b/>
              </w:rPr>
            </w:pPr>
            <w:r w:rsidRPr="002F44B7">
              <w:rPr>
                <w:b/>
                <w:u w:val="single"/>
              </w:rPr>
              <w:t>GRAND TOTAL</w:t>
            </w:r>
            <w:r w:rsidRPr="002F44B7">
              <w:rPr>
                <w:b/>
              </w:rPr>
              <w:t xml:space="preserve"> (Total Processed CMS-855Bs for All Reasons for Submission)</w:t>
            </w:r>
          </w:p>
        </w:tc>
        <w:tc>
          <w:tcPr>
            <w:tcW w:w="5940" w:type="dxa"/>
            <w:vAlign w:val="center"/>
          </w:tcPr>
          <w:p w:rsidRPr="002F44B7" w:rsidR="008F20AF" w:rsidP="00A02D17" w:rsidRDefault="008F20AF" w14:paraId="29E2FBC5" w14:textId="0A1D30BF">
            <w:pPr>
              <w:rPr>
                <w:b/>
              </w:rPr>
            </w:pPr>
            <w:r w:rsidRPr="002F44B7">
              <w:rPr>
                <w:b/>
              </w:rPr>
              <w:t>10</w:t>
            </w:r>
            <w:r w:rsidRPr="002F44B7" w:rsidR="00B73960">
              <w:rPr>
                <w:b/>
              </w:rPr>
              <w:t>9</w:t>
            </w:r>
            <w:r w:rsidRPr="002F44B7">
              <w:rPr>
                <w:b/>
              </w:rPr>
              <w:t>,</w:t>
            </w:r>
            <w:r w:rsidRPr="002F44B7" w:rsidR="004F68E5">
              <w:rPr>
                <w:b/>
              </w:rPr>
              <w:t>942</w:t>
            </w:r>
          </w:p>
        </w:tc>
      </w:tr>
    </w:tbl>
    <w:p w:rsidRPr="002F44B7" w:rsidR="00AC474D" w:rsidP="00A02D17" w:rsidRDefault="00AC474D" w14:paraId="4B647305" w14:textId="1C22DFE0">
      <w:pPr>
        <w:widowControl/>
        <w:rPr>
          <w:rFonts w:eastAsiaTheme="minorHAnsi"/>
          <w:b/>
          <w:snapToGrid/>
          <w:szCs w:val="24"/>
          <w:u w:val="single"/>
        </w:rPr>
      </w:pPr>
    </w:p>
    <w:tbl>
      <w:tblPr>
        <w:tblStyle w:val="TableGrid11"/>
        <w:tblpPr w:leftFromText="187" w:rightFromText="187" w:vertAnchor="page" w:horzAnchor="margin" w:tblpY="2251"/>
        <w:tblW w:w="10075" w:type="dxa"/>
        <w:tblLayout w:type="fixed"/>
        <w:tblLook w:val="04A0" w:firstRow="1" w:lastRow="0" w:firstColumn="1" w:lastColumn="0" w:noHBand="0" w:noVBand="1"/>
      </w:tblPr>
      <w:tblGrid>
        <w:gridCol w:w="1435"/>
        <w:gridCol w:w="1246"/>
        <w:gridCol w:w="1634"/>
        <w:gridCol w:w="1350"/>
        <w:gridCol w:w="1440"/>
        <w:gridCol w:w="1530"/>
        <w:gridCol w:w="1440"/>
      </w:tblGrid>
      <w:tr w:rsidRPr="002F44B7" w:rsidR="00AC474D" w:rsidTr="00AC474D" w14:paraId="274332BA" w14:textId="77777777">
        <w:trPr>
          <w:trHeight w:val="2240"/>
          <w:tblHeader/>
        </w:trPr>
        <w:tc>
          <w:tcPr>
            <w:tcW w:w="1435" w:type="dxa"/>
          </w:tcPr>
          <w:p w:rsidRPr="002F44B7" w:rsidR="00AC474D" w:rsidP="00A02D17" w:rsidRDefault="00AC474D" w14:paraId="2563EF39" w14:textId="77777777">
            <w:pPr>
              <w:widowControl/>
              <w:rPr>
                <w:rFonts w:eastAsiaTheme="minorHAnsi"/>
                <w:b/>
                <w:sz w:val="22"/>
                <w:szCs w:val="22"/>
              </w:rPr>
            </w:pPr>
            <w:r w:rsidRPr="002F44B7">
              <w:rPr>
                <w:rFonts w:eastAsiaTheme="minorHAnsi"/>
                <w:b/>
                <w:sz w:val="22"/>
                <w:szCs w:val="22"/>
              </w:rPr>
              <w:t>Reason for Submittal</w:t>
            </w:r>
          </w:p>
        </w:tc>
        <w:tc>
          <w:tcPr>
            <w:tcW w:w="1246" w:type="dxa"/>
          </w:tcPr>
          <w:p w:rsidRPr="002F44B7" w:rsidR="00AC474D" w:rsidP="00A02D17" w:rsidRDefault="00AC474D" w14:paraId="05DD3693" w14:textId="77777777">
            <w:pPr>
              <w:widowControl/>
              <w:rPr>
                <w:rFonts w:eastAsiaTheme="minorHAnsi"/>
                <w:b/>
                <w:sz w:val="22"/>
                <w:szCs w:val="22"/>
              </w:rPr>
            </w:pPr>
            <w:r w:rsidRPr="002F44B7">
              <w:rPr>
                <w:rFonts w:eastAsiaTheme="minorHAnsi"/>
                <w:b/>
                <w:sz w:val="22"/>
                <w:szCs w:val="22"/>
              </w:rPr>
              <w:t>Hours for Completion by Medical Secretaries per CMS-855B</w:t>
            </w:r>
          </w:p>
        </w:tc>
        <w:tc>
          <w:tcPr>
            <w:tcW w:w="1634" w:type="dxa"/>
          </w:tcPr>
          <w:p w:rsidRPr="002F44B7" w:rsidR="00AC474D" w:rsidP="00A02D17" w:rsidRDefault="00AC474D" w14:paraId="12836937" w14:textId="77777777">
            <w:pPr>
              <w:rPr>
                <w:rFonts w:eastAsiaTheme="minorHAnsi"/>
                <w:b/>
                <w:sz w:val="22"/>
                <w:szCs w:val="22"/>
              </w:rPr>
            </w:pPr>
            <w:r w:rsidRPr="002F44B7">
              <w:rPr>
                <w:rFonts w:eastAsiaTheme="minorHAnsi"/>
                <w:b/>
                <w:sz w:val="22"/>
                <w:szCs w:val="22"/>
              </w:rPr>
              <w:t xml:space="preserve">Hours for a </w:t>
            </w:r>
            <w:r w:rsidRPr="002F44B7">
              <w:rPr>
                <w:b/>
                <w:sz w:val="22"/>
                <w:szCs w:val="22"/>
              </w:rPr>
              <w:t xml:space="preserve"> Health Diagnosing and Treating Practitioner </w:t>
            </w:r>
            <w:r w:rsidRPr="002F44B7">
              <w:rPr>
                <w:rFonts w:eastAsiaTheme="minorHAnsi"/>
                <w:b/>
                <w:sz w:val="22"/>
                <w:szCs w:val="22"/>
              </w:rPr>
              <w:t xml:space="preserve">to Review and Sign CMS-855B </w:t>
            </w:r>
          </w:p>
        </w:tc>
        <w:tc>
          <w:tcPr>
            <w:tcW w:w="1350" w:type="dxa"/>
          </w:tcPr>
          <w:p w:rsidRPr="002F44B7" w:rsidR="00AC474D" w:rsidP="00A02D17" w:rsidRDefault="00AC474D" w14:paraId="56682537" w14:textId="77777777">
            <w:pPr>
              <w:widowControl/>
              <w:rPr>
                <w:rFonts w:eastAsiaTheme="minorHAnsi"/>
                <w:b/>
                <w:sz w:val="22"/>
                <w:szCs w:val="22"/>
              </w:rPr>
            </w:pPr>
            <w:r w:rsidRPr="002F44B7">
              <w:rPr>
                <w:rFonts w:eastAsiaTheme="minorHAnsi"/>
                <w:b/>
                <w:sz w:val="22"/>
                <w:szCs w:val="22"/>
              </w:rPr>
              <w:t>Total Hours for Completion per CMS-855B</w:t>
            </w:r>
          </w:p>
        </w:tc>
        <w:tc>
          <w:tcPr>
            <w:tcW w:w="1440" w:type="dxa"/>
          </w:tcPr>
          <w:p w:rsidRPr="002F44B7" w:rsidR="00AC474D" w:rsidP="00A02D17" w:rsidRDefault="00AC474D" w14:paraId="74689EB2" w14:textId="77777777">
            <w:pPr>
              <w:widowControl/>
              <w:rPr>
                <w:rFonts w:eastAsiaTheme="minorHAnsi"/>
                <w:b/>
                <w:sz w:val="22"/>
                <w:szCs w:val="22"/>
              </w:rPr>
            </w:pPr>
            <w:r w:rsidRPr="002F44B7">
              <w:rPr>
                <w:rFonts w:eastAsiaTheme="minorHAnsi"/>
                <w:b/>
                <w:sz w:val="22"/>
                <w:szCs w:val="22"/>
              </w:rPr>
              <w:t>Cost for Completion by Medical Secretaries per CMS-855B</w:t>
            </w:r>
          </w:p>
        </w:tc>
        <w:tc>
          <w:tcPr>
            <w:tcW w:w="1530" w:type="dxa"/>
          </w:tcPr>
          <w:p w:rsidRPr="002F44B7" w:rsidR="00AC474D" w:rsidP="00A02D17" w:rsidRDefault="00AC474D" w14:paraId="6C9D0C32" w14:textId="77777777">
            <w:pPr>
              <w:widowControl/>
              <w:rPr>
                <w:rFonts w:eastAsiaTheme="minorHAnsi"/>
                <w:b/>
                <w:sz w:val="22"/>
                <w:szCs w:val="22"/>
              </w:rPr>
            </w:pPr>
            <w:r w:rsidRPr="002F44B7">
              <w:rPr>
                <w:rFonts w:eastAsiaTheme="minorHAnsi"/>
                <w:b/>
                <w:sz w:val="22"/>
                <w:szCs w:val="22"/>
              </w:rPr>
              <w:t xml:space="preserve">Cost for Review and Signature by a </w:t>
            </w:r>
            <w:r w:rsidRPr="002F44B7">
              <w:rPr>
                <w:b/>
                <w:sz w:val="22"/>
                <w:szCs w:val="22"/>
              </w:rPr>
              <w:t xml:space="preserve"> Health Diagnosing and Treating Practitioner </w:t>
            </w:r>
            <w:r w:rsidRPr="002F44B7">
              <w:rPr>
                <w:rFonts w:eastAsiaTheme="minorHAnsi"/>
                <w:b/>
                <w:sz w:val="22"/>
                <w:szCs w:val="22"/>
              </w:rPr>
              <w:t>per CMS-855B</w:t>
            </w:r>
          </w:p>
        </w:tc>
        <w:tc>
          <w:tcPr>
            <w:tcW w:w="1440" w:type="dxa"/>
          </w:tcPr>
          <w:p w:rsidRPr="002F44B7" w:rsidR="00AC474D" w:rsidP="00A02D17" w:rsidRDefault="00AC474D" w14:paraId="5FE9CBFB" w14:textId="77777777">
            <w:pPr>
              <w:widowControl/>
              <w:rPr>
                <w:rFonts w:eastAsiaTheme="minorHAnsi"/>
                <w:b/>
                <w:sz w:val="22"/>
                <w:szCs w:val="22"/>
              </w:rPr>
            </w:pPr>
            <w:r w:rsidRPr="002F44B7">
              <w:rPr>
                <w:rFonts w:eastAsiaTheme="minorHAnsi"/>
                <w:b/>
                <w:sz w:val="22"/>
                <w:szCs w:val="22"/>
              </w:rPr>
              <w:t>Total Cost of Completion per CMS-855B</w:t>
            </w:r>
          </w:p>
        </w:tc>
      </w:tr>
      <w:tr w:rsidRPr="002F44B7" w:rsidR="00AC474D" w:rsidTr="00AC474D" w14:paraId="27034F18" w14:textId="77777777">
        <w:tc>
          <w:tcPr>
            <w:tcW w:w="1435" w:type="dxa"/>
          </w:tcPr>
          <w:p w:rsidRPr="002F44B7" w:rsidR="00AC474D" w:rsidP="00A02D17" w:rsidRDefault="00AC474D" w14:paraId="57FDDB8A" w14:textId="77777777">
            <w:pPr>
              <w:widowControl/>
              <w:rPr>
                <w:rFonts w:eastAsiaTheme="minorHAnsi"/>
                <w:sz w:val="22"/>
                <w:szCs w:val="22"/>
              </w:rPr>
            </w:pPr>
            <w:r w:rsidRPr="002F44B7">
              <w:rPr>
                <w:rFonts w:eastAsiaTheme="minorHAnsi"/>
                <w:sz w:val="22"/>
                <w:szCs w:val="22"/>
              </w:rPr>
              <w:t>Initial Enrollment</w:t>
            </w:r>
          </w:p>
        </w:tc>
        <w:tc>
          <w:tcPr>
            <w:tcW w:w="1246" w:type="dxa"/>
            <w:vAlign w:val="center"/>
          </w:tcPr>
          <w:p w:rsidRPr="002F44B7" w:rsidR="00AC474D" w:rsidP="00A02D17" w:rsidRDefault="00AC474D" w14:paraId="40DC3265" w14:textId="77777777">
            <w:pPr>
              <w:widowControl/>
              <w:jc w:val="center"/>
              <w:rPr>
                <w:rFonts w:eastAsiaTheme="minorHAnsi"/>
                <w:sz w:val="22"/>
                <w:szCs w:val="22"/>
              </w:rPr>
            </w:pPr>
            <w:r w:rsidRPr="002F44B7">
              <w:rPr>
                <w:rFonts w:eastAsiaTheme="minorHAnsi"/>
                <w:sz w:val="22"/>
                <w:szCs w:val="22"/>
              </w:rPr>
              <w:t>2.5</w:t>
            </w:r>
          </w:p>
        </w:tc>
        <w:tc>
          <w:tcPr>
            <w:tcW w:w="1634" w:type="dxa"/>
            <w:vAlign w:val="center"/>
          </w:tcPr>
          <w:p w:rsidRPr="002F44B7" w:rsidR="00AC474D" w:rsidP="00A02D17" w:rsidRDefault="00AC474D" w14:paraId="5A8630CB" w14:textId="77777777">
            <w:pPr>
              <w:widowControl/>
              <w:jc w:val="center"/>
              <w:rPr>
                <w:rFonts w:eastAsiaTheme="minorHAnsi"/>
                <w:sz w:val="22"/>
                <w:szCs w:val="22"/>
              </w:rPr>
            </w:pPr>
            <w:r w:rsidRPr="002F44B7">
              <w:rPr>
                <w:rFonts w:eastAsiaTheme="minorHAnsi"/>
                <w:sz w:val="22"/>
                <w:szCs w:val="22"/>
              </w:rPr>
              <w:t>0.5</w:t>
            </w:r>
          </w:p>
        </w:tc>
        <w:tc>
          <w:tcPr>
            <w:tcW w:w="1350" w:type="dxa"/>
            <w:vAlign w:val="center"/>
          </w:tcPr>
          <w:p w:rsidRPr="002F44B7" w:rsidR="00AC474D" w:rsidP="00A02D17" w:rsidRDefault="00AC474D" w14:paraId="690ACF5C" w14:textId="77777777">
            <w:pPr>
              <w:widowControl/>
              <w:jc w:val="center"/>
              <w:rPr>
                <w:rFonts w:eastAsiaTheme="minorHAnsi"/>
                <w:sz w:val="22"/>
                <w:szCs w:val="22"/>
              </w:rPr>
            </w:pPr>
            <w:r w:rsidRPr="002F44B7">
              <w:rPr>
                <w:rFonts w:eastAsiaTheme="minorHAnsi"/>
                <w:sz w:val="22"/>
                <w:szCs w:val="22"/>
              </w:rPr>
              <w:t>3</w:t>
            </w:r>
          </w:p>
        </w:tc>
        <w:tc>
          <w:tcPr>
            <w:tcW w:w="1440" w:type="dxa"/>
            <w:vAlign w:val="center"/>
          </w:tcPr>
          <w:p w:rsidRPr="002F44B7" w:rsidR="00AC474D" w:rsidP="00A02D17" w:rsidRDefault="00AC474D" w14:paraId="5EC1E0AD" w14:textId="6456E97A">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109.86</w:t>
            </w:r>
          </w:p>
        </w:tc>
        <w:tc>
          <w:tcPr>
            <w:tcW w:w="1530" w:type="dxa"/>
            <w:vAlign w:val="center"/>
          </w:tcPr>
          <w:p w:rsidRPr="002F44B7" w:rsidR="00AC474D" w:rsidP="00A02D17" w:rsidRDefault="00AC474D" w14:paraId="4ED52809" w14:textId="7547D984">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295.56</w:t>
            </w:r>
          </w:p>
        </w:tc>
        <w:tc>
          <w:tcPr>
            <w:tcW w:w="1440" w:type="dxa"/>
            <w:vAlign w:val="center"/>
          </w:tcPr>
          <w:p w:rsidRPr="002F44B7" w:rsidR="00AC474D" w:rsidP="00A02D17" w:rsidRDefault="00AC474D" w14:paraId="626DBD48" w14:textId="607081E1">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405.42</w:t>
            </w:r>
          </w:p>
        </w:tc>
      </w:tr>
      <w:tr w:rsidRPr="002F44B7" w:rsidR="00AC474D" w:rsidTr="00AC474D" w14:paraId="1331CB57" w14:textId="77777777">
        <w:tc>
          <w:tcPr>
            <w:tcW w:w="1435" w:type="dxa"/>
          </w:tcPr>
          <w:p w:rsidRPr="002F44B7" w:rsidR="00AC474D" w:rsidP="00A02D17" w:rsidRDefault="00AC474D" w14:paraId="44FE20B0" w14:textId="77777777">
            <w:pPr>
              <w:widowControl/>
              <w:rPr>
                <w:rFonts w:eastAsiaTheme="minorHAnsi"/>
                <w:sz w:val="22"/>
                <w:szCs w:val="22"/>
              </w:rPr>
            </w:pPr>
            <w:r w:rsidRPr="002F44B7">
              <w:rPr>
                <w:rFonts w:eastAsiaTheme="minorHAnsi"/>
                <w:sz w:val="22"/>
                <w:szCs w:val="22"/>
              </w:rPr>
              <w:t>Enrolling with Another MAC</w:t>
            </w:r>
          </w:p>
        </w:tc>
        <w:tc>
          <w:tcPr>
            <w:tcW w:w="1246" w:type="dxa"/>
            <w:vAlign w:val="center"/>
          </w:tcPr>
          <w:p w:rsidRPr="002F44B7" w:rsidR="00AC474D" w:rsidP="00A02D17" w:rsidRDefault="00AC474D" w14:paraId="6438D906" w14:textId="77777777">
            <w:pPr>
              <w:widowControl/>
              <w:jc w:val="center"/>
              <w:rPr>
                <w:rFonts w:eastAsiaTheme="minorHAnsi"/>
                <w:sz w:val="22"/>
                <w:szCs w:val="22"/>
              </w:rPr>
            </w:pPr>
            <w:r w:rsidRPr="002F44B7">
              <w:rPr>
                <w:rFonts w:eastAsiaTheme="minorHAnsi"/>
                <w:sz w:val="22"/>
                <w:szCs w:val="22"/>
              </w:rPr>
              <w:t>1.5</w:t>
            </w:r>
          </w:p>
        </w:tc>
        <w:tc>
          <w:tcPr>
            <w:tcW w:w="1634" w:type="dxa"/>
            <w:vAlign w:val="center"/>
          </w:tcPr>
          <w:p w:rsidRPr="002F44B7" w:rsidR="00AC474D" w:rsidP="00A02D17" w:rsidRDefault="00AC474D" w14:paraId="73EABA41" w14:textId="77777777">
            <w:pPr>
              <w:widowControl/>
              <w:jc w:val="center"/>
              <w:rPr>
                <w:rFonts w:eastAsiaTheme="minorHAnsi"/>
                <w:sz w:val="22"/>
                <w:szCs w:val="22"/>
              </w:rPr>
            </w:pPr>
            <w:r w:rsidRPr="002F44B7">
              <w:rPr>
                <w:rFonts w:eastAsiaTheme="minorHAnsi"/>
                <w:sz w:val="22"/>
                <w:szCs w:val="22"/>
              </w:rPr>
              <w:t>0.5</w:t>
            </w:r>
          </w:p>
        </w:tc>
        <w:tc>
          <w:tcPr>
            <w:tcW w:w="1350" w:type="dxa"/>
            <w:vAlign w:val="center"/>
          </w:tcPr>
          <w:p w:rsidRPr="002F44B7" w:rsidR="00AC474D" w:rsidP="00A02D17" w:rsidRDefault="00AC474D" w14:paraId="0EF85237" w14:textId="77777777">
            <w:pPr>
              <w:widowControl/>
              <w:jc w:val="center"/>
              <w:rPr>
                <w:rFonts w:eastAsiaTheme="minorHAnsi"/>
                <w:sz w:val="22"/>
                <w:szCs w:val="22"/>
              </w:rPr>
            </w:pPr>
            <w:r w:rsidRPr="002F44B7">
              <w:rPr>
                <w:rFonts w:eastAsiaTheme="minorHAnsi"/>
                <w:sz w:val="22"/>
                <w:szCs w:val="22"/>
              </w:rPr>
              <w:t>2</w:t>
            </w:r>
          </w:p>
        </w:tc>
        <w:tc>
          <w:tcPr>
            <w:tcW w:w="1440" w:type="dxa"/>
            <w:vAlign w:val="center"/>
          </w:tcPr>
          <w:p w:rsidRPr="002F44B7" w:rsidR="00AC474D" w:rsidP="00A02D17" w:rsidRDefault="00AC474D" w14:paraId="6776D288" w14:textId="5733885A">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73.24</w:t>
            </w:r>
          </w:p>
        </w:tc>
        <w:tc>
          <w:tcPr>
            <w:tcW w:w="1530" w:type="dxa"/>
            <w:vAlign w:val="center"/>
          </w:tcPr>
          <w:p w:rsidRPr="002F44B7" w:rsidR="00AC474D" w:rsidP="00A02D17" w:rsidRDefault="00AC474D" w14:paraId="5477A158" w14:textId="6F02C8F2">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197.04</w:t>
            </w:r>
          </w:p>
        </w:tc>
        <w:tc>
          <w:tcPr>
            <w:tcW w:w="1440" w:type="dxa"/>
            <w:vAlign w:val="center"/>
          </w:tcPr>
          <w:p w:rsidRPr="002F44B7" w:rsidR="00AC474D" w:rsidP="00A02D17" w:rsidRDefault="00AC474D" w14:paraId="0C758311" w14:textId="58E3ED77">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270.28</w:t>
            </w:r>
          </w:p>
        </w:tc>
      </w:tr>
      <w:tr w:rsidRPr="002F44B7" w:rsidR="00AC474D" w:rsidTr="00AC474D" w14:paraId="1F284633" w14:textId="77777777">
        <w:tc>
          <w:tcPr>
            <w:tcW w:w="1435" w:type="dxa"/>
          </w:tcPr>
          <w:p w:rsidRPr="002F44B7" w:rsidR="00AC474D" w:rsidP="00A02D17" w:rsidRDefault="00AC474D" w14:paraId="785289DD" w14:textId="77777777">
            <w:pPr>
              <w:widowControl/>
              <w:rPr>
                <w:rFonts w:eastAsiaTheme="minorHAnsi"/>
                <w:sz w:val="22"/>
                <w:szCs w:val="22"/>
              </w:rPr>
            </w:pPr>
            <w:r w:rsidRPr="002F44B7">
              <w:rPr>
                <w:rFonts w:eastAsiaTheme="minorHAnsi"/>
                <w:sz w:val="22"/>
                <w:szCs w:val="22"/>
              </w:rPr>
              <w:t>Revalidation</w:t>
            </w:r>
          </w:p>
        </w:tc>
        <w:tc>
          <w:tcPr>
            <w:tcW w:w="1246" w:type="dxa"/>
            <w:vAlign w:val="center"/>
          </w:tcPr>
          <w:p w:rsidRPr="002F44B7" w:rsidR="00AC474D" w:rsidP="00A02D17" w:rsidRDefault="00AC474D" w14:paraId="117FEB82" w14:textId="77777777">
            <w:pPr>
              <w:widowControl/>
              <w:jc w:val="center"/>
              <w:rPr>
                <w:rFonts w:eastAsiaTheme="minorHAnsi"/>
                <w:sz w:val="22"/>
                <w:szCs w:val="22"/>
              </w:rPr>
            </w:pPr>
            <w:r w:rsidRPr="002F44B7">
              <w:rPr>
                <w:rFonts w:eastAsiaTheme="minorHAnsi"/>
                <w:sz w:val="22"/>
                <w:szCs w:val="22"/>
              </w:rPr>
              <w:t>1.5</w:t>
            </w:r>
          </w:p>
        </w:tc>
        <w:tc>
          <w:tcPr>
            <w:tcW w:w="1634" w:type="dxa"/>
            <w:vAlign w:val="center"/>
          </w:tcPr>
          <w:p w:rsidRPr="002F44B7" w:rsidR="00AC474D" w:rsidP="00A02D17" w:rsidRDefault="00AC474D" w14:paraId="737A9664" w14:textId="77777777">
            <w:pPr>
              <w:widowControl/>
              <w:jc w:val="center"/>
              <w:rPr>
                <w:rFonts w:eastAsiaTheme="minorHAnsi"/>
                <w:sz w:val="22"/>
                <w:szCs w:val="22"/>
              </w:rPr>
            </w:pPr>
            <w:r w:rsidRPr="002F44B7">
              <w:rPr>
                <w:rFonts w:eastAsiaTheme="minorHAnsi"/>
                <w:sz w:val="22"/>
                <w:szCs w:val="22"/>
              </w:rPr>
              <w:t>0.5</w:t>
            </w:r>
          </w:p>
        </w:tc>
        <w:tc>
          <w:tcPr>
            <w:tcW w:w="1350" w:type="dxa"/>
            <w:vAlign w:val="center"/>
          </w:tcPr>
          <w:p w:rsidRPr="002F44B7" w:rsidR="00AC474D" w:rsidP="00A02D17" w:rsidRDefault="00AC474D" w14:paraId="40E87510" w14:textId="77777777">
            <w:pPr>
              <w:widowControl/>
              <w:jc w:val="center"/>
              <w:rPr>
                <w:rFonts w:eastAsiaTheme="minorHAnsi"/>
                <w:sz w:val="22"/>
                <w:szCs w:val="22"/>
              </w:rPr>
            </w:pPr>
            <w:r w:rsidRPr="002F44B7">
              <w:rPr>
                <w:rFonts w:eastAsiaTheme="minorHAnsi"/>
                <w:sz w:val="22"/>
                <w:szCs w:val="22"/>
              </w:rPr>
              <w:t>2</w:t>
            </w:r>
          </w:p>
        </w:tc>
        <w:tc>
          <w:tcPr>
            <w:tcW w:w="1440" w:type="dxa"/>
            <w:vAlign w:val="center"/>
          </w:tcPr>
          <w:p w:rsidRPr="002F44B7" w:rsidR="00AC474D" w:rsidP="00A02D17" w:rsidRDefault="00AC474D" w14:paraId="30DFAEAC" w14:textId="3B19CA51">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73.24</w:t>
            </w:r>
          </w:p>
        </w:tc>
        <w:tc>
          <w:tcPr>
            <w:tcW w:w="1530" w:type="dxa"/>
          </w:tcPr>
          <w:p w:rsidRPr="002F44B7" w:rsidR="00AC474D" w:rsidP="00A02D17" w:rsidRDefault="00AC474D" w14:paraId="103CB762" w14:textId="67736854">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197.04</w:t>
            </w:r>
          </w:p>
        </w:tc>
        <w:tc>
          <w:tcPr>
            <w:tcW w:w="1440" w:type="dxa"/>
          </w:tcPr>
          <w:p w:rsidRPr="002F44B7" w:rsidR="00AC474D" w:rsidP="00A02D17" w:rsidRDefault="00AC474D" w14:paraId="0453D53D" w14:textId="517655BA">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270.28</w:t>
            </w:r>
          </w:p>
        </w:tc>
      </w:tr>
      <w:tr w:rsidRPr="002F44B7" w:rsidR="00AC474D" w:rsidTr="00AC474D" w14:paraId="1D796458" w14:textId="77777777">
        <w:tc>
          <w:tcPr>
            <w:tcW w:w="1435" w:type="dxa"/>
          </w:tcPr>
          <w:p w:rsidRPr="002F44B7" w:rsidR="00AC474D" w:rsidP="00A02D17" w:rsidRDefault="00AC474D" w14:paraId="6719DF7A" w14:textId="77777777">
            <w:pPr>
              <w:widowControl/>
              <w:rPr>
                <w:rFonts w:eastAsiaTheme="minorHAnsi"/>
                <w:sz w:val="22"/>
                <w:szCs w:val="22"/>
              </w:rPr>
            </w:pPr>
            <w:r w:rsidRPr="002F44B7">
              <w:rPr>
                <w:rFonts w:eastAsiaTheme="minorHAnsi"/>
                <w:sz w:val="22"/>
                <w:szCs w:val="22"/>
              </w:rPr>
              <w:t>Reactivation</w:t>
            </w:r>
          </w:p>
        </w:tc>
        <w:tc>
          <w:tcPr>
            <w:tcW w:w="1246" w:type="dxa"/>
            <w:vAlign w:val="center"/>
          </w:tcPr>
          <w:p w:rsidRPr="002F44B7" w:rsidR="00AC474D" w:rsidP="00A02D17" w:rsidRDefault="00AC474D" w14:paraId="669F3A10" w14:textId="77777777">
            <w:pPr>
              <w:widowControl/>
              <w:jc w:val="center"/>
              <w:rPr>
                <w:rFonts w:eastAsiaTheme="minorHAnsi"/>
                <w:sz w:val="22"/>
                <w:szCs w:val="22"/>
              </w:rPr>
            </w:pPr>
            <w:r w:rsidRPr="002F44B7">
              <w:rPr>
                <w:rFonts w:eastAsiaTheme="minorHAnsi"/>
                <w:sz w:val="22"/>
                <w:szCs w:val="22"/>
              </w:rPr>
              <w:t>1.5</w:t>
            </w:r>
          </w:p>
        </w:tc>
        <w:tc>
          <w:tcPr>
            <w:tcW w:w="1634" w:type="dxa"/>
            <w:vAlign w:val="center"/>
          </w:tcPr>
          <w:p w:rsidRPr="002F44B7" w:rsidR="00AC474D" w:rsidP="00A02D17" w:rsidRDefault="00AC474D" w14:paraId="0583637D" w14:textId="77777777">
            <w:pPr>
              <w:widowControl/>
              <w:jc w:val="center"/>
              <w:rPr>
                <w:rFonts w:eastAsiaTheme="minorHAnsi"/>
                <w:sz w:val="22"/>
                <w:szCs w:val="22"/>
              </w:rPr>
            </w:pPr>
            <w:r w:rsidRPr="002F44B7">
              <w:rPr>
                <w:rFonts w:eastAsiaTheme="minorHAnsi"/>
                <w:sz w:val="22"/>
                <w:szCs w:val="22"/>
              </w:rPr>
              <w:t>0.5</w:t>
            </w:r>
          </w:p>
        </w:tc>
        <w:tc>
          <w:tcPr>
            <w:tcW w:w="1350" w:type="dxa"/>
            <w:vAlign w:val="center"/>
          </w:tcPr>
          <w:p w:rsidRPr="002F44B7" w:rsidR="00AC474D" w:rsidP="00A02D17" w:rsidRDefault="00AC474D" w14:paraId="1C8C6690" w14:textId="77777777">
            <w:pPr>
              <w:widowControl/>
              <w:jc w:val="center"/>
              <w:rPr>
                <w:rFonts w:eastAsiaTheme="minorHAnsi"/>
                <w:sz w:val="22"/>
                <w:szCs w:val="22"/>
              </w:rPr>
            </w:pPr>
            <w:r w:rsidRPr="002F44B7">
              <w:rPr>
                <w:rFonts w:eastAsiaTheme="minorHAnsi"/>
                <w:sz w:val="22"/>
                <w:szCs w:val="22"/>
              </w:rPr>
              <w:t>2</w:t>
            </w:r>
          </w:p>
        </w:tc>
        <w:tc>
          <w:tcPr>
            <w:tcW w:w="1440" w:type="dxa"/>
            <w:vAlign w:val="center"/>
          </w:tcPr>
          <w:p w:rsidRPr="002F44B7" w:rsidR="00AC474D" w:rsidP="00A02D17" w:rsidRDefault="00AC474D" w14:paraId="514765F9" w14:textId="43C39A09">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73.24</w:t>
            </w:r>
          </w:p>
        </w:tc>
        <w:tc>
          <w:tcPr>
            <w:tcW w:w="1530" w:type="dxa"/>
          </w:tcPr>
          <w:p w:rsidRPr="002F44B7" w:rsidR="00AC474D" w:rsidP="00A02D17" w:rsidRDefault="00AC474D" w14:paraId="3B1FDC1F" w14:textId="41F92077">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197.04</w:t>
            </w:r>
          </w:p>
        </w:tc>
        <w:tc>
          <w:tcPr>
            <w:tcW w:w="1440" w:type="dxa"/>
          </w:tcPr>
          <w:p w:rsidRPr="002F44B7" w:rsidR="00AC474D" w:rsidP="00A02D17" w:rsidRDefault="00AC474D" w14:paraId="504C62DC" w14:textId="0D5F3CDE">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270.28</w:t>
            </w:r>
          </w:p>
        </w:tc>
      </w:tr>
      <w:tr w:rsidRPr="002F44B7" w:rsidR="00AC474D" w:rsidTr="00AC474D" w14:paraId="12323427" w14:textId="77777777">
        <w:tc>
          <w:tcPr>
            <w:tcW w:w="1435" w:type="dxa"/>
          </w:tcPr>
          <w:p w:rsidRPr="002F44B7" w:rsidR="00AC474D" w:rsidP="00A02D17" w:rsidRDefault="00AC474D" w14:paraId="550B5650" w14:textId="77777777">
            <w:pPr>
              <w:widowControl/>
              <w:rPr>
                <w:rFonts w:eastAsiaTheme="minorHAnsi"/>
                <w:sz w:val="22"/>
                <w:szCs w:val="22"/>
              </w:rPr>
            </w:pPr>
            <w:r w:rsidRPr="002F44B7">
              <w:rPr>
                <w:rFonts w:eastAsiaTheme="minorHAnsi"/>
                <w:sz w:val="22"/>
                <w:szCs w:val="22"/>
              </w:rPr>
              <w:t>Reporting a Change of Medicare Enrollment Information</w:t>
            </w:r>
          </w:p>
        </w:tc>
        <w:tc>
          <w:tcPr>
            <w:tcW w:w="1246" w:type="dxa"/>
            <w:vAlign w:val="center"/>
          </w:tcPr>
          <w:p w:rsidRPr="002F44B7" w:rsidR="00AC474D" w:rsidP="00A02D17" w:rsidRDefault="00AC474D" w14:paraId="2EFB2CCE" w14:textId="77777777">
            <w:pPr>
              <w:widowControl/>
              <w:jc w:val="center"/>
              <w:rPr>
                <w:rFonts w:eastAsiaTheme="minorHAnsi"/>
                <w:sz w:val="22"/>
                <w:szCs w:val="22"/>
              </w:rPr>
            </w:pPr>
            <w:r w:rsidRPr="002F44B7">
              <w:rPr>
                <w:rFonts w:eastAsiaTheme="minorHAnsi"/>
                <w:sz w:val="22"/>
                <w:szCs w:val="22"/>
              </w:rPr>
              <w:t>0.75</w:t>
            </w:r>
          </w:p>
        </w:tc>
        <w:tc>
          <w:tcPr>
            <w:tcW w:w="1634" w:type="dxa"/>
            <w:vAlign w:val="center"/>
          </w:tcPr>
          <w:p w:rsidRPr="002F44B7" w:rsidR="00AC474D" w:rsidP="00A02D17" w:rsidRDefault="00AC474D" w14:paraId="74F2AA55" w14:textId="77777777">
            <w:pPr>
              <w:widowControl/>
              <w:jc w:val="center"/>
              <w:rPr>
                <w:rFonts w:eastAsiaTheme="minorHAnsi"/>
                <w:sz w:val="22"/>
                <w:szCs w:val="22"/>
              </w:rPr>
            </w:pPr>
            <w:r w:rsidRPr="002F44B7">
              <w:rPr>
                <w:rFonts w:eastAsiaTheme="minorHAnsi"/>
                <w:sz w:val="22"/>
                <w:szCs w:val="22"/>
              </w:rPr>
              <w:t>0.25</w:t>
            </w:r>
          </w:p>
        </w:tc>
        <w:tc>
          <w:tcPr>
            <w:tcW w:w="1350" w:type="dxa"/>
            <w:vAlign w:val="center"/>
          </w:tcPr>
          <w:p w:rsidRPr="002F44B7" w:rsidR="00AC474D" w:rsidP="00A02D17" w:rsidRDefault="00AC474D" w14:paraId="1C7D745E" w14:textId="77777777">
            <w:pPr>
              <w:widowControl/>
              <w:jc w:val="center"/>
              <w:rPr>
                <w:rFonts w:eastAsiaTheme="minorHAnsi"/>
                <w:sz w:val="22"/>
                <w:szCs w:val="22"/>
              </w:rPr>
            </w:pPr>
            <w:r w:rsidRPr="002F44B7">
              <w:rPr>
                <w:rFonts w:eastAsiaTheme="minorHAnsi"/>
                <w:sz w:val="22"/>
                <w:szCs w:val="22"/>
              </w:rPr>
              <w:t>1</w:t>
            </w:r>
          </w:p>
        </w:tc>
        <w:tc>
          <w:tcPr>
            <w:tcW w:w="1440" w:type="dxa"/>
            <w:vAlign w:val="center"/>
          </w:tcPr>
          <w:p w:rsidRPr="002F44B7" w:rsidR="00AC474D" w:rsidP="00A02D17" w:rsidRDefault="0077590D" w14:paraId="13E60CCC" w14:textId="19AEB6A4">
            <w:pPr>
              <w:widowControl/>
              <w:jc w:val="center"/>
              <w:rPr>
                <w:rFonts w:eastAsiaTheme="minorHAnsi"/>
                <w:sz w:val="22"/>
                <w:szCs w:val="22"/>
              </w:rPr>
            </w:pPr>
            <w:r w:rsidRPr="002F44B7">
              <w:rPr>
                <w:rFonts w:eastAsiaTheme="minorHAnsi"/>
                <w:sz w:val="22"/>
                <w:szCs w:val="22"/>
              </w:rPr>
              <w:t>$36.62</w:t>
            </w:r>
          </w:p>
        </w:tc>
        <w:tc>
          <w:tcPr>
            <w:tcW w:w="1530" w:type="dxa"/>
            <w:vAlign w:val="center"/>
          </w:tcPr>
          <w:p w:rsidRPr="002F44B7" w:rsidR="00AC474D" w:rsidP="00A02D17" w:rsidRDefault="00AC474D" w14:paraId="7B85AEFE" w14:textId="5EA16893">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98.52</w:t>
            </w:r>
          </w:p>
        </w:tc>
        <w:tc>
          <w:tcPr>
            <w:tcW w:w="1440" w:type="dxa"/>
            <w:vAlign w:val="center"/>
          </w:tcPr>
          <w:p w:rsidRPr="002F44B7" w:rsidR="00AC474D" w:rsidP="00A02D17" w:rsidRDefault="00AC474D" w14:paraId="52975204" w14:textId="7135B5AD">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135.14</w:t>
            </w:r>
          </w:p>
        </w:tc>
      </w:tr>
      <w:tr w:rsidRPr="002F44B7" w:rsidR="00AC474D" w:rsidTr="00AC474D" w14:paraId="0B281543" w14:textId="77777777">
        <w:tc>
          <w:tcPr>
            <w:tcW w:w="1435" w:type="dxa"/>
          </w:tcPr>
          <w:p w:rsidRPr="002F44B7" w:rsidR="00AC474D" w:rsidP="00A02D17" w:rsidRDefault="00AC474D" w14:paraId="2B0787B3" w14:textId="77777777">
            <w:pPr>
              <w:widowControl/>
              <w:rPr>
                <w:rFonts w:eastAsiaTheme="minorHAnsi"/>
                <w:sz w:val="22"/>
                <w:szCs w:val="22"/>
              </w:rPr>
            </w:pPr>
            <w:r w:rsidRPr="002F44B7">
              <w:rPr>
                <w:rFonts w:eastAsiaTheme="minorHAnsi"/>
                <w:sz w:val="22"/>
                <w:szCs w:val="22"/>
              </w:rPr>
              <w:t>Voluntary Termination of Medicare Enrollment</w:t>
            </w:r>
          </w:p>
        </w:tc>
        <w:tc>
          <w:tcPr>
            <w:tcW w:w="1246" w:type="dxa"/>
            <w:vAlign w:val="center"/>
          </w:tcPr>
          <w:p w:rsidRPr="002F44B7" w:rsidR="00AC474D" w:rsidP="00A02D17" w:rsidRDefault="00AC474D" w14:paraId="5AED9519" w14:textId="77777777">
            <w:pPr>
              <w:widowControl/>
              <w:jc w:val="center"/>
              <w:rPr>
                <w:rFonts w:eastAsiaTheme="minorHAnsi"/>
                <w:sz w:val="22"/>
                <w:szCs w:val="22"/>
              </w:rPr>
            </w:pPr>
            <w:r w:rsidRPr="002F44B7">
              <w:rPr>
                <w:rFonts w:eastAsiaTheme="minorHAnsi"/>
                <w:sz w:val="22"/>
                <w:szCs w:val="22"/>
              </w:rPr>
              <w:t>0.42</w:t>
            </w:r>
          </w:p>
        </w:tc>
        <w:tc>
          <w:tcPr>
            <w:tcW w:w="1634" w:type="dxa"/>
            <w:vAlign w:val="center"/>
          </w:tcPr>
          <w:p w:rsidRPr="002F44B7" w:rsidR="00AC474D" w:rsidP="00A02D17" w:rsidRDefault="00AC474D" w14:paraId="677DCD53" w14:textId="77777777">
            <w:pPr>
              <w:widowControl/>
              <w:jc w:val="center"/>
              <w:rPr>
                <w:rFonts w:eastAsiaTheme="minorHAnsi"/>
                <w:sz w:val="22"/>
                <w:szCs w:val="22"/>
              </w:rPr>
            </w:pPr>
            <w:r w:rsidRPr="002F44B7">
              <w:rPr>
                <w:rFonts w:eastAsiaTheme="minorHAnsi"/>
                <w:sz w:val="22"/>
                <w:szCs w:val="22"/>
              </w:rPr>
              <w:t>0.08</w:t>
            </w:r>
          </w:p>
        </w:tc>
        <w:tc>
          <w:tcPr>
            <w:tcW w:w="1350" w:type="dxa"/>
            <w:vAlign w:val="center"/>
          </w:tcPr>
          <w:p w:rsidRPr="002F44B7" w:rsidR="00AC474D" w:rsidP="00A02D17" w:rsidRDefault="00AC474D" w14:paraId="603AE2E9" w14:textId="77777777">
            <w:pPr>
              <w:widowControl/>
              <w:jc w:val="center"/>
              <w:rPr>
                <w:rFonts w:eastAsiaTheme="minorHAnsi"/>
                <w:sz w:val="22"/>
                <w:szCs w:val="22"/>
              </w:rPr>
            </w:pPr>
            <w:r w:rsidRPr="002F44B7">
              <w:rPr>
                <w:rFonts w:eastAsiaTheme="minorHAnsi"/>
                <w:sz w:val="22"/>
                <w:szCs w:val="22"/>
              </w:rPr>
              <w:t>0.5</w:t>
            </w:r>
          </w:p>
        </w:tc>
        <w:tc>
          <w:tcPr>
            <w:tcW w:w="1440" w:type="dxa"/>
            <w:vAlign w:val="center"/>
          </w:tcPr>
          <w:p w:rsidRPr="002F44B7" w:rsidR="00AC474D" w:rsidP="00A02D17" w:rsidRDefault="00AC474D" w14:paraId="4E1FE4DA" w14:textId="3487ABBA">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18.31</w:t>
            </w:r>
          </w:p>
        </w:tc>
        <w:tc>
          <w:tcPr>
            <w:tcW w:w="1530" w:type="dxa"/>
            <w:vAlign w:val="center"/>
          </w:tcPr>
          <w:p w:rsidRPr="002F44B7" w:rsidR="00AC474D" w:rsidP="00A02D17" w:rsidRDefault="00AC474D" w14:paraId="389B61BA" w14:textId="53D3DE67">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49.26</w:t>
            </w:r>
          </w:p>
        </w:tc>
        <w:tc>
          <w:tcPr>
            <w:tcW w:w="1440" w:type="dxa"/>
            <w:vAlign w:val="center"/>
          </w:tcPr>
          <w:p w:rsidRPr="002F44B7" w:rsidR="00AC474D" w:rsidP="00A02D17" w:rsidRDefault="00AC474D" w14:paraId="3C00F0F1" w14:textId="0207FB79">
            <w:pPr>
              <w:widowControl/>
              <w:jc w:val="center"/>
              <w:rPr>
                <w:rFonts w:eastAsiaTheme="minorHAnsi"/>
                <w:sz w:val="22"/>
                <w:szCs w:val="22"/>
              </w:rPr>
            </w:pPr>
            <w:r w:rsidRPr="002F44B7">
              <w:rPr>
                <w:rFonts w:eastAsiaTheme="minorHAnsi"/>
                <w:sz w:val="22"/>
                <w:szCs w:val="22"/>
              </w:rPr>
              <w:t>$</w:t>
            </w:r>
            <w:r w:rsidRPr="002F44B7" w:rsidR="0077590D">
              <w:rPr>
                <w:rFonts w:eastAsiaTheme="minorHAnsi"/>
                <w:sz w:val="22"/>
                <w:szCs w:val="22"/>
              </w:rPr>
              <w:t>67.57</w:t>
            </w:r>
          </w:p>
        </w:tc>
      </w:tr>
    </w:tbl>
    <w:p w:rsidRPr="002F44B7" w:rsidR="008F20AF" w:rsidP="00A02D17" w:rsidRDefault="00AC474D" w14:paraId="79D43A7E" w14:textId="6B629B2F">
      <w:pPr>
        <w:rPr>
          <w:b/>
          <w:u w:val="single"/>
        </w:rPr>
      </w:pPr>
      <w:r w:rsidRPr="002F44B7">
        <w:rPr>
          <w:rFonts w:eastAsiaTheme="minorHAnsi"/>
          <w:b/>
          <w:snapToGrid/>
          <w:szCs w:val="24"/>
          <w:u w:val="single"/>
        </w:rPr>
        <w:t>Table 2 – Individual Burden Hours and Costs for Completion of the CMS-855B per Reason for Submittal</w:t>
      </w:r>
    </w:p>
    <w:p w:rsidRPr="002F44B7" w:rsidR="00AC474D" w:rsidP="00A02D17" w:rsidRDefault="00AC474D" w14:paraId="1C36C269" w14:textId="77777777">
      <w:pPr>
        <w:widowControl/>
        <w:rPr>
          <w:rFonts w:eastAsiaTheme="minorHAnsi"/>
          <w:snapToGrid/>
          <w:szCs w:val="24"/>
        </w:rPr>
      </w:pPr>
    </w:p>
    <w:p w:rsidRPr="002F44B7" w:rsidR="00AC474D" w:rsidP="00A02D17" w:rsidRDefault="00D37033" w14:paraId="7858B23F" w14:textId="47DB55FC">
      <w:pPr>
        <w:pStyle w:val="ListParagraph"/>
        <w:widowControl/>
        <w:numPr>
          <w:ilvl w:val="0"/>
          <w:numId w:val="22"/>
        </w:numPr>
        <w:kinsoku w:val="0"/>
        <w:overflowPunct w:val="0"/>
        <w:autoSpaceDE w:val="0"/>
        <w:autoSpaceDN w:val="0"/>
        <w:adjustRightInd w:val="0"/>
        <w:ind w:right="266"/>
        <w:contextualSpacing w:val="0"/>
        <w:rPr>
          <w:rFonts w:eastAsiaTheme="minorHAnsi"/>
          <w:snapToGrid/>
          <w:szCs w:val="24"/>
          <w:u w:val="single"/>
        </w:rPr>
      </w:pPr>
      <w:r w:rsidRPr="002F44B7">
        <w:t>C</w:t>
      </w:r>
      <w:r w:rsidRPr="002F44B7" w:rsidR="00AC474D">
        <w:t>ost</w:t>
      </w:r>
      <w:r w:rsidRPr="002F44B7" w:rsidR="008C5B77">
        <w:t xml:space="preserve"> Estimate</w:t>
      </w:r>
      <w:r w:rsidRPr="002F44B7" w:rsidR="00AC474D">
        <w:t>s</w:t>
      </w:r>
    </w:p>
    <w:p w:rsidRPr="002F44B7" w:rsidR="00AC474D" w:rsidP="00A02D17" w:rsidRDefault="00AC474D" w14:paraId="7BCCF7DA" w14:textId="77777777">
      <w:pPr>
        <w:widowControl/>
        <w:rPr>
          <w:rFonts w:eastAsiaTheme="minorHAnsi"/>
          <w:snapToGrid/>
          <w:szCs w:val="24"/>
        </w:rPr>
      </w:pPr>
    </w:p>
    <w:p w:rsidRPr="002F44B7" w:rsidR="002352C0" w:rsidP="00A02D17" w:rsidRDefault="002352C0" w14:paraId="3D0C9010" w14:textId="4AC649D9">
      <w:pPr>
        <w:widowControl/>
        <w:rPr>
          <w:rFonts w:eastAsiaTheme="minorHAnsi"/>
          <w:snapToGrid/>
          <w:szCs w:val="24"/>
        </w:rPr>
      </w:pPr>
      <w:r w:rsidRPr="002F44B7">
        <w:rPr>
          <w:rFonts w:eastAsiaTheme="minorHAnsi"/>
          <w:snapToGrid/>
          <w:szCs w:val="24"/>
        </w:rPr>
        <w:t>For this proposed revision of the CMS-</w:t>
      </w:r>
      <w:r w:rsidRPr="002F44B7" w:rsidR="00D439A9">
        <w:rPr>
          <w:rFonts w:eastAsiaTheme="minorHAnsi"/>
          <w:snapToGrid/>
          <w:szCs w:val="24"/>
        </w:rPr>
        <w:t>855B</w:t>
      </w:r>
      <w:r w:rsidRPr="002F44B7">
        <w:rPr>
          <w:rFonts w:eastAsiaTheme="minorHAnsi"/>
          <w:snapToGrid/>
          <w:szCs w:val="24"/>
        </w:rPr>
        <w:t>, CMS has recalculated the estimated burden cost.  CMS</w:t>
      </w:r>
      <w:r w:rsidRPr="002F44B7">
        <w:rPr>
          <w:rFonts w:eastAsiaTheme="minorHAnsi"/>
          <w:snapToGrid/>
          <w:spacing w:val="-1"/>
          <w:szCs w:val="24"/>
        </w:rPr>
        <w:t xml:space="preserve"> </w:t>
      </w:r>
      <w:r w:rsidRPr="002F44B7">
        <w:rPr>
          <w:rFonts w:eastAsiaTheme="minorHAnsi"/>
          <w:snapToGrid/>
          <w:szCs w:val="24"/>
        </w:rPr>
        <w:t>believes</w:t>
      </w:r>
      <w:r w:rsidRPr="002F44B7">
        <w:rPr>
          <w:rFonts w:eastAsiaTheme="minorHAnsi"/>
          <w:snapToGrid/>
          <w:spacing w:val="13"/>
          <w:szCs w:val="24"/>
        </w:rPr>
        <w:t xml:space="preserve"> </w:t>
      </w:r>
      <w:r w:rsidRPr="002F44B7">
        <w:rPr>
          <w:rFonts w:eastAsiaTheme="minorHAnsi"/>
          <w:snapToGrid/>
          <w:szCs w:val="24"/>
        </w:rPr>
        <w:t>this</w:t>
      </w:r>
      <w:r w:rsidRPr="002F44B7">
        <w:rPr>
          <w:rFonts w:eastAsiaTheme="minorHAnsi"/>
          <w:snapToGrid/>
          <w:spacing w:val="5"/>
          <w:szCs w:val="24"/>
        </w:rPr>
        <w:t xml:space="preserve"> </w:t>
      </w:r>
      <w:r w:rsidRPr="002F44B7">
        <w:rPr>
          <w:rFonts w:eastAsiaTheme="minorHAnsi"/>
          <w:snapToGrid/>
          <w:szCs w:val="24"/>
        </w:rPr>
        <w:t>recalculation</w:t>
      </w:r>
      <w:r w:rsidRPr="002F44B7">
        <w:rPr>
          <w:rFonts w:eastAsiaTheme="minorHAnsi"/>
          <w:snapToGrid/>
          <w:spacing w:val="33"/>
          <w:szCs w:val="24"/>
        </w:rPr>
        <w:t xml:space="preserve"> </w:t>
      </w:r>
      <w:r w:rsidRPr="002F44B7">
        <w:rPr>
          <w:rFonts w:eastAsiaTheme="minorHAnsi"/>
          <w:snapToGrid/>
          <w:szCs w:val="24"/>
        </w:rPr>
        <w:t>is</w:t>
      </w:r>
      <w:r w:rsidRPr="002F44B7">
        <w:rPr>
          <w:rFonts w:eastAsiaTheme="minorHAnsi"/>
          <w:snapToGrid/>
          <w:spacing w:val="-4"/>
          <w:szCs w:val="24"/>
        </w:rPr>
        <w:t xml:space="preserve"> </w:t>
      </w:r>
      <w:r w:rsidRPr="002F44B7">
        <w:rPr>
          <w:rFonts w:eastAsiaTheme="minorHAnsi"/>
          <w:snapToGrid/>
          <w:szCs w:val="24"/>
        </w:rPr>
        <w:t>necessary</w:t>
      </w:r>
      <w:r w:rsidRPr="002F44B7">
        <w:rPr>
          <w:rFonts w:eastAsiaTheme="minorHAnsi"/>
          <w:snapToGrid/>
          <w:spacing w:val="21"/>
          <w:szCs w:val="24"/>
        </w:rPr>
        <w:t xml:space="preserve"> </w:t>
      </w:r>
      <w:r w:rsidRPr="002F44B7">
        <w:rPr>
          <w:rFonts w:eastAsiaTheme="minorHAnsi"/>
          <w:snapToGrid/>
          <w:szCs w:val="24"/>
        </w:rPr>
        <w:t>because</w:t>
      </w:r>
      <w:r w:rsidRPr="002F44B7">
        <w:rPr>
          <w:rFonts w:eastAsiaTheme="minorHAnsi"/>
          <w:snapToGrid/>
          <w:spacing w:val="22"/>
          <w:szCs w:val="24"/>
        </w:rPr>
        <w:t xml:space="preserve"> </w:t>
      </w:r>
      <w:r w:rsidRPr="002F44B7">
        <w:rPr>
          <w:rFonts w:eastAsiaTheme="minorHAnsi"/>
          <w:snapToGrid/>
          <w:szCs w:val="24"/>
        </w:rPr>
        <w:t>this</w:t>
      </w:r>
      <w:r w:rsidRPr="002F44B7">
        <w:rPr>
          <w:rFonts w:eastAsiaTheme="minorHAnsi"/>
          <w:snapToGrid/>
          <w:spacing w:val="1"/>
          <w:szCs w:val="24"/>
        </w:rPr>
        <w:t xml:space="preserve"> </w:t>
      </w:r>
      <w:r w:rsidRPr="002F44B7">
        <w:rPr>
          <w:rFonts w:eastAsiaTheme="minorHAnsi"/>
          <w:snapToGrid/>
          <w:szCs w:val="24"/>
        </w:rPr>
        <w:t>data</w:t>
      </w:r>
      <w:r w:rsidRPr="002F44B7">
        <w:rPr>
          <w:rFonts w:eastAsiaTheme="minorHAnsi"/>
          <w:snapToGrid/>
          <w:spacing w:val="4"/>
          <w:szCs w:val="24"/>
        </w:rPr>
        <w:t xml:space="preserve"> </w:t>
      </w:r>
      <w:r w:rsidRPr="002F44B7">
        <w:rPr>
          <w:rFonts w:eastAsiaTheme="minorHAnsi"/>
          <w:snapToGrid/>
          <w:szCs w:val="24"/>
        </w:rPr>
        <w:t>collection</w:t>
      </w:r>
      <w:r w:rsidRPr="002F44B7">
        <w:rPr>
          <w:rFonts w:eastAsiaTheme="minorHAnsi"/>
          <w:snapToGrid/>
          <w:spacing w:val="14"/>
          <w:szCs w:val="24"/>
        </w:rPr>
        <w:t xml:space="preserve"> </w:t>
      </w:r>
      <w:r w:rsidRPr="002F44B7">
        <w:rPr>
          <w:rFonts w:eastAsiaTheme="minorHAnsi"/>
          <w:snapToGrid/>
          <w:szCs w:val="24"/>
        </w:rPr>
        <w:t>tool has not been revised since 2011</w:t>
      </w:r>
      <w:r w:rsidRPr="002F44B7" w:rsidR="002E0E9D">
        <w:rPr>
          <w:rFonts w:eastAsiaTheme="minorHAnsi"/>
          <w:snapToGrid/>
          <w:szCs w:val="24"/>
        </w:rPr>
        <w:t xml:space="preserve">, as noted in the hour burden estimates for the revised CMS-855B above. </w:t>
      </w:r>
      <w:r w:rsidRPr="002F44B7">
        <w:rPr>
          <w:rFonts w:eastAsiaTheme="minorHAnsi"/>
          <w:snapToGrid/>
          <w:szCs w:val="24"/>
        </w:rPr>
        <w:t xml:space="preserve"> In addition,</w:t>
      </w:r>
      <w:r w:rsidRPr="002F44B7">
        <w:rPr>
          <w:rFonts w:eastAsiaTheme="minorHAnsi"/>
          <w:snapToGrid/>
          <w:spacing w:val="5"/>
          <w:szCs w:val="24"/>
        </w:rPr>
        <w:t xml:space="preserve"> </w:t>
      </w:r>
      <w:r w:rsidRPr="002F44B7">
        <w:rPr>
          <w:rFonts w:eastAsiaTheme="minorHAnsi"/>
          <w:snapToGrid/>
          <w:szCs w:val="24"/>
        </w:rPr>
        <w:t>the</w:t>
      </w:r>
      <w:r w:rsidRPr="002F44B7">
        <w:rPr>
          <w:rFonts w:eastAsiaTheme="minorHAnsi"/>
          <w:snapToGrid/>
          <w:spacing w:val="10"/>
          <w:szCs w:val="24"/>
        </w:rPr>
        <w:t xml:space="preserve"> </w:t>
      </w:r>
      <w:r w:rsidRPr="002F44B7">
        <w:rPr>
          <w:rFonts w:eastAsiaTheme="minorHAnsi"/>
          <w:snapToGrid/>
          <w:szCs w:val="24"/>
        </w:rPr>
        <w:t>number</w:t>
      </w:r>
      <w:r w:rsidRPr="002F44B7">
        <w:rPr>
          <w:rFonts w:eastAsiaTheme="minorHAnsi"/>
          <w:snapToGrid/>
          <w:spacing w:val="17"/>
          <w:szCs w:val="24"/>
        </w:rPr>
        <w:t xml:space="preserve"> </w:t>
      </w:r>
      <w:r w:rsidRPr="002F44B7">
        <w:rPr>
          <w:rFonts w:eastAsiaTheme="minorHAnsi"/>
          <w:snapToGrid/>
          <w:szCs w:val="24"/>
        </w:rPr>
        <w:t>of</w:t>
      </w:r>
      <w:r w:rsidRPr="002F44B7">
        <w:rPr>
          <w:rFonts w:eastAsiaTheme="minorHAnsi"/>
          <w:snapToGrid/>
          <w:spacing w:val="4"/>
          <w:szCs w:val="24"/>
        </w:rPr>
        <w:t xml:space="preserve"> </w:t>
      </w:r>
      <w:r w:rsidRPr="002F44B7">
        <w:rPr>
          <w:rFonts w:eastAsiaTheme="minorHAnsi"/>
          <w:snapToGrid/>
          <w:szCs w:val="24"/>
        </w:rPr>
        <w:t>affected</w:t>
      </w:r>
      <w:r w:rsidRPr="002F44B7">
        <w:rPr>
          <w:rFonts w:eastAsiaTheme="minorHAnsi"/>
          <w:snapToGrid/>
          <w:spacing w:val="15"/>
          <w:szCs w:val="24"/>
        </w:rPr>
        <w:t xml:space="preserve"> </w:t>
      </w:r>
      <w:r w:rsidRPr="002F44B7">
        <w:rPr>
          <w:rFonts w:eastAsiaTheme="minorHAnsi"/>
          <w:snapToGrid/>
          <w:szCs w:val="24"/>
        </w:rPr>
        <w:t>users,</w:t>
      </w:r>
      <w:r w:rsidRPr="002F44B7">
        <w:rPr>
          <w:rFonts w:eastAsiaTheme="minorHAnsi"/>
          <w:snapToGrid/>
          <w:spacing w:val="16"/>
          <w:szCs w:val="24"/>
        </w:rPr>
        <w:t xml:space="preserve"> </w:t>
      </w:r>
      <w:r w:rsidRPr="002F44B7">
        <w:rPr>
          <w:rFonts w:eastAsiaTheme="minorHAnsi"/>
          <w:snapToGrid/>
          <w:szCs w:val="24"/>
        </w:rPr>
        <w:t>actual</w:t>
      </w:r>
      <w:r w:rsidRPr="002F44B7">
        <w:rPr>
          <w:rFonts w:eastAsiaTheme="minorHAnsi"/>
          <w:snapToGrid/>
          <w:spacing w:val="7"/>
          <w:szCs w:val="24"/>
        </w:rPr>
        <w:t xml:space="preserve"> </w:t>
      </w:r>
      <w:r w:rsidRPr="002F44B7">
        <w:rPr>
          <w:rFonts w:eastAsiaTheme="minorHAnsi"/>
          <w:snapToGrid/>
          <w:szCs w:val="24"/>
        </w:rPr>
        <w:t>data</w:t>
      </w:r>
      <w:r w:rsidRPr="002F44B7">
        <w:rPr>
          <w:rFonts w:eastAsiaTheme="minorHAnsi"/>
          <w:snapToGrid/>
          <w:spacing w:val="6"/>
          <w:szCs w:val="24"/>
        </w:rPr>
        <w:t xml:space="preserve"> </w:t>
      </w:r>
      <w:r w:rsidRPr="002F44B7">
        <w:rPr>
          <w:rFonts w:eastAsiaTheme="minorHAnsi"/>
          <w:snapToGrid/>
          <w:szCs w:val="24"/>
        </w:rPr>
        <w:t>collected</w:t>
      </w:r>
      <w:r w:rsidRPr="002F44B7">
        <w:rPr>
          <w:rFonts w:eastAsiaTheme="minorHAnsi"/>
          <w:snapToGrid/>
          <w:spacing w:val="25"/>
          <w:szCs w:val="24"/>
        </w:rPr>
        <w:t xml:space="preserve"> </w:t>
      </w:r>
      <w:r w:rsidRPr="002F44B7">
        <w:rPr>
          <w:rFonts w:eastAsiaTheme="minorHAnsi"/>
          <w:snapToGrid/>
          <w:szCs w:val="24"/>
        </w:rPr>
        <w:t>and</w:t>
      </w:r>
      <w:r w:rsidRPr="002F44B7">
        <w:rPr>
          <w:rFonts w:eastAsiaTheme="minorHAnsi"/>
          <w:snapToGrid/>
          <w:spacing w:val="7"/>
          <w:szCs w:val="24"/>
        </w:rPr>
        <w:t xml:space="preserve"> </w:t>
      </w:r>
      <w:r w:rsidRPr="002F44B7">
        <w:rPr>
          <w:rFonts w:eastAsiaTheme="minorHAnsi"/>
          <w:snapToGrid/>
          <w:szCs w:val="24"/>
        </w:rPr>
        <w:t>the</w:t>
      </w:r>
      <w:r w:rsidRPr="002F44B7">
        <w:rPr>
          <w:rFonts w:eastAsiaTheme="minorHAnsi"/>
          <w:snapToGrid/>
          <w:spacing w:val="10"/>
          <w:szCs w:val="24"/>
        </w:rPr>
        <w:t xml:space="preserve"> </w:t>
      </w:r>
      <w:r w:rsidRPr="002F44B7">
        <w:rPr>
          <w:rFonts w:eastAsiaTheme="minorHAnsi"/>
          <w:snapToGrid/>
          <w:szCs w:val="24"/>
        </w:rPr>
        <w:t>collection methods</w:t>
      </w:r>
      <w:r w:rsidRPr="002F44B7">
        <w:rPr>
          <w:rFonts w:eastAsiaTheme="minorHAnsi"/>
          <w:snapToGrid/>
          <w:spacing w:val="10"/>
          <w:szCs w:val="24"/>
        </w:rPr>
        <w:t xml:space="preserve"> </w:t>
      </w:r>
      <w:r w:rsidRPr="002F44B7">
        <w:rPr>
          <w:rFonts w:eastAsiaTheme="minorHAnsi"/>
          <w:snapToGrid/>
          <w:szCs w:val="24"/>
        </w:rPr>
        <w:t>have</w:t>
      </w:r>
      <w:r w:rsidRPr="002F44B7">
        <w:rPr>
          <w:rFonts w:eastAsiaTheme="minorHAnsi"/>
          <w:snapToGrid/>
          <w:spacing w:val="14"/>
          <w:szCs w:val="24"/>
        </w:rPr>
        <w:t xml:space="preserve"> </w:t>
      </w:r>
      <w:r w:rsidRPr="002F44B7">
        <w:rPr>
          <w:rFonts w:eastAsiaTheme="minorHAnsi"/>
          <w:snapToGrid/>
          <w:szCs w:val="24"/>
        </w:rPr>
        <w:t>changed</w:t>
      </w:r>
      <w:r w:rsidRPr="002F44B7">
        <w:rPr>
          <w:rFonts w:eastAsiaTheme="minorHAnsi"/>
          <w:snapToGrid/>
          <w:spacing w:val="19"/>
          <w:szCs w:val="24"/>
        </w:rPr>
        <w:t xml:space="preserve"> </w:t>
      </w:r>
      <w:r w:rsidRPr="002F44B7">
        <w:rPr>
          <w:rFonts w:eastAsiaTheme="minorHAnsi"/>
          <w:snapToGrid/>
          <w:szCs w:val="24"/>
        </w:rPr>
        <w:t>significantly.</w:t>
      </w:r>
      <w:r w:rsidRPr="002F44B7">
        <w:rPr>
          <w:rFonts w:eastAsiaTheme="minorHAnsi"/>
          <w:snapToGrid/>
          <w:spacing w:val="27"/>
          <w:szCs w:val="24"/>
        </w:rPr>
        <w:t xml:space="preserve">  </w:t>
      </w:r>
      <w:r w:rsidRPr="002F44B7">
        <w:rPr>
          <w:rFonts w:eastAsiaTheme="minorHAnsi"/>
          <w:snapToGrid/>
          <w:szCs w:val="24"/>
        </w:rPr>
        <w:t>CMS</w:t>
      </w:r>
      <w:r w:rsidRPr="002F44B7">
        <w:rPr>
          <w:rFonts w:eastAsiaTheme="minorHAnsi"/>
          <w:snapToGrid/>
          <w:spacing w:val="4"/>
          <w:szCs w:val="24"/>
        </w:rPr>
        <w:t xml:space="preserve"> </w:t>
      </w:r>
      <w:r w:rsidRPr="002F44B7">
        <w:rPr>
          <w:rFonts w:eastAsiaTheme="minorHAnsi"/>
          <w:snapToGrid/>
          <w:szCs w:val="24"/>
        </w:rPr>
        <w:t>believes</w:t>
      </w:r>
      <w:r w:rsidRPr="002F44B7">
        <w:rPr>
          <w:rFonts w:eastAsiaTheme="minorHAnsi"/>
          <w:snapToGrid/>
          <w:spacing w:val="13"/>
          <w:szCs w:val="24"/>
        </w:rPr>
        <w:t xml:space="preserve"> </w:t>
      </w:r>
      <w:r w:rsidRPr="002F44B7">
        <w:rPr>
          <w:rFonts w:eastAsiaTheme="minorHAnsi"/>
          <w:snapToGrid/>
          <w:szCs w:val="24"/>
        </w:rPr>
        <w:t>this</w:t>
      </w:r>
      <w:r w:rsidRPr="002F44B7">
        <w:rPr>
          <w:rFonts w:eastAsiaTheme="minorHAnsi"/>
          <w:snapToGrid/>
          <w:spacing w:val="5"/>
          <w:szCs w:val="24"/>
        </w:rPr>
        <w:t xml:space="preserve"> </w:t>
      </w:r>
      <w:r w:rsidRPr="002F44B7">
        <w:rPr>
          <w:rFonts w:eastAsiaTheme="minorHAnsi"/>
          <w:snapToGrid/>
          <w:szCs w:val="24"/>
        </w:rPr>
        <w:t>new</w:t>
      </w:r>
      <w:r w:rsidRPr="002F44B7">
        <w:rPr>
          <w:rFonts w:eastAsiaTheme="minorHAnsi"/>
          <w:snapToGrid/>
          <w:spacing w:val="9"/>
          <w:szCs w:val="24"/>
        </w:rPr>
        <w:t xml:space="preserve"> </w:t>
      </w:r>
      <w:r w:rsidRPr="002F44B7">
        <w:rPr>
          <w:rFonts w:eastAsiaTheme="minorHAnsi"/>
          <w:snapToGrid/>
          <w:szCs w:val="24"/>
        </w:rPr>
        <w:t>burden</w:t>
      </w:r>
      <w:r w:rsidRPr="002F44B7">
        <w:rPr>
          <w:rFonts w:eastAsiaTheme="minorHAnsi"/>
          <w:snapToGrid/>
          <w:spacing w:val="21"/>
          <w:szCs w:val="24"/>
        </w:rPr>
        <w:t xml:space="preserve"> </w:t>
      </w:r>
      <w:r w:rsidRPr="002F44B7">
        <w:rPr>
          <w:rFonts w:eastAsiaTheme="minorHAnsi"/>
          <w:snapToGrid/>
          <w:szCs w:val="24"/>
        </w:rPr>
        <w:t>cost</w:t>
      </w:r>
      <w:r w:rsidRPr="002F44B7">
        <w:rPr>
          <w:rFonts w:eastAsiaTheme="minorHAnsi"/>
          <w:snapToGrid/>
          <w:spacing w:val="8"/>
          <w:szCs w:val="24"/>
        </w:rPr>
        <w:t xml:space="preserve"> </w:t>
      </w:r>
      <w:r w:rsidRPr="002F44B7">
        <w:rPr>
          <w:rFonts w:eastAsiaTheme="minorHAnsi"/>
          <w:snapToGrid/>
          <w:szCs w:val="24"/>
        </w:rPr>
        <w:t>accurately</w:t>
      </w:r>
      <w:r w:rsidRPr="002F44B7">
        <w:rPr>
          <w:rFonts w:eastAsiaTheme="minorHAnsi"/>
          <w:snapToGrid/>
          <w:spacing w:val="18"/>
          <w:szCs w:val="24"/>
        </w:rPr>
        <w:t xml:space="preserve"> </w:t>
      </w:r>
      <w:r w:rsidRPr="002F44B7">
        <w:rPr>
          <w:rFonts w:eastAsiaTheme="minorHAnsi"/>
          <w:snapToGrid/>
          <w:szCs w:val="24"/>
        </w:rPr>
        <w:t>reflects</w:t>
      </w:r>
      <w:r w:rsidRPr="002F44B7">
        <w:rPr>
          <w:rFonts w:eastAsiaTheme="minorHAnsi"/>
          <w:snapToGrid/>
          <w:spacing w:val="10"/>
          <w:szCs w:val="24"/>
        </w:rPr>
        <w:t xml:space="preserve"> </w:t>
      </w:r>
      <w:r w:rsidRPr="002F44B7">
        <w:rPr>
          <w:rFonts w:eastAsiaTheme="minorHAnsi"/>
          <w:snapToGrid/>
          <w:szCs w:val="24"/>
        </w:rPr>
        <w:t>the</w:t>
      </w:r>
      <w:r w:rsidRPr="002F44B7">
        <w:rPr>
          <w:rFonts w:eastAsiaTheme="minorHAnsi"/>
          <w:snapToGrid/>
          <w:spacing w:val="1"/>
          <w:szCs w:val="24"/>
        </w:rPr>
        <w:t xml:space="preserve"> </w:t>
      </w:r>
      <w:r w:rsidRPr="002F44B7">
        <w:rPr>
          <w:rFonts w:eastAsiaTheme="minorHAnsi"/>
          <w:snapToGrid/>
          <w:szCs w:val="24"/>
        </w:rPr>
        <w:t>current</w:t>
      </w:r>
      <w:r w:rsidRPr="002F44B7">
        <w:rPr>
          <w:rFonts w:eastAsiaTheme="minorHAnsi"/>
          <w:snapToGrid/>
          <w:spacing w:val="9"/>
          <w:szCs w:val="24"/>
        </w:rPr>
        <w:t xml:space="preserve"> </w:t>
      </w:r>
      <w:r w:rsidRPr="002F44B7">
        <w:rPr>
          <w:rFonts w:eastAsiaTheme="minorHAnsi"/>
          <w:snapToGrid/>
          <w:szCs w:val="24"/>
        </w:rPr>
        <w:t>burden</w:t>
      </w:r>
      <w:r w:rsidRPr="002F44B7">
        <w:rPr>
          <w:rFonts w:eastAsiaTheme="minorHAnsi"/>
          <w:snapToGrid/>
          <w:spacing w:val="15"/>
          <w:szCs w:val="24"/>
        </w:rPr>
        <w:t xml:space="preserve"> </w:t>
      </w:r>
      <w:r w:rsidRPr="002F44B7">
        <w:rPr>
          <w:rFonts w:eastAsiaTheme="minorHAnsi"/>
          <w:snapToGrid/>
          <w:szCs w:val="24"/>
        </w:rPr>
        <w:t>for</w:t>
      </w:r>
      <w:r w:rsidRPr="002F44B7">
        <w:rPr>
          <w:rFonts w:eastAsiaTheme="minorHAnsi"/>
          <w:snapToGrid/>
          <w:spacing w:val="2"/>
          <w:szCs w:val="24"/>
        </w:rPr>
        <w:t xml:space="preserve"> </w:t>
      </w:r>
      <w:r w:rsidRPr="002F44B7">
        <w:rPr>
          <w:rFonts w:eastAsiaTheme="minorHAnsi"/>
          <w:snapToGrid/>
          <w:szCs w:val="24"/>
        </w:rPr>
        <w:t>the</w:t>
      </w:r>
      <w:r w:rsidRPr="002F44B7">
        <w:rPr>
          <w:rFonts w:eastAsiaTheme="minorHAnsi"/>
          <w:snapToGrid/>
          <w:spacing w:val="6"/>
          <w:szCs w:val="24"/>
        </w:rPr>
        <w:t xml:space="preserve"> </w:t>
      </w:r>
      <w:r w:rsidRPr="002F44B7">
        <w:rPr>
          <w:rFonts w:eastAsiaTheme="minorHAnsi"/>
          <w:snapToGrid/>
          <w:szCs w:val="24"/>
        </w:rPr>
        <w:t>purposes</w:t>
      </w:r>
      <w:r w:rsidRPr="002F44B7">
        <w:rPr>
          <w:rFonts w:eastAsiaTheme="minorHAnsi"/>
          <w:snapToGrid/>
          <w:spacing w:val="15"/>
          <w:szCs w:val="24"/>
        </w:rPr>
        <w:t xml:space="preserve"> </w:t>
      </w:r>
      <w:r w:rsidRPr="002F44B7">
        <w:rPr>
          <w:rFonts w:eastAsiaTheme="minorHAnsi"/>
          <w:snapToGrid/>
          <w:szCs w:val="24"/>
        </w:rPr>
        <w:t>of</w:t>
      </w:r>
      <w:r w:rsidRPr="002F44B7">
        <w:rPr>
          <w:rFonts w:eastAsiaTheme="minorHAnsi"/>
          <w:snapToGrid/>
          <w:spacing w:val="-5"/>
          <w:szCs w:val="24"/>
        </w:rPr>
        <w:t xml:space="preserve"> </w:t>
      </w:r>
      <w:r w:rsidRPr="002F44B7">
        <w:rPr>
          <w:rFonts w:eastAsiaTheme="minorHAnsi"/>
          <w:snapToGrid/>
          <w:szCs w:val="24"/>
        </w:rPr>
        <w:t>this</w:t>
      </w:r>
      <w:r w:rsidRPr="002F44B7">
        <w:rPr>
          <w:rFonts w:eastAsiaTheme="minorHAnsi"/>
          <w:snapToGrid/>
          <w:spacing w:val="10"/>
          <w:szCs w:val="24"/>
        </w:rPr>
        <w:t xml:space="preserve"> </w:t>
      </w:r>
      <w:r w:rsidRPr="002F44B7">
        <w:rPr>
          <w:rFonts w:eastAsiaTheme="minorHAnsi"/>
          <w:snapToGrid/>
          <w:szCs w:val="24"/>
        </w:rPr>
        <w:t>application</w:t>
      </w:r>
      <w:r w:rsidRPr="002F44B7">
        <w:rPr>
          <w:rFonts w:eastAsiaTheme="minorHAnsi"/>
          <w:snapToGrid/>
          <w:spacing w:val="16"/>
          <w:szCs w:val="24"/>
        </w:rPr>
        <w:t xml:space="preserve"> </w:t>
      </w:r>
      <w:r w:rsidRPr="002F44B7">
        <w:rPr>
          <w:rFonts w:eastAsiaTheme="minorHAnsi"/>
          <w:snapToGrid/>
          <w:szCs w:val="24"/>
        </w:rPr>
        <w:t>when</w:t>
      </w:r>
      <w:r w:rsidRPr="002F44B7">
        <w:rPr>
          <w:rFonts w:eastAsiaTheme="minorHAnsi"/>
          <w:snapToGrid/>
          <w:spacing w:val="11"/>
          <w:szCs w:val="24"/>
        </w:rPr>
        <w:t xml:space="preserve"> </w:t>
      </w:r>
      <w:r w:rsidRPr="002F44B7">
        <w:rPr>
          <w:rFonts w:eastAsiaTheme="minorHAnsi"/>
          <w:snapToGrid/>
          <w:szCs w:val="24"/>
        </w:rPr>
        <w:t>completing</w:t>
      </w:r>
      <w:r w:rsidRPr="002F44B7">
        <w:rPr>
          <w:rFonts w:eastAsiaTheme="minorHAnsi"/>
          <w:snapToGrid/>
          <w:spacing w:val="7"/>
          <w:szCs w:val="24"/>
        </w:rPr>
        <w:t xml:space="preserve"> </w:t>
      </w:r>
      <w:r w:rsidRPr="002F44B7">
        <w:rPr>
          <w:rFonts w:eastAsiaTheme="minorHAnsi"/>
          <w:snapToGrid/>
          <w:szCs w:val="24"/>
        </w:rPr>
        <w:t>this</w:t>
      </w:r>
      <w:r w:rsidRPr="002F44B7">
        <w:rPr>
          <w:rFonts w:eastAsiaTheme="minorHAnsi"/>
          <w:snapToGrid/>
          <w:spacing w:val="5"/>
          <w:szCs w:val="24"/>
        </w:rPr>
        <w:t xml:space="preserve"> </w:t>
      </w:r>
      <w:r w:rsidRPr="002F44B7">
        <w:rPr>
          <w:rFonts w:eastAsiaTheme="minorHAnsi"/>
          <w:snapToGrid/>
          <w:szCs w:val="24"/>
        </w:rPr>
        <w:t>proposed</w:t>
      </w:r>
      <w:r w:rsidRPr="002F44B7">
        <w:rPr>
          <w:rFonts w:eastAsiaTheme="minorHAnsi"/>
          <w:snapToGrid/>
          <w:spacing w:val="29"/>
          <w:szCs w:val="24"/>
        </w:rPr>
        <w:t xml:space="preserve"> </w:t>
      </w:r>
      <w:r w:rsidRPr="002F44B7">
        <w:rPr>
          <w:rFonts w:eastAsiaTheme="minorHAnsi"/>
          <w:snapToGrid/>
          <w:szCs w:val="24"/>
        </w:rPr>
        <w:t>revision</w:t>
      </w:r>
      <w:r w:rsidRPr="002F44B7">
        <w:rPr>
          <w:rFonts w:eastAsiaTheme="minorHAnsi"/>
          <w:snapToGrid/>
          <w:spacing w:val="23"/>
          <w:szCs w:val="24"/>
        </w:rPr>
        <w:t xml:space="preserve"> </w:t>
      </w:r>
      <w:r w:rsidRPr="002F44B7">
        <w:rPr>
          <w:rFonts w:eastAsiaTheme="minorHAnsi"/>
          <w:snapToGrid/>
          <w:szCs w:val="24"/>
        </w:rPr>
        <w:t>of</w:t>
      </w:r>
      <w:r w:rsidRPr="002F44B7">
        <w:rPr>
          <w:rFonts w:eastAsiaTheme="minorHAnsi"/>
          <w:snapToGrid/>
          <w:spacing w:val="-1"/>
          <w:szCs w:val="24"/>
        </w:rPr>
        <w:t xml:space="preserve"> </w:t>
      </w:r>
      <w:r w:rsidRPr="002F44B7">
        <w:rPr>
          <w:rFonts w:eastAsiaTheme="minorHAnsi"/>
          <w:snapToGrid/>
          <w:szCs w:val="24"/>
        </w:rPr>
        <w:t>the CMS-</w:t>
      </w:r>
      <w:r w:rsidRPr="002F44B7" w:rsidR="00D439A9">
        <w:rPr>
          <w:rFonts w:eastAsiaTheme="minorHAnsi"/>
          <w:snapToGrid/>
          <w:szCs w:val="24"/>
        </w:rPr>
        <w:t>855B</w:t>
      </w:r>
      <w:r w:rsidRPr="002F44B7">
        <w:rPr>
          <w:rFonts w:eastAsiaTheme="minorHAnsi"/>
          <w:snapToGrid/>
          <w:szCs w:val="24"/>
        </w:rPr>
        <w:t>.</w:t>
      </w:r>
      <w:r w:rsidRPr="002F44B7">
        <w:rPr>
          <w:rFonts w:eastAsiaTheme="minorHAnsi"/>
          <w:snapToGrid/>
          <w:spacing w:val="27"/>
          <w:szCs w:val="24"/>
        </w:rPr>
        <w:t xml:space="preserve">  </w:t>
      </w:r>
      <w:r w:rsidRPr="002F44B7">
        <w:rPr>
          <w:rFonts w:eastAsiaTheme="minorHAnsi"/>
          <w:snapToGrid/>
          <w:szCs w:val="24"/>
        </w:rPr>
        <w:t>CMS</w:t>
      </w:r>
      <w:r w:rsidRPr="002F44B7">
        <w:rPr>
          <w:rFonts w:eastAsiaTheme="minorHAnsi"/>
          <w:snapToGrid/>
          <w:spacing w:val="4"/>
          <w:szCs w:val="24"/>
        </w:rPr>
        <w:t xml:space="preserve"> </w:t>
      </w:r>
      <w:r w:rsidRPr="002F44B7">
        <w:rPr>
          <w:rFonts w:eastAsiaTheme="minorHAnsi"/>
          <w:snapToGrid/>
          <w:szCs w:val="24"/>
        </w:rPr>
        <w:t>is</w:t>
      </w:r>
      <w:r w:rsidRPr="002F44B7">
        <w:rPr>
          <w:rFonts w:eastAsiaTheme="minorHAnsi"/>
          <w:snapToGrid/>
          <w:spacing w:val="-9"/>
          <w:szCs w:val="24"/>
        </w:rPr>
        <w:t xml:space="preserve"> </w:t>
      </w:r>
      <w:r w:rsidRPr="002F44B7">
        <w:rPr>
          <w:rFonts w:eastAsiaTheme="minorHAnsi"/>
          <w:snapToGrid/>
          <w:szCs w:val="24"/>
        </w:rPr>
        <w:t>basing</w:t>
      </w:r>
      <w:r w:rsidRPr="002F44B7">
        <w:rPr>
          <w:rFonts w:eastAsiaTheme="minorHAnsi"/>
          <w:snapToGrid/>
          <w:spacing w:val="11"/>
          <w:szCs w:val="24"/>
        </w:rPr>
        <w:t xml:space="preserve"> </w:t>
      </w:r>
      <w:r w:rsidRPr="002F44B7">
        <w:rPr>
          <w:rFonts w:eastAsiaTheme="minorHAnsi"/>
          <w:snapToGrid/>
          <w:szCs w:val="24"/>
        </w:rPr>
        <w:t>the</w:t>
      </w:r>
      <w:r w:rsidRPr="002F44B7">
        <w:rPr>
          <w:rFonts w:eastAsiaTheme="minorHAnsi"/>
          <w:snapToGrid/>
          <w:spacing w:val="6"/>
          <w:szCs w:val="24"/>
        </w:rPr>
        <w:t xml:space="preserve"> </w:t>
      </w:r>
      <w:r w:rsidRPr="002F44B7">
        <w:rPr>
          <w:rFonts w:eastAsiaTheme="minorHAnsi"/>
          <w:snapToGrid/>
          <w:szCs w:val="24"/>
        </w:rPr>
        <w:t>new</w:t>
      </w:r>
      <w:r w:rsidRPr="002F44B7">
        <w:rPr>
          <w:rFonts w:eastAsiaTheme="minorHAnsi"/>
          <w:snapToGrid/>
          <w:spacing w:val="9"/>
          <w:szCs w:val="24"/>
        </w:rPr>
        <w:t xml:space="preserve"> </w:t>
      </w:r>
      <w:r w:rsidRPr="002F44B7">
        <w:rPr>
          <w:rFonts w:eastAsiaTheme="minorHAnsi"/>
          <w:snapToGrid/>
          <w:szCs w:val="24"/>
        </w:rPr>
        <w:t>burden</w:t>
      </w:r>
      <w:r w:rsidRPr="002F44B7">
        <w:rPr>
          <w:rFonts w:eastAsiaTheme="minorHAnsi"/>
          <w:snapToGrid/>
          <w:spacing w:val="21"/>
          <w:szCs w:val="24"/>
        </w:rPr>
        <w:t xml:space="preserve"> </w:t>
      </w:r>
      <w:r w:rsidRPr="002F44B7">
        <w:rPr>
          <w:rFonts w:eastAsiaTheme="minorHAnsi"/>
          <w:snapToGrid/>
          <w:szCs w:val="24"/>
        </w:rPr>
        <w:t>amounts</w:t>
      </w:r>
      <w:r w:rsidRPr="002F44B7">
        <w:rPr>
          <w:rFonts w:eastAsiaTheme="minorHAnsi"/>
          <w:snapToGrid/>
          <w:spacing w:val="15"/>
          <w:szCs w:val="24"/>
        </w:rPr>
        <w:t xml:space="preserve"> </w:t>
      </w:r>
      <w:r w:rsidRPr="002F44B7">
        <w:rPr>
          <w:rFonts w:eastAsiaTheme="minorHAnsi"/>
          <w:snapToGrid/>
          <w:szCs w:val="24"/>
        </w:rPr>
        <w:t>on</w:t>
      </w:r>
      <w:r w:rsidRPr="002F44B7">
        <w:rPr>
          <w:rFonts w:eastAsiaTheme="minorHAnsi"/>
          <w:snapToGrid/>
          <w:spacing w:val="-2"/>
          <w:szCs w:val="24"/>
        </w:rPr>
        <w:t xml:space="preserve"> </w:t>
      </w:r>
      <w:r w:rsidRPr="002F44B7">
        <w:rPr>
          <w:rFonts w:eastAsiaTheme="minorHAnsi"/>
          <w:snapToGrid/>
          <w:szCs w:val="24"/>
        </w:rPr>
        <w:t>data</w:t>
      </w:r>
      <w:r w:rsidRPr="002F44B7">
        <w:rPr>
          <w:rFonts w:eastAsiaTheme="minorHAnsi"/>
          <w:snapToGrid/>
          <w:spacing w:val="2"/>
          <w:szCs w:val="24"/>
        </w:rPr>
        <w:t xml:space="preserve"> </w:t>
      </w:r>
      <w:r w:rsidRPr="002F44B7">
        <w:rPr>
          <w:rFonts w:eastAsiaTheme="minorHAnsi"/>
          <w:snapToGrid/>
          <w:szCs w:val="24"/>
        </w:rPr>
        <w:t>compiled</w:t>
      </w:r>
      <w:r w:rsidRPr="002F44B7">
        <w:rPr>
          <w:rFonts w:eastAsiaTheme="minorHAnsi"/>
          <w:snapToGrid/>
          <w:spacing w:val="22"/>
          <w:szCs w:val="24"/>
        </w:rPr>
        <w:t xml:space="preserve"> </w:t>
      </w:r>
      <w:r w:rsidRPr="002F44B7">
        <w:rPr>
          <w:rFonts w:eastAsiaTheme="minorHAnsi"/>
          <w:snapToGrid/>
          <w:szCs w:val="24"/>
        </w:rPr>
        <w:t>from</w:t>
      </w:r>
      <w:r w:rsidRPr="002F44B7">
        <w:rPr>
          <w:rFonts w:eastAsiaTheme="minorHAnsi"/>
          <w:snapToGrid/>
          <w:spacing w:val="11"/>
          <w:szCs w:val="24"/>
        </w:rPr>
        <w:t xml:space="preserve"> </w:t>
      </w:r>
      <w:r w:rsidRPr="002F44B7">
        <w:rPr>
          <w:rFonts w:eastAsiaTheme="minorHAnsi"/>
          <w:snapToGrid/>
          <w:szCs w:val="24"/>
        </w:rPr>
        <w:t>PECOS and the Medicare Administrative Contractors (MACs).</w:t>
      </w:r>
      <w:r w:rsidRPr="002F44B7">
        <w:rPr>
          <w:rFonts w:eastAsiaTheme="minorHAnsi"/>
          <w:snapToGrid/>
          <w:spacing w:val="21"/>
          <w:szCs w:val="24"/>
        </w:rPr>
        <w:t xml:space="preserve">  </w:t>
      </w:r>
      <w:r w:rsidRPr="002F44B7">
        <w:rPr>
          <w:rFonts w:eastAsiaTheme="minorHAnsi"/>
          <w:snapToGrid/>
          <w:szCs w:val="24"/>
        </w:rPr>
        <w:t>The</w:t>
      </w:r>
      <w:r w:rsidRPr="002F44B7">
        <w:rPr>
          <w:rFonts w:eastAsiaTheme="minorHAnsi"/>
          <w:snapToGrid/>
          <w:spacing w:val="2"/>
          <w:szCs w:val="24"/>
        </w:rPr>
        <w:t xml:space="preserve"> </w:t>
      </w:r>
      <w:r w:rsidRPr="002F44B7">
        <w:rPr>
          <w:rFonts w:eastAsiaTheme="minorHAnsi"/>
          <w:snapToGrid/>
          <w:szCs w:val="24"/>
        </w:rPr>
        <w:t>new</w:t>
      </w:r>
      <w:r w:rsidRPr="002F44B7">
        <w:rPr>
          <w:rFonts w:eastAsiaTheme="minorHAnsi"/>
          <w:snapToGrid/>
          <w:spacing w:val="1"/>
          <w:szCs w:val="24"/>
        </w:rPr>
        <w:t xml:space="preserve"> </w:t>
      </w:r>
      <w:r w:rsidRPr="002F44B7" w:rsidR="002E0E9D">
        <w:rPr>
          <w:rFonts w:eastAsiaTheme="minorHAnsi"/>
          <w:snapToGrid/>
          <w:spacing w:val="1"/>
          <w:szCs w:val="24"/>
        </w:rPr>
        <w:t xml:space="preserve">cost </w:t>
      </w:r>
      <w:r w:rsidRPr="002F44B7">
        <w:rPr>
          <w:rFonts w:eastAsiaTheme="minorHAnsi"/>
          <w:snapToGrid/>
          <w:szCs w:val="24"/>
        </w:rPr>
        <w:t>estimates</w:t>
      </w:r>
      <w:r w:rsidRPr="002F44B7">
        <w:rPr>
          <w:rFonts w:eastAsiaTheme="minorHAnsi"/>
          <w:snapToGrid/>
          <w:spacing w:val="18"/>
          <w:szCs w:val="24"/>
        </w:rPr>
        <w:t xml:space="preserve"> </w:t>
      </w:r>
      <w:r w:rsidRPr="002F44B7">
        <w:rPr>
          <w:rFonts w:eastAsiaTheme="minorHAnsi"/>
          <w:snapToGrid/>
          <w:szCs w:val="24"/>
        </w:rPr>
        <w:t>for</w:t>
      </w:r>
      <w:r w:rsidRPr="002F44B7">
        <w:rPr>
          <w:rFonts w:eastAsiaTheme="minorHAnsi"/>
          <w:snapToGrid/>
          <w:spacing w:val="1"/>
          <w:szCs w:val="24"/>
        </w:rPr>
        <w:t xml:space="preserve"> </w:t>
      </w:r>
      <w:r w:rsidRPr="002F44B7">
        <w:rPr>
          <w:rFonts w:eastAsiaTheme="minorHAnsi"/>
          <w:snapToGrid/>
          <w:szCs w:val="24"/>
        </w:rPr>
        <w:t>completing</w:t>
      </w:r>
      <w:r w:rsidRPr="002F44B7">
        <w:rPr>
          <w:rFonts w:eastAsiaTheme="minorHAnsi"/>
          <w:snapToGrid/>
          <w:spacing w:val="11"/>
          <w:szCs w:val="24"/>
        </w:rPr>
        <w:t xml:space="preserve"> </w:t>
      </w:r>
      <w:r w:rsidRPr="002F44B7" w:rsidR="002E0E9D">
        <w:rPr>
          <w:rFonts w:eastAsiaTheme="minorHAnsi"/>
          <w:snapToGrid/>
          <w:spacing w:val="11"/>
          <w:szCs w:val="24"/>
        </w:rPr>
        <w:t>an individual</w:t>
      </w:r>
      <w:r w:rsidRPr="002F44B7">
        <w:rPr>
          <w:rFonts w:eastAsiaTheme="minorHAnsi"/>
          <w:snapToGrid/>
          <w:spacing w:val="10"/>
          <w:szCs w:val="24"/>
        </w:rPr>
        <w:t xml:space="preserve"> </w:t>
      </w:r>
      <w:r w:rsidRPr="002F44B7">
        <w:rPr>
          <w:rFonts w:eastAsiaTheme="minorHAnsi"/>
          <w:snapToGrid/>
          <w:szCs w:val="24"/>
        </w:rPr>
        <w:t>CMS-</w:t>
      </w:r>
      <w:r w:rsidRPr="002F44B7" w:rsidR="00D439A9">
        <w:rPr>
          <w:rFonts w:eastAsiaTheme="minorHAnsi"/>
          <w:snapToGrid/>
          <w:szCs w:val="24"/>
        </w:rPr>
        <w:t>855B</w:t>
      </w:r>
      <w:r w:rsidRPr="002F44B7">
        <w:rPr>
          <w:rFonts w:eastAsiaTheme="minorHAnsi"/>
          <w:snapToGrid/>
          <w:spacing w:val="16"/>
          <w:szCs w:val="24"/>
        </w:rPr>
        <w:t xml:space="preserve"> </w:t>
      </w:r>
      <w:r w:rsidRPr="002F44B7">
        <w:rPr>
          <w:rFonts w:eastAsiaTheme="minorHAnsi"/>
          <w:snapToGrid/>
          <w:szCs w:val="24"/>
        </w:rPr>
        <w:t>Medicare</w:t>
      </w:r>
      <w:r w:rsidRPr="002F44B7">
        <w:rPr>
          <w:rFonts w:eastAsiaTheme="minorHAnsi"/>
          <w:snapToGrid/>
          <w:spacing w:val="28"/>
          <w:szCs w:val="24"/>
        </w:rPr>
        <w:t xml:space="preserve"> </w:t>
      </w:r>
      <w:r w:rsidRPr="002F44B7">
        <w:rPr>
          <w:rFonts w:eastAsiaTheme="minorHAnsi"/>
          <w:snapToGrid/>
          <w:szCs w:val="24"/>
        </w:rPr>
        <w:t>enrollment</w:t>
      </w:r>
      <w:r w:rsidRPr="002F44B7">
        <w:rPr>
          <w:rFonts w:eastAsiaTheme="minorHAnsi"/>
          <w:snapToGrid/>
          <w:spacing w:val="18"/>
          <w:szCs w:val="24"/>
        </w:rPr>
        <w:t xml:space="preserve"> </w:t>
      </w:r>
      <w:r w:rsidRPr="002F44B7">
        <w:rPr>
          <w:rFonts w:eastAsiaTheme="minorHAnsi"/>
          <w:snapToGrid/>
          <w:szCs w:val="24"/>
        </w:rPr>
        <w:t>application</w:t>
      </w:r>
      <w:r w:rsidRPr="002F44B7">
        <w:rPr>
          <w:rFonts w:eastAsiaTheme="minorHAnsi"/>
          <w:snapToGrid/>
          <w:spacing w:val="16"/>
          <w:szCs w:val="24"/>
        </w:rPr>
        <w:t xml:space="preserve"> </w:t>
      </w:r>
      <w:r w:rsidRPr="002F44B7">
        <w:rPr>
          <w:rFonts w:eastAsiaTheme="minorHAnsi"/>
          <w:snapToGrid/>
          <w:szCs w:val="24"/>
        </w:rPr>
        <w:t>form</w:t>
      </w:r>
      <w:r w:rsidRPr="002F44B7">
        <w:rPr>
          <w:rFonts w:eastAsiaTheme="minorHAnsi"/>
          <w:snapToGrid/>
          <w:spacing w:val="6"/>
          <w:szCs w:val="24"/>
        </w:rPr>
        <w:t xml:space="preserve"> </w:t>
      </w:r>
      <w:r w:rsidRPr="002F44B7">
        <w:rPr>
          <w:rFonts w:eastAsiaTheme="minorHAnsi"/>
          <w:snapToGrid/>
          <w:szCs w:val="24"/>
        </w:rPr>
        <w:t>for</w:t>
      </w:r>
      <w:r w:rsidRPr="002F44B7">
        <w:rPr>
          <w:rFonts w:eastAsiaTheme="minorHAnsi"/>
          <w:snapToGrid/>
          <w:spacing w:val="7"/>
          <w:szCs w:val="24"/>
        </w:rPr>
        <w:t xml:space="preserve"> the s</w:t>
      </w:r>
      <w:r w:rsidRPr="002F44B7" w:rsidR="006F4004">
        <w:rPr>
          <w:rFonts w:eastAsiaTheme="minorHAnsi"/>
          <w:snapToGrid/>
          <w:spacing w:val="7"/>
          <w:szCs w:val="24"/>
        </w:rPr>
        <w:t>ix</w:t>
      </w:r>
      <w:r w:rsidRPr="002F44B7">
        <w:rPr>
          <w:rFonts w:eastAsiaTheme="minorHAnsi"/>
          <w:snapToGrid/>
          <w:spacing w:val="7"/>
          <w:szCs w:val="24"/>
        </w:rPr>
        <w:t xml:space="preserve"> submission reasons shown </w:t>
      </w:r>
      <w:r w:rsidRPr="002F44B7" w:rsidR="002E0E9D">
        <w:rPr>
          <w:rFonts w:eastAsiaTheme="minorHAnsi"/>
          <w:snapToGrid/>
          <w:spacing w:val="7"/>
          <w:szCs w:val="24"/>
        </w:rPr>
        <w:t xml:space="preserve">above </w:t>
      </w:r>
      <w:r w:rsidRPr="002F44B7">
        <w:rPr>
          <w:rFonts w:eastAsiaTheme="minorHAnsi"/>
          <w:snapToGrid/>
          <w:spacing w:val="7"/>
          <w:szCs w:val="24"/>
        </w:rPr>
        <w:t>in table</w:t>
      </w:r>
      <w:r w:rsidRPr="002F44B7" w:rsidR="006F4004">
        <w:rPr>
          <w:rFonts w:eastAsiaTheme="minorHAnsi"/>
          <w:snapToGrid/>
          <w:spacing w:val="7"/>
          <w:szCs w:val="24"/>
        </w:rPr>
        <w:t xml:space="preserve"> 2</w:t>
      </w:r>
      <w:r w:rsidRPr="002F44B7">
        <w:rPr>
          <w:rFonts w:eastAsiaTheme="minorHAnsi"/>
          <w:snapToGrid/>
          <w:spacing w:val="7"/>
          <w:szCs w:val="24"/>
        </w:rPr>
        <w:t xml:space="preserve"> (initial enrollment, revalidation, reactivation, enrolling with another MAC, reporting </w:t>
      </w:r>
      <w:r w:rsidRPr="002F44B7">
        <w:rPr>
          <w:rFonts w:eastAsiaTheme="minorHAnsi"/>
          <w:snapToGrid/>
          <w:spacing w:val="7"/>
          <w:szCs w:val="24"/>
        </w:rPr>
        <w:lastRenderedPageBreak/>
        <w:t xml:space="preserve">a change of Medicare enrollment information, and voluntary termination of Medicare enrollment) </w:t>
      </w:r>
      <w:r w:rsidRPr="002F44B7">
        <w:rPr>
          <w:rFonts w:eastAsiaTheme="minorHAnsi"/>
          <w:snapToGrid/>
          <w:szCs w:val="24"/>
        </w:rPr>
        <w:t>are</w:t>
      </w:r>
      <w:r w:rsidRPr="002F44B7">
        <w:rPr>
          <w:rFonts w:eastAsiaTheme="minorHAnsi"/>
          <w:snapToGrid/>
          <w:spacing w:val="-2"/>
          <w:szCs w:val="24"/>
        </w:rPr>
        <w:t xml:space="preserve"> </w:t>
      </w:r>
      <w:r w:rsidRPr="002F44B7">
        <w:rPr>
          <w:rFonts w:eastAsiaTheme="minorHAnsi"/>
          <w:snapToGrid/>
          <w:szCs w:val="24"/>
        </w:rPr>
        <w:t>taken</w:t>
      </w:r>
      <w:r w:rsidRPr="002F44B7">
        <w:rPr>
          <w:rFonts w:eastAsiaTheme="minorHAnsi"/>
          <w:snapToGrid/>
          <w:spacing w:val="16"/>
          <w:szCs w:val="24"/>
        </w:rPr>
        <w:t xml:space="preserve"> </w:t>
      </w:r>
      <w:r w:rsidRPr="002F44B7">
        <w:rPr>
          <w:rFonts w:eastAsiaTheme="minorHAnsi"/>
          <w:snapToGrid/>
          <w:szCs w:val="24"/>
        </w:rPr>
        <w:t>directly</w:t>
      </w:r>
      <w:r w:rsidRPr="002F44B7">
        <w:rPr>
          <w:rFonts w:eastAsiaTheme="minorHAnsi"/>
          <w:snapToGrid/>
          <w:spacing w:val="13"/>
          <w:szCs w:val="24"/>
        </w:rPr>
        <w:t xml:space="preserve"> </w:t>
      </w:r>
      <w:r w:rsidRPr="002F44B7">
        <w:rPr>
          <w:rFonts w:eastAsiaTheme="minorHAnsi"/>
          <w:snapToGrid/>
          <w:szCs w:val="24"/>
        </w:rPr>
        <w:t>from</w:t>
      </w:r>
      <w:r w:rsidRPr="002F44B7">
        <w:rPr>
          <w:rFonts w:eastAsiaTheme="minorHAnsi"/>
          <w:snapToGrid/>
          <w:spacing w:val="1"/>
          <w:szCs w:val="24"/>
        </w:rPr>
        <w:t xml:space="preserve"> </w:t>
      </w:r>
      <w:r w:rsidRPr="002F44B7">
        <w:rPr>
          <w:rFonts w:eastAsiaTheme="minorHAnsi"/>
          <w:snapToGrid/>
          <w:szCs w:val="24"/>
        </w:rPr>
        <w:t>the</w:t>
      </w:r>
      <w:r w:rsidRPr="002F44B7">
        <w:rPr>
          <w:rFonts w:eastAsiaTheme="minorHAnsi"/>
          <w:snapToGrid/>
          <w:spacing w:val="16"/>
          <w:szCs w:val="24"/>
        </w:rPr>
        <w:t xml:space="preserve"> </w:t>
      </w:r>
      <w:r w:rsidRPr="002F44B7">
        <w:rPr>
          <w:rFonts w:eastAsiaTheme="minorHAnsi"/>
          <w:snapToGrid/>
          <w:szCs w:val="24"/>
        </w:rPr>
        <w:t>actual</w:t>
      </w:r>
      <w:r w:rsidRPr="002F44B7">
        <w:rPr>
          <w:rFonts w:eastAsiaTheme="minorHAnsi"/>
          <w:snapToGrid/>
          <w:spacing w:val="13"/>
          <w:szCs w:val="24"/>
        </w:rPr>
        <w:t xml:space="preserve"> </w:t>
      </w:r>
      <w:r w:rsidRPr="002F44B7">
        <w:rPr>
          <w:rFonts w:eastAsiaTheme="minorHAnsi"/>
          <w:snapToGrid/>
          <w:szCs w:val="24"/>
        </w:rPr>
        <w:t>applications</w:t>
      </w:r>
      <w:r w:rsidRPr="002F44B7">
        <w:rPr>
          <w:rFonts w:eastAsiaTheme="minorHAnsi"/>
          <w:snapToGrid/>
          <w:spacing w:val="15"/>
          <w:szCs w:val="24"/>
        </w:rPr>
        <w:t xml:space="preserve"> </w:t>
      </w:r>
      <w:r w:rsidRPr="002F44B7">
        <w:rPr>
          <w:rFonts w:eastAsiaTheme="minorHAnsi"/>
          <w:snapToGrid/>
          <w:szCs w:val="24"/>
        </w:rPr>
        <w:t>processed</w:t>
      </w:r>
      <w:r w:rsidRPr="002F44B7">
        <w:rPr>
          <w:rFonts w:eastAsiaTheme="minorHAnsi"/>
          <w:snapToGrid/>
          <w:spacing w:val="28"/>
          <w:szCs w:val="24"/>
        </w:rPr>
        <w:t xml:space="preserve"> </w:t>
      </w:r>
      <w:r w:rsidRPr="002F44B7">
        <w:rPr>
          <w:rFonts w:eastAsiaTheme="minorHAnsi"/>
          <w:snapToGrid/>
          <w:szCs w:val="24"/>
        </w:rPr>
        <w:t>for</w:t>
      </w:r>
      <w:r w:rsidRPr="002F44B7">
        <w:rPr>
          <w:rFonts w:eastAsiaTheme="minorHAnsi"/>
          <w:snapToGrid/>
          <w:spacing w:val="2"/>
          <w:szCs w:val="24"/>
        </w:rPr>
        <w:t xml:space="preserve"> </w:t>
      </w:r>
      <w:r w:rsidRPr="002F44B7">
        <w:rPr>
          <w:rFonts w:eastAsiaTheme="minorHAnsi"/>
          <w:snapToGrid/>
          <w:szCs w:val="24"/>
        </w:rPr>
        <w:t>calendar year</w:t>
      </w:r>
      <w:r w:rsidRPr="002F44B7" w:rsidR="00213983">
        <w:rPr>
          <w:rFonts w:eastAsiaTheme="minorHAnsi"/>
          <w:snapToGrid/>
          <w:szCs w:val="24"/>
        </w:rPr>
        <w:t xml:space="preserve"> 2018.</w:t>
      </w:r>
      <w:r w:rsidRPr="002F44B7">
        <w:rPr>
          <w:rFonts w:eastAsiaTheme="minorHAnsi"/>
          <w:snapToGrid/>
          <w:szCs w:val="24"/>
        </w:rPr>
        <w:t xml:space="preserve">  </w:t>
      </w:r>
      <w:r w:rsidRPr="002F44B7" w:rsidR="00CF0521">
        <w:rPr>
          <w:rFonts w:eastAsiaTheme="minorHAnsi"/>
          <w:snapToGrid/>
          <w:szCs w:val="24"/>
        </w:rPr>
        <w:t>T</w:t>
      </w:r>
      <w:r w:rsidRPr="002F44B7">
        <w:rPr>
          <w:rFonts w:eastAsiaTheme="minorHAnsi"/>
          <w:snapToGrid/>
          <w:szCs w:val="24"/>
        </w:rPr>
        <w:t>he</w:t>
      </w:r>
      <w:r w:rsidRPr="002F44B7">
        <w:rPr>
          <w:rFonts w:eastAsiaTheme="minorHAnsi"/>
          <w:snapToGrid/>
          <w:spacing w:val="2"/>
          <w:szCs w:val="24"/>
        </w:rPr>
        <w:t xml:space="preserve"> </w:t>
      </w:r>
      <w:r w:rsidRPr="002F44B7">
        <w:rPr>
          <w:rFonts w:eastAsiaTheme="minorHAnsi"/>
          <w:snapToGrid/>
          <w:szCs w:val="24"/>
        </w:rPr>
        <w:t>new</w:t>
      </w:r>
      <w:r w:rsidRPr="002F44B7">
        <w:rPr>
          <w:rFonts w:eastAsiaTheme="minorHAnsi"/>
          <w:snapToGrid/>
          <w:spacing w:val="15"/>
          <w:szCs w:val="24"/>
        </w:rPr>
        <w:t xml:space="preserve"> </w:t>
      </w:r>
      <w:r w:rsidRPr="002F44B7">
        <w:rPr>
          <w:rFonts w:eastAsiaTheme="minorHAnsi"/>
          <w:snapToGrid/>
          <w:szCs w:val="24"/>
        </w:rPr>
        <w:t>figures</w:t>
      </w:r>
      <w:r w:rsidRPr="002F44B7">
        <w:rPr>
          <w:rFonts w:eastAsiaTheme="minorHAnsi"/>
          <w:snapToGrid/>
          <w:spacing w:val="15"/>
          <w:szCs w:val="24"/>
        </w:rPr>
        <w:t xml:space="preserve"> </w:t>
      </w:r>
      <w:r w:rsidRPr="002F44B7">
        <w:rPr>
          <w:rFonts w:eastAsiaTheme="minorHAnsi"/>
          <w:snapToGrid/>
          <w:szCs w:val="24"/>
        </w:rPr>
        <w:t>are</w:t>
      </w:r>
      <w:r w:rsidRPr="002F44B7">
        <w:rPr>
          <w:rFonts w:eastAsiaTheme="minorHAnsi"/>
          <w:snapToGrid/>
          <w:spacing w:val="5"/>
          <w:szCs w:val="24"/>
        </w:rPr>
        <w:t xml:space="preserve"> </w:t>
      </w:r>
      <w:r w:rsidRPr="002F44B7">
        <w:rPr>
          <w:rFonts w:eastAsiaTheme="minorHAnsi"/>
          <w:snapToGrid/>
          <w:szCs w:val="24"/>
        </w:rPr>
        <w:t>exact</w:t>
      </w:r>
      <w:r w:rsidRPr="002F44B7">
        <w:rPr>
          <w:rFonts w:eastAsiaTheme="minorHAnsi"/>
          <w:snapToGrid/>
          <w:spacing w:val="1"/>
          <w:szCs w:val="24"/>
        </w:rPr>
        <w:t xml:space="preserve"> </w:t>
      </w:r>
      <w:r w:rsidRPr="002F44B7">
        <w:rPr>
          <w:rFonts w:eastAsiaTheme="minorHAnsi"/>
          <w:snapToGrid/>
          <w:szCs w:val="24"/>
        </w:rPr>
        <w:t>and</w:t>
      </w:r>
      <w:r w:rsidRPr="002F44B7">
        <w:rPr>
          <w:rFonts w:eastAsiaTheme="minorHAnsi"/>
          <w:snapToGrid/>
          <w:spacing w:val="2"/>
          <w:szCs w:val="24"/>
        </w:rPr>
        <w:t xml:space="preserve"> </w:t>
      </w:r>
      <w:r w:rsidRPr="002F44B7">
        <w:rPr>
          <w:rFonts w:eastAsiaTheme="minorHAnsi"/>
          <w:snapToGrid/>
          <w:szCs w:val="24"/>
        </w:rPr>
        <w:t>therefore</w:t>
      </w:r>
      <w:r w:rsidRPr="002F44B7">
        <w:rPr>
          <w:rFonts w:eastAsiaTheme="minorHAnsi"/>
          <w:snapToGrid/>
          <w:spacing w:val="24"/>
          <w:szCs w:val="24"/>
        </w:rPr>
        <w:t xml:space="preserve"> </w:t>
      </w:r>
      <w:r w:rsidRPr="002F44B7">
        <w:rPr>
          <w:rFonts w:eastAsiaTheme="minorHAnsi"/>
          <w:snapToGrid/>
          <w:szCs w:val="24"/>
        </w:rPr>
        <w:t>more</w:t>
      </w:r>
      <w:r w:rsidRPr="002F44B7">
        <w:rPr>
          <w:rFonts w:eastAsiaTheme="minorHAnsi"/>
          <w:snapToGrid/>
          <w:spacing w:val="18"/>
          <w:szCs w:val="24"/>
        </w:rPr>
        <w:t xml:space="preserve"> </w:t>
      </w:r>
      <w:r w:rsidRPr="002F44B7">
        <w:rPr>
          <w:rFonts w:eastAsiaTheme="minorHAnsi"/>
          <w:snapToGrid/>
          <w:szCs w:val="24"/>
        </w:rPr>
        <w:t>accurate</w:t>
      </w:r>
      <w:r w:rsidRPr="002F44B7">
        <w:rPr>
          <w:rFonts w:eastAsiaTheme="minorHAnsi"/>
          <w:snapToGrid/>
          <w:spacing w:val="7"/>
          <w:szCs w:val="24"/>
        </w:rPr>
        <w:t xml:space="preserve"> </w:t>
      </w:r>
      <w:r w:rsidRPr="002F44B7">
        <w:rPr>
          <w:rFonts w:eastAsiaTheme="minorHAnsi"/>
          <w:snapToGrid/>
          <w:szCs w:val="24"/>
        </w:rPr>
        <w:t>than</w:t>
      </w:r>
      <w:r w:rsidRPr="002F44B7">
        <w:rPr>
          <w:rFonts w:eastAsiaTheme="minorHAnsi"/>
          <w:snapToGrid/>
          <w:spacing w:val="9"/>
          <w:szCs w:val="24"/>
        </w:rPr>
        <w:t xml:space="preserve"> </w:t>
      </w:r>
      <w:r w:rsidRPr="002F44B7">
        <w:rPr>
          <w:rFonts w:eastAsiaTheme="minorHAnsi"/>
          <w:snapToGrid/>
          <w:szCs w:val="24"/>
        </w:rPr>
        <w:t>the</w:t>
      </w:r>
      <w:r w:rsidRPr="002F44B7">
        <w:rPr>
          <w:rFonts w:eastAsiaTheme="minorHAnsi"/>
          <w:snapToGrid/>
          <w:spacing w:val="6"/>
          <w:szCs w:val="24"/>
        </w:rPr>
        <w:t xml:space="preserve"> </w:t>
      </w:r>
      <w:r w:rsidRPr="002F44B7">
        <w:rPr>
          <w:rFonts w:eastAsiaTheme="minorHAnsi"/>
          <w:snapToGrid/>
          <w:szCs w:val="24"/>
        </w:rPr>
        <w:t>prior</w:t>
      </w:r>
      <w:r w:rsidRPr="002F44B7">
        <w:rPr>
          <w:rFonts w:eastAsiaTheme="minorHAnsi"/>
          <w:snapToGrid/>
          <w:spacing w:val="19"/>
          <w:szCs w:val="24"/>
        </w:rPr>
        <w:t xml:space="preserve"> </w:t>
      </w:r>
      <w:r w:rsidRPr="002F44B7">
        <w:rPr>
          <w:rFonts w:eastAsiaTheme="minorHAnsi"/>
          <w:snapToGrid/>
          <w:szCs w:val="24"/>
        </w:rPr>
        <w:t>estimates.</w:t>
      </w:r>
    </w:p>
    <w:p w:rsidRPr="002F44B7" w:rsidR="002352C0" w:rsidP="00A02D17" w:rsidRDefault="002352C0" w14:paraId="25FF86E3" w14:textId="77777777">
      <w:pPr>
        <w:widowControl/>
        <w:kinsoku w:val="0"/>
        <w:overflowPunct w:val="0"/>
        <w:autoSpaceDE w:val="0"/>
        <w:autoSpaceDN w:val="0"/>
        <w:adjustRightInd w:val="0"/>
        <w:ind w:left="86" w:right="142" w:hanging="5"/>
        <w:rPr>
          <w:rFonts w:eastAsiaTheme="minorHAnsi"/>
          <w:snapToGrid/>
          <w:szCs w:val="24"/>
        </w:rPr>
      </w:pPr>
    </w:p>
    <w:p w:rsidRPr="002F44B7" w:rsidR="002352C0" w:rsidP="00A02D17" w:rsidRDefault="002352C0" w14:paraId="56E67A78" w14:textId="783D9FEE">
      <w:pPr>
        <w:widowControl/>
        <w:kinsoku w:val="0"/>
        <w:overflowPunct w:val="0"/>
        <w:autoSpaceDE w:val="0"/>
        <w:autoSpaceDN w:val="0"/>
        <w:adjustRightInd w:val="0"/>
        <w:ind w:left="86" w:right="142" w:hanging="5"/>
        <w:rPr>
          <w:rFonts w:eastAsiaTheme="minorHAnsi"/>
          <w:snapToGrid/>
          <w:szCs w:val="24"/>
        </w:rPr>
      </w:pPr>
      <w:r w:rsidRPr="002F44B7">
        <w:rPr>
          <w:rFonts w:eastAsiaTheme="minorHAnsi"/>
          <w:snapToGrid/>
          <w:szCs w:val="24"/>
        </w:rPr>
        <w:t xml:space="preserve">To derive average costs, CMS used data from the U.S. Bureau of </w:t>
      </w:r>
      <w:r w:rsidRPr="002F44B7" w:rsidR="00A233B0">
        <w:rPr>
          <w:rFonts w:eastAsiaTheme="minorHAnsi"/>
          <w:snapToGrid/>
          <w:szCs w:val="24"/>
        </w:rPr>
        <w:t xml:space="preserve">Labor Statistics’ (BLS) May </w:t>
      </w:r>
      <w:r w:rsidRPr="002F44B7" w:rsidR="00355B59">
        <w:rPr>
          <w:rFonts w:eastAsiaTheme="minorHAnsi"/>
          <w:snapToGrid/>
          <w:szCs w:val="24"/>
        </w:rPr>
        <w:t>2019</w:t>
      </w:r>
      <w:r w:rsidRPr="002F44B7">
        <w:rPr>
          <w:rFonts w:eastAsiaTheme="minorHAnsi"/>
          <w:snapToGrid/>
          <w:szCs w:val="24"/>
        </w:rPr>
        <w:t xml:space="preserve"> National Occupational Employment and Wage Estimates for all salary estimates (</w:t>
      </w:r>
      <w:hyperlink w:history="1" r:id="rId6">
        <w:r w:rsidRPr="002F44B7" w:rsidR="00880173">
          <w:rPr>
            <w:rStyle w:val="Hyperlink"/>
            <w:rFonts w:eastAsiaTheme="minorHAnsi"/>
            <w:snapToGrid/>
            <w:szCs w:val="24"/>
          </w:rPr>
          <w:t>http://www.bls.gov/oes/current/oes_nat.htm</w:t>
        </w:r>
      </w:hyperlink>
      <w:r w:rsidRPr="002F44B7">
        <w:rPr>
          <w:rFonts w:eastAsiaTheme="minorHAnsi"/>
          <w:snapToGrid/>
          <w:szCs w:val="24"/>
        </w:rPr>
        <w:t>).  For the purposes of this application, CMS used the wages under the general categories of “Medical Secretaries,”</w:t>
      </w:r>
      <w:r w:rsidRPr="002F44B7" w:rsidR="00DB2B21">
        <w:rPr>
          <w:rFonts w:eastAsiaTheme="minorHAnsi"/>
          <w:snapToGrid/>
          <w:szCs w:val="24"/>
        </w:rPr>
        <w:t xml:space="preserve"> and</w:t>
      </w:r>
      <w:r w:rsidRPr="002F44B7">
        <w:rPr>
          <w:rFonts w:eastAsiaTheme="minorHAnsi"/>
          <w:snapToGrid/>
          <w:szCs w:val="24"/>
        </w:rPr>
        <w:t xml:space="preserve"> “</w:t>
      </w:r>
      <w:r w:rsidRPr="002F44B7">
        <w:rPr>
          <w:snapToGrid/>
          <w:szCs w:val="24"/>
        </w:rPr>
        <w:t>Health Diagnosing and Treating Practitioners</w:t>
      </w:r>
      <w:r w:rsidRPr="002F44B7" w:rsidR="00DB2B21">
        <w:rPr>
          <w:snapToGrid/>
          <w:szCs w:val="24"/>
        </w:rPr>
        <w:t>.</w:t>
      </w:r>
      <w:r w:rsidRPr="002F44B7">
        <w:rPr>
          <w:snapToGrid/>
          <w:szCs w:val="24"/>
        </w:rPr>
        <w:t>”</w:t>
      </w:r>
      <w:r w:rsidRPr="002F44B7">
        <w:rPr>
          <w:rFonts w:eastAsiaTheme="minorHAnsi"/>
          <w:snapToGrid/>
          <w:szCs w:val="24"/>
        </w:rPr>
        <w:t xml:space="preserve"> </w:t>
      </w:r>
      <w:r w:rsidRPr="002F44B7" w:rsidR="00DB2B21">
        <w:rPr>
          <w:rFonts w:eastAsiaTheme="minorHAnsi"/>
          <w:snapToGrid/>
          <w:szCs w:val="24"/>
        </w:rPr>
        <w:t xml:space="preserve"> </w:t>
      </w:r>
      <w:r w:rsidRPr="002F44B7">
        <w:rPr>
          <w:rFonts w:eastAsiaTheme="minorHAnsi"/>
          <w:snapToGrid/>
          <w:szCs w:val="24"/>
        </w:rPr>
        <w:t>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 calculations.</w:t>
      </w:r>
    </w:p>
    <w:p w:rsidRPr="002F44B7" w:rsidR="002352C0" w:rsidP="00A02D17" w:rsidRDefault="002352C0" w14:paraId="62F53CC9" w14:textId="77777777">
      <w:pPr>
        <w:widowControl/>
        <w:kinsoku w:val="0"/>
        <w:overflowPunct w:val="0"/>
        <w:autoSpaceDE w:val="0"/>
        <w:autoSpaceDN w:val="0"/>
        <w:adjustRightInd w:val="0"/>
        <w:ind w:left="86" w:right="142" w:hanging="5"/>
        <w:rPr>
          <w:rFonts w:eastAsiaTheme="minorHAnsi"/>
          <w:snapToGrid/>
          <w:spacing w:val="22"/>
          <w:szCs w:val="24"/>
        </w:rPr>
      </w:pPr>
    </w:p>
    <w:p w:rsidRPr="002F44B7" w:rsidR="002352C0" w:rsidP="00A02D17" w:rsidRDefault="002352C0" w14:paraId="7529DA23" w14:textId="77777777">
      <w:pPr>
        <w:widowControl/>
        <w:kinsoku w:val="0"/>
        <w:overflowPunct w:val="0"/>
        <w:autoSpaceDE w:val="0"/>
        <w:autoSpaceDN w:val="0"/>
        <w:adjustRightInd w:val="0"/>
        <w:ind w:left="76" w:right="142"/>
        <w:rPr>
          <w:rFonts w:eastAsiaTheme="minorHAnsi"/>
          <w:snapToGrid/>
          <w:szCs w:val="24"/>
        </w:rPr>
      </w:pPr>
      <w:r w:rsidRPr="002F44B7">
        <w:rPr>
          <w:rFonts w:eastAsiaTheme="minorHAnsi"/>
          <w:snapToGrid/>
          <w:szCs w:val="24"/>
        </w:rPr>
        <w:t>The cost burden to the respondents is calculated based on the following assumptions:</w:t>
      </w:r>
    </w:p>
    <w:p w:rsidRPr="002F44B7" w:rsidR="002352C0" w:rsidP="00A02D17" w:rsidRDefault="002352C0" w14:paraId="61A258DD" w14:textId="0DCFC98C">
      <w:pPr>
        <w:widowControl/>
        <w:numPr>
          <w:ilvl w:val="0"/>
          <w:numId w:val="21"/>
        </w:numPr>
        <w:tabs>
          <w:tab w:val="left" w:pos="1202"/>
        </w:tabs>
        <w:kinsoku w:val="0"/>
        <w:overflowPunct w:val="0"/>
        <w:autoSpaceDE w:val="0"/>
        <w:autoSpaceDN w:val="0"/>
        <w:adjustRightInd w:val="0"/>
        <w:ind w:right="388"/>
        <w:rPr>
          <w:rFonts w:eastAsiaTheme="minorHAnsi"/>
          <w:snapToGrid/>
          <w:szCs w:val="24"/>
        </w:rPr>
      </w:pPr>
      <w:r w:rsidRPr="002F44B7">
        <w:rPr>
          <w:rFonts w:eastAsiaTheme="minorHAnsi"/>
          <w:snapToGrid/>
          <w:w w:val="105"/>
          <w:szCs w:val="24"/>
        </w:rPr>
        <w:t xml:space="preserve">MACs currently process approximately </w:t>
      </w:r>
      <w:r w:rsidRPr="002F44B7" w:rsidR="00102675">
        <w:rPr>
          <w:rFonts w:eastAsiaTheme="minorHAnsi"/>
          <w:snapToGrid/>
          <w:w w:val="105"/>
          <w:szCs w:val="24"/>
        </w:rPr>
        <w:t>1</w:t>
      </w:r>
      <w:r w:rsidRPr="002F44B7" w:rsidR="008F20AF">
        <w:rPr>
          <w:rFonts w:eastAsiaTheme="minorHAnsi"/>
          <w:snapToGrid/>
          <w:w w:val="105"/>
          <w:szCs w:val="24"/>
        </w:rPr>
        <w:t>0</w:t>
      </w:r>
      <w:r w:rsidRPr="002F44B7" w:rsidR="00B73960">
        <w:rPr>
          <w:rFonts w:eastAsiaTheme="minorHAnsi"/>
          <w:snapToGrid/>
          <w:w w:val="105"/>
          <w:szCs w:val="24"/>
        </w:rPr>
        <w:t>9</w:t>
      </w:r>
      <w:r w:rsidRPr="002F44B7" w:rsidR="00102675">
        <w:rPr>
          <w:rFonts w:eastAsiaTheme="minorHAnsi"/>
          <w:snapToGrid/>
          <w:w w:val="105"/>
          <w:szCs w:val="24"/>
        </w:rPr>
        <w:t>,</w:t>
      </w:r>
      <w:r w:rsidRPr="002F44B7" w:rsidR="00B73960">
        <w:rPr>
          <w:rFonts w:eastAsiaTheme="minorHAnsi"/>
          <w:snapToGrid/>
          <w:w w:val="105"/>
          <w:szCs w:val="24"/>
        </w:rPr>
        <w:t>232</w:t>
      </w:r>
      <w:r w:rsidRPr="002F44B7">
        <w:rPr>
          <w:rFonts w:eastAsiaTheme="minorHAnsi"/>
          <w:snapToGrid/>
          <w:szCs w:val="24"/>
        </w:rPr>
        <w:t xml:space="preserve"> </w:t>
      </w:r>
      <w:r w:rsidRPr="002F44B7">
        <w:rPr>
          <w:rFonts w:eastAsiaTheme="minorHAnsi"/>
          <w:snapToGrid/>
          <w:w w:val="105"/>
          <w:szCs w:val="24"/>
        </w:rPr>
        <w:t>supplier</w:t>
      </w:r>
      <w:r w:rsidRPr="002F44B7">
        <w:rPr>
          <w:rFonts w:eastAsiaTheme="minorHAnsi"/>
          <w:snapToGrid/>
          <w:spacing w:val="7"/>
          <w:w w:val="105"/>
          <w:szCs w:val="24"/>
        </w:rPr>
        <w:t xml:space="preserve"> CMS-</w:t>
      </w:r>
      <w:r w:rsidRPr="002F44B7" w:rsidR="00D439A9">
        <w:rPr>
          <w:rFonts w:eastAsiaTheme="minorHAnsi"/>
          <w:snapToGrid/>
          <w:spacing w:val="7"/>
          <w:w w:val="105"/>
          <w:szCs w:val="24"/>
        </w:rPr>
        <w:t>855B</w:t>
      </w:r>
      <w:r w:rsidRPr="002F44B7" w:rsidR="00292FB3">
        <w:rPr>
          <w:rFonts w:eastAsiaTheme="minorHAnsi"/>
          <w:snapToGrid/>
          <w:spacing w:val="7"/>
          <w:w w:val="105"/>
          <w:szCs w:val="24"/>
        </w:rPr>
        <w:t xml:space="preserve"> applications per year.</w:t>
      </w:r>
    </w:p>
    <w:p w:rsidRPr="002F44B7" w:rsidR="00B73960" w:rsidP="00A02D17" w:rsidRDefault="00B73960" w14:paraId="2D4567AE" w14:textId="0740F8DF">
      <w:pPr>
        <w:widowControl/>
        <w:numPr>
          <w:ilvl w:val="0"/>
          <w:numId w:val="21"/>
        </w:numPr>
        <w:tabs>
          <w:tab w:val="left" w:pos="1202"/>
        </w:tabs>
        <w:kinsoku w:val="0"/>
        <w:overflowPunct w:val="0"/>
        <w:autoSpaceDE w:val="0"/>
        <w:autoSpaceDN w:val="0"/>
        <w:adjustRightInd w:val="0"/>
        <w:ind w:right="388"/>
        <w:rPr>
          <w:rFonts w:eastAsiaTheme="minorHAnsi"/>
          <w:snapToGrid/>
          <w:szCs w:val="24"/>
        </w:rPr>
      </w:pPr>
      <w:r w:rsidRPr="002F44B7">
        <w:rPr>
          <w:rFonts w:eastAsiaTheme="minorHAnsi"/>
          <w:snapToGrid/>
          <w:spacing w:val="7"/>
          <w:w w:val="105"/>
          <w:szCs w:val="24"/>
        </w:rPr>
        <w:t>1,900 supplier applications have been added to the total</w:t>
      </w:r>
      <w:r w:rsidRPr="002F44B7" w:rsidR="005D3F93">
        <w:rPr>
          <w:rFonts w:eastAsiaTheme="minorHAnsi"/>
          <w:snapToGrid/>
          <w:spacing w:val="7"/>
          <w:w w:val="105"/>
          <w:szCs w:val="24"/>
        </w:rPr>
        <w:t xml:space="preserve"> initial</w:t>
      </w:r>
      <w:r w:rsidRPr="002F44B7">
        <w:rPr>
          <w:rFonts w:eastAsiaTheme="minorHAnsi"/>
          <w:snapToGrid/>
          <w:spacing w:val="7"/>
          <w:w w:val="105"/>
          <w:szCs w:val="24"/>
        </w:rPr>
        <w:t xml:space="preserve"> applications processed to accommodate the Support Act</w:t>
      </w:r>
      <w:r w:rsidRPr="002F44B7" w:rsidR="00397984">
        <w:rPr>
          <w:rFonts w:eastAsiaTheme="minorHAnsi"/>
          <w:snapToGrid/>
          <w:spacing w:val="7"/>
          <w:w w:val="105"/>
          <w:szCs w:val="24"/>
        </w:rPr>
        <w:t xml:space="preserve"> of 2018</w:t>
      </w:r>
      <w:r w:rsidRPr="002F44B7">
        <w:rPr>
          <w:rFonts w:eastAsiaTheme="minorHAnsi"/>
          <w:snapToGrid/>
          <w:spacing w:val="7"/>
          <w:w w:val="105"/>
          <w:szCs w:val="24"/>
        </w:rPr>
        <w:t>, as described above.</w:t>
      </w:r>
    </w:p>
    <w:p w:rsidRPr="002F44B7" w:rsidR="002352C0" w:rsidP="00A02D17" w:rsidRDefault="002352C0" w14:paraId="2C3802B5" w14:textId="77777777">
      <w:pPr>
        <w:widowControl/>
        <w:numPr>
          <w:ilvl w:val="0"/>
          <w:numId w:val="21"/>
        </w:numPr>
        <w:tabs>
          <w:tab w:val="left" w:pos="1188"/>
        </w:tabs>
        <w:kinsoku w:val="0"/>
        <w:overflowPunct w:val="0"/>
        <w:autoSpaceDE w:val="0"/>
        <w:autoSpaceDN w:val="0"/>
        <w:adjustRightInd w:val="0"/>
        <w:ind w:right="292"/>
        <w:rPr>
          <w:rFonts w:eastAsiaTheme="minorHAnsi"/>
          <w:snapToGrid/>
          <w:szCs w:val="24"/>
        </w:rPr>
      </w:pPr>
      <w:r w:rsidRPr="002F44B7">
        <w:rPr>
          <w:rFonts w:eastAsiaTheme="minorHAnsi"/>
          <w:snapToGrid/>
          <w:szCs w:val="24"/>
        </w:rPr>
        <w:t>Completion of the CMS-</w:t>
      </w:r>
      <w:r w:rsidRPr="002F44B7" w:rsidR="00D439A9">
        <w:rPr>
          <w:rFonts w:eastAsiaTheme="minorHAnsi"/>
          <w:snapToGrid/>
          <w:szCs w:val="24"/>
        </w:rPr>
        <w:t>855B</w:t>
      </w:r>
      <w:r w:rsidRPr="002F44B7">
        <w:rPr>
          <w:rFonts w:eastAsiaTheme="minorHAnsi"/>
          <w:snapToGrid/>
          <w:szCs w:val="24"/>
        </w:rPr>
        <w:t xml:space="preserve"> costs burden depends on the reason for submittal and respondent.</w:t>
      </w:r>
    </w:p>
    <w:p w:rsidRPr="002F44B7" w:rsidR="002352C0" w:rsidP="00A02D17" w:rsidRDefault="002352C0" w14:paraId="7BCCAD38" w14:textId="77777777">
      <w:pPr>
        <w:widowControl/>
        <w:numPr>
          <w:ilvl w:val="1"/>
          <w:numId w:val="21"/>
        </w:numPr>
        <w:tabs>
          <w:tab w:val="left" w:pos="1188"/>
        </w:tabs>
        <w:kinsoku w:val="0"/>
        <w:overflowPunct w:val="0"/>
        <w:autoSpaceDE w:val="0"/>
        <w:autoSpaceDN w:val="0"/>
        <w:adjustRightInd w:val="0"/>
        <w:ind w:right="292"/>
        <w:rPr>
          <w:rFonts w:eastAsiaTheme="minorHAnsi"/>
          <w:snapToGrid/>
          <w:szCs w:val="24"/>
        </w:rPr>
      </w:pPr>
      <w:r w:rsidRPr="002F44B7">
        <w:rPr>
          <w:rFonts w:eastAsiaTheme="minorHAnsi"/>
          <w:snapToGrid/>
          <w:szCs w:val="24"/>
        </w:rPr>
        <w:t>The reason for submittal of the CMS-</w:t>
      </w:r>
      <w:r w:rsidRPr="002F44B7" w:rsidR="00D439A9">
        <w:rPr>
          <w:rFonts w:eastAsiaTheme="minorHAnsi"/>
          <w:snapToGrid/>
          <w:szCs w:val="24"/>
        </w:rPr>
        <w:t>855B</w:t>
      </w:r>
      <w:r w:rsidRPr="002F44B7">
        <w:rPr>
          <w:rFonts w:eastAsiaTheme="minorHAnsi"/>
          <w:snapToGrid/>
          <w:szCs w:val="24"/>
        </w:rPr>
        <w:t xml:space="preserve"> determines the hour burden.</w:t>
      </w:r>
    </w:p>
    <w:p w:rsidRPr="002F44B7" w:rsidR="002352C0" w:rsidP="00A02D17" w:rsidRDefault="002352C0" w14:paraId="761E4AE1" w14:textId="07DA870A">
      <w:pPr>
        <w:widowControl/>
        <w:numPr>
          <w:ilvl w:val="1"/>
          <w:numId w:val="21"/>
        </w:numPr>
        <w:tabs>
          <w:tab w:val="left" w:pos="1188"/>
        </w:tabs>
        <w:kinsoku w:val="0"/>
        <w:overflowPunct w:val="0"/>
        <w:autoSpaceDE w:val="0"/>
        <w:autoSpaceDN w:val="0"/>
        <w:adjustRightInd w:val="0"/>
        <w:ind w:right="292"/>
        <w:rPr>
          <w:rFonts w:eastAsiaTheme="minorHAnsi"/>
          <w:snapToGrid/>
          <w:szCs w:val="24"/>
        </w:rPr>
      </w:pPr>
      <w:r w:rsidRPr="002F44B7">
        <w:rPr>
          <w:rFonts w:eastAsiaTheme="minorHAnsi"/>
          <w:snapToGrid/>
          <w:szCs w:val="24"/>
        </w:rPr>
        <w:t>The hour burden and the respondent</w:t>
      </w:r>
      <w:r w:rsidRPr="002F44B7" w:rsidR="004B3703">
        <w:rPr>
          <w:rFonts w:eastAsiaTheme="minorHAnsi"/>
          <w:snapToGrid/>
          <w:szCs w:val="24"/>
        </w:rPr>
        <w:t>s</w:t>
      </w:r>
      <w:r w:rsidRPr="002F44B7">
        <w:rPr>
          <w:rFonts w:eastAsiaTheme="minorHAnsi"/>
          <w:snapToGrid/>
          <w:szCs w:val="24"/>
        </w:rPr>
        <w:t xml:space="preserve"> determine the cost burden, as seen in Table 2</w:t>
      </w:r>
      <w:r w:rsidRPr="002F44B7" w:rsidR="006F4004">
        <w:rPr>
          <w:rFonts w:eastAsiaTheme="minorHAnsi"/>
          <w:snapToGrid/>
          <w:szCs w:val="24"/>
        </w:rPr>
        <w:t xml:space="preserve"> (above)</w:t>
      </w:r>
      <w:r w:rsidRPr="002F44B7">
        <w:rPr>
          <w:rFonts w:eastAsiaTheme="minorHAnsi"/>
          <w:snapToGrid/>
          <w:szCs w:val="24"/>
        </w:rPr>
        <w:t>.</w:t>
      </w:r>
    </w:p>
    <w:p w:rsidRPr="002F44B7" w:rsidR="002352C0" w:rsidP="00A02D17" w:rsidRDefault="002352C0" w14:paraId="032B9E97" w14:textId="53FB752D">
      <w:pPr>
        <w:widowControl/>
        <w:numPr>
          <w:ilvl w:val="0"/>
          <w:numId w:val="21"/>
        </w:numPr>
        <w:tabs>
          <w:tab w:val="left" w:pos="1250"/>
        </w:tabs>
        <w:kinsoku w:val="0"/>
        <w:overflowPunct w:val="0"/>
        <w:autoSpaceDE w:val="0"/>
        <w:autoSpaceDN w:val="0"/>
        <w:adjustRightInd w:val="0"/>
        <w:ind w:right="292"/>
        <w:rPr>
          <w:rFonts w:eastAsiaTheme="minorHAnsi"/>
          <w:snapToGrid/>
          <w:szCs w:val="24"/>
        </w:rPr>
      </w:pPr>
      <w:r w:rsidRPr="002F44B7">
        <w:rPr>
          <w:rFonts w:eastAsiaTheme="minorHAnsi"/>
          <w:snapToGrid/>
          <w:w w:val="105"/>
          <w:szCs w:val="24"/>
        </w:rPr>
        <w:t>Cost</w:t>
      </w:r>
      <w:r w:rsidRPr="002F44B7">
        <w:rPr>
          <w:rFonts w:eastAsiaTheme="minorHAnsi"/>
          <w:snapToGrid/>
          <w:spacing w:val="-19"/>
          <w:w w:val="105"/>
          <w:szCs w:val="24"/>
        </w:rPr>
        <w:t xml:space="preserve"> </w:t>
      </w:r>
      <w:r w:rsidRPr="002F44B7">
        <w:rPr>
          <w:rFonts w:eastAsiaTheme="minorHAnsi"/>
          <w:snapToGrid/>
          <w:w w:val="105"/>
          <w:szCs w:val="24"/>
        </w:rPr>
        <w:t>to</w:t>
      </w:r>
      <w:r w:rsidRPr="002F44B7">
        <w:rPr>
          <w:rFonts w:eastAsiaTheme="minorHAnsi"/>
          <w:snapToGrid/>
          <w:spacing w:val="-16"/>
          <w:w w:val="105"/>
          <w:szCs w:val="24"/>
        </w:rPr>
        <w:t xml:space="preserve"> </w:t>
      </w:r>
      <w:r w:rsidRPr="002F44B7">
        <w:rPr>
          <w:rFonts w:eastAsiaTheme="minorHAnsi"/>
          <w:snapToGrid/>
          <w:w w:val="105"/>
          <w:szCs w:val="24"/>
        </w:rPr>
        <w:t>the</w:t>
      </w:r>
      <w:r w:rsidRPr="002F44B7">
        <w:rPr>
          <w:rFonts w:eastAsiaTheme="minorHAnsi"/>
          <w:snapToGrid/>
          <w:spacing w:val="-13"/>
          <w:w w:val="105"/>
          <w:szCs w:val="24"/>
        </w:rPr>
        <w:t xml:space="preserve"> </w:t>
      </w:r>
      <w:r w:rsidRPr="002F44B7">
        <w:rPr>
          <w:rFonts w:eastAsiaTheme="minorHAnsi"/>
          <w:snapToGrid/>
          <w:w w:val="105"/>
          <w:szCs w:val="24"/>
        </w:rPr>
        <w:t>respondents</w:t>
      </w:r>
      <w:r w:rsidRPr="002F44B7">
        <w:rPr>
          <w:rFonts w:eastAsiaTheme="minorHAnsi"/>
          <w:snapToGrid/>
          <w:spacing w:val="3"/>
          <w:w w:val="105"/>
          <w:szCs w:val="24"/>
        </w:rPr>
        <w:t xml:space="preserve"> </w:t>
      </w:r>
      <w:r w:rsidRPr="002F44B7">
        <w:rPr>
          <w:rFonts w:eastAsiaTheme="minorHAnsi"/>
          <w:snapToGrid/>
          <w:w w:val="105"/>
          <w:szCs w:val="24"/>
        </w:rPr>
        <w:t>is</w:t>
      </w:r>
      <w:r w:rsidRPr="002F44B7">
        <w:rPr>
          <w:rFonts w:eastAsiaTheme="minorHAnsi"/>
          <w:snapToGrid/>
          <w:spacing w:val="-17"/>
          <w:w w:val="105"/>
          <w:szCs w:val="24"/>
        </w:rPr>
        <w:t xml:space="preserve"> </w:t>
      </w:r>
      <w:r w:rsidRPr="002F44B7">
        <w:rPr>
          <w:rFonts w:eastAsiaTheme="minorHAnsi"/>
          <w:snapToGrid/>
          <w:w w:val="105"/>
          <w:szCs w:val="24"/>
        </w:rPr>
        <w:t>calculated</w:t>
      </w:r>
      <w:r w:rsidRPr="002F44B7">
        <w:rPr>
          <w:rFonts w:eastAsiaTheme="minorHAnsi"/>
          <w:snapToGrid/>
          <w:spacing w:val="3"/>
          <w:w w:val="105"/>
          <w:szCs w:val="24"/>
        </w:rPr>
        <w:t xml:space="preserve"> </w:t>
      </w:r>
      <w:r w:rsidRPr="002F44B7">
        <w:rPr>
          <w:rFonts w:eastAsiaTheme="minorHAnsi"/>
          <w:snapToGrid/>
          <w:w w:val="105"/>
          <w:szCs w:val="24"/>
        </w:rPr>
        <w:t>as</w:t>
      </w:r>
      <w:r w:rsidRPr="002F44B7">
        <w:rPr>
          <w:rFonts w:eastAsiaTheme="minorHAnsi"/>
          <w:snapToGrid/>
          <w:spacing w:val="-17"/>
          <w:w w:val="105"/>
          <w:szCs w:val="24"/>
        </w:rPr>
        <w:t xml:space="preserve"> </w:t>
      </w:r>
      <w:r w:rsidRPr="002F44B7">
        <w:rPr>
          <w:rFonts w:eastAsiaTheme="minorHAnsi"/>
          <w:snapToGrid/>
          <w:w w:val="105"/>
          <w:szCs w:val="24"/>
        </w:rPr>
        <w:t>follows</w:t>
      </w:r>
      <w:r w:rsidRPr="002F44B7">
        <w:rPr>
          <w:rFonts w:eastAsiaTheme="minorHAnsi"/>
          <w:snapToGrid/>
          <w:spacing w:val="-14"/>
          <w:w w:val="105"/>
          <w:szCs w:val="24"/>
        </w:rPr>
        <w:t xml:space="preserve"> </w:t>
      </w:r>
      <w:r w:rsidRPr="002F44B7">
        <w:rPr>
          <w:rFonts w:eastAsiaTheme="minorHAnsi"/>
          <w:snapToGrid/>
          <w:w w:val="105"/>
          <w:szCs w:val="24"/>
        </w:rPr>
        <w:t>based</w:t>
      </w:r>
      <w:r w:rsidRPr="002F44B7">
        <w:rPr>
          <w:rFonts w:eastAsiaTheme="minorHAnsi"/>
          <w:snapToGrid/>
          <w:spacing w:val="-3"/>
          <w:w w:val="105"/>
          <w:szCs w:val="24"/>
        </w:rPr>
        <w:t xml:space="preserve"> </w:t>
      </w:r>
      <w:r w:rsidRPr="002F44B7">
        <w:rPr>
          <w:rFonts w:eastAsiaTheme="minorHAnsi"/>
          <w:snapToGrid/>
          <w:w w:val="105"/>
          <w:szCs w:val="24"/>
        </w:rPr>
        <w:t>on</w:t>
      </w:r>
      <w:r w:rsidRPr="002F44B7">
        <w:rPr>
          <w:rFonts w:eastAsiaTheme="minorHAnsi"/>
          <w:snapToGrid/>
          <w:spacing w:val="-19"/>
          <w:w w:val="105"/>
          <w:szCs w:val="24"/>
        </w:rPr>
        <w:t xml:space="preserve"> </w:t>
      </w:r>
      <w:r w:rsidRPr="002F44B7">
        <w:rPr>
          <w:rFonts w:eastAsiaTheme="minorHAnsi"/>
          <w:snapToGrid/>
          <w:w w:val="105"/>
          <w:szCs w:val="24"/>
        </w:rPr>
        <w:t>the</w:t>
      </w:r>
      <w:r w:rsidRPr="002F44B7">
        <w:rPr>
          <w:rFonts w:eastAsiaTheme="minorHAnsi"/>
          <w:snapToGrid/>
          <w:spacing w:val="-10"/>
          <w:w w:val="105"/>
          <w:szCs w:val="24"/>
        </w:rPr>
        <w:t xml:space="preserve"> </w:t>
      </w:r>
      <w:r w:rsidRPr="002F44B7">
        <w:rPr>
          <w:rFonts w:eastAsiaTheme="minorHAnsi"/>
          <w:snapToGrid/>
          <w:w w:val="105"/>
          <w:szCs w:val="24"/>
        </w:rPr>
        <w:t>following</w:t>
      </w:r>
      <w:r w:rsidRPr="002F44B7">
        <w:rPr>
          <w:rFonts w:eastAsiaTheme="minorHAnsi"/>
          <w:snapToGrid/>
          <w:spacing w:val="-5"/>
          <w:w w:val="105"/>
          <w:szCs w:val="24"/>
        </w:rPr>
        <w:t xml:space="preserve"> </w:t>
      </w:r>
      <w:r w:rsidRPr="002F44B7">
        <w:rPr>
          <w:rFonts w:eastAsiaTheme="minorHAnsi"/>
          <w:snapToGrid/>
          <w:w w:val="105"/>
          <w:szCs w:val="24"/>
        </w:rPr>
        <w:t>assumption</w:t>
      </w:r>
      <w:r w:rsidRPr="002F44B7" w:rsidR="008F20AF">
        <w:rPr>
          <w:rFonts w:eastAsiaTheme="minorHAnsi"/>
          <w:snapToGrid/>
          <w:w w:val="105"/>
          <w:szCs w:val="24"/>
        </w:rPr>
        <w:t>s</w:t>
      </w:r>
      <w:r w:rsidRPr="002F44B7">
        <w:rPr>
          <w:rFonts w:eastAsiaTheme="minorHAnsi"/>
          <w:snapToGrid/>
          <w:w w:val="105"/>
          <w:szCs w:val="24"/>
        </w:rPr>
        <w:t>:</w:t>
      </w:r>
    </w:p>
    <w:p w:rsidRPr="002F44B7" w:rsidR="002352C0" w:rsidP="00A02D17" w:rsidRDefault="002352C0" w14:paraId="3B6FBC48" w14:textId="77777777">
      <w:pPr>
        <w:widowControl/>
        <w:numPr>
          <w:ilvl w:val="1"/>
          <w:numId w:val="21"/>
        </w:numPr>
        <w:kinsoku w:val="0"/>
        <w:overflowPunct w:val="0"/>
        <w:autoSpaceDE w:val="0"/>
        <w:autoSpaceDN w:val="0"/>
        <w:adjustRightInd w:val="0"/>
        <w:ind w:right="394"/>
        <w:rPr>
          <w:rFonts w:eastAsiaTheme="minorHAnsi"/>
          <w:snapToGrid/>
          <w:szCs w:val="24"/>
        </w:rPr>
      </w:pPr>
      <w:r w:rsidRPr="002F44B7">
        <w:rPr>
          <w:rFonts w:eastAsiaTheme="minorHAnsi"/>
          <w:snapToGrid/>
          <w:szCs w:val="24"/>
        </w:rPr>
        <w:t>The CMS-</w:t>
      </w:r>
      <w:r w:rsidRPr="002F44B7" w:rsidR="00D439A9">
        <w:rPr>
          <w:rFonts w:eastAsiaTheme="minorHAnsi"/>
          <w:snapToGrid/>
          <w:szCs w:val="24"/>
        </w:rPr>
        <w:t>855B</w:t>
      </w:r>
      <w:r w:rsidRPr="002F44B7">
        <w:rPr>
          <w:rFonts w:eastAsiaTheme="minorHAnsi"/>
          <w:snapToGrid/>
          <w:szCs w:val="24"/>
        </w:rPr>
        <w:t xml:space="preserve"> will likely be completed by administrative staff (BLS category = medical secretaries),</w:t>
      </w:r>
    </w:p>
    <w:p w:rsidRPr="002F44B7" w:rsidR="002352C0" w:rsidP="00A02D17" w:rsidRDefault="002352C0" w14:paraId="4896DD31" w14:textId="1024AE7D">
      <w:pPr>
        <w:widowControl/>
        <w:numPr>
          <w:ilvl w:val="1"/>
          <w:numId w:val="21"/>
        </w:numPr>
        <w:tabs>
          <w:tab w:val="left" w:pos="1898"/>
        </w:tabs>
        <w:kinsoku w:val="0"/>
        <w:overflowPunct w:val="0"/>
        <w:autoSpaceDE w:val="0"/>
        <w:autoSpaceDN w:val="0"/>
        <w:adjustRightInd w:val="0"/>
        <w:ind w:right="292"/>
        <w:rPr>
          <w:rFonts w:eastAsiaTheme="minorHAnsi"/>
          <w:snapToGrid/>
          <w:szCs w:val="24"/>
        </w:rPr>
      </w:pPr>
      <w:r w:rsidRPr="002F44B7">
        <w:rPr>
          <w:rFonts w:eastAsiaTheme="minorHAnsi"/>
          <w:snapToGrid/>
          <w:szCs w:val="24"/>
        </w:rPr>
        <w:t xml:space="preserve">The record keeping burden is included in the time determined for completion by </w:t>
      </w:r>
      <w:r w:rsidRPr="002F44B7" w:rsidR="00507BE4">
        <w:rPr>
          <w:rFonts w:eastAsiaTheme="minorHAnsi"/>
          <w:snapToGrid/>
          <w:szCs w:val="24"/>
        </w:rPr>
        <w:t>the medical secretary</w:t>
      </w:r>
      <w:r w:rsidRPr="002F44B7">
        <w:rPr>
          <w:rFonts w:eastAsiaTheme="minorHAnsi"/>
          <w:snapToGrid/>
          <w:szCs w:val="24"/>
        </w:rPr>
        <w:t>,</w:t>
      </w:r>
    </w:p>
    <w:p w:rsidRPr="002F44B7" w:rsidR="00507BE4" w:rsidP="00A02D17" w:rsidRDefault="00507BE4" w14:paraId="4FE69EB8" w14:textId="1716CE1B">
      <w:pPr>
        <w:widowControl/>
        <w:numPr>
          <w:ilvl w:val="1"/>
          <w:numId w:val="21"/>
        </w:numPr>
        <w:tabs>
          <w:tab w:val="left" w:pos="1898"/>
        </w:tabs>
        <w:kinsoku w:val="0"/>
        <w:overflowPunct w:val="0"/>
        <w:autoSpaceDE w:val="0"/>
        <w:autoSpaceDN w:val="0"/>
        <w:adjustRightInd w:val="0"/>
        <w:ind w:right="292"/>
        <w:rPr>
          <w:rFonts w:eastAsiaTheme="minorHAnsi"/>
          <w:snapToGrid/>
          <w:szCs w:val="24"/>
        </w:rPr>
      </w:pPr>
      <w:r w:rsidRPr="002F44B7">
        <w:rPr>
          <w:rFonts w:eastAsiaTheme="minorHAnsi"/>
          <w:snapToGrid/>
          <w:szCs w:val="24"/>
        </w:rPr>
        <w:t>The</w:t>
      </w:r>
      <w:r w:rsidRPr="002F44B7">
        <w:rPr>
          <w:rFonts w:eastAsiaTheme="minorHAnsi"/>
          <w:snapToGrid/>
          <w:spacing w:val="12"/>
          <w:szCs w:val="24"/>
        </w:rPr>
        <w:t xml:space="preserve"> </w:t>
      </w:r>
      <w:r w:rsidRPr="002F44B7">
        <w:rPr>
          <w:rFonts w:eastAsiaTheme="minorHAnsi"/>
          <w:snapToGrid/>
          <w:szCs w:val="24"/>
        </w:rPr>
        <w:t>most</w:t>
      </w:r>
      <w:r w:rsidRPr="002F44B7">
        <w:rPr>
          <w:rFonts w:eastAsiaTheme="minorHAnsi"/>
          <w:snapToGrid/>
          <w:spacing w:val="18"/>
          <w:szCs w:val="24"/>
        </w:rPr>
        <w:t xml:space="preserve"> </w:t>
      </w:r>
      <w:r w:rsidRPr="002F44B7">
        <w:rPr>
          <w:rFonts w:eastAsiaTheme="minorHAnsi"/>
          <w:snapToGrid/>
          <w:szCs w:val="24"/>
        </w:rPr>
        <w:t>recent</w:t>
      </w:r>
      <w:r w:rsidRPr="002F44B7">
        <w:rPr>
          <w:rFonts w:eastAsiaTheme="minorHAnsi"/>
          <w:snapToGrid/>
          <w:spacing w:val="27"/>
          <w:szCs w:val="24"/>
        </w:rPr>
        <w:t xml:space="preserve"> </w:t>
      </w:r>
      <w:r w:rsidRPr="002F44B7">
        <w:rPr>
          <w:rFonts w:eastAsiaTheme="minorHAnsi"/>
          <w:snapToGrid/>
          <w:szCs w:val="24"/>
        </w:rPr>
        <w:t>wage</w:t>
      </w:r>
      <w:r w:rsidRPr="002F44B7">
        <w:rPr>
          <w:rFonts w:eastAsiaTheme="minorHAnsi"/>
          <w:snapToGrid/>
          <w:spacing w:val="22"/>
          <w:szCs w:val="24"/>
        </w:rPr>
        <w:t xml:space="preserve"> </w:t>
      </w:r>
      <w:r w:rsidRPr="002F44B7">
        <w:rPr>
          <w:rFonts w:eastAsiaTheme="minorHAnsi"/>
          <w:snapToGrid/>
          <w:szCs w:val="24"/>
        </w:rPr>
        <w:t>data</w:t>
      </w:r>
      <w:r w:rsidRPr="002F44B7">
        <w:rPr>
          <w:rFonts w:eastAsiaTheme="minorHAnsi"/>
          <w:snapToGrid/>
          <w:spacing w:val="3"/>
          <w:szCs w:val="24"/>
        </w:rPr>
        <w:t xml:space="preserve"> </w:t>
      </w:r>
      <w:r w:rsidRPr="002F44B7">
        <w:rPr>
          <w:rFonts w:eastAsiaTheme="minorHAnsi"/>
          <w:snapToGrid/>
          <w:szCs w:val="24"/>
        </w:rPr>
        <w:t>provided</w:t>
      </w:r>
      <w:r w:rsidRPr="002F44B7">
        <w:rPr>
          <w:rFonts w:eastAsiaTheme="minorHAnsi"/>
          <w:snapToGrid/>
          <w:spacing w:val="39"/>
          <w:szCs w:val="24"/>
        </w:rPr>
        <w:t xml:space="preserve"> </w:t>
      </w:r>
      <w:r w:rsidRPr="002F44B7">
        <w:rPr>
          <w:rFonts w:eastAsiaTheme="minorHAnsi"/>
          <w:snapToGrid/>
          <w:szCs w:val="24"/>
        </w:rPr>
        <w:t>by</w:t>
      </w:r>
      <w:r w:rsidRPr="002F44B7">
        <w:rPr>
          <w:rFonts w:eastAsiaTheme="minorHAnsi"/>
          <w:snapToGrid/>
          <w:spacing w:val="19"/>
          <w:szCs w:val="24"/>
        </w:rPr>
        <w:t xml:space="preserve"> </w:t>
      </w:r>
      <w:r w:rsidRPr="002F44B7">
        <w:rPr>
          <w:rFonts w:eastAsiaTheme="minorHAnsi"/>
          <w:snapToGrid/>
          <w:szCs w:val="24"/>
        </w:rPr>
        <w:t>the</w:t>
      </w:r>
      <w:r w:rsidRPr="002F44B7">
        <w:rPr>
          <w:rFonts w:eastAsiaTheme="minorHAnsi"/>
          <w:snapToGrid/>
          <w:spacing w:val="17"/>
          <w:szCs w:val="24"/>
        </w:rPr>
        <w:t xml:space="preserve"> </w:t>
      </w:r>
      <w:r w:rsidRPr="002F44B7">
        <w:rPr>
          <w:rFonts w:eastAsiaTheme="minorHAnsi"/>
          <w:snapToGrid/>
          <w:szCs w:val="24"/>
        </w:rPr>
        <w:t>Bureau</w:t>
      </w:r>
      <w:r w:rsidRPr="002F44B7">
        <w:rPr>
          <w:rFonts w:eastAsiaTheme="minorHAnsi"/>
          <w:snapToGrid/>
          <w:spacing w:val="28"/>
          <w:szCs w:val="24"/>
        </w:rPr>
        <w:t xml:space="preserve"> </w:t>
      </w:r>
      <w:r w:rsidRPr="002F44B7">
        <w:rPr>
          <w:rFonts w:eastAsiaTheme="minorHAnsi"/>
          <w:snapToGrid/>
          <w:szCs w:val="24"/>
        </w:rPr>
        <w:t>of</w:t>
      </w:r>
      <w:r w:rsidRPr="002F44B7">
        <w:rPr>
          <w:rFonts w:eastAsiaTheme="minorHAnsi"/>
          <w:snapToGrid/>
          <w:spacing w:val="10"/>
          <w:szCs w:val="24"/>
        </w:rPr>
        <w:t xml:space="preserve"> </w:t>
      </w:r>
      <w:r w:rsidRPr="002F44B7">
        <w:rPr>
          <w:rFonts w:eastAsiaTheme="minorHAnsi"/>
          <w:snapToGrid/>
          <w:szCs w:val="24"/>
        </w:rPr>
        <w:t>Labor</w:t>
      </w:r>
      <w:r w:rsidRPr="002F44B7">
        <w:rPr>
          <w:rFonts w:eastAsiaTheme="minorHAnsi"/>
          <w:snapToGrid/>
          <w:spacing w:val="23"/>
          <w:szCs w:val="24"/>
        </w:rPr>
        <w:t xml:space="preserve"> </w:t>
      </w:r>
      <w:r w:rsidRPr="002F44B7">
        <w:rPr>
          <w:rFonts w:eastAsiaTheme="minorHAnsi"/>
          <w:snapToGrid/>
          <w:szCs w:val="24"/>
        </w:rPr>
        <w:t>Statistics</w:t>
      </w:r>
      <w:r w:rsidRPr="002F44B7">
        <w:rPr>
          <w:rFonts w:eastAsiaTheme="minorHAnsi"/>
          <w:snapToGrid/>
          <w:spacing w:val="14"/>
          <w:szCs w:val="24"/>
        </w:rPr>
        <w:t xml:space="preserve"> </w:t>
      </w:r>
      <w:r w:rsidRPr="002F44B7">
        <w:rPr>
          <w:rFonts w:eastAsiaTheme="minorHAnsi"/>
          <w:snapToGrid/>
          <w:szCs w:val="24"/>
        </w:rPr>
        <w:t>(BLS)</w:t>
      </w:r>
      <w:r w:rsidRPr="002F44B7">
        <w:rPr>
          <w:rFonts w:eastAsiaTheme="minorHAnsi"/>
          <w:snapToGrid/>
          <w:spacing w:val="8"/>
          <w:szCs w:val="24"/>
        </w:rPr>
        <w:t xml:space="preserve"> </w:t>
      </w:r>
      <w:r w:rsidRPr="002F44B7">
        <w:rPr>
          <w:rFonts w:eastAsiaTheme="minorHAnsi"/>
          <w:snapToGrid/>
          <w:szCs w:val="24"/>
        </w:rPr>
        <w:t>for</w:t>
      </w:r>
      <w:r w:rsidRPr="002F44B7">
        <w:rPr>
          <w:rFonts w:eastAsiaTheme="minorHAnsi"/>
          <w:snapToGrid/>
          <w:spacing w:val="13"/>
          <w:szCs w:val="24"/>
        </w:rPr>
        <w:t xml:space="preserve"> </w:t>
      </w:r>
      <w:r w:rsidRPr="002F44B7">
        <w:rPr>
          <w:rFonts w:eastAsiaTheme="minorHAnsi"/>
          <w:snapToGrid/>
          <w:szCs w:val="24"/>
        </w:rPr>
        <w:t>May</w:t>
      </w:r>
      <w:r w:rsidRPr="002F44B7">
        <w:rPr>
          <w:rFonts w:eastAsiaTheme="minorHAnsi"/>
          <w:snapToGrid/>
          <w:spacing w:val="24"/>
          <w:szCs w:val="24"/>
        </w:rPr>
        <w:t xml:space="preserve"> </w:t>
      </w:r>
      <w:r w:rsidRPr="002F44B7" w:rsidR="00355B59">
        <w:rPr>
          <w:rFonts w:eastAsiaTheme="minorHAnsi"/>
          <w:snapToGrid/>
          <w:szCs w:val="24"/>
        </w:rPr>
        <w:t>2019</w:t>
      </w:r>
      <w:r w:rsidRPr="002F44B7">
        <w:rPr>
          <w:rFonts w:eastAsiaTheme="minorHAnsi"/>
          <w:snapToGrid/>
          <w:szCs w:val="24"/>
        </w:rPr>
        <w:t>,</w:t>
      </w:r>
      <w:r w:rsidRPr="002F44B7">
        <w:rPr>
          <w:rFonts w:eastAsiaTheme="minorHAnsi"/>
          <w:snapToGrid/>
          <w:spacing w:val="11"/>
          <w:szCs w:val="24"/>
        </w:rPr>
        <w:t xml:space="preserve"> </w:t>
      </w:r>
      <w:r w:rsidRPr="002F44B7">
        <w:rPr>
          <w:rFonts w:eastAsiaTheme="minorHAnsi"/>
          <w:snapToGrid/>
          <w:szCs w:val="24"/>
        </w:rPr>
        <w:t>the</w:t>
      </w:r>
      <w:r w:rsidRPr="002F44B7">
        <w:rPr>
          <w:rFonts w:eastAsiaTheme="minorHAnsi"/>
          <w:snapToGrid/>
          <w:spacing w:val="18"/>
          <w:szCs w:val="24"/>
        </w:rPr>
        <w:t xml:space="preserve"> </w:t>
      </w:r>
      <w:r w:rsidRPr="002F44B7">
        <w:rPr>
          <w:rFonts w:eastAsiaTheme="minorHAnsi"/>
          <w:snapToGrid/>
          <w:szCs w:val="24"/>
        </w:rPr>
        <w:t>mean</w:t>
      </w:r>
      <w:r w:rsidRPr="002F44B7">
        <w:rPr>
          <w:rFonts w:eastAsiaTheme="minorHAnsi"/>
          <w:snapToGrid/>
          <w:spacing w:val="23"/>
          <w:szCs w:val="24"/>
        </w:rPr>
        <w:t xml:space="preserve"> </w:t>
      </w:r>
      <w:r w:rsidRPr="002F44B7">
        <w:rPr>
          <w:rFonts w:eastAsiaTheme="minorHAnsi"/>
          <w:snapToGrid/>
          <w:szCs w:val="24"/>
        </w:rPr>
        <w:t>hourly</w:t>
      </w:r>
      <w:r w:rsidRPr="002F44B7">
        <w:rPr>
          <w:rFonts w:eastAsiaTheme="minorHAnsi"/>
          <w:snapToGrid/>
          <w:spacing w:val="26"/>
          <w:szCs w:val="24"/>
        </w:rPr>
        <w:t xml:space="preserve"> </w:t>
      </w:r>
      <w:r w:rsidRPr="002F44B7">
        <w:rPr>
          <w:rFonts w:eastAsiaTheme="minorHAnsi"/>
          <w:snapToGrid/>
          <w:szCs w:val="24"/>
        </w:rPr>
        <w:t>wage</w:t>
      </w:r>
      <w:r w:rsidRPr="002F44B7">
        <w:rPr>
          <w:rFonts w:eastAsiaTheme="minorHAnsi"/>
          <w:snapToGrid/>
          <w:spacing w:val="21"/>
          <w:szCs w:val="24"/>
        </w:rPr>
        <w:t xml:space="preserve"> </w:t>
      </w:r>
      <w:r w:rsidRPr="002F44B7">
        <w:rPr>
          <w:rFonts w:eastAsiaTheme="minorHAnsi"/>
          <w:snapToGrid/>
          <w:szCs w:val="24"/>
        </w:rPr>
        <w:t>for</w:t>
      </w:r>
      <w:r w:rsidRPr="002F44B7">
        <w:rPr>
          <w:rFonts w:eastAsiaTheme="minorHAnsi"/>
          <w:snapToGrid/>
          <w:spacing w:val="2"/>
          <w:szCs w:val="24"/>
        </w:rPr>
        <w:t xml:space="preserve"> </w:t>
      </w:r>
      <w:r w:rsidRPr="002F44B7">
        <w:rPr>
          <w:rFonts w:eastAsiaTheme="minorHAnsi"/>
          <w:snapToGrid/>
          <w:szCs w:val="24"/>
        </w:rPr>
        <w:t>the</w:t>
      </w:r>
      <w:r w:rsidRPr="002F44B7">
        <w:rPr>
          <w:rFonts w:eastAsiaTheme="minorHAnsi"/>
          <w:snapToGrid/>
          <w:spacing w:val="17"/>
          <w:szCs w:val="24"/>
        </w:rPr>
        <w:t xml:space="preserve"> </w:t>
      </w:r>
      <w:r w:rsidRPr="002F44B7">
        <w:rPr>
          <w:rFonts w:eastAsiaTheme="minorHAnsi"/>
          <w:snapToGrid/>
          <w:szCs w:val="24"/>
        </w:rPr>
        <w:t>general</w:t>
      </w:r>
      <w:r w:rsidRPr="002F44B7">
        <w:rPr>
          <w:rFonts w:eastAsiaTheme="minorHAnsi"/>
          <w:snapToGrid/>
          <w:spacing w:val="30"/>
          <w:szCs w:val="24"/>
        </w:rPr>
        <w:t xml:space="preserve"> </w:t>
      </w:r>
      <w:r w:rsidRPr="002F44B7">
        <w:rPr>
          <w:rFonts w:eastAsiaTheme="minorHAnsi"/>
          <w:snapToGrid/>
          <w:szCs w:val="24"/>
        </w:rPr>
        <w:t>category</w:t>
      </w:r>
      <w:r w:rsidRPr="002F44B7">
        <w:rPr>
          <w:rFonts w:eastAsiaTheme="minorHAnsi"/>
          <w:snapToGrid/>
          <w:spacing w:val="24"/>
          <w:szCs w:val="24"/>
        </w:rPr>
        <w:t xml:space="preserve"> </w:t>
      </w:r>
      <w:r w:rsidRPr="002F44B7">
        <w:rPr>
          <w:rFonts w:eastAsiaTheme="minorHAnsi"/>
          <w:snapToGrid/>
          <w:szCs w:val="24"/>
        </w:rPr>
        <w:t>of</w:t>
      </w:r>
      <w:r w:rsidRPr="002F44B7">
        <w:rPr>
          <w:rFonts w:eastAsiaTheme="minorHAnsi"/>
          <w:snapToGrid/>
          <w:spacing w:val="26"/>
          <w:szCs w:val="24"/>
        </w:rPr>
        <w:t xml:space="preserve"> </w:t>
      </w:r>
      <w:r w:rsidRPr="002F44B7">
        <w:rPr>
          <w:rFonts w:eastAsiaTheme="minorHAnsi"/>
          <w:snapToGrid/>
          <w:szCs w:val="24"/>
        </w:rPr>
        <w:t>"Medical Secretary" is $</w:t>
      </w:r>
      <w:r w:rsidRPr="002F44B7" w:rsidR="00E970C7">
        <w:rPr>
          <w:rFonts w:eastAsiaTheme="minorHAnsi"/>
          <w:snapToGrid/>
          <w:szCs w:val="24"/>
        </w:rPr>
        <w:t>18.31</w:t>
      </w:r>
      <w:r w:rsidRPr="002F44B7">
        <w:rPr>
          <w:rFonts w:eastAsiaTheme="minorHAnsi"/>
          <w:snapToGrid/>
          <w:szCs w:val="24"/>
        </w:rPr>
        <w:t xml:space="preserve"> per hour (see </w:t>
      </w:r>
      <w:hyperlink w:history="1" r:id="rId7">
        <w:r w:rsidRPr="002F44B7">
          <w:rPr>
            <w:rFonts w:eastAsiaTheme="minorHAnsi"/>
            <w:snapToGrid/>
            <w:color w:val="0000FF"/>
            <w:szCs w:val="24"/>
            <w:u w:val="single"/>
          </w:rPr>
          <w:t>http://www.bls.gov/oes/current/oes_nat.htm</w:t>
        </w:r>
      </w:hyperlink>
      <w:r w:rsidRPr="002F44B7">
        <w:rPr>
          <w:rFonts w:eastAsiaTheme="minorHAnsi"/>
          <w:snapToGrid/>
          <w:szCs w:val="24"/>
          <w:u w:val="single"/>
        </w:rPr>
        <w:t>)</w:t>
      </w:r>
      <w:r w:rsidRPr="002F44B7">
        <w:rPr>
          <w:rFonts w:eastAsiaTheme="minorHAnsi"/>
          <w:snapToGrid/>
          <w:szCs w:val="24"/>
        </w:rPr>
        <w:t>.  With fringe benefits and overhead, the total per hour rate is</w:t>
      </w:r>
      <w:r w:rsidRPr="002F44B7">
        <w:rPr>
          <w:rFonts w:eastAsiaTheme="minorHAnsi"/>
          <w:snapToGrid/>
          <w:spacing w:val="41"/>
          <w:szCs w:val="24"/>
        </w:rPr>
        <w:t xml:space="preserve"> </w:t>
      </w:r>
      <w:r w:rsidRPr="002F44B7">
        <w:rPr>
          <w:rFonts w:eastAsiaTheme="minorHAnsi"/>
          <w:snapToGrid/>
          <w:szCs w:val="24"/>
        </w:rPr>
        <w:t>$</w:t>
      </w:r>
      <w:r w:rsidRPr="002F44B7" w:rsidR="00E970C7">
        <w:rPr>
          <w:rFonts w:eastAsiaTheme="minorHAnsi"/>
          <w:snapToGrid/>
          <w:szCs w:val="24"/>
        </w:rPr>
        <w:t>36.62.</w:t>
      </w:r>
    </w:p>
    <w:p w:rsidRPr="002F44B7" w:rsidR="00507BE4" w:rsidP="00A02D17" w:rsidRDefault="00507BE4" w14:paraId="36253CB5" w14:textId="551967B5">
      <w:pPr>
        <w:pStyle w:val="ListParagraph"/>
        <w:numPr>
          <w:ilvl w:val="1"/>
          <w:numId w:val="21"/>
        </w:numPr>
        <w:contextualSpacing w:val="0"/>
      </w:pPr>
      <w:r w:rsidRPr="002F44B7">
        <w:t xml:space="preserve">The most recent wage data provided by the BLS for May </w:t>
      </w:r>
      <w:r w:rsidRPr="002F44B7" w:rsidR="00355B59">
        <w:t>2019</w:t>
      </w:r>
      <w:r w:rsidRPr="002F44B7">
        <w:t xml:space="preserve"> (</w:t>
      </w:r>
      <w:r w:rsidRPr="002F44B7" w:rsidR="006F4004">
        <w:rPr>
          <w:rFonts w:eastAsiaTheme="minorHAnsi"/>
          <w:snapToGrid/>
          <w:szCs w:val="24"/>
        </w:rPr>
        <w:t xml:space="preserve">see </w:t>
      </w:r>
      <w:hyperlink w:history="1" r:id="rId8">
        <w:r w:rsidRPr="002F44B7" w:rsidR="006F4004">
          <w:rPr>
            <w:rFonts w:eastAsiaTheme="minorHAnsi"/>
            <w:snapToGrid/>
            <w:color w:val="0000FF"/>
            <w:szCs w:val="24"/>
            <w:u w:val="single"/>
          </w:rPr>
          <w:t>http://www.bls.gov/oes/current/oes_nat.htm</w:t>
        </w:r>
      </w:hyperlink>
      <w:r w:rsidRPr="002F44B7" w:rsidR="006F4004">
        <w:rPr>
          <w:rFonts w:eastAsiaTheme="minorHAnsi"/>
          <w:snapToGrid/>
          <w:szCs w:val="24"/>
        </w:rPr>
        <w:t>)</w:t>
      </w:r>
      <w:r w:rsidRPr="002F44B7">
        <w:t>, the mean hourly wage for the general category of "Health Diagnosing and Treating Practitioners" is $</w:t>
      </w:r>
      <w:r w:rsidRPr="002F44B7" w:rsidR="00E970C7">
        <w:t>49.26</w:t>
      </w:r>
      <w:r w:rsidRPr="002F44B7">
        <w:t>.  With fringe benefits and overhead, the total hourly rate is $</w:t>
      </w:r>
      <w:r w:rsidRPr="002F44B7" w:rsidR="00E970C7">
        <w:t>98.52</w:t>
      </w:r>
      <w:r w:rsidRPr="002F44B7">
        <w:t>.</w:t>
      </w:r>
    </w:p>
    <w:p w:rsidRPr="002F44B7" w:rsidR="002E0E9D" w:rsidP="00A02D17" w:rsidRDefault="002E0E9D" w14:paraId="02A521F1" w14:textId="77777777">
      <w:pPr>
        <w:widowControl/>
        <w:kinsoku w:val="0"/>
        <w:overflowPunct w:val="0"/>
        <w:autoSpaceDE w:val="0"/>
        <w:autoSpaceDN w:val="0"/>
        <w:adjustRightInd w:val="0"/>
        <w:ind w:left="104" w:firstLine="4"/>
        <w:rPr>
          <w:rFonts w:eastAsiaTheme="minorHAnsi"/>
          <w:snapToGrid/>
          <w:szCs w:val="24"/>
        </w:rPr>
      </w:pPr>
    </w:p>
    <w:p w:rsidRPr="002F44B7" w:rsidR="00603EB2" w:rsidP="00A02D17" w:rsidRDefault="00507BE4" w14:paraId="0AD6E33C" w14:textId="77777777">
      <w:pPr>
        <w:widowControl/>
        <w:kinsoku w:val="0"/>
        <w:overflowPunct w:val="0"/>
        <w:autoSpaceDE w:val="0"/>
        <w:autoSpaceDN w:val="0"/>
        <w:adjustRightInd w:val="0"/>
        <w:ind w:left="104" w:firstLine="4"/>
        <w:rPr>
          <w:rFonts w:eastAsiaTheme="minorHAnsi"/>
          <w:snapToGrid/>
          <w:szCs w:val="24"/>
        </w:rPr>
      </w:pPr>
      <w:r w:rsidRPr="002F44B7">
        <w:rPr>
          <w:rFonts w:eastAsiaTheme="minorHAnsi"/>
          <w:snapToGrid/>
          <w:szCs w:val="24"/>
        </w:rPr>
        <w:t>T</w:t>
      </w:r>
      <w:r w:rsidRPr="002F44B7" w:rsidR="002352C0">
        <w:rPr>
          <w:rFonts w:eastAsiaTheme="minorHAnsi"/>
          <w:snapToGrid/>
          <w:szCs w:val="24"/>
        </w:rPr>
        <w:t>he</w:t>
      </w:r>
      <w:r w:rsidRPr="002F44B7" w:rsidR="002352C0">
        <w:rPr>
          <w:rFonts w:eastAsiaTheme="minorHAnsi"/>
          <w:snapToGrid/>
          <w:spacing w:val="13"/>
          <w:szCs w:val="24"/>
        </w:rPr>
        <w:t xml:space="preserve"> </w:t>
      </w:r>
      <w:r w:rsidRPr="002F44B7" w:rsidR="002E0E9D">
        <w:rPr>
          <w:rFonts w:eastAsiaTheme="minorHAnsi"/>
          <w:snapToGrid/>
          <w:spacing w:val="13"/>
          <w:szCs w:val="24"/>
        </w:rPr>
        <w:t xml:space="preserve">three year </w:t>
      </w:r>
      <w:r w:rsidRPr="002F44B7" w:rsidR="006F4004">
        <w:rPr>
          <w:rFonts w:eastAsiaTheme="minorHAnsi"/>
          <w:snapToGrid/>
          <w:spacing w:val="13"/>
          <w:szCs w:val="24"/>
        </w:rPr>
        <w:t xml:space="preserve">summary of all burden hours and costs </w:t>
      </w:r>
      <w:r w:rsidRPr="002F44B7" w:rsidR="002352C0">
        <w:rPr>
          <w:rFonts w:eastAsiaTheme="minorHAnsi"/>
          <w:snapToGrid/>
          <w:szCs w:val="24"/>
        </w:rPr>
        <w:t>are</w:t>
      </w:r>
      <w:r w:rsidRPr="002F44B7" w:rsidR="002352C0">
        <w:rPr>
          <w:rFonts w:eastAsiaTheme="minorHAnsi"/>
          <w:snapToGrid/>
          <w:spacing w:val="9"/>
          <w:szCs w:val="24"/>
        </w:rPr>
        <w:t xml:space="preserve"> </w:t>
      </w:r>
      <w:r w:rsidRPr="002F44B7" w:rsidR="002352C0">
        <w:rPr>
          <w:rFonts w:eastAsiaTheme="minorHAnsi"/>
          <w:snapToGrid/>
          <w:szCs w:val="24"/>
        </w:rPr>
        <w:t>reflected</w:t>
      </w:r>
      <w:r w:rsidRPr="002F44B7" w:rsidR="006F4004">
        <w:rPr>
          <w:rFonts w:eastAsiaTheme="minorHAnsi"/>
          <w:snapToGrid/>
          <w:szCs w:val="24"/>
        </w:rPr>
        <w:t xml:space="preserve"> in Table</w:t>
      </w:r>
      <w:r w:rsidRPr="002F44B7" w:rsidR="00A91A35">
        <w:rPr>
          <w:rFonts w:eastAsiaTheme="minorHAnsi"/>
          <w:snapToGrid/>
          <w:szCs w:val="24"/>
        </w:rPr>
        <w:t xml:space="preserve"> </w:t>
      </w:r>
      <w:r w:rsidRPr="002F44B7" w:rsidR="006F4004">
        <w:rPr>
          <w:rFonts w:eastAsiaTheme="minorHAnsi"/>
          <w:snapToGrid/>
          <w:szCs w:val="24"/>
        </w:rPr>
        <w:t>3 (</w:t>
      </w:r>
      <w:r w:rsidRPr="002F44B7" w:rsidR="002352C0">
        <w:rPr>
          <w:rFonts w:eastAsiaTheme="minorHAnsi"/>
          <w:snapToGrid/>
          <w:szCs w:val="24"/>
        </w:rPr>
        <w:t>below</w:t>
      </w:r>
      <w:r w:rsidRPr="002F44B7" w:rsidR="006F4004">
        <w:rPr>
          <w:rFonts w:eastAsiaTheme="minorHAnsi"/>
          <w:snapToGrid/>
          <w:szCs w:val="24"/>
        </w:rPr>
        <w:t>)</w:t>
      </w:r>
      <w:r w:rsidRPr="002F44B7" w:rsidR="002352C0">
        <w:rPr>
          <w:rFonts w:eastAsiaTheme="minorHAnsi"/>
          <w:snapToGrid/>
          <w:szCs w:val="24"/>
        </w:rPr>
        <w:t>.</w:t>
      </w:r>
    </w:p>
    <w:p w:rsidRPr="002F44B7" w:rsidR="00603EB2" w:rsidP="00A02D17" w:rsidRDefault="00603EB2" w14:paraId="317C40DC" w14:textId="77777777">
      <w:pPr>
        <w:widowControl/>
        <w:kinsoku w:val="0"/>
        <w:overflowPunct w:val="0"/>
        <w:autoSpaceDE w:val="0"/>
        <w:autoSpaceDN w:val="0"/>
        <w:adjustRightInd w:val="0"/>
        <w:ind w:left="104" w:firstLine="4"/>
        <w:rPr>
          <w:rFonts w:eastAsiaTheme="minorHAnsi"/>
          <w:snapToGrid/>
          <w:szCs w:val="24"/>
        </w:rPr>
      </w:pPr>
    </w:p>
    <w:p w:rsidRPr="002F44B7" w:rsidR="00B16F7E" w:rsidP="00A02D17" w:rsidRDefault="002E0E9D" w14:paraId="59FC0110" w14:textId="05CAD66D">
      <w:pPr>
        <w:widowControl/>
        <w:kinsoku w:val="0"/>
        <w:overflowPunct w:val="0"/>
        <w:autoSpaceDE w:val="0"/>
        <w:autoSpaceDN w:val="0"/>
        <w:adjustRightInd w:val="0"/>
        <w:ind w:left="104" w:firstLine="4"/>
        <w:rPr>
          <w:b/>
          <w:u w:val="single"/>
        </w:rPr>
      </w:pPr>
      <w:r w:rsidRPr="002F44B7">
        <w:rPr>
          <w:b/>
          <w:u w:val="single"/>
        </w:rPr>
        <w:t>Table 3 – Summary of Burden Hours and Costs for Three Years</w:t>
      </w:r>
    </w:p>
    <w:tbl>
      <w:tblPr>
        <w:tblpPr w:leftFromText="180" w:rightFromText="180" w:vertAnchor="text" w:tblpY="1"/>
        <w:tblOverlap w:val="never"/>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849"/>
        <w:gridCol w:w="1306"/>
        <w:gridCol w:w="1211"/>
        <w:gridCol w:w="1476"/>
        <w:gridCol w:w="1075"/>
        <w:gridCol w:w="1626"/>
        <w:gridCol w:w="1566"/>
      </w:tblGrid>
      <w:tr w:rsidRPr="002F44B7" w:rsidR="00733367" w:rsidTr="00B42903" w14:paraId="5D2EBCE7" w14:textId="77777777">
        <w:trPr>
          <w:tblHeader/>
        </w:trPr>
        <w:tc>
          <w:tcPr>
            <w:tcW w:w="1416"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798FC45B" w14:textId="3F9AAAA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olor w:val="000000"/>
                <w:sz w:val="20"/>
              </w:rPr>
            </w:pPr>
            <w:r w:rsidRPr="002F44B7">
              <w:rPr>
                <w:rFonts w:eastAsia="Calibri"/>
                <w:b/>
                <w:bCs/>
                <w:color w:val="000000"/>
                <w:sz w:val="20"/>
              </w:rPr>
              <w:lastRenderedPageBreak/>
              <w:t>Regulation Section(s)</w:t>
            </w:r>
          </w:p>
        </w:tc>
        <w:tc>
          <w:tcPr>
            <w:tcW w:w="849"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1B6CDB4F" w14:textId="447E896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564C857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2F44B7">
              <w:rPr>
                <w:rFonts w:eastAsia="Calibri"/>
                <w:b/>
                <w:bCs/>
                <w:color w:val="000000"/>
                <w:sz w:val="20"/>
              </w:rPr>
              <w:t>Number</w:t>
            </w:r>
          </w:p>
          <w:p w:rsidRPr="002F44B7" w:rsidR="00603EB2" w:rsidP="00A02D17" w:rsidRDefault="00603EB2" w14:paraId="50A9C17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2F44B7">
              <w:rPr>
                <w:rFonts w:eastAsia="Calibri"/>
                <w:b/>
                <w:bCs/>
                <w:color w:val="000000"/>
                <w:sz w:val="20"/>
              </w:rPr>
              <w:t xml:space="preserve">of </w:t>
            </w:r>
          </w:p>
          <w:p w:rsidRPr="002F44B7" w:rsidR="00603EB2" w:rsidP="00A02D17" w:rsidRDefault="00603EB2" w14:paraId="3A26301B" w14:textId="1B6F966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b/>
                <w:bCs/>
                <w:color w:val="000000"/>
                <w:sz w:val="20"/>
              </w:rPr>
              <w:t>Respondents</w:t>
            </w:r>
          </w:p>
        </w:tc>
        <w:tc>
          <w:tcPr>
            <w:tcW w:w="1211"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22EA7CC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2F44B7">
              <w:rPr>
                <w:rFonts w:eastAsia="Calibri"/>
                <w:b/>
                <w:bCs/>
                <w:color w:val="000000"/>
                <w:sz w:val="20"/>
              </w:rPr>
              <w:t xml:space="preserve">Number </w:t>
            </w:r>
          </w:p>
          <w:p w:rsidRPr="002F44B7" w:rsidR="00603EB2" w:rsidP="00A02D17" w:rsidRDefault="00603EB2" w14:paraId="18C2E7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2F44B7">
              <w:rPr>
                <w:rFonts w:eastAsia="Calibri"/>
                <w:b/>
                <w:bCs/>
                <w:color w:val="000000"/>
                <w:sz w:val="20"/>
              </w:rPr>
              <w:t>of</w:t>
            </w:r>
          </w:p>
          <w:p w:rsidRPr="002F44B7" w:rsidR="00603EB2" w:rsidP="00A02D17" w:rsidRDefault="00603EB2" w14:paraId="66103D72" w14:textId="082FF6C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b/>
                <w:bCs/>
                <w:color w:val="000000"/>
                <w:sz w:val="20"/>
              </w:rPr>
              <w:t>Responses</w:t>
            </w:r>
          </w:p>
        </w:tc>
        <w:tc>
          <w:tcPr>
            <w:tcW w:w="1476"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331ACB3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2F44B7">
              <w:rPr>
                <w:rFonts w:eastAsia="Calibri"/>
                <w:b/>
                <w:bCs/>
                <w:color w:val="000000"/>
                <w:sz w:val="20"/>
              </w:rPr>
              <w:t xml:space="preserve">Burden </w:t>
            </w:r>
          </w:p>
          <w:p w:rsidRPr="002F44B7" w:rsidR="00603EB2" w:rsidP="00A02D17" w:rsidRDefault="00603EB2" w14:paraId="18121CC0" w14:textId="25F1F8A9">
            <w:pPr>
              <w:rPr>
                <w:rFonts w:eastAsia="Calibri"/>
                <w:sz w:val="20"/>
              </w:rPr>
            </w:pPr>
            <w:r w:rsidRPr="002F44B7">
              <w:rPr>
                <w:rFonts w:eastAsia="Calibri"/>
                <w:b/>
                <w:bCs/>
                <w:color w:val="000000"/>
                <w:sz w:val="20"/>
              </w:rPr>
              <w:t>per Response (hours)</w:t>
            </w:r>
          </w:p>
        </w:tc>
        <w:tc>
          <w:tcPr>
            <w:tcW w:w="1075"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09E5BF87" w14:textId="4EDD276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b/>
                <w:bCs/>
                <w:color w:val="000000"/>
                <w:sz w:val="20"/>
              </w:rPr>
              <w:t>Total Annual Burden (hours)</w:t>
            </w:r>
          </w:p>
        </w:tc>
        <w:tc>
          <w:tcPr>
            <w:tcW w:w="1626"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153DD3F1" w14:textId="77777777">
            <w:pPr>
              <w:jc w:val="center"/>
              <w:rPr>
                <w:rFonts w:eastAsia="Calibri"/>
                <w:b/>
                <w:bCs/>
                <w:i/>
                <w:color w:val="000000"/>
                <w:sz w:val="20"/>
              </w:rPr>
            </w:pPr>
            <w:r w:rsidRPr="002F44B7">
              <w:rPr>
                <w:rFonts w:eastAsia="Calibri"/>
                <w:b/>
                <w:bCs/>
                <w:color w:val="000000"/>
                <w:sz w:val="20"/>
              </w:rPr>
              <w:t>Hourly Labor</w:t>
            </w:r>
          </w:p>
          <w:p w:rsidRPr="002F44B7" w:rsidR="00603EB2" w:rsidP="00A02D17" w:rsidRDefault="00603EB2" w14:paraId="7FF8947F" w14:textId="77777777">
            <w:pPr>
              <w:jc w:val="center"/>
              <w:rPr>
                <w:rFonts w:eastAsia="Calibri"/>
                <w:b/>
                <w:bCs/>
                <w:i/>
                <w:color w:val="000000"/>
                <w:sz w:val="20"/>
              </w:rPr>
            </w:pPr>
            <w:r w:rsidRPr="002F44B7">
              <w:rPr>
                <w:rFonts w:eastAsia="Calibri"/>
                <w:b/>
                <w:bCs/>
                <w:color w:val="000000"/>
                <w:sz w:val="20"/>
              </w:rPr>
              <w:t>Cost of</w:t>
            </w:r>
          </w:p>
          <w:p w:rsidRPr="002F44B7" w:rsidR="00603EB2" w:rsidP="00A02D17" w:rsidRDefault="00603EB2" w14:paraId="4DF16659" w14:textId="7E65C5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b/>
                <w:bCs/>
                <w:color w:val="000000"/>
                <w:sz w:val="20"/>
              </w:rPr>
              <w:t>Reporting ($) includes 100% fringe benefits</w:t>
            </w:r>
          </w:p>
        </w:tc>
        <w:tc>
          <w:tcPr>
            <w:tcW w:w="1566" w:type="dxa"/>
            <w:tcBorders>
              <w:top w:val="single" w:color="auto" w:sz="4" w:space="0"/>
              <w:left w:val="single" w:color="auto" w:sz="4" w:space="0"/>
              <w:bottom w:val="single" w:color="auto" w:sz="4" w:space="0"/>
              <w:right w:val="single" w:color="auto" w:sz="4" w:space="0"/>
            </w:tcBorders>
            <w:shd w:val="clear" w:color="auto" w:fill="BFBFBF"/>
            <w:vAlign w:val="bottom"/>
          </w:tcPr>
          <w:p w:rsidRPr="002F44B7" w:rsidR="00603EB2" w:rsidP="00A02D17" w:rsidRDefault="00603EB2" w14:paraId="214623F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rPr>
            </w:pPr>
            <w:r w:rsidRPr="002F44B7">
              <w:rPr>
                <w:rFonts w:eastAsia="Calibri"/>
                <w:b/>
                <w:sz w:val="20"/>
              </w:rPr>
              <w:t>Total Cost</w:t>
            </w:r>
          </w:p>
          <w:p w:rsidRPr="002F44B7" w:rsidR="00603EB2" w:rsidP="00A02D17" w:rsidRDefault="00603EB2" w14:paraId="40F04909" w14:textId="1ADED89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b/>
                <w:sz w:val="20"/>
              </w:rPr>
              <w:t>($)</w:t>
            </w:r>
          </w:p>
        </w:tc>
      </w:tr>
      <w:tr w:rsidRPr="002F44B7" w:rsidR="00733367" w:rsidTr="00B42903" w14:paraId="07D15468"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3D6A0F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 xml:space="preserve">Initial Enrollments - </w:t>
            </w:r>
          </w:p>
          <w:p w:rsidRPr="002F44B7" w:rsidR="00475A5A" w:rsidP="00A02D17" w:rsidRDefault="00475A5A" w14:paraId="54D34EAF" w14:textId="2BE8E29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497E74BA" w14:textId="4569FAA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B73960" w:rsidP="00A02D17" w:rsidRDefault="00B73960" w14:paraId="1350E5A8" w14:textId="282A8AD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17,087</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B73960" w14:paraId="2E43F19B" w14:textId="1A06CF5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17,087</w:t>
            </w:r>
          </w:p>
          <w:p w:rsidRPr="002F44B7" w:rsidR="00475A5A" w:rsidP="00A02D17" w:rsidRDefault="00475A5A" w14:paraId="5461694A" w14:textId="7F9888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9ADCB8B" w14:textId="600B03AE">
            <w:pPr>
              <w:jc w:val="center"/>
              <w:rPr>
                <w:rFonts w:eastAsia="Calibri"/>
                <w:sz w:val="20"/>
              </w:rPr>
            </w:pPr>
            <w:r w:rsidRPr="002F44B7">
              <w:rPr>
                <w:rFonts w:eastAsia="Calibri"/>
                <w:sz w:val="20"/>
              </w:rPr>
              <w:t>0.5 hours by Health Diagnosing and Treating Practitioners</w:t>
            </w:r>
          </w:p>
          <w:p w:rsidRPr="002F44B7" w:rsidR="00475A5A" w:rsidP="00A02D17" w:rsidRDefault="00475A5A" w14:paraId="3B666432" w14:textId="77777777">
            <w:pPr>
              <w:jc w:val="center"/>
              <w:rPr>
                <w:rFonts w:eastAsia="Calibri"/>
                <w:sz w:val="20"/>
              </w:rPr>
            </w:pPr>
          </w:p>
          <w:p w:rsidRPr="002F44B7" w:rsidR="00475A5A" w:rsidP="00A02D17" w:rsidRDefault="00475A5A" w14:paraId="621E9DB1" w14:textId="77777777">
            <w:pPr>
              <w:jc w:val="center"/>
              <w:rPr>
                <w:rFonts w:eastAsia="Calibri"/>
                <w:sz w:val="20"/>
              </w:rPr>
            </w:pPr>
            <w:r w:rsidRPr="002F44B7">
              <w:rPr>
                <w:rFonts w:eastAsia="Calibri"/>
                <w:sz w:val="20"/>
              </w:rPr>
              <w:t>2.5 hours by  Medical Secretaries</w:t>
            </w:r>
          </w:p>
          <w:p w:rsidRPr="002F44B7" w:rsidR="00475A5A" w:rsidP="00A02D17" w:rsidRDefault="00475A5A" w14:paraId="4B946CBC" w14:textId="77777777">
            <w:pPr>
              <w:jc w:val="center"/>
              <w:rPr>
                <w:rFonts w:eastAsia="Calibri"/>
                <w:sz w:val="20"/>
              </w:rPr>
            </w:pPr>
          </w:p>
          <w:p w:rsidRPr="002F44B7" w:rsidR="00475A5A" w:rsidP="00A02D17" w:rsidRDefault="00475A5A" w14:paraId="2A221707" w14:textId="181C558C">
            <w:pPr>
              <w:jc w:val="center"/>
              <w:rPr>
                <w:rFonts w:eastAsia="Calibri"/>
                <w:sz w:val="20"/>
              </w:rPr>
            </w:pPr>
            <w:r w:rsidRPr="002F44B7">
              <w:rPr>
                <w:rFonts w:eastAsia="Calibri"/>
                <w:sz w:val="20"/>
              </w:rPr>
              <w:t>3 hours total</w:t>
            </w:r>
          </w:p>
        </w:tc>
        <w:tc>
          <w:tcPr>
            <w:tcW w:w="1075" w:type="dxa"/>
            <w:tcBorders>
              <w:top w:val="single" w:color="auto" w:sz="4" w:space="0"/>
              <w:left w:val="single" w:color="auto" w:sz="4" w:space="0"/>
              <w:bottom w:val="single" w:color="auto" w:sz="4" w:space="0"/>
              <w:right w:val="single" w:color="auto" w:sz="4" w:space="0"/>
            </w:tcBorders>
          </w:tcPr>
          <w:p w:rsidRPr="002F44B7" w:rsidR="00B73960" w:rsidP="00A02D17" w:rsidRDefault="00B73960" w14:paraId="7D3A4A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51,261</w:t>
            </w:r>
          </w:p>
          <w:p w:rsidRPr="002F44B7" w:rsidR="00475A5A" w:rsidP="00A02D17" w:rsidRDefault="00B73960" w14:paraId="031D9A3A" w14:textId="4047D61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H</w:t>
            </w:r>
            <w:r w:rsidRPr="002F44B7" w:rsidR="00475A5A">
              <w:rPr>
                <w:rFonts w:eastAsia="Calibri"/>
                <w:sz w:val="20"/>
              </w:rPr>
              <w:t>ours</w:t>
            </w:r>
          </w:p>
          <w:p w:rsidRPr="002F44B7" w:rsidR="00B73960" w:rsidP="00A02D17" w:rsidRDefault="00B73960" w14:paraId="74B20B1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p w:rsidRPr="002F44B7" w:rsidR="00B73960" w:rsidP="00A02D17" w:rsidRDefault="00B73960" w14:paraId="63DAEE83" w14:textId="6B78746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5F7402CC" w14:textId="6703D9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295.56</w:t>
            </w:r>
            <w:r w:rsidRPr="002F44B7">
              <w:rPr>
                <w:rFonts w:eastAsia="Calibri"/>
                <w:sz w:val="20"/>
              </w:rPr>
              <w:t xml:space="preserve"> per hour</w:t>
            </w:r>
          </w:p>
          <w:p w:rsidRPr="002F44B7" w:rsidR="00475A5A" w:rsidP="00A02D17" w:rsidRDefault="00475A5A" w14:paraId="009C46D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656942E" w14:textId="19BADDD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77590D">
              <w:rPr>
                <w:rFonts w:eastAsia="Calibri"/>
                <w:sz w:val="20"/>
              </w:rPr>
              <w:t>109.86</w:t>
            </w:r>
            <w:r w:rsidRPr="002F44B7">
              <w:rPr>
                <w:rFonts w:eastAsia="Calibri"/>
                <w:sz w:val="20"/>
              </w:rPr>
              <w:t xml:space="preserve"> per hour</w:t>
            </w:r>
          </w:p>
          <w:p w:rsidRPr="002F44B7" w:rsidR="00475A5A" w:rsidP="00A02D17" w:rsidRDefault="00475A5A" w14:paraId="427F55A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F91E8BA" w14:textId="30DD28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405.42</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9706DC" w:rsidP="00A02D17" w:rsidRDefault="00B272CD" w14:paraId="6B99D6C6" w14:textId="00D0D83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20,782,234.62</w:t>
            </w:r>
          </w:p>
        </w:tc>
      </w:tr>
      <w:tr w:rsidRPr="002F44B7" w:rsidR="00733367" w:rsidTr="00B42903" w14:paraId="0E03F783"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049FD19B" w14:textId="527E704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Enrolling with another Medicare Administrative Contractor -  (MAC) – 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0238E727" w14:textId="0DC0AD8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5C086D5A" w14:textId="7A4003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37</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04E5BF5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37</w:t>
            </w:r>
          </w:p>
          <w:p w:rsidRPr="002F44B7" w:rsidR="00475A5A" w:rsidP="00A02D17" w:rsidRDefault="00475A5A" w14:paraId="2C1151FD" w14:textId="7CE9B8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2D648983" w14:textId="21990480">
            <w:pPr>
              <w:jc w:val="center"/>
              <w:rPr>
                <w:rFonts w:eastAsia="Calibri"/>
                <w:sz w:val="20"/>
              </w:rPr>
            </w:pPr>
            <w:r w:rsidRPr="002F44B7">
              <w:rPr>
                <w:rFonts w:eastAsia="Calibri"/>
                <w:sz w:val="20"/>
              </w:rPr>
              <w:t>0.5 hours by Health Diagnosing and Treating Practitioners</w:t>
            </w:r>
          </w:p>
          <w:p w:rsidRPr="002F44B7" w:rsidR="00475A5A" w:rsidP="00A02D17" w:rsidRDefault="00475A5A" w14:paraId="04FC4108" w14:textId="77777777">
            <w:pPr>
              <w:jc w:val="center"/>
              <w:rPr>
                <w:rFonts w:eastAsia="Calibri"/>
                <w:sz w:val="20"/>
              </w:rPr>
            </w:pPr>
          </w:p>
          <w:p w:rsidRPr="002F44B7" w:rsidR="00475A5A" w:rsidP="00A02D17" w:rsidRDefault="00475A5A" w14:paraId="5C578C99" w14:textId="77777777">
            <w:pPr>
              <w:jc w:val="center"/>
              <w:rPr>
                <w:rFonts w:eastAsia="Calibri"/>
                <w:sz w:val="20"/>
              </w:rPr>
            </w:pPr>
            <w:r w:rsidRPr="002F44B7">
              <w:rPr>
                <w:rFonts w:eastAsia="Calibri"/>
                <w:sz w:val="20"/>
              </w:rPr>
              <w:t>1.5 hours by  Medical Secretaries</w:t>
            </w:r>
          </w:p>
          <w:p w:rsidRPr="002F44B7" w:rsidR="00475A5A" w:rsidP="00A02D17" w:rsidRDefault="00475A5A" w14:paraId="25B9A85E" w14:textId="77777777">
            <w:pPr>
              <w:jc w:val="center"/>
              <w:rPr>
                <w:rFonts w:eastAsia="Calibri"/>
                <w:sz w:val="20"/>
              </w:rPr>
            </w:pPr>
          </w:p>
          <w:p w:rsidRPr="002F44B7" w:rsidR="00475A5A" w:rsidP="00A02D17" w:rsidRDefault="00475A5A" w14:paraId="39C94DC1" w14:textId="5E7CEF5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2 hours total</w:t>
            </w:r>
          </w:p>
        </w:tc>
        <w:tc>
          <w:tcPr>
            <w:tcW w:w="1075"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79F7E5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74</w:t>
            </w:r>
          </w:p>
          <w:p w:rsidRPr="002F44B7" w:rsidR="00475A5A" w:rsidP="00A02D17" w:rsidRDefault="00475A5A" w14:paraId="1BE16F8F" w14:textId="362A7A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hours</w:t>
            </w: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69AB460" w14:textId="42EF43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197.04</w:t>
            </w:r>
            <w:r w:rsidRPr="002F44B7">
              <w:rPr>
                <w:rFonts w:eastAsia="Calibri"/>
                <w:sz w:val="20"/>
              </w:rPr>
              <w:t xml:space="preserve"> per hour</w:t>
            </w:r>
          </w:p>
          <w:p w:rsidRPr="002F44B7" w:rsidR="00475A5A" w:rsidP="00A02D17" w:rsidRDefault="00475A5A" w14:paraId="48068F8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3EBE1BC5" w14:textId="6FEBC3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77590D">
              <w:rPr>
                <w:rFonts w:eastAsia="Calibri"/>
                <w:sz w:val="20"/>
              </w:rPr>
              <w:t>73.24</w:t>
            </w:r>
            <w:r w:rsidRPr="002F44B7">
              <w:rPr>
                <w:rFonts w:eastAsia="Calibri"/>
                <w:sz w:val="20"/>
              </w:rPr>
              <w:t xml:space="preserve"> per hour</w:t>
            </w:r>
          </w:p>
          <w:p w:rsidRPr="002F44B7" w:rsidR="00475A5A" w:rsidP="00A02D17" w:rsidRDefault="00475A5A" w14:paraId="1E3C1E9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87F942A" w14:textId="42C0A2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270.28</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9706DC" w:rsidP="00A02D17" w:rsidRDefault="00B272CD" w14:paraId="2163D58B" w14:textId="65492A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20,000.72</w:t>
            </w:r>
          </w:p>
        </w:tc>
      </w:tr>
      <w:tr w:rsidRPr="002F44B7" w:rsidR="00733367" w:rsidTr="00B42903" w14:paraId="79F6A40D"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36406FF" w14:textId="44E67D9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Revalidation - 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F6D2D79" w14:textId="33CE19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A762BBC" w14:textId="509086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31,211</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538E260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31,211 </w:t>
            </w:r>
          </w:p>
          <w:p w:rsidRPr="002F44B7" w:rsidR="00475A5A" w:rsidP="00A02D17" w:rsidRDefault="00475A5A" w14:paraId="4AD110F6" w14:textId="0F55AFD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65468D29" w14:textId="064E779F">
            <w:pPr>
              <w:jc w:val="center"/>
              <w:rPr>
                <w:rFonts w:eastAsia="Calibri"/>
                <w:sz w:val="20"/>
              </w:rPr>
            </w:pPr>
            <w:r w:rsidRPr="002F44B7">
              <w:rPr>
                <w:rFonts w:eastAsia="Calibri"/>
                <w:sz w:val="20"/>
              </w:rPr>
              <w:t>0.5 hours by Health Diagnosing and Treating Practitioners</w:t>
            </w:r>
          </w:p>
          <w:p w:rsidRPr="002F44B7" w:rsidR="00475A5A" w:rsidP="00A02D17" w:rsidRDefault="00475A5A" w14:paraId="5EA24C7D" w14:textId="77777777">
            <w:pPr>
              <w:jc w:val="center"/>
              <w:rPr>
                <w:rFonts w:eastAsia="Calibri"/>
                <w:sz w:val="20"/>
              </w:rPr>
            </w:pPr>
          </w:p>
          <w:p w:rsidRPr="002F44B7" w:rsidR="00475A5A" w:rsidP="00A02D17" w:rsidRDefault="00475A5A" w14:paraId="135D3526" w14:textId="77777777">
            <w:pPr>
              <w:jc w:val="center"/>
              <w:rPr>
                <w:rFonts w:eastAsia="Calibri"/>
                <w:sz w:val="20"/>
              </w:rPr>
            </w:pPr>
            <w:r w:rsidRPr="002F44B7">
              <w:rPr>
                <w:rFonts w:eastAsia="Calibri"/>
                <w:sz w:val="20"/>
              </w:rPr>
              <w:t>1.5 hours by  Medical Secretaries</w:t>
            </w:r>
          </w:p>
          <w:p w:rsidRPr="002F44B7" w:rsidR="00475A5A" w:rsidP="00A02D17" w:rsidRDefault="00475A5A" w14:paraId="79CCAF32" w14:textId="77777777">
            <w:pPr>
              <w:jc w:val="center"/>
              <w:rPr>
                <w:rFonts w:eastAsia="Calibri"/>
                <w:sz w:val="20"/>
              </w:rPr>
            </w:pPr>
          </w:p>
          <w:p w:rsidRPr="002F44B7" w:rsidR="00475A5A" w:rsidP="00A02D17" w:rsidRDefault="00475A5A" w14:paraId="0E41EC48" w14:textId="3C69FA70">
            <w:pPr>
              <w:jc w:val="center"/>
              <w:rPr>
                <w:rFonts w:eastAsia="Calibri"/>
                <w:sz w:val="20"/>
              </w:rPr>
            </w:pPr>
            <w:r w:rsidRPr="002F44B7">
              <w:rPr>
                <w:rFonts w:eastAsia="Calibri"/>
                <w:sz w:val="20"/>
              </w:rPr>
              <w:t>2 hours total</w:t>
            </w:r>
          </w:p>
        </w:tc>
        <w:tc>
          <w:tcPr>
            <w:tcW w:w="1075"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48B97C7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62,422 </w:t>
            </w:r>
          </w:p>
          <w:p w:rsidRPr="002F44B7" w:rsidR="00475A5A" w:rsidP="00A02D17" w:rsidRDefault="00475A5A" w14:paraId="638127C2" w14:textId="0EE8E30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hours</w:t>
            </w: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7598E48" w14:textId="0AF67AF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197.04</w:t>
            </w:r>
            <w:r w:rsidRPr="002F44B7">
              <w:rPr>
                <w:rFonts w:eastAsia="Calibri"/>
                <w:sz w:val="20"/>
              </w:rPr>
              <w:t xml:space="preserve"> per hour</w:t>
            </w:r>
          </w:p>
          <w:p w:rsidRPr="002F44B7" w:rsidR="00475A5A" w:rsidP="00A02D17" w:rsidRDefault="00475A5A" w14:paraId="61B42FB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5897EF06" w14:textId="2CD7D9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77590D">
              <w:rPr>
                <w:rFonts w:eastAsia="Calibri"/>
                <w:sz w:val="20"/>
              </w:rPr>
              <w:t>73.24</w:t>
            </w:r>
            <w:r w:rsidRPr="002F44B7">
              <w:rPr>
                <w:rFonts w:eastAsia="Calibri"/>
                <w:sz w:val="20"/>
              </w:rPr>
              <w:t xml:space="preserve"> per hour</w:t>
            </w:r>
          </w:p>
          <w:p w:rsidRPr="002F44B7" w:rsidR="00475A5A" w:rsidP="00A02D17" w:rsidRDefault="00475A5A" w14:paraId="57B9AE1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2B437652" w14:textId="6FB93A9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270.28</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9706DC" w:rsidP="00A02D17" w:rsidRDefault="00B272CD" w14:paraId="561EE2FB" w14:textId="271926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16,871,418.16</w:t>
            </w:r>
          </w:p>
        </w:tc>
      </w:tr>
      <w:tr w:rsidRPr="002F44B7" w:rsidR="00733367" w:rsidTr="00B42903" w14:paraId="0961B3C4"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61C5EB36" w14:textId="0319FF5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Reactivation - 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00DD69F0" w14:textId="04AEFD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4935BE34" w14:textId="1CEC0CF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1,316</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26BB2CD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1,316 </w:t>
            </w:r>
          </w:p>
          <w:p w:rsidRPr="002F44B7" w:rsidR="00475A5A" w:rsidP="00A02D17" w:rsidRDefault="00475A5A" w14:paraId="6F24C64A" w14:textId="75B4E3C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7939D7E" w14:textId="0B4FCF6E">
            <w:pPr>
              <w:jc w:val="center"/>
              <w:rPr>
                <w:rFonts w:eastAsia="Calibri"/>
                <w:sz w:val="20"/>
              </w:rPr>
            </w:pPr>
            <w:r w:rsidRPr="002F44B7">
              <w:rPr>
                <w:rFonts w:eastAsia="Calibri"/>
                <w:sz w:val="20"/>
              </w:rPr>
              <w:t>0.5 hours by Health Diagnosing and Treating Practitioners</w:t>
            </w:r>
          </w:p>
          <w:p w:rsidRPr="002F44B7" w:rsidR="00475A5A" w:rsidP="00A02D17" w:rsidRDefault="00475A5A" w14:paraId="350DADD6" w14:textId="77777777">
            <w:pPr>
              <w:jc w:val="center"/>
              <w:rPr>
                <w:rFonts w:eastAsia="Calibri"/>
                <w:sz w:val="20"/>
              </w:rPr>
            </w:pPr>
          </w:p>
          <w:p w:rsidRPr="002F44B7" w:rsidR="00475A5A" w:rsidP="00A02D17" w:rsidRDefault="00475A5A" w14:paraId="68D2B405" w14:textId="77777777">
            <w:pPr>
              <w:jc w:val="center"/>
              <w:rPr>
                <w:rFonts w:eastAsia="Calibri"/>
                <w:sz w:val="20"/>
              </w:rPr>
            </w:pPr>
            <w:r w:rsidRPr="002F44B7">
              <w:rPr>
                <w:rFonts w:eastAsia="Calibri"/>
                <w:sz w:val="20"/>
              </w:rPr>
              <w:t>1.5 hours by  Medical Secretaries</w:t>
            </w:r>
          </w:p>
          <w:p w:rsidRPr="002F44B7" w:rsidR="00475A5A" w:rsidP="00A02D17" w:rsidRDefault="00475A5A" w14:paraId="76511661" w14:textId="77777777">
            <w:pPr>
              <w:jc w:val="center"/>
              <w:rPr>
                <w:rFonts w:eastAsia="Calibri"/>
                <w:sz w:val="20"/>
              </w:rPr>
            </w:pPr>
          </w:p>
          <w:p w:rsidRPr="002F44B7" w:rsidR="00475A5A" w:rsidP="00A02D17" w:rsidRDefault="00475A5A" w14:paraId="678FAFD8" w14:textId="1FD47D07">
            <w:pPr>
              <w:jc w:val="center"/>
              <w:rPr>
                <w:rFonts w:eastAsia="Calibri"/>
                <w:sz w:val="20"/>
              </w:rPr>
            </w:pPr>
            <w:r w:rsidRPr="002F44B7">
              <w:rPr>
                <w:rFonts w:eastAsia="Calibri"/>
                <w:sz w:val="20"/>
              </w:rPr>
              <w:t>2 hours total</w:t>
            </w:r>
          </w:p>
        </w:tc>
        <w:tc>
          <w:tcPr>
            <w:tcW w:w="1075"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5CD3DB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2,632 </w:t>
            </w:r>
          </w:p>
          <w:p w:rsidRPr="002F44B7" w:rsidR="00475A5A" w:rsidP="00A02D17" w:rsidRDefault="00475A5A" w14:paraId="2671C085" w14:textId="1DC4D2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hours</w:t>
            </w: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22D79CA0" w14:textId="647139A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197.04</w:t>
            </w:r>
            <w:r w:rsidRPr="002F44B7">
              <w:rPr>
                <w:rFonts w:eastAsia="Calibri"/>
                <w:sz w:val="20"/>
              </w:rPr>
              <w:t xml:space="preserve"> per hour</w:t>
            </w:r>
          </w:p>
          <w:p w:rsidRPr="002F44B7" w:rsidR="00475A5A" w:rsidP="00A02D17" w:rsidRDefault="00475A5A" w14:paraId="44A068A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58DC009F" w14:textId="66BCFC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77590D">
              <w:rPr>
                <w:rFonts w:eastAsia="Calibri"/>
                <w:sz w:val="20"/>
              </w:rPr>
              <w:t>73.24</w:t>
            </w:r>
            <w:r w:rsidRPr="002F44B7">
              <w:rPr>
                <w:rFonts w:eastAsia="Calibri"/>
                <w:sz w:val="20"/>
              </w:rPr>
              <w:t xml:space="preserve"> per hour</w:t>
            </w:r>
          </w:p>
          <w:p w:rsidRPr="002F44B7" w:rsidR="00475A5A" w:rsidP="00A02D17" w:rsidRDefault="00475A5A" w14:paraId="0B10BC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565450B" w14:textId="7B2156A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270.28</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9706DC" w:rsidP="00A02D17" w:rsidRDefault="00B272CD" w14:paraId="04BED64A" w14:textId="561450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711,376.96</w:t>
            </w:r>
          </w:p>
          <w:p w:rsidRPr="002F44B7" w:rsidR="00366E33" w:rsidP="00A02D17" w:rsidRDefault="00366E33" w14:paraId="204C7E7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319B930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3863AB6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62B2D1E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012A61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51DFF8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183F0D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4606907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04E1351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4EBEA9F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038B572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139C292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366E33" w:rsidP="00A02D17" w:rsidRDefault="00366E33" w14:paraId="7537C0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sz w:val="20"/>
              </w:rPr>
            </w:pPr>
          </w:p>
          <w:p w:rsidRPr="002F44B7" w:rsidR="00366E33" w:rsidP="00A02D17" w:rsidRDefault="00366E33" w14:paraId="1916590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sz w:val="20"/>
              </w:rPr>
            </w:pPr>
          </w:p>
        </w:tc>
      </w:tr>
      <w:tr w:rsidRPr="002F44B7" w:rsidR="00733367" w:rsidTr="00B42903" w14:paraId="465DAB5B" w14:textId="77777777">
        <w:trPr>
          <w:cantSplit/>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043A1A5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lastRenderedPageBreak/>
              <w:t>Reporting a Change of Information - 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4411D8B8" w14:textId="484A15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7BB3E58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55,650</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F787D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55,650 </w:t>
            </w:r>
          </w:p>
          <w:p w:rsidRPr="002F44B7" w:rsidR="00475A5A" w:rsidP="00A02D17" w:rsidRDefault="00475A5A" w14:paraId="0C7FDA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FE0BD1F" w14:textId="0FD55913">
            <w:pPr>
              <w:jc w:val="center"/>
              <w:rPr>
                <w:rFonts w:eastAsia="Calibri"/>
                <w:sz w:val="20"/>
              </w:rPr>
            </w:pPr>
            <w:r w:rsidRPr="002F44B7">
              <w:rPr>
                <w:rFonts w:eastAsia="Calibri"/>
                <w:sz w:val="20"/>
              </w:rPr>
              <w:t>0.25 hours by Health Diagnosing and Treating Practitioners</w:t>
            </w:r>
          </w:p>
          <w:p w:rsidRPr="002F44B7" w:rsidR="00475A5A" w:rsidP="00A02D17" w:rsidRDefault="00475A5A" w14:paraId="0BC41586" w14:textId="77777777">
            <w:pPr>
              <w:jc w:val="center"/>
              <w:rPr>
                <w:rFonts w:eastAsia="Calibri"/>
                <w:sz w:val="20"/>
              </w:rPr>
            </w:pPr>
          </w:p>
          <w:p w:rsidRPr="002F44B7" w:rsidR="00475A5A" w:rsidP="00A02D17" w:rsidRDefault="00475A5A" w14:paraId="7C7A5F30" w14:textId="77777777">
            <w:pPr>
              <w:jc w:val="center"/>
              <w:rPr>
                <w:rFonts w:eastAsia="Calibri"/>
                <w:sz w:val="20"/>
              </w:rPr>
            </w:pPr>
            <w:r w:rsidRPr="002F44B7">
              <w:rPr>
                <w:rFonts w:eastAsia="Calibri"/>
                <w:sz w:val="20"/>
              </w:rPr>
              <w:t>0.75 hours by  Medical Secretaries</w:t>
            </w:r>
          </w:p>
          <w:p w:rsidRPr="002F44B7" w:rsidR="00475A5A" w:rsidP="00A02D17" w:rsidRDefault="00475A5A" w14:paraId="7DA2A666" w14:textId="77777777">
            <w:pPr>
              <w:jc w:val="center"/>
              <w:rPr>
                <w:rFonts w:eastAsia="Calibri"/>
                <w:sz w:val="20"/>
              </w:rPr>
            </w:pPr>
          </w:p>
          <w:p w:rsidRPr="002F44B7" w:rsidR="00475A5A" w:rsidP="00A02D17" w:rsidRDefault="00475A5A" w14:paraId="63D6A1E5" w14:textId="77777777">
            <w:pPr>
              <w:jc w:val="center"/>
              <w:rPr>
                <w:rFonts w:eastAsia="Calibri"/>
                <w:sz w:val="20"/>
              </w:rPr>
            </w:pPr>
            <w:r w:rsidRPr="002F44B7">
              <w:rPr>
                <w:rFonts w:eastAsia="Calibri"/>
                <w:sz w:val="20"/>
              </w:rPr>
              <w:t>1 hour total</w:t>
            </w:r>
          </w:p>
        </w:tc>
        <w:tc>
          <w:tcPr>
            <w:tcW w:w="1075"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C0DBE5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55,650 </w:t>
            </w:r>
          </w:p>
          <w:p w:rsidRPr="002F44B7" w:rsidR="00475A5A" w:rsidP="00A02D17" w:rsidRDefault="00475A5A" w14:paraId="764CA60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hours</w:t>
            </w: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758AA692" w14:textId="679F68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98.52</w:t>
            </w:r>
            <w:r w:rsidRPr="002F44B7">
              <w:rPr>
                <w:rFonts w:eastAsia="Calibri"/>
                <w:sz w:val="20"/>
              </w:rPr>
              <w:t xml:space="preserve"> per hour</w:t>
            </w:r>
          </w:p>
          <w:p w:rsidRPr="002F44B7" w:rsidR="00475A5A" w:rsidP="00A02D17" w:rsidRDefault="00475A5A" w14:paraId="6325204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22534923" w14:textId="696E4F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77590D">
              <w:rPr>
                <w:rFonts w:eastAsia="Calibri"/>
                <w:sz w:val="20"/>
              </w:rPr>
              <w:t>36.62</w:t>
            </w:r>
            <w:r w:rsidRPr="002F44B7">
              <w:rPr>
                <w:rFonts w:eastAsia="Calibri"/>
                <w:sz w:val="20"/>
              </w:rPr>
              <w:t xml:space="preserve"> per hour</w:t>
            </w:r>
          </w:p>
          <w:p w:rsidRPr="002F44B7" w:rsidR="00475A5A" w:rsidP="00A02D17" w:rsidRDefault="00475A5A" w14:paraId="7029904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5915927" w14:textId="47E2ACA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135.14</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B39767F" w14:textId="490533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77590D">
              <w:rPr>
                <w:rFonts w:eastAsia="Calibri"/>
                <w:sz w:val="20"/>
              </w:rPr>
              <w:t>7,520,514.00</w:t>
            </w:r>
          </w:p>
          <w:p w:rsidRPr="002F44B7" w:rsidR="009706DC" w:rsidP="00A02D17" w:rsidRDefault="009706DC" w14:paraId="06839C0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9706DC" w:rsidP="00A02D17" w:rsidRDefault="009706DC" w14:paraId="3415E0C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tc>
      </w:tr>
      <w:tr w:rsidRPr="002F44B7" w:rsidR="00733367" w:rsidTr="00B42903" w14:paraId="4B4B607A"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283933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2F44B7">
              <w:rPr>
                <w:rFonts w:eastAsia="Calibri"/>
                <w:sz w:val="20"/>
              </w:rPr>
              <w:t>Voluntarily Withdrawing from Medicare - Medicare Enrollment Application for Clinics, Groups and Other Suppliers (CMS-855B)</w:t>
            </w:r>
          </w:p>
        </w:tc>
        <w:tc>
          <w:tcPr>
            <w:tcW w:w="849"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5CB3273A" w14:textId="5D3726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5FF4C72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3,931</w:t>
            </w:r>
          </w:p>
        </w:tc>
        <w:tc>
          <w:tcPr>
            <w:tcW w:w="1211"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4C889F9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 xml:space="preserve">3,931 </w:t>
            </w:r>
          </w:p>
          <w:p w:rsidRPr="002F44B7" w:rsidR="00475A5A" w:rsidP="00A02D17" w:rsidRDefault="00475A5A" w14:paraId="305E88A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per year</w:t>
            </w:r>
          </w:p>
        </w:tc>
        <w:tc>
          <w:tcPr>
            <w:tcW w:w="147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35ADDFCA" w14:textId="06C6E487">
            <w:pPr>
              <w:jc w:val="center"/>
              <w:rPr>
                <w:rFonts w:eastAsia="Calibri"/>
                <w:sz w:val="20"/>
              </w:rPr>
            </w:pPr>
            <w:r w:rsidRPr="002F44B7">
              <w:rPr>
                <w:rFonts w:eastAsia="Calibri"/>
                <w:sz w:val="20"/>
              </w:rPr>
              <w:t>0.08 hours by Health Diagnosing and Treating Practitioners</w:t>
            </w:r>
          </w:p>
          <w:p w:rsidRPr="002F44B7" w:rsidR="00475A5A" w:rsidP="00A02D17" w:rsidRDefault="00475A5A" w14:paraId="6A6F0FCA" w14:textId="77777777">
            <w:pPr>
              <w:jc w:val="center"/>
              <w:rPr>
                <w:rFonts w:eastAsia="Calibri"/>
                <w:sz w:val="20"/>
              </w:rPr>
            </w:pPr>
          </w:p>
          <w:p w:rsidRPr="002F44B7" w:rsidR="00475A5A" w:rsidP="00A02D17" w:rsidRDefault="00475A5A" w14:paraId="41BD9631" w14:textId="77777777">
            <w:pPr>
              <w:jc w:val="center"/>
              <w:rPr>
                <w:rFonts w:eastAsia="Calibri"/>
                <w:sz w:val="20"/>
              </w:rPr>
            </w:pPr>
            <w:r w:rsidRPr="002F44B7">
              <w:rPr>
                <w:rFonts w:eastAsia="Calibri"/>
                <w:sz w:val="20"/>
              </w:rPr>
              <w:t>0.42 hours by  Medical Secretaries</w:t>
            </w:r>
          </w:p>
          <w:p w:rsidRPr="002F44B7" w:rsidR="00475A5A" w:rsidP="00A02D17" w:rsidRDefault="00475A5A" w14:paraId="2137BF87" w14:textId="77777777">
            <w:pPr>
              <w:jc w:val="center"/>
              <w:rPr>
                <w:rFonts w:eastAsia="Calibri"/>
                <w:sz w:val="20"/>
              </w:rPr>
            </w:pPr>
          </w:p>
          <w:p w:rsidRPr="002F44B7" w:rsidR="00475A5A" w:rsidP="00A02D17" w:rsidRDefault="00475A5A" w14:paraId="72BB5CD5" w14:textId="77777777">
            <w:pPr>
              <w:jc w:val="center"/>
              <w:rPr>
                <w:rFonts w:eastAsia="Calibri"/>
                <w:sz w:val="20"/>
              </w:rPr>
            </w:pPr>
            <w:r w:rsidRPr="002F44B7">
              <w:rPr>
                <w:rFonts w:eastAsia="Calibri"/>
                <w:sz w:val="20"/>
              </w:rPr>
              <w:t>0.5 hours total</w:t>
            </w:r>
          </w:p>
        </w:tc>
        <w:tc>
          <w:tcPr>
            <w:tcW w:w="1075"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18E5397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2F44B7">
              <w:rPr>
                <w:rFonts w:eastAsia="Calibri"/>
                <w:sz w:val="20"/>
              </w:rPr>
              <w:t>1,965.5 hours</w:t>
            </w:r>
          </w:p>
        </w:tc>
        <w:tc>
          <w:tcPr>
            <w:tcW w:w="1626" w:type="dxa"/>
            <w:tcBorders>
              <w:top w:val="single" w:color="auto" w:sz="4" w:space="0"/>
              <w:left w:val="single" w:color="auto" w:sz="4" w:space="0"/>
              <w:bottom w:val="single" w:color="auto" w:sz="4" w:space="0"/>
              <w:right w:val="single" w:color="auto" w:sz="4" w:space="0"/>
            </w:tcBorders>
          </w:tcPr>
          <w:p w:rsidRPr="002F44B7" w:rsidR="00475A5A" w:rsidP="00A02D17" w:rsidRDefault="00475A5A" w14:paraId="2CDA34DE" w14:textId="368A883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Health Diagnosing and Treating Practitioners at $</w:t>
            </w:r>
            <w:r w:rsidRPr="002F44B7" w:rsidR="0077590D">
              <w:rPr>
                <w:rFonts w:eastAsia="Calibri"/>
                <w:sz w:val="20"/>
              </w:rPr>
              <w:t>49.26</w:t>
            </w:r>
            <w:r w:rsidRPr="002F44B7">
              <w:rPr>
                <w:rFonts w:eastAsia="Calibri"/>
                <w:sz w:val="20"/>
              </w:rPr>
              <w:t xml:space="preserve"> per hour</w:t>
            </w:r>
          </w:p>
          <w:p w:rsidRPr="002F44B7" w:rsidR="00475A5A" w:rsidP="00A02D17" w:rsidRDefault="00475A5A" w14:paraId="4A2AE9B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6B53D1E3" w14:textId="4B0AA9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Medical Secretaries at $</w:t>
            </w:r>
            <w:r w:rsidRPr="002F44B7" w:rsidR="00E970C7">
              <w:rPr>
                <w:rFonts w:eastAsia="Calibri"/>
                <w:sz w:val="20"/>
              </w:rPr>
              <w:t>18.31</w:t>
            </w:r>
            <w:r w:rsidRPr="002F44B7">
              <w:rPr>
                <w:rFonts w:eastAsia="Calibri"/>
                <w:sz w:val="20"/>
              </w:rPr>
              <w:t xml:space="preserve"> per hour</w:t>
            </w:r>
          </w:p>
          <w:p w:rsidRPr="002F44B7" w:rsidR="00475A5A" w:rsidP="00A02D17" w:rsidRDefault="00475A5A" w14:paraId="09A7E0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2F44B7" w:rsidR="00475A5A" w:rsidP="00A02D17" w:rsidRDefault="00475A5A" w14:paraId="08513D14" w14:textId="22BE25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E970C7">
              <w:rPr>
                <w:rFonts w:eastAsia="Calibri"/>
                <w:sz w:val="20"/>
              </w:rPr>
              <w:t>67.57</w:t>
            </w:r>
            <w:r w:rsidRPr="002F44B7">
              <w:rPr>
                <w:rFonts w:eastAsia="Calibri"/>
                <w:sz w:val="20"/>
              </w:rPr>
              <w:t xml:space="preserve"> total</w:t>
            </w:r>
          </w:p>
        </w:tc>
        <w:tc>
          <w:tcPr>
            <w:tcW w:w="1566" w:type="dxa"/>
            <w:tcBorders>
              <w:top w:val="single" w:color="auto" w:sz="4" w:space="0"/>
              <w:left w:val="single" w:color="auto" w:sz="4" w:space="0"/>
              <w:bottom w:val="single" w:color="auto" w:sz="4" w:space="0"/>
              <w:right w:val="single" w:color="auto" w:sz="4" w:space="0"/>
            </w:tcBorders>
          </w:tcPr>
          <w:p w:rsidRPr="002F44B7" w:rsidR="00B272CD" w:rsidP="00A02D17" w:rsidRDefault="00B272CD" w14:paraId="2FA0EA5B" w14:textId="5E06662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2F44B7">
              <w:rPr>
                <w:rFonts w:eastAsia="Calibri"/>
                <w:sz w:val="20"/>
              </w:rPr>
              <w:t>$</w:t>
            </w:r>
            <w:r w:rsidRPr="002F44B7" w:rsidR="00E970C7">
              <w:rPr>
                <w:rFonts w:eastAsia="Calibri"/>
                <w:sz w:val="20"/>
              </w:rPr>
              <w:t>132,808.84</w:t>
            </w:r>
          </w:p>
        </w:tc>
      </w:tr>
      <w:tr w:rsidRPr="002F44B7" w:rsidR="003355D6" w:rsidTr="00B42903" w14:paraId="7485AB26"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70330D66" w14:textId="2D4DA90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rPr>
            </w:pPr>
            <w:r w:rsidRPr="002F44B7">
              <w:rPr>
                <w:rFonts w:eastAsia="Calibri"/>
                <w:b/>
                <w:sz w:val="20"/>
              </w:rPr>
              <w:t>Annual Burden Totals</w:t>
            </w:r>
          </w:p>
        </w:tc>
        <w:tc>
          <w:tcPr>
            <w:tcW w:w="849"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7195E7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1EDC5E06" w14:textId="43FEDC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109,232 Respondents</w:t>
            </w:r>
          </w:p>
        </w:tc>
        <w:tc>
          <w:tcPr>
            <w:tcW w:w="1211"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070FD7C9" w14:textId="04F0B9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109,232 Responses</w:t>
            </w:r>
          </w:p>
        </w:tc>
        <w:tc>
          <w:tcPr>
            <w:tcW w:w="1476"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314559CC" w14:textId="77777777">
            <w:pPr>
              <w:jc w:val="center"/>
              <w:rPr>
                <w:rFonts w:eastAsia="Calibri"/>
                <w:b/>
                <w:sz w:val="20"/>
              </w:rPr>
            </w:pPr>
            <w:r w:rsidRPr="002F44B7">
              <w:rPr>
                <w:rFonts w:eastAsia="Calibri"/>
                <w:b/>
                <w:sz w:val="20"/>
              </w:rPr>
              <w:t>10.5</w:t>
            </w:r>
          </w:p>
          <w:p w:rsidRPr="002F44B7" w:rsidR="003355D6" w:rsidP="00A02D17" w:rsidRDefault="003355D6" w14:paraId="05D5F810" w14:textId="61E2D85C">
            <w:pPr>
              <w:jc w:val="center"/>
              <w:rPr>
                <w:rFonts w:eastAsia="Calibri"/>
                <w:b/>
                <w:sz w:val="20"/>
              </w:rPr>
            </w:pPr>
            <w:r w:rsidRPr="002F44B7">
              <w:rPr>
                <w:rFonts w:eastAsia="Calibri"/>
                <w:b/>
                <w:sz w:val="20"/>
              </w:rPr>
              <w:t xml:space="preserve">Hours </w:t>
            </w:r>
            <w:r w:rsidRPr="002F44B7" w:rsidR="00E970C7">
              <w:rPr>
                <w:rFonts w:eastAsia="Calibri"/>
                <w:b/>
                <w:sz w:val="20"/>
              </w:rPr>
              <w:t>T</w:t>
            </w:r>
            <w:r w:rsidRPr="002F44B7">
              <w:rPr>
                <w:rFonts w:eastAsia="Calibri"/>
                <w:b/>
                <w:sz w:val="20"/>
              </w:rPr>
              <w:t>otal</w:t>
            </w:r>
          </w:p>
        </w:tc>
        <w:tc>
          <w:tcPr>
            <w:tcW w:w="1075"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6909F51B" w14:textId="4387F79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17</w:t>
            </w:r>
            <w:r w:rsidRPr="002F44B7" w:rsidR="009C0308">
              <w:rPr>
                <w:rFonts w:eastAsia="Calibri"/>
                <w:b/>
                <w:sz w:val="20"/>
              </w:rPr>
              <w:t>6</w:t>
            </w:r>
            <w:r w:rsidRPr="002F44B7">
              <w:rPr>
                <w:rFonts w:eastAsia="Calibri"/>
                <w:b/>
                <w:sz w:val="20"/>
              </w:rPr>
              <w:t>,00</w:t>
            </w:r>
            <w:r w:rsidRPr="002F44B7" w:rsidR="009C0308">
              <w:rPr>
                <w:rFonts w:eastAsia="Calibri"/>
                <w:b/>
                <w:sz w:val="20"/>
              </w:rPr>
              <w:t>4.</w:t>
            </w:r>
            <w:r w:rsidRPr="002F44B7">
              <w:rPr>
                <w:rFonts w:eastAsia="Calibri"/>
                <w:b/>
                <w:sz w:val="20"/>
              </w:rPr>
              <w:t>5</w:t>
            </w:r>
          </w:p>
          <w:p w:rsidRPr="002F44B7" w:rsidR="003355D6" w:rsidP="00A02D17" w:rsidRDefault="003355D6" w14:paraId="7C9A4092" w14:textId="6C39E0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Annual Hours</w:t>
            </w:r>
          </w:p>
        </w:tc>
        <w:tc>
          <w:tcPr>
            <w:tcW w:w="1626"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44AC1B2C" w14:textId="73AB666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w:t>
            </w:r>
            <w:r w:rsidRPr="002F44B7" w:rsidR="00E970C7">
              <w:rPr>
                <w:rFonts w:eastAsia="Calibri"/>
                <w:b/>
                <w:sz w:val="20"/>
              </w:rPr>
              <w:t>1,418.97</w:t>
            </w:r>
            <w:r w:rsidRPr="002F44B7">
              <w:rPr>
                <w:rFonts w:eastAsia="Calibri"/>
                <w:b/>
                <w:sz w:val="20"/>
              </w:rPr>
              <w:t xml:space="preserve"> Total Annually</w:t>
            </w:r>
          </w:p>
        </w:tc>
        <w:tc>
          <w:tcPr>
            <w:tcW w:w="1566" w:type="dxa"/>
            <w:tcBorders>
              <w:top w:val="single" w:color="auto" w:sz="4" w:space="0"/>
              <w:left w:val="single" w:color="auto" w:sz="4" w:space="0"/>
              <w:bottom w:val="single" w:color="auto" w:sz="4" w:space="0"/>
              <w:right w:val="single" w:color="auto" w:sz="4" w:space="0"/>
            </w:tcBorders>
          </w:tcPr>
          <w:p w:rsidRPr="002F44B7" w:rsidR="003355D6" w:rsidP="00A02D17" w:rsidRDefault="003355D6" w14:paraId="5D5074AA" w14:textId="11854C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w:t>
            </w:r>
            <w:r w:rsidRPr="002F44B7" w:rsidR="00E970C7">
              <w:rPr>
                <w:rFonts w:eastAsia="Calibri"/>
                <w:b/>
                <w:sz w:val="20"/>
              </w:rPr>
              <w:t>46,038,3</w:t>
            </w:r>
            <w:r w:rsidRPr="002F44B7" w:rsidR="00622EF4">
              <w:rPr>
                <w:rFonts w:eastAsia="Calibri"/>
                <w:b/>
                <w:sz w:val="20"/>
              </w:rPr>
              <w:t>53</w:t>
            </w:r>
            <w:r w:rsidRPr="002F44B7" w:rsidR="00E970C7">
              <w:rPr>
                <w:rFonts w:eastAsia="Calibri"/>
                <w:b/>
                <w:sz w:val="20"/>
              </w:rPr>
              <w:t>.30</w:t>
            </w:r>
          </w:p>
          <w:p w:rsidRPr="002F44B7" w:rsidR="003355D6" w:rsidP="00A02D17" w:rsidRDefault="003355D6" w14:paraId="199B43D3" w14:textId="63D66E8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Annually</w:t>
            </w:r>
          </w:p>
        </w:tc>
      </w:tr>
      <w:tr w:rsidRPr="00087B19" w:rsidR="00E970C7" w:rsidTr="00B42903" w14:paraId="33B4B3E9" w14:textId="77777777">
        <w:trPr>
          <w:tblHeader/>
        </w:trPr>
        <w:tc>
          <w:tcPr>
            <w:tcW w:w="1416"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63A28E9A" w14:textId="261414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rPr>
            </w:pPr>
            <w:r w:rsidRPr="002F44B7">
              <w:rPr>
                <w:rFonts w:eastAsia="Calibri"/>
                <w:b/>
                <w:sz w:val="20"/>
              </w:rPr>
              <w:t>Three Year  Burden Total</w:t>
            </w:r>
          </w:p>
        </w:tc>
        <w:tc>
          <w:tcPr>
            <w:tcW w:w="849"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6E4583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306"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15A8173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327,696</w:t>
            </w:r>
          </w:p>
          <w:p w:rsidRPr="002F44B7" w:rsidR="00E970C7" w:rsidP="00A02D17" w:rsidRDefault="00E970C7" w14:paraId="7BC96898" w14:textId="166764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Respondents</w:t>
            </w:r>
          </w:p>
        </w:tc>
        <w:tc>
          <w:tcPr>
            <w:tcW w:w="1211"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78BE8587" w14:textId="4DB38D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327,696 Responses</w:t>
            </w:r>
          </w:p>
        </w:tc>
        <w:tc>
          <w:tcPr>
            <w:tcW w:w="1476"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4015850D" w14:textId="2D418A62">
            <w:pPr>
              <w:jc w:val="center"/>
              <w:rPr>
                <w:rFonts w:eastAsia="Calibri"/>
                <w:b/>
                <w:sz w:val="20"/>
              </w:rPr>
            </w:pPr>
            <w:r w:rsidRPr="002F44B7">
              <w:rPr>
                <w:rFonts w:eastAsia="Calibri"/>
                <w:b/>
                <w:sz w:val="20"/>
              </w:rPr>
              <w:t>31.50 Hours Total</w:t>
            </w:r>
          </w:p>
        </w:tc>
        <w:tc>
          <w:tcPr>
            <w:tcW w:w="1075" w:type="dxa"/>
            <w:tcBorders>
              <w:top w:val="single" w:color="auto" w:sz="4" w:space="0"/>
              <w:left w:val="single" w:color="auto" w:sz="4" w:space="0"/>
              <w:bottom w:val="single" w:color="auto" w:sz="4" w:space="0"/>
              <w:right w:val="single" w:color="auto" w:sz="4" w:space="0"/>
            </w:tcBorders>
          </w:tcPr>
          <w:p w:rsidRPr="002F44B7" w:rsidR="00E970C7" w:rsidP="00A02D17" w:rsidRDefault="00E970C7" w14:paraId="405F10B7" w14:textId="3337D09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52</w:t>
            </w:r>
            <w:r w:rsidRPr="002F44B7" w:rsidR="009C0308">
              <w:rPr>
                <w:rFonts w:eastAsia="Calibri"/>
                <w:b/>
                <w:sz w:val="20"/>
              </w:rPr>
              <w:t>8</w:t>
            </w:r>
            <w:r w:rsidRPr="002F44B7">
              <w:rPr>
                <w:rFonts w:eastAsia="Calibri"/>
                <w:b/>
                <w:sz w:val="20"/>
              </w:rPr>
              <w:t>,01</w:t>
            </w:r>
            <w:r w:rsidRPr="002F44B7" w:rsidR="009C0308">
              <w:rPr>
                <w:rFonts w:eastAsia="Calibri"/>
                <w:b/>
                <w:sz w:val="20"/>
              </w:rPr>
              <w:t>3.5</w:t>
            </w:r>
          </w:p>
          <w:p w:rsidRPr="002F44B7" w:rsidR="00E970C7" w:rsidP="00A02D17" w:rsidRDefault="00E970C7" w14:paraId="149E2B0D" w14:textId="5E9AAF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2F44B7">
              <w:rPr>
                <w:rFonts w:eastAsia="Calibri"/>
                <w:b/>
                <w:sz w:val="20"/>
              </w:rPr>
              <w:t>Total Hours</w:t>
            </w:r>
          </w:p>
        </w:tc>
        <w:tc>
          <w:tcPr>
            <w:tcW w:w="1626" w:type="dxa"/>
            <w:tcBorders>
              <w:top w:val="single" w:color="auto" w:sz="4" w:space="0"/>
              <w:left w:val="single" w:color="auto" w:sz="4" w:space="0"/>
              <w:bottom w:val="single" w:color="auto" w:sz="4" w:space="0"/>
              <w:right w:val="single" w:color="auto" w:sz="4" w:space="0"/>
            </w:tcBorders>
          </w:tcPr>
          <w:p w:rsidRPr="002F44B7" w:rsidR="00E970C7" w:rsidP="00A02D17" w:rsidRDefault="009C0308" w14:paraId="52D0EAE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4,256.91</w:t>
            </w:r>
          </w:p>
          <w:p w:rsidRPr="002F44B7" w:rsidR="009C0308" w:rsidP="00A02D17" w:rsidRDefault="009C0308" w14:paraId="12E657B5" w14:textId="1FFABE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Total</w:t>
            </w:r>
          </w:p>
        </w:tc>
        <w:tc>
          <w:tcPr>
            <w:tcW w:w="1566" w:type="dxa"/>
            <w:tcBorders>
              <w:top w:val="single" w:color="auto" w:sz="4" w:space="0"/>
              <w:left w:val="single" w:color="auto" w:sz="4" w:space="0"/>
              <w:bottom w:val="single" w:color="auto" w:sz="4" w:space="0"/>
              <w:right w:val="single" w:color="auto" w:sz="4" w:space="0"/>
            </w:tcBorders>
          </w:tcPr>
          <w:p w:rsidRPr="002F44B7" w:rsidR="00E970C7" w:rsidP="00A02D17" w:rsidRDefault="009C0308" w14:paraId="3D40A74C" w14:textId="112FC78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$138,115,</w:t>
            </w:r>
            <w:r w:rsidRPr="002F44B7" w:rsidR="00622EF4">
              <w:rPr>
                <w:rFonts w:eastAsia="Calibri"/>
                <w:b/>
                <w:sz w:val="20"/>
              </w:rPr>
              <w:t>059</w:t>
            </w:r>
            <w:r w:rsidRPr="002F44B7">
              <w:rPr>
                <w:rFonts w:eastAsia="Calibri"/>
                <w:b/>
                <w:sz w:val="20"/>
              </w:rPr>
              <w:t>.90</w:t>
            </w:r>
          </w:p>
          <w:p w:rsidR="009C0308" w:rsidP="00A02D17" w:rsidRDefault="009C0308" w14:paraId="29BF8742" w14:textId="29BF92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2F44B7">
              <w:rPr>
                <w:rFonts w:eastAsia="Calibri"/>
                <w:b/>
                <w:sz w:val="20"/>
              </w:rPr>
              <w:t>Three Year Total</w:t>
            </w:r>
          </w:p>
        </w:tc>
      </w:tr>
    </w:tbl>
    <w:p w:rsidRPr="00087B19" w:rsidR="00F54E67" w:rsidP="00A02D17" w:rsidRDefault="00F54E67" w14:paraId="099CDD83" w14:textId="77777777">
      <w:pPr>
        <w:rPr>
          <w:rFonts w:ascii="Calibri" w:hAnsi="Calibri" w:eastAsia="Calibri"/>
          <w:b/>
        </w:rPr>
      </w:pPr>
    </w:p>
    <w:p w:rsidRPr="00BD793A" w:rsidR="003F1EB4" w:rsidP="00A02D17" w:rsidRDefault="003F1EB4" w14:paraId="628563AF" w14:textId="77777777">
      <w:pPr>
        <w:numPr>
          <w:ilvl w:val="0"/>
          <w:numId w:val="2"/>
        </w:numPr>
        <w:tabs>
          <w:tab w:val="left" w:pos="-1440"/>
        </w:tabs>
        <w:rPr>
          <w:u w:val="single"/>
        </w:rPr>
      </w:pPr>
      <w:r w:rsidRPr="00BD793A">
        <w:rPr>
          <w:u w:val="single"/>
        </w:rPr>
        <w:t>Cost to Respondents (Capital)</w:t>
      </w:r>
    </w:p>
    <w:p w:rsidRPr="00087B19" w:rsidR="003F1EB4" w:rsidP="00A02D17" w:rsidRDefault="003F1EB4" w14:paraId="324E0C96" w14:textId="77777777">
      <w:pPr>
        <w:pStyle w:val="Header"/>
        <w:tabs>
          <w:tab w:val="clear" w:pos="4320"/>
          <w:tab w:val="clear" w:pos="8640"/>
        </w:tabs>
      </w:pPr>
    </w:p>
    <w:p w:rsidRPr="00087B19" w:rsidR="003F1EB4" w:rsidP="00A02D17" w:rsidRDefault="003F1EB4" w14:paraId="7745B26D" w14:textId="77777777">
      <w:r w:rsidRPr="00087B19">
        <w:t>There are no capital costs associated with this collection.</w:t>
      </w:r>
    </w:p>
    <w:p w:rsidRPr="00087B19" w:rsidR="00D22037" w:rsidP="00A02D17" w:rsidRDefault="00D22037" w14:paraId="1F857509" w14:textId="77777777"/>
    <w:p w:rsidRPr="00BD793A" w:rsidR="003F1EB4" w:rsidP="00A02D17" w:rsidRDefault="003F1EB4" w14:paraId="36D955B4" w14:textId="77777777">
      <w:pPr>
        <w:pStyle w:val="Header"/>
        <w:numPr>
          <w:ilvl w:val="0"/>
          <w:numId w:val="2"/>
        </w:numPr>
        <w:tabs>
          <w:tab w:val="clear" w:pos="4320"/>
          <w:tab w:val="clear" w:pos="8640"/>
        </w:tabs>
        <w:rPr>
          <w:u w:val="single"/>
        </w:rPr>
      </w:pPr>
      <w:r w:rsidRPr="00BD793A">
        <w:rPr>
          <w:u w:val="single"/>
        </w:rPr>
        <w:t>Cost to Federal Government</w:t>
      </w:r>
    </w:p>
    <w:p w:rsidRPr="00087B19" w:rsidR="003F1EB4" w:rsidP="00A02D17" w:rsidRDefault="003F1EB4" w14:paraId="4AB99AAE" w14:textId="77777777">
      <w:pPr>
        <w:rPr>
          <w:u w:val="single"/>
        </w:rPr>
      </w:pPr>
    </w:p>
    <w:p w:rsidRPr="00087B19" w:rsidR="003F1EB4" w:rsidP="00A02D17" w:rsidRDefault="00D439A9" w14:paraId="4D6FD934" w14:textId="728BCFD6">
      <w:pPr>
        <w:rPr>
          <w:b/>
          <w:i/>
        </w:rPr>
      </w:pPr>
      <w:r w:rsidRPr="00087B19">
        <w:rPr>
          <w:szCs w:val="24"/>
        </w:rPr>
        <w:t xml:space="preserve">The application form revisions will not result in any additional cost to the federal government because the application revisions are designed for better flow and to reduce the burden on the </w:t>
      </w:r>
      <w:r w:rsidRPr="00087B19" w:rsidR="00D22037">
        <w:rPr>
          <w:szCs w:val="24"/>
        </w:rPr>
        <w:t>supplier</w:t>
      </w:r>
      <w:r w:rsidRPr="00087B19">
        <w:rPr>
          <w:szCs w:val="24"/>
        </w:rPr>
        <w:t xml:space="preserve"> and the contractor.  </w:t>
      </w:r>
      <w:r w:rsidRPr="00087B19" w:rsidR="003F1EB4">
        <w:t xml:space="preserve">Medicare contractors currently finalize approximately 1.3 million provider/supplier enrollment applications a year.  The </w:t>
      </w:r>
      <w:r w:rsidRPr="00087B19" w:rsidR="00D22037">
        <w:t xml:space="preserve">CMS-855B </w:t>
      </w:r>
      <w:r w:rsidRPr="00087B19" w:rsidR="003F1EB4">
        <w:t xml:space="preserve">form changes will not result in any additional cost to the federal government because Medicare contractors are already processing applications from </w:t>
      </w:r>
      <w:r w:rsidRPr="00087B19" w:rsidR="00D22037">
        <w:t>suppliers</w:t>
      </w:r>
      <w:r w:rsidRPr="00087B19" w:rsidR="003F1EB4">
        <w:t xml:space="preserve"> who are enrolling</w:t>
      </w:r>
      <w:r w:rsidRPr="00087B19" w:rsidR="002352C0">
        <w:t xml:space="preserve"> or enrolled in the Medicare program.</w:t>
      </w:r>
      <w:r w:rsidRPr="00087B19" w:rsidR="003F1EB4">
        <w:t xml:space="preserve"> </w:t>
      </w:r>
      <w:r w:rsidRPr="00087B19" w:rsidR="002352C0">
        <w:t xml:space="preserve"> </w:t>
      </w:r>
      <w:r w:rsidRPr="00087B19" w:rsidR="003F1EB4">
        <w:t>Applications will continue to be processed in the normal course of Federal duties.</w:t>
      </w:r>
    </w:p>
    <w:p w:rsidRPr="00087B19" w:rsidR="00D22037" w:rsidP="00A02D17" w:rsidRDefault="00D22037" w14:paraId="78B12CF7" w14:textId="77777777"/>
    <w:p w:rsidRPr="00BD793A" w:rsidR="003F1EB4" w:rsidP="00A02D17" w:rsidRDefault="003F1EB4" w14:paraId="4C96039C" w14:textId="77777777">
      <w:pPr>
        <w:numPr>
          <w:ilvl w:val="0"/>
          <w:numId w:val="2"/>
        </w:numPr>
        <w:tabs>
          <w:tab w:val="left" w:pos="-1440"/>
        </w:tabs>
        <w:rPr>
          <w:u w:val="single"/>
        </w:rPr>
      </w:pPr>
      <w:r w:rsidRPr="00BD793A">
        <w:rPr>
          <w:u w:val="single"/>
        </w:rPr>
        <w:t>Changes in Burden/Program Changes</w:t>
      </w:r>
    </w:p>
    <w:p w:rsidR="00EE1922" w:rsidP="00A02D17" w:rsidRDefault="00EE1922" w14:paraId="3282457D" w14:textId="77777777">
      <w:pPr>
        <w:rPr>
          <w:szCs w:val="24"/>
        </w:rPr>
      </w:pPr>
    </w:p>
    <w:p w:rsidR="007D3FEE" w:rsidP="00A02D17" w:rsidRDefault="007D3FEE" w14:paraId="29F89363" w14:textId="75936F33">
      <w:r w:rsidRPr="00481317">
        <w:t>Serving as the 60-day notice, the proposed rule (CMS-1734-P, RIN 0938-AU10) publish</w:t>
      </w:r>
      <w:r w:rsidR="00CF1F91">
        <w:t>ed</w:t>
      </w:r>
      <w:r w:rsidRPr="00481317">
        <w:t xml:space="preserve"> in the Federal Register on </w:t>
      </w:r>
      <w:r>
        <w:t>August 17</w:t>
      </w:r>
      <w:r w:rsidR="00CF1F91">
        <w:t>, 2020</w:t>
      </w:r>
      <w:r w:rsidRPr="00481317">
        <w:t xml:space="preserve"> (85 FR </w:t>
      </w:r>
      <w:r w:rsidRPr="009E5800" w:rsidR="009E5800">
        <w:t>50074</w:t>
      </w:r>
      <w:r w:rsidRPr="00481317">
        <w:t>).</w:t>
      </w:r>
    </w:p>
    <w:p w:rsidR="007263A6" w:rsidP="00A02D17" w:rsidRDefault="007263A6" w14:paraId="65961848" w14:textId="52573615">
      <w:pPr>
        <w:rPr>
          <w:szCs w:val="24"/>
        </w:rPr>
      </w:pPr>
    </w:p>
    <w:p w:rsidRPr="00D67D00" w:rsidR="007263A6" w:rsidP="00A02D17" w:rsidRDefault="007263A6" w14:paraId="3C0833F6" w14:textId="4D000520">
      <w:pPr>
        <w:rPr>
          <w:szCs w:val="24"/>
        </w:rPr>
      </w:pPr>
      <w:r>
        <w:rPr>
          <w:szCs w:val="24"/>
        </w:rPr>
        <w:t xml:space="preserve">We </w:t>
      </w:r>
      <w:r w:rsidRPr="00D67D00">
        <w:rPr>
          <w:szCs w:val="24"/>
        </w:rPr>
        <w:t>project a total burden for new Form CMS-855B enrollments under § 424.67(c</w:t>
      </w:r>
      <w:proofErr w:type="gramStart"/>
      <w:r w:rsidRPr="00D67D00">
        <w:rPr>
          <w:szCs w:val="24"/>
        </w:rPr>
        <w:t>)(</w:t>
      </w:r>
      <w:proofErr w:type="gramEnd"/>
      <w:r w:rsidRPr="00D67D00">
        <w:rPr>
          <w:szCs w:val="24"/>
        </w:rPr>
        <w:t xml:space="preserve">2) of 30 hours (10 OTPs x 3 </w:t>
      </w:r>
      <w:proofErr w:type="spellStart"/>
      <w:r w:rsidRPr="00D67D00">
        <w:rPr>
          <w:szCs w:val="24"/>
        </w:rPr>
        <w:t>hr</w:t>
      </w:r>
      <w:proofErr w:type="spellEnd"/>
      <w:r w:rsidRPr="00D67D00">
        <w:rPr>
          <w:szCs w:val="24"/>
        </w:rPr>
        <w:t>) at a cost of $</w:t>
      </w:r>
      <w:r>
        <w:rPr>
          <w:szCs w:val="24"/>
        </w:rPr>
        <w:t>1,408</w:t>
      </w:r>
      <w:r w:rsidRPr="00D67D00">
        <w:rPr>
          <w:szCs w:val="24"/>
        </w:rPr>
        <w:t xml:space="preserve"> (10 OTPs x ((2.5 </w:t>
      </w:r>
      <w:proofErr w:type="spellStart"/>
      <w:r w:rsidRPr="00D67D00">
        <w:rPr>
          <w:szCs w:val="24"/>
        </w:rPr>
        <w:t>hr</w:t>
      </w:r>
      <w:proofErr w:type="spellEnd"/>
      <w:r w:rsidRPr="00D67D00">
        <w:rPr>
          <w:szCs w:val="24"/>
        </w:rPr>
        <w:t xml:space="preserve"> x $36.62/</w:t>
      </w:r>
      <w:proofErr w:type="spellStart"/>
      <w:r w:rsidRPr="00D67D00">
        <w:rPr>
          <w:szCs w:val="24"/>
        </w:rPr>
        <w:t>hr</w:t>
      </w:r>
      <w:proofErr w:type="spellEnd"/>
      <w:r w:rsidRPr="00D67D00">
        <w:rPr>
          <w:szCs w:val="24"/>
        </w:rPr>
        <w:t xml:space="preserve">) + (0.5 </w:t>
      </w:r>
      <w:proofErr w:type="spellStart"/>
      <w:r w:rsidRPr="00D67D00">
        <w:rPr>
          <w:szCs w:val="24"/>
        </w:rPr>
        <w:t>hr</w:t>
      </w:r>
      <w:proofErr w:type="spellEnd"/>
      <w:r w:rsidRPr="00D67D00">
        <w:rPr>
          <w:szCs w:val="24"/>
        </w:rPr>
        <w:t xml:space="preserve"> x $98.52/</w:t>
      </w:r>
      <w:proofErr w:type="spellStart"/>
      <w:r w:rsidRPr="00D67D00">
        <w:rPr>
          <w:szCs w:val="24"/>
        </w:rPr>
        <w:t>hr</w:t>
      </w:r>
      <w:proofErr w:type="spellEnd"/>
      <w:r w:rsidRPr="00D67D00">
        <w:rPr>
          <w:szCs w:val="24"/>
        </w:rPr>
        <w:t>)).</w:t>
      </w:r>
    </w:p>
    <w:p w:rsidR="00B42903" w:rsidP="00A02D17" w:rsidRDefault="00B42903" w14:paraId="5178F036" w14:textId="77777777">
      <w:pPr>
        <w:rPr>
          <w:szCs w:val="24"/>
        </w:rPr>
      </w:pPr>
    </w:p>
    <w:p w:rsidRPr="00D67D00" w:rsidR="007263A6" w:rsidP="00A02D17" w:rsidRDefault="007263A6" w14:paraId="21BE4B78" w14:textId="434BE40F">
      <w:pPr>
        <w:rPr>
          <w:szCs w:val="24"/>
        </w:rPr>
      </w:pPr>
      <w:r w:rsidRPr="00D67D00">
        <w:rPr>
          <w:szCs w:val="24"/>
        </w:rPr>
        <w:t>We anticipate that changes to a Form CMS-855B would occur in the second and third years following the effective date of our revisions.  This is because Year 1 would mostly involve these new OTPs enrolling for the first time via the Form-855A; only in the succeeding two years would they switch to a Form CMS-855B enrollment.  We thus project that the average annual burden in the first 3 years would be as follows:</w:t>
      </w:r>
    </w:p>
    <w:p w:rsidR="00B42903" w:rsidP="00A02D17" w:rsidRDefault="00B42903" w14:paraId="5DE69FB6" w14:textId="77777777">
      <w:pPr>
        <w:ind w:left="360" w:firstLine="720"/>
        <w:rPr>
          <w:szCs w:val="24"/>
        </w:rPr>
      </w:pPr>
    </w:p>
    <w:p w:rsidRPr="00B92AEF" w:rsidR="004F68E5" w:rsidP="00B92AEF" w:rsidRDefault="007263A6" w14:paraId="40A6E3CB" w14:textId="371784D3">
      <w:pPr>
        <w:rPr>
          <w:szCs w:val="24"/>
        </w:rPr>
      </w:pPr>
      <w:bookmarkStart w:name="_GoBack" w:id="0"/>
      <w:bookmarkEnd w:id="0"/>
      <w:r w:rsidRPr="00B92AEF">
        <w:rPr>
          <w:szCs w:val="24"/>
        </w:rPr>
        <w:t xml:space="preserve">Form CMS-855B - 10 hours (30 </w:t>
      </w:r>
      <w:proofErr w:type="spellStart"/>
      <w:r w:rsidRPr="00B92AEF">
        <w:rPr>
          <w:szCs w:val="24"/>
        </w:rPr>
        <w:t>hr</w:t>
      </w:r>
      <w:proofErr w:type="spellEnd"/>
      <w:r w:rsidRPr="00B92AEF">
        <w:rPr>
          <w:szCs w:val="24"/>
        </w:rPr>
        <w:t xml:space="preserve">/3) at a cost of $469 ($1,408/3) </w:t>
      </w:r>
    </w:p>
    <w:p w:rsidRPr="00087B19" w:rsidR="00A74DE5" w:rsidP="00A02D17" w:rsidRDefault="00A74DE5" w14:paraId="6F369D8E" w14:textId="77777777">
      <w:pPr>
        <w:tabs>
          <w:tab w:val="left" w:pos="-1440"/>
        </w:tabs>
      </w:pPr>
    </w:p>
    <w:p w:rsidRPr="00BD793A" w:rsidR="003F1EB4" w:rsidP="00A02D17" w:rsidRDefault="003F1EB4" w14:paraId="4184A904" w14:textId="77777777">
      <w:pPr>
        <w:numPr>
          <w:ilvl w:val="0"/>
          <w:numId w:val="2"/>
        </w:numPr>
        <w:tabs>
          <w:tab w:val="left" w:pos="-1440"/>
        </w:tabs>
        <w:rPr>
          <w:u w:val="single"/>
        </w:rPr>
      </w:pPr>
      <w:r w:rsidRPr="00BD793A">
        <w:rPr>
          <w:u w:val="single"/>
        </w:rPr>
        <w:t>Publication/Tabulation</w:t>
      </w:r>
    </w:p>
    <w:p w:rsidRPr="00087B19" w:rsidR="003F1EB4" w:rsidP="00A02D17" w:rsidRDefault="003F1EB4" w14:paraId="1954DF90" w14:textId="77777777"/>
    <w:p w:rsidRPr="000B76A5" w:rsidR="003F1EB4" w:rsidP="00A02D17" w:rsidRDefault="000B76A5" w14:paraId="7CC4DE27" w14:textId="7B70FA86">
      <w:r w:rsidRPr="000B76A5">
        <w:t xml:space="preserve">A list of participating providers/suppliers can be accessed at </w:t>
      </w:r>
      <w:hyperlink w:history="1" r:id="rId9">
        <w:r w:rsidRPr="00213983">
          <w:rPr>
            <w:rStyle w:val="Hyperlink"/>
            <w:u w:val="none"/>
          </w:rPr>
          <w:t>https://www.medicare.gov/physiciancompare/</w:t>
        </w:r>
      </w:hyperlink>
      <w:r w:rsidR="00B62627">
        <w:rPr>
          <w:rStyle w:val="Hyperlink"/>
          <w:u w:val="none"/>
        </w:rPr>
        <w:t xml:space="preserve">. </w:t>
      </w:r>
      <w:r w:rsidR="004E7FE6">
        <w:t>However, this list is not based on this information collection.  It is based on 0938-0373</w:t>
      </w:r>
      <w:r w:rsidR="00492C37">
        <w:t xml:space="preserve"> </w:t>
      </w:r>
      <w:r w:rsidRPr="00492C37" w:rsidR="00492C37">
        <w:t>(Medicare Participating Physician or Supplier Agreement - CMS-460)</w:t>
      </w:r>
      <w:r w:rsidR="004E7FE6">
        <w:t>.</w:t>
      </w:r>
    </w:p>
    <w:p w:rsidRPr="00087B19" w:rsidR="003F1EB4" w:rsidP="00A02D17" w:rsidRDefault="003F1EB4" w14:paraId="278B70BC" w14:textId="77777777"/>
    <w:p w:rsidRPr="00BD793A" w:rsidR="003F1EB4" w:rsidP="00A02D17" w:rsidRDefault="003F1EB4" w14:paraId="2B70ABCC" w14:textId="77777777">
      <w:pPr>
        <w:numPr>
          <w:ilvl w:val="0"/>
          <w:numId w:val="2"/>
        </w:numPr>
        <w:rPr>
          <w:u w:val="single"/>
        </w:rPr>
      </w:pPr>
      <w:r w:rsidRPr="00BD793A">
        <w:rPr>
          <w:u w:val="single"/>
        </w:rPr>
        <w:t>Expiration Date</w:t>
      </w:r>
    </w:p>
    <w:p w:rsidRPr="00087B19" w:rsidR="003F1EB4" w:rsidP="00A02D17" w:rsidRDefault="003F1EB4" w14:paraId="1C7B803C" w14:textId="77777777"/>
    <w:p w:rsidRPr="008D117E" w:rsidR="001C62AC" w:rsidP="00A02D17" w:rsidRDefault="001C62AC" w14:paraId="48F35071" w14:textId="77777777">
      <w:pPr>
        <w:widowControl/>
        <w:rPr>
          <w:rFonts w:eastAsiaTheme="minorHAnsi"/>
          <w:snapToGrid/>
          <w:szCs w:val="24"/>
        </w:rPr>
      </w:pPr>
      <w:r w:rsidRPr="00087B19">
        <w:rPr>
          <w:rFonts w:eastAsiaTheme="minorHAnsi"/>
          <w:snapToGrid/>
          <w:szCs w:val="24"/>
        </w:rPr>
        <w:t>The expiration date will be displayed on the top, right-hand corner of page 1 of the CMS-</w:t>
      </w:r>
      <w:r w:rsidRPr="00087B19" w:rsidR="008343C4">
        <w:rPr>
          <w:rFonts w:eastAsiaTheme="minorHAnsi"/>
          <w:snapToGrid/>
          <w:szCs w:val="24"/>
        </w:rPr>
        <w:t>855B</w:t>
      </w:r>
      <w:r w:rsidRPr="00087B19">
        <w:rPr>
          <w:rFonts w:eastAsiaTheme="minorHAnsi"/>
          <w:snapToGrid/>
          <w:szCs w:val="24"/>
        </w:rPr>
        <w:t xml:space="preserve"> application.</w:t>
      </w:r>
    </w:p>
    <w:p w:rsidRPr="00585412" w:rsidR="003F1EB4" w:rsidP="00A02D17" w:rsidRDefault="003F1EB4" w14:paraId="7BCCFD59" w14:textId="77777777"/>
    <w:sectPr w:rsidRPr="00585412" w:rsidR="003F1EB4" w:rsidSect="00D439A9">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937A3A"/>
    <w:multiLevelType w:val="hybridMultilevel"/>
    <w:tmpl w:val="9DE4C352"/>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564BD8"/>
    <w:multiLevelType w:val="hybridMultilevel"/>
    <w:tmpl w:val="ABB49F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1735F7"/>
    <w:multiLevelType w:val="hybridMultilevel"/>
    <w:tmpl w:val="BF64DA7A"/>
    <w:lvl w:ilvl="0" w:tplc="8B6422D6">
      <w:start w:val="1"/>
      <w:numFmt w:val="decimal"/>
      <w:lvlText w:val="%1."/>
      <w:lvlJc w:val="left"/>
      <w:pPr>
        <w:ind w:left="720" w:hanging="360"/>
      </w:pPr>
      <w:rPr>
        <w:rFonts w:ascii="Times" w:hAnsi="Time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87629"/>
    <w:multiLevelType w:val="hybridMultilevel"/>
    <w:tmpl w:val="415CDCDA"/>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8" w15:restartNumberingAfterBreak="0">
    <w:nsid w:val="14D145AD"/>
    <w:multiLevelType w:val="hybridMultilevel"/>
    <w:tmpl w:val="A5BEF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2D3C3E"/>
    <w:multiLevelType w:val="hybridMultilevel"/>
    <w:tmpl w:val="10F84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72A44"/>
    <w:multiLevelType w:val="hybridMultilevel"/>
    <w:tmpl w:val="028AE0E6"/>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2"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6E2950"/>
    <w:multiLevelType w:val="hybridMultilevel"/>
    <w:tmpl w:val="3EEAF596"/>
    <w:lvl w:ilvl="0" w:tplc="56963290">
      <w:start w:val="1"/>
      <w:numFmt w:val="decimal"/>
      <w:lvlText w:val="%1."/>
      <w:lvlJc w:val="left"/>
      <w:pPr>
        <w:ind w:left="720" w:hanging="360"/>
      </w:pPr>
      <w:rPr>
        <w:rFonts w:ascii="Times" w:hAnsi="Time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A06"/>
    <w:multiLevelType w:val="hybridMultilevel"/>
    <w:tmpl w:val="2BD4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F293E"/>
    <w:multiLevelType w:val="hybridMultilevel"/>
    <w:tmpl w:val="E9C6CD4E"/>
    <w:lvl w:ilvl="0" w:tplc="C338B7A8">
      <w:numFmt w:val="bullet"/>
      <w:lvlText w:val="•"/>
      <w:lvlJc w:val="left"/>
      <w:pPr>
        <w:ind w:left="390" w:hanging="270"/>
      </w:pPr>
      <w:rPr>
        <w:rFonts w:ascii="Calibri" w:eastAsia="Calibri" w:hAnsi="Calibri" w:cs="Calibri" w:hint="default"/>
        <w:color w:val="231F20"/>
        <w:w w:val="100"/>
        <w:sz w:val="20"/>
        <w:szCs w:val="20"/>
      </w:rPr>
    </w:lvl>
    <w:lvl w:ilvl="1" w:tplc="5A805D32">
      <w:numFmt w:val="bullet"/>
      <w:lvlText w:val="•"/>
      <w:lvlJc w:val="left"/>
      <w:pPr>
        <w:ind w:left="1428" w:hanging="270"/>
      </w:pPr>
      <w:rPr>
        <w:rFonts w:hint="default"/>
      </w:rPr>
    </w:lvl>
    <w:lvl w:ilvl="2" w:tplc="AF8AB1C8">
      <w:numFmt w:val="bullet"/>
      <w:lvlText w:val="•"/>
      <w:lvlJc w:val="left"/>
      <w:pPr>
        <w:ind w:left="2456" w:hanging="270"/>
      </w:pPr>
      <w:rPr>
        <w:rFonts w:hint="default"/>
      </w:rPr>
    </w:lvl>
    <w:lvl w:ilvl="3" w:tplc="C9B00496">
      <w:numFmt w:val="bullet"/>
      <w:lvlText w:val="•"/>
      <w:lvlJc w:val="left"/>
      <w:pPr>
        <w:ind w:left="3484" w:hanging="270"/>
      </w:pPr>
      <w:rPr>
        <w:rFonts w:hint="default"/>
      </w:rPr>
    </w:lvl>
    <w:lvl w:ilvl="4" w:tplc="5928DEAE">
      <w:numFmt w:val="bullet"/>
      <w:lvlText w:val="•"/>
      <w:lvlJc w:val="left"/>
      <w:pPr>
        <w:ind w:left="4512" w:hanging="270"/>
      </w:pPr>
      <w:rPr>
        <w:rFonts w:hint="default"/>
      </w:rPr>
    </w:lvl>
    <w:lvl w:ilvl="5" w:tplc="4B9C2796">
      <w:numFmt w:val="bullet"/>
      <w:lvlText w:val="•"/>
      <w:lvlJc w:val="left"/>
      <w:pPr>
        <w:ind w:left="5540" w:hanging="270"/>
      </w:pPr>
      <w:rPr>
        <w:rFonts w:hint="default"/>
      </w:rPr>
    </w:lvl>
    <w:lvl w:ilvl="6" w:tplc="EDE86612">
      <w:numFmt w:val="bullet"/>
      <w:lvlText w:val="•"/>
      <w:lvlJc w:val="left"/>
      <w:pPr>
        <w:ind w:left="6568" w:hanging="270"/>
      </w:pPr>
      <w:rPr>
        <w:rFonts w:hint="default"/>
      </w:rPr>
    </w:lvl>
    <w:lvl w:ilvl="7" w:tplc="4E743760">
      <w:numFmt w:val="bullet"/>
      <w:lvlText w:val="•"/>
      <w:lvlJc w:val="left"/>
      <w:pPr>
        <w:ind w:left="7596" w:hanging="270"/>
      </w:pPr>
      <w:rPr>
        <w:rFonts w:hint="default"/>
      </w:rPr>
    </w:lvl>
    <w:lvl w:ilvl="8" w:tplc="BCA8FE30">
      <w:numFmt w:val="bullet"/>
      <w:lvlText w:val="•"/>
      <w:lvlJc w:val="left"/>
      <w:pPr>
        <w:ind w:left="8624" w:hanging="270"/>
      </w:pPr>
      <w:rPr>
        <w:rFonts w:hint="default"/>
      </w:rPr>
    </w:lvl>
  </w:abstractNum>
  <w:abstractNum w:abstractNumId="17"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1A5613"/>
    <w:multiLevelType w:val="hybridMultilevel"/>
    <w:tmpl w:val="B330A7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0D1551"/>
    <w:multiLevelType w:val="multilevel"/>
    <w:tmpl w:val="D6AAE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442F8"/>
    <w:multiLevelType w:val="hybridMultilevel"/>
    <w:tmpl w:val="B828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A2"/>
    <w:multiLevelType w:val="multilevel"/>
    <w:tmpl w:val="79F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5"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8"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B7116F"/>
    <w:multiLevelType w:val="hybridMultilevel"/>
    <w:tmpl w:val="F7C0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B32EC"/>
    <w:multiLevelType w:val="hybridMultilevel"/>
    <w:tmpl w:val="AF6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51471"/>
    <w:multiLevelType w:val="hybridMultilevel"/>
    <w:tmpl w:val="FD449C8E"/>
    <w:lvl w:ilvl="0" w:tplc="FC5259A8">
      <w:start w:val="1"/>
      <w:numFmt w:val="bullet"/>
      <w:lvlText w:val=""/>
      <w:lvlJc w:val="left"/>
      <w:pPr>
        <w:ind w:left="36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33"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9C44C9"/>
    <w:multiLevelType w:val="hybridMultilevel"/>
    <w:tmpl w:val="3FD43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891FEA"/>
    <w:multiLevelType w:val="hybridMultilevel"/>
    <w:tmpl w:val="FB5C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B65B21"/>
    <w:multiLevelType w:val="hybridMultilevel"/>
    <w:tmpl w:val="75A84EFE"/>
    <w:lvl w:ilvl="0" w:tplc="BD12ED1E">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217FD"/>
    <w:multiLevelType w:val="hybridMultilevel"/>
    <w:tmpl w:val="A4224E7E"/>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9"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40" w15:restartNumberingAfterBreak="0">
    <w:nsid w:val="7DBA0E19"/>
    <w:multiLevelType w:val="hybridMultilevel"/>
    <w:tmpl w:val="F692D432"/>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num w:numId="1">
    <w:abstractNumId w:val="32"/>
  </w:num>
  <w:num w:numId="2">
    <w:abstractNumId w:val="27"/>
  </w:num>
  <w:num w:numId="3">
    <w:abstractNumId w:val="19"/>
  </w:num>
  <w:num w:numId="4">
    <w:abstractNumId w:val="9"/>
  </w:num>
  <w:num w:numId="5">
    <w:abstractNumId w:val="12"/>
  </w:num>
  <w:num w:numId="6">
    <w:abstractNumId w:val="36"/>
  </w:num>
  <w:num w:numId="7">
    <w:abstractNumId w:val="0"/>
    <w:lvlOverride w:ilvl="0">
      <w:startOverride w:val="1"/>
      <w:lvl w:ilvl="0">
        <w:start w:val="1"/>
        <w:numFmt w:val="decimal"/>
        <w:pStyle w:val="1"/>
        <w:lvlText w:val="%1."/>
        <w:lvlJc w:val="left"/>
      </w:lvl>
    </w:lvlOverride>
  </w:num>
  <w:num w:numId="8">
    <w:abstractNumId w:val="24"/>
  </w:num>
  <w:num w:numId="9">
    <w:abstractNumId w:val="3"/>
  </w:num>
  <w:num w:numId="10">
    <w:abstractNumId w:val="6"/>
  </w:num>
  <w:num w:numId="11">
    <w:abstractNumId w:val="30"/>
  </w:num>
  <w:num w:numId="12">
    <w:abstractNumId w:val="32"/>
    <w:lvlOverride w:ilvl="0">
      <w:startOverride w:val="1"/>
    </w:lvlOverride>
  </w:num>
  <w:num w:numId="13">
    <w:abstractNumId w:val="5"/>
  </w:num>
  <w:num w:numId="14">
    <w:abstractNumId w:val="17"/>
  </w:num>
  <w:num w:numId="15">
    <w:abstractNumId w:val="28"/>
  </w:num>
  <w:num w:numId="16">
    <w:abstractNumId w:val="33"/>
  </w:num>
  <w:num w:numId="17">
    <w:abstractNumId w:val="25"/>
  </w:num>
  <w:num w:numId="18">
    <w:abstractNumId w:val="4"/>
  </w:num>
  <w:num w:numId="19">
    <w:abstractNumId w:val="20"/>
  </w:num>
  <w:num w:numId="20">
    <w:abstractNumId w:val="10"/>
  </w:num>
  <w:num w:numId="21">
    <w:abstractNumId w:val="14"/>
  </w:num>
  <w:num w:numId="22">
    <w:abstractNumId w:val="11"/>
  </w:num>
  <w:num w:numId="23">
    <w:abstractNumId w:val="7"/>
  </w:num>
  <w:num w:numId="24">
    <w:abstractNumId w:val="32"/>
    <w:lvlOverride w:ilvl="0">
      <w:startOverride w:val="1"/>
    </w:lvlOverride>
  </w:num>
  <w:num w:numId="25">
    <w:abstractNumId w:val="13"/>
  </w:num>
  <w:num w:numId="26">
    <w:abstractNumId w:val="26"/>
  </w:num>
  <w:num w:numId="27">
    <w:abstractNumId w:val="16"/>
  </w:num>
  <w:num w:numId="28">
    <w:abstractNumId w:val="1"/>
  </w:num>
  <w:num w:numId="29">
    <w:abstractNumId w:val="15"/>
  </w:num>
  <w:num w:numId="30">
    <w:abstractNumId w:val="18"/>
  </w:num>
  <w:num w:numId="31">
    <w:abstractNumId w:val="22"/>
  </w:num>
  <w:num w:numId="32">
    <w:abstractNumId w:val="31"/>
  </w:num>
  <w:num w:numId="33">
    <w:abstractNumId w:val="34"/>
  </w:num>
  <w:num w:numId="34">
    <w:abstractNumId w:val="38"/>
  </w:num>
  <w:num w:numId="35">
    <w:abstractNumId w:val="40"/>
  </w:num>
  <w:num w:numId="36">
    <w:abstractNumId w:val="21"/>
  </w:num>
  <w:num w:numId="37">
    <w:abstractNumId w:val="23"/>
  </w:num>
  <w:num w:numId="38">
    <w:abstractNumId w:val="29"/>
  </w:num>
  <w:num w:numId="39">
    <w:abstractNumId w:val="2"/>
  </w:num>
  <w:num w:numId="40">
    <w:abstractNumId w:val="37"/>
  </w:num>
  <w:num w:numId="41">
    <w:abstractNumId w:val="39"/>
  </w:num>
  <w:num w:numId="42">
    <w:abstractNumId w:val="3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99"/>
    <w:rsid w:val="00014A81"/>
    <w:rsid w:val="00015A46"/>
    <w:rsid w:val="000217FC"/>
    <w:rsid w:val="000256BF"/>
    <w:rsid w:val="000335BB"/>
    <w:rsid w:val="00033DFF"/>
    <w:rsid w:val="00036680"/>
    <w:rsid w:val="00037769"/>
    <w:rsid w:val="00043F85"/>
    <w:rsid w:val="000450FB"/>
    <w:rsid w:val="000521C7"/>
    <w:rsid w:val="000529B7"/>
    <w:rsid w:val="0005415E"/>
    <w:rsid w:val="00065389"/>
    <w:rsid w:val="00085DD4"/>
    <w:rsid w:val="00087B19"/>
    <w:rsid w:val="00090B7A"/>
    <w:rsid w:val="00095CB0"/>
    <w:rsid w:val="000A66D9"/>
    <w:rsid w:val="000B5179"/>
    <w:rsid w:val="000B6275"/>
    <w:rsid w:val="000B76A5"/>
    <w:rsid w:val="000C496A"/>
    <w:rsid w:val="000D3E0E"/>
    <w:rsid w:val="000E38BE"/>
    <w:rsid w:val="001018E4"/>
    <w:rsid w:val="00102675"/>
    <w:rsid w:val="0011082C"/>
    <w:rsid w:val="00124F2C"/>
    <w:rsid w:val="00127333"/>
    <w:rsid w:val="001303E0"/>
    <w:rsid w:val="0013256C"/>
    <w:rsid w:val="001355F2"/>
    <w:rsid w:val="00140F92"/>
    <w:rsid w:val="00142031"/>
    <w:rsid w:val="001610AF"/>
    <w:rsid w:val="001625D1"/>
    <w:rsid w:val="00164800"/>
    <w:rsid w:val="0016574E"/>
    <w:rsid w:val="00177351"/>
    <w:rsid w:val="001A406D"/>
    <w:rsid w:val="001B1DBD"/>
    <w:rsid w:val="001C62AC"/>
    <w:rsid w:val="001C781B"/>
    <w:rsid w:val="001C7A48"/>
    <w:rsid w:val="001D2C1A"/>
    <w:rsid w:val="001D3FA3"/>
    <w:rsid w:val="001E6838"/>
    <w:rsid w:val="002038B3"/>
    <w:rsid w:val="00204CA0"/>
    <w:rsid w:val="00211568"/>
    <w:rsid w:val="00211DCC"/>
    <w:rsid w:val="00213983"/>
    <w:rsid w:val="002352C0"/>
    <w:rsid w:val="00250F10"/>
    <w:rsid w:val="00264AD4"/>
    <w:rsid w:val="002674C4"/>
    <w:rsid w:val="00271EE0"/>
    <w:rsid w:val="00275363"/>
    <w:rsid w:val="00292FB3"/>
    <w:rsid w:val="0029543F"/>
    <w:rsid w:val="002D4396"/>
    <w:rsid w:val="002D6808"/>
    <w:rsid w:val="002E0E9D"/>
    <w:rsid w:val="002E44C1"/>
    <w:rsid w:val="002E6486"/>
    <w:rsid w:val="002F44B7"/>
    <w:rsid w:val="00302BE8"/>
    <w:rsid w:val="0031377B"/>
    <w:rsid w:val="00321C10"/>
    <w:rsid w:val="00323CD3"/>
    <w:rsid w:val="0032412E"/>
    <w:rsid w:val="00324325"/>
    <w:rsid w:val="00325838"/>
    <w:rsid w:val="003355D6"/>
    <w:rsid w:val="00340CBB"/>
    <w:rsid w:val="00342761"/>
    <w:rsid w:val="0034685F"/>
    <w:rsid w:val="00355065"/>
    <w:rsid w:val="00355357"/>
    <w:rsid w:val="00355B59"/>
    <w:rsid w:val="003566BA"/>
    <w:rsid w:val="00365383"/>
    <w:rsid w:val="00366E33"/>
    <w:rsid w:val="003702D1"/>
    <w:rsid w:val="00376A53"/>
    <w:rsid w:val="00380D37"/>
    <w:rsid w:val="00381417"/>
    <w:rsid w:val="00383E33"/>
    <w:rsid w:val="003847E0"/>
    <w:rsid w:val="00397984"/>
    <w:rsid w:val="003B699D"/>
    <w:rsid w:val="003C71E0"/>
    <w:rsid w:val="003C7956"/>
    <w:rsid w:val="003E6AD7"/>
    <w:rsid w:val="003F1EB4"/>
    <w:rsid w:val="003F579B"/>
    <w:rsid w:val="00406952"/>
    <w:rsid w:val="00413EF8"/>
    <w:rsid w:val="00413FC7"/>
    <w:rsid w:val="0041417E"/>
    <w:rsid w:val="0043470A"/>
    <w:rsid w:val="0043524A"/>
    <w:rsid w:val="004575B1"/>
    <w:rsid w:val="00461ABE"/>
    <w:rsid w:val="00467C2C"/>
    <w:rsid w:val="00475542"/>
    <w:rsid w:val="00475A5A"/>
    <w:rsid w:val="00475B58"/>
    <w:rsid w:val="00480141"/>
    <w:rsid w:val="00492AB8"/>
    <w:rsid w:val="00492C37"/>
    <w:rsid w:val="00492F10"/>
    <w:rsid w:val="00494489"/>
    <w:rsid w:val="00494522"/>
    <w:rsid w:val="004B3703"/>
    <w:rsid w:val="004B5303"/>
    <w:rsid w:val="004C033E"/>
    <w:rsid w:val="004D4378"/>
    <w:rsid w:val="004D739C"/>
    <w:rsid w:val="004E2220"/>
    <w:rsid w:val="004E7FE6"/>
    <w:rsid w:val="004F68E5"/>
    <w:rsid w:val="004F7C99"/>
    <w:rsid w:val="00507BE4"/>
    <w:rsid w:val="0052558A"/>
    <w:rsid w:val="00535085"/>
    <w:rsid w:val="00553555"/>
    <w:rsid w:val="005665EC"/>
    <w:rsid w:val="005753CD"/>
    <w:rsid w:val="005966BC"/>
    <w:rsid w:val="005B57A1"/>
    <w:rsid w:val="005C43B9"/>
    <w:rsid w:val="005D3546"/>
    <w:rsid w:val="005D3F93"/>
    <w:rsid w:val="0060202D"/>
    <w:rsid w:val="00603EB2"/>
    <w:rsid w:val="0060638F"/>
    <w:rsid w:val="0061386F"/>
    <w:rsid w:val="00621047"/>
    <w:rsid w:val="00622EF4"/>
    <w:rsid w:val="006230A0"/>
    <w:rsid w:val="00623793"/>
    <w:rsid w:val="00630BBA"/>
    <w:rsid w:val="0064513B"/>
    <w:rsid w:val="00661E4B"/>
    <w:rsid w:val="0066338A"/>
    <w:rsid w:val="00664829"/>
    <w:rsid w:val="00676303"/>
    <w:rsid w:val="006829A2"/>
    <w:rsid w:val="00683896"/>
    <w:rsid w:val="00694849"/>
    <w:rsid w:val="006A2197"/>
    <w:rsid w:val="006B3DF4"/>
    <w:rsid w:val="006C08C1"/>
    <w:rsid w:val="006C09E9"/>
    <w:rsid w:val="006C538B"/>
    <w:rsid w:val="006C7C03"/>
    <w:rsid w:val="006D0E06"/>
    <w:rsid w:val="006D1349"/>
    <w:rsid w:val="006E340B"/>
    <w:rsid w:val="006E34FD"/>
    <w:rsid w:val="006F1B94"/>
    <w:rsid w:val="006F4004"/>
    <w:rsid w:val="0071610E"/>
    <w:rsid w:val="007263A6"/>
    <w:rsid w:val="00733367"/>
    <w:rsid w:val="00733F7A"/>
    <w:rsid w:val="0074438A"/>
    <w:rsid w:val="00762A77"/>
    <w:rsid w:val="007673C3"/>
    <w:rsid w:val="0077460B"/>
    <w:rsid w:val="0077590D"/>
    <w:rsid w:val="00786F8B"/>
    <w:rsid w:val="00787AB7"/>
    <w:rsid w:val="007912B4"/>
    <w:rsid w:val="00796408"/>
    <w:rsid w:val="007A1BE4"/>
    <w:rsid w:val="007A59CA"/>
    <w:rsid w:val="007B4612"/>
    <w:rsid w:val="007B7C94"/>
    <w:rsid w:val="007C1539"/>
    <w:rsid w:val="007C2747"/>
    <w:rsid w:val="007D3FEE"/>
    <w:rsid w:val="007F0A5D"/>
    <w:rsid w:val="008006AC"/>
    <w:rsid w:val="008028BF"/>
    <w:rsid w:val="008058A0"/>
    <w:rsid w:val="00811E7D"/>
    <w:rsid w:val="00815388"/>
    <w:rsid w:val="00824199"/>
    <w:rsid w:val="00833261"/>
    <w:rsid w:val="008343C4"/>
    <w:rsid w:val="0085095E"/>
    <w:rsid w:val="00866077"/>
    <w:rsid w:val="00874553"/>
    <w:rsid w:val="00880173"/>
    <w:rsid w:val="00883D76"/>
    <w:rsid w:val="00887872"/>
    <w:rsid w:val="00891820"/>
    <w:rsid w:val="008B1212"/>
    <w:rsid w:val="008B126A"/>
    <w:rsid w:val="008C3D49"/>
    <w:rsid w:val="008C5B77"/>
    <w:rsid w:val="008D117E"/>
    <w:rsid w:val="008E761C"/>
    <w:rsid w:val="008F0F90"/>
    <w:rsid w:val="008F20AF"/>
    <w:rsid w:val="008F457D"/>
    <w:rsid w:val="008F68DB"/>
    <w:rsid w:val="009009D1"/>
    <w:rsid w:val="0090298E"/>
    <w:rsid w:val="00905FD0"/>
    <w:rsid w:val="00916A12"/>
    <w:rsid w:val="00931A2A"/>
    <w:rsid w:val="00945D6E"/>
    <w:rsid w:val="009553AD"/>
    <w:rsid w:val="00965E4F"/>
    <w:rsid w:val="009706DC"/>
    <w:rsid w:val="00980B04"/>
    <w:rsid w:val="009811C2"/>
    <w:rsid w:val="009A2319"/>
    <w:rsid w:val="009C0308"/>
    <w:rsid w:val="009C1C9A"/>
    <w:rsid w:val="009C282B"/>
    <w:rsid w:val="009C764B"/>
    <w:rsid w:val="009E5800"/>
    <w:rsid w:val="00A02D17"/>
    <w:rsid w:val="00A064F0"/>
    <w:rsid w:val="00A06C32"/>
    <w:rsid w:val="00A1019B"/>
    <w:rsid w:val="00A13C96"/>
    <w:rsid w:val="00A1521A"/>
    <w:rsid w:val="00A233B0"/>
    <w:rsid w:val="00A238B1"/>
    <w:rsid w:val="00A26F9B"/>
    <w:rsid w:val="00A32AD3"/>
    <w:rsid w:val="00A343F6"/>
    <w:rsid w:val="00A379EE"/>
    <w:rsid w:val="00A41A49"/>
    <w:rsid w:val="00A50175"/>
    <w:rsid w:val="00A543B0"/>
    <w:rsid w:val="00A6548E"/>
    <w:rsid w:val="00A65CCF"/>
    <w:rsid w:val="00A700E0"/>
    <w:rsid w:val="00A73BEE"/>
    <w:rsid w:val="00A74DE5"/>
    <w:rsid w:val="00A82738"/>
    <w:rsid w:val="00A91A35"/>
    <w:rsid w:val="00AA2695"/>
    <w:rsid w:val="00AA26CE"/>
    <w:rsid w:val="00AA46CC"/>
    <w:rsid w:val="00AA5ED1"/>
    <w:rsid w:val="00AB679C"/>
    <w:rsid w:val="00AB7D0A"/>
    <w:rsid w:val="00AC474D"/>
    <w:rsid w:val="00AC5F5F"/>
    <w:rsid w:val="00AC67CB"/>
    <w:rsid w:val="00AE3F9E"/>
    <w:rsid w:val="00AF41B9"/>
    <w:rsid w:val="00B16F7E"/>
    <w:rsid w:val="00B230BC"/>
    <w:rsid w:val="00B272CD"/>
    <w:rsid w:val="00B34175"/>
    <w:rsid w:val="00B348B2"/>
    <w:rsid w:val="00B42903"/>
    <w:rsid w:val="00B54634"/>
    <w:rsid w:val="00B5564B"/>
    <w:rsid w:val="00B56C3A"/>
    <w:rsid w:val="00B62627"/>
    <w:rsid w:val="00B631A4"/>
    <w:rsid w:val="00B73960"/>
    <w:rsid w:val="00B80F12"/>
    <w:rsid w:val="00B92AEF"/>
    <w:rsid w:val="00BA3B55"/>
    <w:rsid w:val="00BB0270"/>
    <w:rsid w:val="00BB45D8"/>
    <w:rsid w:val="00BC38A3"/>
    <w:rsid w:val="00BD793A"/>
    <w:rsid w:val="00BE6EC8"/>
    <w:rsid w:val="00BF3199"/>
    <w:rsid w:val="00BF53FF"/>
    <w:rsid w:val="00BF6496"/>
    <w:rsid w:val="00BF7AA2"/>
    <w:rsid w:val="00C07B03"/>
    <w:rsid w:val="00C2180E"/>
    <w:rsid w:val="00C22949"/>
    <w:rsid w:val="00C244C3"/>
    <w:rsid w:val="00C300BE"/>
    <w:rsid w:val="00C30D22"/>
    <w:rsid w:val="00C33324"/>
    <w:rsid w:val="00C335B0"/>
    <w:rsid w:val="00C36A6A"/>
    <w:rsid w:val="00C372E8"/>
    <w:rsid w:val="00C43003"/>
    <w:rsid w:val="00C6387A"/>
    <w:rsid w:val="00C91620"/>
    <w:rsid w:val="00C924F7"/>
    <w:rsid w:val="00C94968"/>
    <w:rsid w:val="00C94A8D"/>
    <w:rsid w:val="00CA7482"/>
    <w:rsid w:val="00CB6FD5"/>
    <w:rsid w:val="00CC4C67"/>
    <w:rsid w:val="00CD0A7F"/>
    <w:rsid w:val="00CD1134"/>
    <w:rsid w:val="00CE5D61"/>
    <w:rsid w:val="00CF0521"/>
    <w:rsid w:val="00CF1F91"/>
    <w:rsid w:val="00CF6A85"/>
    <w:rsid w:val="00D0063D"/>
    <w:rsid w:val="00D12F2E"/>
    <w:rsid w:val="00D136A4"/>
    <w:rsid w:val="00D22037"/>
    <w:rsid w:val="00D24723"/>
    <w:rsid w:val="00D35F93"/>
    <w:rsid w:val="00D37033"/>
    <w:rsid w:val="00D439A9"/>
    <w:rsid w:val="00D639FC"/>
    <w:rsid w:val="00D665E9"/>
    <w:rsid w:val="00D6691D"/>
    <w:rsid w:val="00D80B1F"/>
    <w:rsid w:val="00DB233C"/>
    <w:rsid w:val="00DB2B21"/>
    <w:rsid w:val="00DC05B8"/>
    <w:rsid w:val="00DF1286"/>
    <w:rsid w:val="00E0363A"/>
    <w:rsid w:val="00E0613E"/>
    <w:rsid w:val="00E355B2"/>
    <w:rsid w:val="00E64331"/>
    <w:rsid w:val="00E64972"/>
    <w:rsid w:val="00E70E85"/>
    <w:rsid w:val="00E966A0"/>
    <w:rsid w:val="00E96B98"/>
    <w:rsid w:val="00E970C7"/>
    <w:rsid w:val="00EA3597"/>
    <w:rsid w:val="00EB1386"/>
    <w:rsid w:val="00EC1F08"/>
    <w:rsid w:val="00EE1922"/>
    <w:rsid w:val="00EE5793"/>
    <w:rsid w:val="00EE6D8E"/>
    <w:rsid w:val="00F0103A"/>
    <w:rsid w:val="00F024A1"/>
    <w:rsid w:val="00F12CAC"/>
    <w:rsid w:val="00F15D91"/>
    <w:rsid w:val="00F16565"/>
    <w:rsid w:val="00F374A0"/>
    <w:rsid w:val="00F42584"/>
    <w:rsid w:val="00F513CE"/>
    <w:rsid w:val="00F54E67"/>
    <w:rsid w:val="00F56746"/>
    <w:rsid w:val="00F80A57"/>
    <w:rsid w:val="00F81DDC"/>
    <w:rsid w:val="00F82E5D"/>
    <w:rsid w:val="00F83F61"/>
    <w:rsid w:val="00F878CA"/>
    <w:rsid w:val="00FA0D79"/>
    <w:rsid w:val="00FC5193"/>
    <w:rsid w:val="00FC6D40"/>
    <w:rsid w:val="00FD2F0C"/>
    <w:rsid w:val="00FE5431"/>
    <w:rsid w:val="00FF31C4"/>
    <w:rsid w:val="00FF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C5F3"/>
  <w15:chartTrackingRefBased/>
  <w15:docId w15:val="{FD76B773-6429-4371-AB9E-C1DB0DFF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E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t"/>
    <w:basedOn w:val="Normal"/>
    <w:link w:val="CommentTextChar"/>
    <w:uiPriority w:val="99"/>
    <w:unhideWhenUsed/>
    <w:qFormat/>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uiPriority w:val="99"/>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basedOn w:val="Normal"/>
    <w:link w:val="ListParagraphChar"/>
    <w:uiPriority w:val="34"/>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basedOn w:val="DefaultParagraphFont"/>
    <w:link w:val="ListParagraph"/>
    <w:uiPriority w:val="34"/>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 w:type="character" w:styleId="FollowedHyperlink">
    <w:name w:val="FollowedHyperlink"/>
    <w:basedOn w:val="DefaultParagraphFont"/>
    <w:uiPriority w:val="99"/>
    <w:semiHidden/>
    <w:unhideWhenUsed/>
    <w:rsid w:val="00A233B0"/>
    <w:rPr>
      <w:color w:val="954F72" w:themeColor="followedHyperlink"/>
      <w:u w:val="single"/>
    </w:rPr>
  </w:style>
  <w:style w:type="character" w:styleId="CommentReference">
    <w:name w:val="annotation reference"/>
    <w:basedOn w:val="DefaultParagraphFont"/>
    <w:uiPriority w:val="99"/>
    <w:unhideWhenUsed/>
    <w:rsid w:val="00F54E67"/>
    <w:rPr>
      <w:sz w:val="16"/>
      <w:szCs w:val="16"/>
    </w:rPr>
  </w:style>
  <w:style w:type="table" w:customStyle="1" w:styleId="TableGrid11">
    <w:name w:val="Table Grid11"/>
    <w:basedOn w:val="TableNormal"/>
    <w:next w:val="TableGrid"/>
    <w:uiPriority w:val="39"/>
    <w:rsid w:val="008F2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0CBB"/>
    <w:pPr>
      <w:widowControl w:val="0"/>
      <w:spacing w:after="0" w:line="240" w:lineRule="auto"/>
    </w:pPr>
    <w:rPr>
      <w:rFonts w:ascii="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340CBB"/>
    <w:rPr>
      <w:rFonts w:ascii="Times New Roman" w:eastAsia="Times New Roman" w:hAnsi="Times New Roman" w:cs="Times New Roman"/>
      <w:b/>
      <w:bCs/>
      <w:snapToGrid w:val="0"/>
      <w:sz w:val="20"/>
      <w:szCs w:val="20"/>
      <w:lang w:val="x-none" w:eastAsia="x-none"/>
    </w:rPr>
  </w:style>
  <w:style w:type="character" w:customStyle="1" w:styleId="enumxml1">
    <w:name w:val="enumxml1"/>
    <w:basedOn w:val="DefaultParagraphFont"/>
    <w:rsid w:val="00E966A0"/>
    <w:rPr>
      <w:b/>
      <w:bCs/>
    </w:rPr>
  </w:style>
  <w:style w:type="paragraph" w:customStyle="1" w:styleId="Default">
    <w:name w:val="Default"/>
    <w:rsid w:val="007B7C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6671">
      <w:bodyDiv w:val="1"/>
      <w:marLeft w:val="0"/>
      <w:marRight w:val="0"/>
      <w:marTop w:val="0"/>
      <w:marBottom w:val="0"/>
      <w:divBdr>
        <w:top w:val="none" w:sz="0" w:space="0" w:color="auto"/>
        <w:left w:val="none" w:sz="0" w:space="0" w:color="auto"/>
        <w:bottom w:val="none" w:sz="0" w:space="0" w:color="auto"/>
        <w:right w:val="none" w:sz="0" w:space="0" w:color="auto"/>
      </w:divBdr>
    </w:div>
    <w:div w:id="442654157">
      <w:bodyDiv w:val="1"/>
      <w:marLeft w:val="0"/>
      <w:marRight w:val="0"/>
      <w:marTop w:val="0"/>
      <w:marBottom w:val="0"/>
      <w:divBdr>
        <w:top w:val="none" w:sz="0" w:space="0" w:color="auto"/>
        <w:left w:val="none" w:sz="0" w:space="0" w:color="auto"/>
        <w:bottom w:val="none" w:sz="0" w:space="0" w:color="auto"/>
        <w:right w:val="none" w:sz="0" w:space="0" w:color="auto"/>
      </w:divBdr>
    </w:div>
    <w:div w:id="483936180">
      <w:bodyDiv w:val="1"/>
      <w:marLeft w:val="0"/>
      <w:marRight w:val="0"/>
      <w:marTop w:val="0"/>
      <w:marBottom w:val="0"/>
      <w:divBdr>
        <w:top w:val="none" w:sz="0" w:space="0" w:color="auto"/>
        <w:left w:val="none" w:sz="0" w:space="0" w:color="auto"/>
        <w:bottom w:val="none" w:sz="0" w:space="0" w:color="auto"/>
        <w:right w:val="none" w:sz="0" w:space="0" w:color="auto"/>
      </w:divBdr>
    </w:div>
    <w:div w:id="813570971">
      <w:bodyDiv w:val="1"/>
      <w:marLeft w:val="0"/>
      <w:marRight w:val="0"/>
      <w:marTop w:val="0"/>
      <w:marBottom w:val="0"/>
      <w:divBdr>
        <w:top w:val="none" w:sz="0" w:space="0" w:color="auto"/>
        <w:left w:val="none" w:sz="0" w:space="0" w:color="auto"/>
        <w:bottom w:val="none" w:sz="0" w:space="0" w:color="auto"/>
        <w:right w:val="none" w:sz="0" w:space="0" w:color="auto"/>
      </w:divBdr>
    </w:div>
    <w:div w:id="900336103">
      <w:bodyDiv w:val="1"/>
      <w:marLeft w:val="0"/>
      <w:marRight w:val="0"/>
      <w:marTop w:val="0"/>
      <w:marBottom w:val="0"/>
      <w:divBdr>
        <w:top w:val="none" w:sz="0" w:space="0" w:color="auto"/>
        <w:left w:val="none" w:sz="0" w:space="0" w:color="auto"/>
        <w:bottom w:val="none" w:sz="0" w:space="0" w:color="auto"/>
        <w:right w:val="none" w:sz="0" w:space="0" w:color="auto"/>
      </w:divBdr>
    </w:div>
    <w:div w:id="1061371013">
      <w:bodyDiv w:val="1"/>
      <w:marLeft w:val="0"/>
      <w:marRight w:val="0"/>
      <w:marTop w:val="0"/>
      <w:marBottom w:val="0"/>
      <w:divBdr>
        <w:top w:val="none" w:sz="0" w:space="0" w:color="auto"/>
        <w:left w:val="none" w:sz="0" w:space="0" w:color="auto"/>
        <w:bottom w:val="none" w:sz="0" w:space="0" w:color="auto"/>
        <w:right w:val="none" w:sz="0" w:space="0" w:color="auto"/>
      </w:divBdr>
      <w:divsChild>
        <w:div w:id="1010569151">
          <w:marLeft w:val="0"/>
          <w:marRight w:val="0"/>
          <w:marTop w:val="0"/>
          <w:marBottom w:val="0"/>
          <w:divBdr>
            <w:top w:val="none" w:sz="0" w:space="0" w:color="auto"/>
            <w:left w:val="none" w:sz="0" w:space="0" w:color="auto"/>
            <w:bottom w:val="none" w:sz="0" w:space="0" w:color="auto"/>
            <w:right w:val="none" w:sz="0" w:space="0" w:color="auto"/>
          </w:divBdr>
        </w:div>
      </w:divsChild>
    </w:div>
    <w:div w:id="1177698324">
      <w:bodyDiv w:val="1"/>
      <w:marLeft w:val="0"/>
      <w:marRight w:val="0"/>
      <w:marTop w:val="0"/>
      <w:marBottom w:val="0"/>
      <w:divBdr>
        <w:top w:val="none" w:sz="0" w:space="0" w:color="auto"/>
        <w:left w:val="none" w:sz="0" w:space="0" w:color="auto"/>
        <w:bottom w:val="none" w:sz="0" w:space="0" w:color="auto"/>
        <w:right w:val="none" w:sz="0" w:space="0" w:color="auto"/>
      </w:divBdr>
    </w:div>
    <w:div w:id="1322273883">
      <w:bodyDiv w:val="1"/>
      <w:marLeft w:val="0"/>
      <w:marRight w:val="0"/>
      <w:marTop w:val="0"/>
      <w:marBottom w:val="0"/>
      <w:divBdr>
        <w:top w:val="none" w:sz="0" w:space="0" w:color="auto"/>
        <w:left w:val="none" w:sz="0" w:space="0" w:color="auto"/>
        <w:bottom w:val="none" w:sz="0" w:space="0" w:color="auto"/>
        <w:right w:val="none" w:sz="0" w:space="0" w:color="auto"/>
      </w:divBdr>
    </w:div>
    <w:div w:id="1480077637">
      <w:bodyDiv w:val="1"/>
      <w:marLeft w:val="0"/>
      <w:marRight w:val="0"/>
      <w:marTop w:val="0"/>
      <w:marBottom w:val="0"/>
      <w:divBdr>
        <w:top w:val="none" w:sz="0" w:space="0" w:color="auto"/>
        <w:left w:val="none" w:sz="0" w:space="0" w:color="auto"/>
        <w:bottom w:val="none" w:sz="0" w:space="0" w:color="auto"/>
        <w:right w:val="none" w:sz="0" w:space="0" w:color="auto"/>
      </w:divBdr>
    </w:div>
    <w:div w:id="1587299967">
      <w:bodyDiv w:val="1"/>
      <w:marLeft w:val="0"/>
      <w:marRight w:val="0"/>
      <w:marTop w:val="0"/>
      <w:marBottom w:val="0"/>
      <w:divBdr>
        <w:top w:val="none" w:sz="0" w:space="0" w:color="auto"/>
        <w:left w:val="none" w:sz="0" w:space="0" w:color="auto"/>
        <w:bottom w:val="none" w:sz="0" w:space="0" w:color="auto"/>
        <w:right w:val="none" w:sz="0" w:space="0" w:color="auto"/>
      </w:divBdr>
    </w:div>
    <w:div w:id="1784886766">
      <w:bodyDiv w:val="1"/>
      <w:marLeft w:val="0"/>
      <w:marRight w:val="0"/>
      <w:marTop w:val="0"/>
      <w:marBottom w:val="0"/>
      <w:divBdr>
        <w:top w:val="none" w:sz="0" w:space="0" w:color="auto"/>
        <w:left w:val="none" w:sz="0" w:space="0" w:color="auto"/>
        <w:bottom w:val="none" w:sz="0" w:space="0" w:color="auto"/>
        <w:right w:val="none" w:sz="0" w:space="0" w:color="auto"/>
      </w:divBdr>
    </w:div>
    <w:div w:id="1849060518">
      <w:bodyDiv w:val="1"/>
      <w:marLeft w:val="0"/>
      <w:marRight w:val="0"/>
      <w:marTop w:val="0"/>
      <w:marBottom w:val="0"/>
      <w:divBdr>
        <w:top w:val="none" w:sz="0" w:space="0" w:color="auto"/>
        <w:left w:val="none" w:sz="0" w:space="0" w:color="auto"/>
        <w:bottom w:val="none" w:sz="0" w:space="0" w:color="auto"/>
        <w:right w:val="none" w:sz="0" w:space="0" w:color="auto"/>
      </w:divBdr>
    </w:div>
    <w:div w:id="1979798655">
      <w:bodyDiv w:val="1"/>
      <w:marLeft w:val="0"/>
      <w:marRight w:val="0"/>
      <w:marTop w:val="0"/>
      <w:marBottom w:val="0"/>
      <w:divBdr>
        <w:top w:val="none" w:sz="0" w:space="0" w:color="auto"/>
        <w:left w:val="none" w:sz="0" w:space="0" w:color="auto"/>
        <w:bottom w:val="none" w:sz="0" w:space="0" w:color="auto"/>
        <w:right w:val="none" w:sz="0" w:space="0" w:color="auto"/>
      </w:divBdr>
    </w:div>
    <w:div w:id="2054230973">
      <w:bodyDiv w:val="1"/>
      <w:marLeft w:val="0"/>
      <w:marRight w:val="0"/>
      <w:marTop w:val="0"/>
      <w:marBottom w:val="0"/>
      <w:divBdr>
        <w:top w:val="none" w:sz="0" w:space="0" w:color="auto"/>
        <w:left w:val="none" w:sz="0" w:space="0" w:color="auto"/>
        <w:bottom w:val="none" w:sz="0" w:space="0" w:color="auto"/>
        <w:right w:val="none" w:sz="0" w:space="0" w:color="auto"/>
      </w:divBdr>
    </w:div>
    <w:div w:id="21465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icare.gov/physiciancom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07B7-887C-44CA-82A7-4852636B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Mitch Bryman</cp:lastModifiedBy>
  <cp:revision>22</cp:revision>
  <cp:lastPrinted>2019-07-11T12:16:00Z</cp:lastPrinted>
  <dcterms:created xsi:type="dcterms:W3CDTF">2021-03-24T12:52:00Z</dcterms:created>
  <dcterms:modified xsi:type="dcterms:W3CDTF">2021-03-24T14:24:00Z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