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02D37" w:rsidR="006716C3" w:rsidP="006716C3" w:rsidRDefault="006716C3" w14:paraId="359D5A8A" w14:textId="6CA18C7C">
      <w:pPr>
        <w:pStyle w:val="CM56"/>
        <w:spacing w:after="232"/>
        <w:contextualSpacing/>
        <w:jc w:val="center"/>
        <w:rPr>
          <w:rFonts w:ascii="Times New Roman" w:hAnsi="Times New Roman" w:cs="Times New Roman"/>
          <w:b/>
          <w:bCs/>
          <w:color w:val="000000"/>
          <w:sz w:val="28"/>
          <w:szCs w:val="28"/>
        </w:rPr>
      </w:pPr>
      <w:bookmarkStart w:name="_Hlk67502420" w:id="0"/>
      <w:r w:rsidRPr="00002D37">
        <w:rPr>
          <w:rFonts w:ascii="Times New Roman" w:hAnsi="Times New Roman" w:cs="Times New Roman"/>
          <w:b/>
          <w:bCs/>
          <w:color w:val="000000"/>
          <w:sz w:val="28"/>
          <w:szCs w:val="28"/>
        </w:rPr>
        <w:t>Supporting Statement</w:t>
      </w:r>
      <w:r w:rsidRPr="00002D37" w:rsidR="0091008A">
        <w:rPr>
          <w:rFonts w:ascii="Times New Roman" w:hAnsi="Times New Roman" w:cs="Times New Roman"/>
          <w:b/>
          <w:bCs/>
          <w:color w:val="000000"/>
          <w:sz w:val="28"/>
          <w:szCs w:val="28"/>
        </w:rPr>
        <w:t xml:space="preserve"> </w:t>
      </w:r>
      <w:r w:rsidRPr="00002D37">
        <w:rPr>
          <w:rFonts w:ascii="Times New Roman" w:hAnsi="Times New Roman" w:cs="Times New Roman"/>
          <w:b/>
          <w:bCs/>
          <w:color w:val="000000"/>
          <w:sz w:val="28"/>
          <w:szCs w:val="28"/>
        </w:rPr>
        <w:t>for Office of the National Coordinator for Health Information Technology</w:t>
      </w:r>
      <w:r w:rsidR="008E007B">
        <w:rPr>
          <w:rFonts w:ascii="Times New Roman" w:hAnsi="Times New Roman" w:cs="Times New Roman"/>
          <w:b/>
          <w:bCs/>
          <w:color w:val="000000"/>
          <w:sz w:val="28"/>
          <w:szCs w:val="28"/>
        </w:rPr>
        <w:t xml:space="preserve"> (ONC)</w:t>
      </w:r>
    </w:p>
    <w:p w:rsidRPr="00002D37" w:rsidR="00CA74CD" w:rsidP="006716C3" w:rsidRDefault="00D40D70" w14:paraId="6819631A" w14:textId="0A492C7A">
      <w:pPr>
        <w:pStyle w:val="CM56"/>
        <w:spacing w:after="232"/>
        <w:contextualSpacing/>
        <w:jc w:val="center"/>
        <w:rPr>
          <w:rFonts w:ascii="Times New Roman" w:hAnsi="Times New Roman" w:cs="Times New Roman"/>
          <w:color w:val="000000"/>
          <w:sz w:val="28"/>
          <w:szCs w:val="28"/>
        </w:rPr>
      </w:pPr>
      <w:r w:rsidRPr="00002D37">
        <w:rPr>
          <w:rFonts w:ascii="Times New Roman" w:hAnsi="Times New Roman" w:cs="Times New Roman"/>
          <w:b/>
          <w:bCs/>
          <w:color w:val="000000"/>
          <w:sz w:val="28"/>
          <w:szCs w:val="28"/>
        </w:rPr>
        <w:t>Access, Exchange and Use of Social Determinants of Health</w:t>
      </w:r>
      <w:r w:rsidR="008E007B">
        <w:rPr>
          <w:rFonts w:ascii="Times New Roman" w:hAnsi="Times New Roman" w:cs="Times New Roman"/>
          <w:b/>
          <w:bCs/>
          <w:color w:val="000000"/>
          <w:sz w:val="28"/>
          <w:szCs w:val="28"/>
        </w:rPr>
        <w:t xml:space="preserve"> </w:t>
      </w:r>
      <w:r w:rsidRPr="00002D37" w:rsidR="008E007B">
        <w:rPr>
          <w:rFonts w:ascii="Times New Roman" w:hAnsi="Times New Roman" w:cs="Times New Roman"/>
          <w:b/>
          <w:bCs/>
          <w:color w:val="000000"/>
          <w:sz w:val="28"/>
          <w:szCs w:val="28"/>
        </w:rPr>
        <w:t>(SDOH)</w:t>
      </w:r>
      <w:r w:rsidRPr="00002D37">
        <w:rPr>
          <w:rFonts w:ascii="Times New Roman" w:hAnsi="Times New Roman" w:cs="Times New Roman"/>
          <w:b/>
          <w:bCs/>
          <w:color w:val="000000"/>
          <w:sz w:val="28"/>
          <w:szCs w:val="28"/>
        </w:rPr>
        <w:t xml:space="preserve"> </w:t>
      </w:r>
      <w:r w:rsidRPr="00002D37" w:rsidR="008E007B">
        <w:rPr>
          <w:rFonts w:ascii="Times New Roman" w:hAnsi="Times New Roman" w:cs="Times New Roman"/>
          <w:b/>
          <w:bCs/>
          <w:color w:val="000000"/>
          <w:sz w:val="28"/>
          <w:szCs w:val="28"/>
        </w:rPr>
        <w:t>Data</w:t>
      </w:r>
      <w:r w:rsidR="008E007B">
        <w:rPr>
          <w:rFonts w:ascii="Times New Roman" w:hAnsi="Times New Roman" w:cs="Times New Roman"/>
          <w:b/>
          <w:bCs/>
          <w:color w:val="000000"/>
          <w:sz w:val="28"/>
          <w:szCs w:val="28"/>
        </w:rPr>
        <w:t xml:space="preserve"> </w:t>
      </w:r>
      <w:r w:rsidRPr="00002D37" w:rsidR="008E007B">
        <w:rPr>
          <w:rFonts w:ascii="Times New Roman" w:hAnsi="Times New Roman" w:cs="Times New Roman"/>
          <w:b/>
          <w:bCs/>
          <w:color w:val="000000"/>
          <w:sz w:val="28"/>
          <w:szCs w:val="28"/>
        </w:rPr>
        <w:t>in</w:t>
      </w:r>
      <w:r w:rsidRPr="00002D37">
        <w:rPr>
          <w:rFonts w:ascii="Times New Roman" w:hAnsi="Times New Roman" w:cs="Times New Roman"/>
          <w:b/>
          <w:bCs/>
          <w:color w:val="000000"/>
          <w:sz w:val="28"/>
          <w:szCs w:val="28"/>
        </w:rPr>
        <w:t xml:space="preserve"> Clinical Notes</w:t>
      </w:r>
      <w:r w:rsidRPr="00002D37" w:rsidR="00983A6A">
        <w:rPr>
          <w:rFonts w:ascii="Times New Roman" w:hAnsi="Times New Roman" w:cs="Times New Roman"/>
          <w:b/>
          <w:bCs/>
          <w:color w:val="000000"/>
          <w:sz w:val="28"/>
          <w:szCs w:val="28"/>
        </w:rPr>
        <w:t xml:space="preserve"> </w:t>
      </w:r>
    </w:p>
    <w:p w:rsidRPr="00F3189A" w:rsidR="00B37AC6" w:rsidP="00D5691C" w:rsidRDefault="00B37AC6" w14:paraId="7E229441" w14:textId="77777777">
      <w:pPr>
        <w:pStyle w:val="CM56"/>
        <w:spacing w:after="230"/>
        <w:contextualSpacing/>
        <w:rPr>
          <w:rFonts w:ascii="Times New Roman" w:hAnsi="Times New Roman" w:cs="Times New Roman"/>
          <w:b/>
          <w:bCs/>
          <w:color w:val="000000"/>
        </w:rPr>
      </w:pPr>
    </w:p>
    <w:p w:rsidR="00983A6A" w:rsidP="00D5691C" w:rsidRDefault="00983A6A" w14:paraId="496CCBA0" w14:textId="77777777">
      <w:pPr>
        <w:pStyle w:val="CM56"/>
        <w:spacing w:after="230"/>
        <w:contextualSpacing/>
        <w:rPr>
          <w:rFonts w:ascii="Times New Roman" w:hAnsi="Times New Roman" w:cs="Times New Roman"/>
          <w:b/>
          <w:bCs/>
          <w:color w:val="000000"/>
        </w:rPr>
      </w:pPr>
    </w:p>
    <w:p w:rsidRPr="00F3189A" w:rsidR="00CA74CD" w:rsidP="00D5691C" w:rsidRDefault="00CA74CD" w14:paraId="63157D65" w14:textId="7EF28A9E">
      <w:pPr>
        <w:pStyle w:val="CM56"/>
        <w:spacing w:after="230"/>
        <w:contextualSpacing/>
        <w:rPr>
          <w:rFonts w:ascii="Times New Roman" w:hAnsi="Times New Roman" w:cs="Times New Roman"/>
          <w:b/>
          <w:bCs/>
          <w:color w:val="000000"/>
        </w:rPr>
      </w:pPr>
      <w:r w:rsidRPr="00F3189A">
        <w:rPr>
          <w:rFonts w:ascii="Times New Roman" w:hAnsi="Times New Roman" w:cs="Times New Roman"/>
          <w:b/>
          <w:bCs/>
          <w:color w:val="000000"/>
        </w:rPr>
        <w:t xml:space="preserve">PART A. </w:t>
      </w:r>
      <w:r w:rsidRPr="00F3189A" w:rsidR="00002D37">
        <w:rPr>
          <w:rFonts w:ascii="Times New Roman" w:hAnsi="Times New Roman" w:cs="Times New Roman"/>
          <w:b/>
          <w:bCs/>
          <w:color w:val="000000"/>
        </w:rPr>
        <w:t>J</w:t>
      </w:r>
      <w:r w:rsidR="00002D37">
        <w:rPr>
          <w:rFonts w:ascii="Times New Roman" w:hAnsi="Times New Roman" w:cs="Times New Roman"/>
          <w:b/>
          <w:bCs/>
          <w:color w:val="000000"/>
        </w:rPr>
        <w:t>USTIFICATION</w:t>
      </w:r>
    </w:p>
    <w:bookmarkEnd w:id="0"/>
    <w:p w:rsidRPr="00F3189A" w:rsidR="007E25BC" w:rsidP="00F3189A" w:rsidRDefault="007E25BC" w14:paraId="561E1CF9" w14:textId="77777777">
      <w:pPr>
        <w:pStyle w:val="Default"/>
        <w:rPr>
          <w:rFonts w:ascii="Times New Roman" w:hAnsi="Times New Roman" w:cs="Times New Roman"/>
        </w:rPr>
      </w:pPr>
    </w:p>
    <w:p w:rsidRPr="00E24CBA" w:rsidR="00E24CBA" w:rsidP="00AD15CB" w:rsidRDefault="00DE3466" w14:paraId="40DC2BF7" w14:textId="77777777">
      <w:pPr>
        <w:pStyle w:val="CM56"/>
        <w:numPr>
          <w:ilvl w:val="0"/>
          <w:numId w:val="7"/>
        </w:numPr>
        <w:contextualSpacing/>
        <w:rPr>
          <w:rFonts w:ascii="Times New Roman" w:hAnsi="Times New Roman" w:cs="Times New Roman"/>
        </w:rPr>
      </w:pPr>
      <w:r w:rsidRPr="00E24CBA">
        <w:rPr>
          <w:rFonts w:ascii="Times New Roman" w:hAnsi="Times New Roman" w:cs="Times New Roman"/>
          <w:b/>
          <w:bCs/>
          <w:color w:val="000000"/>
          <w:u w:val="single"/>
        </w:rPr>
        <w:t>C</w:t>
      </w:r>
      <w:r w:rsidRPr="00E24CBA" w:rsidR="00CA74CD">
        <w:rPr>
          <w:rFonts w:ascii="Times New Roman" w:hAnsi="Times New Roman" w:cs="Times New Roman"/>
          <w:b/>
          <w:bCs/>
          <w:color w:val="000000"/>
          <w:u w:val="single"/>
        </w:rPr>
        <w:t xml:space="preserve">ircumstances </w:t>
      </w:r>
      <w:r w:rsidRPr="00E24CBA" w:rsidR="00F0557C">
        <w:rPr>
          <w:rFonts w:ascii="Times New Roman" w:hAnsi="Times New Roman" w:cs="Times New Roman"/>
          <w:b/>
          <w:bCs/>
          <w:color w:val="000000"/>
          <w:u w:val="single"/>
        </w:rPr>
        <w:t xml:space="preserve">Making </w:t>
      </w:r>
      <w:r w:rsidRPr="00E24CBA" w:rsidR="00CA74CD">
        <w:rPr>
          <w:rFonts w:ascii="Times New Roman" w:hAnsi="Times New Roman" w:cs="Times New Roman"/>
          <w:b/>
          <w:bCs/>
          <w:color w:val="000000"/>
          <w:u w:val="single"/>
        </w:rPr>
        <w:t xml:space="preserve">the </w:t>
      </w:r>
      <w:r w:rsidRPr="00E24CBA" w:rsidR="00F0557C">
        <w:rPr>
          <w:rFonts w:ascii="Times New Roman" w:hAnsi="Times New Roman" w:cs="Times New Roman"/>
          <w:b/>
          <w:bCs/>
          <w:color w:val="000000"/>
          <w:u w:val="single"/>
        </w:rPr>
        <w:t>C</w:t>
      </w:r>
      <w:r w:rsidRPr="00E24CBA" w:rsidR="00CA74CD">
        <w:rPr>
          <w:rFonts w:ascii="Times New Roman" w:hAnsi="Times New Roman" w:cs="Times New Roman"/>
          <w:b/>
          <w:bCs/>
          <w:color w:val="000000"/>
          <w:u w:val="single"/>
        </w:rPr>
        <w:t xml:space="preserve">ollection of </w:t>
      </w:r>
      <w:r w:rsidRPr="00E24CBA" w:rsidR="00F0557C">
        <w:rPr>
          <w:rFonts w:ascii="Times New Roman" w:hAnsi="Times New Roman" w:cs="Times New Roman"/>
          <w:b/>
          <w:bCs/>
          <w:color w:val="000000"/>
          <w:u w:val="single"/>
        </w:rPr>
        <w:t>I</w:t>
      </w:r>
      <w:r w:rsidRPr="00E24CBA" w:rsidR="00CA74CD">
        <w:rPr>
          <w:rFonts w:ascii="Times New Roman" w:hAnsi="Times New Roman" w:cs="Times New Roman"/>
          <w:b/>
          <w:bCs/>
          <w:color w:val="000000"/>
          <w:u w:val="single"/>
        </w:rPr>
        <w:t xml:space="preserve">nformation </w:t>
      </w:r>
      <w:r w:rsidRPr="00E24CBA" w:rsidR="00F0557C">
        <w:rPr>
          <w:rFonts w:ascii="Times New Roman" w:hAnsi="Times New Roman" w:cs="Times New Roman"/>
          <w:b/>
          <w:bCs/>
          <w:color w:val="000000"/>
          <w:u w:val="single"/>
        </w:rPr>
        <w:t>N</w:t>
      </w:r>
      <w:r w:rsidRPr="00E24CBA" w:rsidR="00CA74CD">
        <w:rPr>
          <w:rFonts w:ascii="Times New Roman" w:hAnsi="Times New Roman" w:cs="Times New Roman"/>
          <w:b/>
          <w:bCs/>
          <w:color w:val="000000"/>
          <w:u w:val="single"/>
        </w:rPr>
        <w:t>ecessary</w:t>
      </w:r>
    </w:p>
    <w:p w:rsidRPr="00E24CBA" w:rsidR="00DE3466" w:rsidP="00E24CBA" w:rsidRDefault="00DE3466" w14:paraId="49CA1CD5" w14:textId="3A2537D8">
      <w:pPr>
        <w:pStyle w:val="CM56"/>
        <w:contextualSpacing/>
        <w:rPr>
          <w:rFonts w:ascii="Times New Roman" w:hAnsi="Times New Roman" w:cs="Times New Roman"/>
        </w:rPr>
      </w:pPr>
      <w:r w:rsidRPr="00E24CBA">
        <w:rPr>
          <w:rFonts w:ascii="Times New Roman" w:hAnsi="Times New Roman" w:cs="Times New Roman"/>
        </w:rPr>
        <w:t xml:space="preserve">The access, exchange, and use of electronic health information is essential for </w:t>
      </w:r>
      <w:r w:rsidRPr="00E24CBA" w:rsidR="00274D7C">
        <w:rPr>
          <w:rFonts w:ascii="Times New Roman" w:hAnsi="Times New Roman" w:cs="Times New Roman"/>
        </w:rPr>
        <w:t xml:space="preserve">clinicians and patients </w:t>
      </w:r>
      <w:r w:rsidRPr="00E24CBA">
        <w:rPr>
          <w:rFonts w:ascii="Times New Roman" w:hAnsi="Times New Roman" w:cs="Times New Roman"/>
        </w:rPr>
        <w:t xml:space="preserve">to better manage their health care needs and share information with </w:t>
      </w:r>
      <w:r w:rsidRPr="00E24CBA" w:rsidR="00274D7C">
        <w:rPr>
          <w:rFonts w:ascii="Times New Roman" w:hAnsi="Times New Roman" w:cs="Times New Roman"/>
        </w:rPr>
        <w:t xml:space="preserve">other </w:t>
      </w:r>
      <w:r w:rsidRPr="00E24CBA">
        <w:rPr>
          <w:rFonts w:ascii="Times New Roman" w:hAnsi="Times New Roman" w:cs="Times New Roman"/>
        </w:rPr>
        <w:t xml:space="preserve">providers and </w:t>
      </w:r>
      <w:r w:rsidRPr="00E24CBA" w:rsidR="00274D7C">
        <w:rPr>
          <w:rFonts w:ascii="Times New Roman" w:hAnsi="Times New Roman" w:cs="Times New Roman"/>
        </w:rPr>
        <w:t xml:space="preserve">with </w:t>
      </w:r>
      <w:r w:rsidRPr="00E24CBA">
        <w:rPr>
          <w:rFonts w:ascii="Times New Roman" w:hAnsi="Times New Roman" w:cs="Times New Roman"/>
        </w:rPr>
        <w:t xml:space="preserve">caregivers. Many hospitals and physicians possess capabilities that enable patients to view and download their health information. Yet, additional steps are needed to make health information more accessible and useful to </w:t>
      </w:r>
      <w:r w:rsidRPr="00E24CBA" w:rsidR="00274D7C">
        <w:rPr>
          <w:rFonts w:ascii="Times New Roman" w:hAnsi="Times New Roman" w:cs="Times New Roman"/>
        </w:rPr>
        <w:t>both clinicians and patients</w:t>
      </w:r>
      <w:r w:rsidRPr="00E24CBA">
        <w:rPr>
          <w:rFonts w:ascii="Times New Roman" w:hAnsi="Times New Roman" w:cs="Times New Roman"/>
        </w:rPr>
        <w:t xml:space="preserve">. </w:t>
      </w:r>
    </w:p>
    <w:p w:rsidRPr="00F3189A" w:rsidR="00DE3466" w:rsidP="00DE3466" w:rsidRDefault="00DE3466" w14:paraId="12AE6127" w14:textId="77777777">
      <w:pPr>
        <w:autoSpaceDE w:val="0"/>
        <w:autoSpaceDN w:val="0"/>
        <w:adjustRightInd w:val="0"/>
        <w:spacing w:after="0" w:line="240" w:lineRule="auto"/>
        <w:rPr>
          <w:rFonts w:ascii="Times New Roman" w:hAnsi="Times New Roman" w:cs="Times New Roman"/>
          <w:sz w:val="24"/>
          <w:szCs w:val="24"/>
        </w:rPr>
      </w:pPr>
    </w:p>
    <w:p w:rsidRPr="00F3189A" w:rsidR="00A0357A" w:rsidP="00DE3466" w:rsidRDefault="6C2CE20A" w14:paraId="7C85A301" w14:textId="1FA5F974">
      <w:pPr>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F3189A">
        <w:rPr>
          <w:rFonts w:ascii="Times New Roman" w:hAnsi="Times New Roman" w:cs="Times New Roman"/>
          <w:sz w:val="24"/>
          <w:szCs w:val="24"/>
        </w:rPr>
        <w:t xml:space="preserve">The 21st Century Cures Act (Cures Act) </w:t>
      </w:r>
      <w:r w:rsidRPr="00F3189A">
        <w:rPr>
          <w:rFonts w:ascii="Times New Roman" w:hAnsi="Times New Roman" w:cs="Times New Roman"/>
          <w:sz w:val="24"/>
          <w:szCs w:val="24"/>
          <w:shd w:val="clear" w:color="auto" w:fill="FFFFFF"/>
        </w:rPr>
        <w:t xml:space="preserve">requires the Department of Health and Human Services (HHS) and ONC to improve the interoperability of health information. </w:t>
      </w:r>
      <w:r w:rsidRPr="00F3189A">
        <w:rPr>
          <w:rFonts w:ascii="Times New Roman" w:hAnsi="Times New Roman" w:cs="Times New Roman"/>
          <w:sz w:val="24"/>
          <w:szCs w:val="24"/>
          <w:lang w:val="en"/>
        </w:rPr>
        <w:t>ONC’s Cures Act final rule</w:t>
      </w:r>
      <w:r w:rsidR="00D17400">
        <w:rPr>
          <w:rFonts w:ascii="Times New Roman" w:hAnsi="Times New Roman" w:cs="Times New Roman"/>
          <w:sz w:val="24"/>
          <w:szCs w:val="24"/>
          <w:lang w:val="en"/>
        </w:rPr>
        <w:t xml:space="preserve"> </w:t>
      </w:r>
      <w:r w:rsidRPr="00F3189A">
        <w:rPr>
          <w:rFonts w:ascii="Times New Roman" w:hAnsi="Times New Roman" w:cs="Times New Roman"/>
          <w:sz w:val="24"/>
          <w:szCs w:val="24"/>
          <w:lang w:val="en"/>
        </w:rPr>
        <w:t>identifies important data elements that should be made electronically available and exchanged through the use of health information technology (IT)</w:t>
      </w:r>
      <w:r w:rsidRPr="00F3189A" w:rsidR="70E95F85">
        <w:rPr>
          <w:rFonts w:ascii="Times New Roman" w:hAnsi="Times New Roman" w:cs="Times New Roman"/>
          <w:color w:val="000000"/>
          <w:sz w:val="24"/>
          <w:szCs w:val="24"/>
          <w:shd w:val="clear" w:color="auto" w:fill="FFFFFF"/>
        </w:rPr>
        <w:t>.</w:t>
      </w:r>
      <w:r w:rsidRPr="00F3189A" w:rsidR="00CB43D6">
        <w:rPr>
          <w:rStyle w:val="FootnoteReference"/>
          <w:rFonts w:ascii="Times New Roman" w:hAnsi="Times New Roman" w:cs="Times New Roman"/>
          <w:color w:val="000000"/>
          <w:sz w:val="24"/>
          <w:szCs w:val="24"/>
          <w:shd w:val="clear" w:color="auto" w:fill="FFFFFF"/>
        </w:rPr>
        <w:footnoteReference w:id="1"/>
      </w:r>
      <w:r w:rsidRPr="00F3189A">
        <w:rPr>
          <w:rFonts w:ascii="Times New Roman" w:hAnsi="Times New Roman" w:cs="Times New Roman"/>
          <w:sz w:val="24"/>
          <w:szCs w:val="24"/>
          <w:lang w:val="en"/>
        </w:rPr>
        <w:t xml:space="preserve"> </w:t>
      </w:r>
    </w:p>
    <w:p w:rsidRPr="00F3189A" w:rsidR="006A02BC" w:rsidP="00DE3466" w:rsidRDefault="006A02BC" w14:paraId="3B89D976" w14:textId="77777777">
      <w:pPr>
        <w:autoSpaceDE w:val="0"/>
        <w:autoSpaceDN w:val="0"/>
        <w:adjustRightInd w:val="0"/>
        <w:spacing w:after="0" w:line="240" w:lineRule="auto"/>
        <w:rPr>
          <w:rFonts w:ascii="Times New Roman" w:hAnsi="Times New Roman" w:cs="Times New Roman"/>
          <w:color w:val="000000"/>
          <w:sz w:val="24"/>
          <w:szCs w:val="24"/>
          <w:shd w:val="clear" w:color="auto" w:fill="FFFFFF"/>
        </w:rPr>
      </w:pPr>
    </w:p>
    <w:p w:rsidRPr="00F3189A" w:rsidR="00DE3466" w:rsidP="00DE3466" w:rsidRDefault="00A0357A" w14:paraId="0A43CEF3" w14:textId="5E1003F6">
      <w:pPr>
        <w:autoSpaceDE w:val="0"/>
        <w:autoSpaceDN w:val="0"/>
        <w:adjustRightInd w:val="0"/>
        <w:spacing w:after="0" w:line="240" w:lineRule="auto"/>
        <w:rPr>
          <w:rFonts w:ascii="Times New Roman" w:hAnsi="Times New Roman" w:cs="Times New Roman"/>
          <w:sz w:val="24"/>
          <w:szCs w:val="24"/>
        </w:rPr>
      </w:pPr>
      <w:r w:rsidRPr="00F3189A">
        <w:rPr>
          <w:rFonts w:ascii="Times New Roman" w:hAnsi="Times New Roman" w:cs="Times New Roman"/>
          <w:sz w:val="24"/>
          <w:szCs w:val="24"/>
        </w:rPr>
        <w:t>A growing body of research highlights the importance of</w:t>
      </w:r>
      <w:r w:rsidRPr="00F3189A" w:rsidR="00DE3466">
        <w:rPr>
          <w:rFonts w:ascii="Times New Roman" w:hAnsi="Times New Roman" w:cs="Times New Roman"/>
          <w:sz w:val="24"/>
          <w:szCs w:val="24"/>
        </w:rPr>
        <w:t xml:space="preserve"> social determinants of health (SDOH)</w:t>
      </w:r>
      <w:r w:rsidRPr="00F3189A">
        <w:rPr>
          <w:rFonts w:ascii="Times New Roman" w:hAnsi="Times New Roman" w:cs="Times New Roman"/>
          <w:sz w:val="24"/>
          <w:szCs w:val="24"/>
        </w:rPr>
        <w:t xml:space="preserve"> </w:t>
      </w:r>
      <w:r w:rsidRPr="00F3189A" w:rsidR="00DE3466">
        <w:rPr>
          <w:rFonts w:ascii="Times New Roman" w:hAnsi="Times New Roman" w:cs="Times New Roman"/>
          <w:sz w:val="24"/>
          <w:szCs w:val="24"/>
        </w:rPr>
        <w:t xml:space="preserve"> – the conditions in which people live, learn, work, and play – </w:t>
      </w:r>
      <w:r w:rsidRPr="00F3189A">
        <w:rPr>
          <w:rFonts w:ascii="Times New Roman" w:hAnsi="Times New Roman" w:cs="Times New Roman"/>
          <w:sz w:val="24"/>
          <w:szCs w:val="24"/>
        </w:rPr>
        <w:t>in access to care and health outcomes.</w:t>
      </w:r>
      <w:r w:rsidRPr="00F3189A" w:rsidR="007B42E6">
        <w:rPr>
          <w:rStyle w:val="FootnoteReference"/>
          <w:rFonts w:ascii="Times New Roman" w:hAnsi="Times New Roman" w:cs="Times New Roman"/>
          <w:sz w:val="24"/>
          <w:szCs w:val="24"/>
        </w:rPr>
        <w:footnoteReference w:id="2"/>
      </w:r>
      <w:r w:rsidRPr="00F3189A">
        <w:rPr>
          <w:rFonts w:ascii="Times New Roman" w:hAnsi="Times New Roman" w:cs="Times New Roman"/>
          <w:sz w:val="24"/>
          <w:szCs w:val="24"/>
        </w:rPr>
        <w:t xml:space="preserve"> However, the collection </w:t>
      </w:r>
      <w:r w:rsidRPr="00F3189A" w:rsidR="00F5189C">
        <w:rPr>
          <w:rFonts w:ascii="Times New Roman" w:hAnsi="Times New Roman" w:cs="Times New Roman"/>
          <w:sz w:val="24"/>
          <w:szCs w:val="24"/>
        </w:rPr>
        <w:t>and</w:t>
      </w:r>
      <w:r w:rsidRPr="00F3189A">
        <w:rPr>
          <w:rFonts w:ascii="Times New Roman" w:hAnsi="Times New Roman" w:cs="Times New Roman"/>
          <w:sz w:val="24"/>
          <w:szCs w:val="24"/>
        </w:rPr>
        <w:t xml:space="preserve"> use of SDOH data </w:t>
      </w:r>
      <w:r w:rsidRPr="00F3189A" w:rsidR="00DE3466">
        <w:rPr>
          <w:rFonts w:ascii="Times New Roman" w:hAnsi="Times New Roman" w:cs="Times New Roman"/>
          <w:sz w:val="24"/>
          <w:szCs w:val="24"/>
        </w:rPr>
        <w:t>remains much more limited across healthcare.</w:t>
      </w:r>
      <w:r w:rsidRPr="00F3189A" w:rsidR="007B42E6">
        <w:rPr>
          <w:rStyle w:val="FootnoteReference"/>
          <w:rFonts w:ascii="Times New Roman" w:hAnsi="Times New Roman" w:cs="Times New Roman"/>
          <w:sz w:val="24"/>
          <w:szCs w:val="24"/>
        </w:rPr>
        <w:footnoteReference w:id="3"/>
      </w:r>
      <w:r w:rsidRPr="00F3189A" w:rsidR="00DE3466">
        <w:rPr>
          <w:rFonts w:ascii="Times New Roman" w:hAnsi="Times New Roman" w:cs="Times New Roman"/>
          <w:sz w:val="24"/>
          <w:szCs w:val="24"/>
        </w:rPr>
        <w:t xml:space="preserve"> </w:t>
      </w:r>
      <w:r w:rsidRPr="00F3189A">
        <w:rPr>
          <w:rFonts w:ascii="Times New Roman" w:hAnsi="Times New Roman" w:cs="Times New Roman"/>
          <w:sz w:val="24"/>
          <w:szCs w:val="24"/>
        </w:rPr>
        <w:t>C</w:t>
      </w:r>
      <w:r w:rsidRPr="00F3189A" w:rsidR="00DE3466">
        <w:rPr>
          <w:rFonts w:ascii="Times New Roman" w:hAnsi="Times New Roman" w:cs="Times New Roman"/>
          <w:sz w:val="24"/>
          <w:szCs w:val="24"/>
        </w:rPr>
        <w:t>apturing and accessing SDOH data during the course of care</w:t>
      </w:r>
      <w:r w:rsidRPr="00F3189A">
        <w:rPr>
          <w:rFonts w:ascii="Times New Roman" w:hAnsi="Times New Roman" w:cs="Times New Roman"/>
          <w:sz w:val="24"/>
          <w:szCs w:val="24"/>
        </w:rPr>
        <w:t xml:space="preserve"> would allow </w:t>
      </w:r>
      <w:r w:rsidRPr="00F3189A" w:rsidR="00DE3466">
        <w:rPr>
          <w:rFonts w:ascii="Times New Roman" w:hAnsi="Times New Roman" w:cs="Times New Roman"/>
          <w:sz w:val="24"/>
          <w:szCs w:val="24"/>
        </w:rPr>
        <w:lastRenderedPageBreak/>
        <w:t xml:space="preserve">providers </w:t>
      </w:r>
      <w:r w:rsidRPr="00F3189A">
        <w:rPr>
          <w:rFonts w:ascii="Times New Roman" w:hAnsi="Times New Roman" w:cs="Times New Roman"/>
          <w:sz w:val="24"/>
          <w:szCs w:val="24"/>
        </w:rPr>
        <w:t xml:space="preserve">to </w:t>
      </w:r>
      <w:r w:rsidRPr="00F3189A" w:rsidR="00DE3466">
        <w:rPr>
          <w:rFonts w:ascii="Times New Roman" w:hAnsi="Times New Roman" w:cs="Times New Roman"/>
          <w:sz w:val="24"/>
          <w:szCs w:val="24"/>
        </w:rPr>
        <w:t>more easily address non-clinical factors, such as food, housing, and transportation insecurities, which can have a profound impact on a person’s overall health</w:t>
      </w:r>
      <w:r w:rsidRPr="00F3189A">
        <w:rPr>
          <w:rFonts w:ascii="Times New Roman" w:hAnsi="Times New Roman" w:cs="Times New Roman"/>
          <w:sz w:val="24"/>
          <w:szCs w:val="24"/>
        </w:rPr>
        <w:t>.</w:t>
      </w:r>
      <w:r w:rsidRPr="00F3189A" w:rsidR="003C1DF3">
        <w:rPr>
          <w:rStyle w:val="FootnoteReference"/>
          <w:rFonts w:ascii="Times New Roman" w:hAnsi="Times New Roman" w:cs="Times New Roman"/>
          <w:sz w:val="24"/>
          <w:szCs w:val="24"/>
        </w:rPr>
        <w:footnoteReference w:id="4"/>
      </w:r>
      <w:r w:rsidRPr="00F3189A" w:rsidR="007B42E6">
        <w:rPr>
          <w:rFonts w:ascii="Times New Roman" w:hAnsi="Times New Roman" w:cs="Times New Roman"/>
          <w:sz w:val="24"/>
          <w:szCs w:val="24"/>
        </w:rPr>
        <w:t xml:space="preserve"> </w:t>
      </w:r>
    </w:p>
    <w:p w:rsidRPr="00F3189A" w:rsidR="00DE3466" w:rsidP="00DE3466" w:rsidRDefault="00DE3466" w14:paraId="6667013D" w14:textId="77777777">
      <w:pPr>
        <w:autoSpaceDE w:val="0"/>
        <w:autoSpaceDN w:val="0"/>
        <w:adjustRightInd w:val="0"/>
        <w:spacing w:after="0" w:line="240" w:lineRule="auto"/>
        <w:rPr>
          <w:rFonts w:ascii="Times New Roman" w:hAnsi="Times New Roman" w:cs="Times New Roman"/>
          <w:sz w:val="24"/>
          <w:szCs w:val="24"/>
        </w:rPr>
      </w:pPr>
    </w:p>
    <w:p w:rsidRPr="00F3189A" w:rsidR="00DE3466" w:rsidP="00DE3466" w:rsidRDefault="00DE3466" w14:paraId="18A76D82" w14:textId="78C40F32">
      <w:pPr>
        <w:autoSpaceDE w:val="0"/>
        <w:autoSpaceDN w:val="0"/>
        <w:adjustRightInd w:val="0"/>
        <w:spacing w:after="0" w:line="240" w:lineRule="auto"/>
        <w:rPr>
          <w:rFonts w:ascii="Times New Roman" w:hAnsi="Times New Roman" w:cs="Times New Roman"/>
          <w:sz w:val="24"/>
          <w:szCs w:val="24"/>
        </w:rPr>
      </w:pPr>
      <w:r w:rsidRPr="00F3189A">
        <w:rPr>
          <w:rFonts w:ascii="Times New Roman" w:hAnsi="Times New Roman" w:cs="Times New Roman"/>
          <w:sz w:val="24"/>
          <w:szCs w:val="24"/>
        </w:rPr>
        <w:t>In a 2018 report</w:t>
      </w:r>
      <w:r w:rsidRPr="00F3189A" w:rsidR="007B42E6">
        <w:rPr>
          <w:rFonts w:ascii="Times New Roman" w:hAnsi="Times New Roman" w:cs="Times New Roman"/>
          <w:sz w:val="24"/>
          <w:szCs w:val="24"/>
        </w:rPr>
        <w:t>,</w:t>
      </w:r>
      <w:r w:rsidRPr="00F3189A" w:rsidR="007B42E6">
        <w:rPr>
          <w:rStyle w:val="FootnoteReference"/>
          <w:rFonts w:ascii="Times New Roman" w:hAnsi="Times New Roman" w:cs="Times New Roman"/>
          <w:sz w:val="24"/>
          <w:szCs w:val="24"/>
        </w:rPr>
        <w:footnoteReference w:id="5"/>
      </w:r>
      <w:r w:rsidRPr="00F3189A">
        <w:rPr>
          <w:rFonts w:ascii="Times New Roman" w:hAnsi="Times New Roman" w:cs="Times New Roman"/>
          <w:sz w:val="24"/>
          <w:szCs w:val="24"/>
        </w:rPr>
        <w:t xml:space="preserve"> researchers conducted interviews with six electronic health records (EHRs) vendors with large market shares in both ambulatory and inpatient settings. Vendors described a number of places where SDOH data could be </w:t>
      </w:r>
      <w:r w:rsidRPr="00F3189A" w:rsidR="00A0357A">
        <w:rPr>
          <w:rFonts w:ascii="Times New Roman" w:hAnsi="Times New Roman" w:cs="Times New Roman"/>
          <w:sz w:val="24"/>
          <w:szCs w:val="24"/>
        </w:rPr>
        <w:t xml:space="preserve">documented </w:t>
      </w:r>
      <w:r w:rsidRPr="00F3189A">
        <w:rPr>
          <w:rFonts w:ascii="Times New Roman" w:hAnsi="Times New Roman" w:cs="Times New Roman"/>
          <w:sz w:val="24"/>
          <w:szCs w:val="24"/>
        </w:rPr>
        <w:t xml:space="preserve">or found. These include EHR specific data sets or forms, problem tables, free-text fields located in various places (e.g., social history section, clinical notes and assessments section, details section of structured screening tools), the demographic section of the patient’s health record, and the patient portal. Researchers also found that in a clinical encounter, the person collecting and entering SDOH data into the EHR varies based on the available resources of the </w:t>
      </w:r>
      <w:r w:rsidRPr="00F3189A" w:rsidR="00A0357A">
        <w:rPr>
          <w:rFonts w:ascii="Times New Roman" w:hAnsi="Times New Roman" w:cs="Times New Roman"/>
          <w:sz w:val="24"/>
          <w:szCs w:val="24"/>
        </w:rPr>
        <w:t>clinical setting</w:t>
      </w:r>
      <w:r w:rsidRPr="00F3189A">
        <w:rPr>
          <w:rFonts w:ascii="Times New Roman" w:hAnsi="Times New Roman" w:cs="Times New Roman"/>
          <w:sz w:val="24"/>
          <w:szCs w:val="24"/>
        </w:rPr>
        <w:t xml:space="preserve">, time allocated for the visit, availability of kiosks at check-in, and the sensitivity of the data to be captured. Variation in how SDOH data is collected and captured in a clinical setting makes it difficult to ensure that the information can be exchanged in a standardized way and ultimately used by health care providers. </w:t>
      </w:r>
    </w:p>
    <w:p w:rsidRPr="00F3189A" w:rsidR="00DE3466" w:rsidP="00DE3466" w:rsidRDefault="00DE3466" w14:paraId="6A20E0BA" w14:textId="77777777">
      <w:pPr>
        <w:autoSpaceDE w:val="0"/>
        <w:autoSpaceDN w:val="0"/>
        <w:adjustRightInd w:val="0"/>
        <w:spacing w:after="0" w:line="240" w:lineRule="auto"/>
        <w:rPr>
          <w:rFonts w:ascii="Times New Roman" w:hAnsi="Times New Roman" w:cs="Times New Roman"/>
          <w:sz w:val="24"/>
          <w:szCs w:val="24"/>
        </w:rPr>
      </w:pPr>
    </w:p>
    <w:p w:rsidRPr="00F3189A" w:rsidR="00DE3466" w:rsidP="00DE3466" w:rsidRDefault="00DE3466" w14:paraId="0A5A2ADF" w14:textId="3B2A1897">
      <w:pPr>
        <w:autoSpaceDE w:val="0"/>
        <w:autoSpaceDN w:val="0"/>
        <w:adjustRightInd w:val="0"/>
        <w:spacing w:after="0" w:line="240" w:lineRule="auto"/>
        <w:rPr>
          <w:rFonts w:ascii="Times New Roman" w:hAnsi="Times New Roman" w:cs="Times New Roman"/>
          <w:sz w:val="24"/>
          <w:szCs w:val="24"/>
        </w:rPr>
      </w:pPr>
      <w:r w:rsidRPr="00F3189A">
        <w:rPr>
          <w:rFonts w:ascii="Times New Roman" w:hAnsi="Times New Roman" w:cs="Times New Roman"/>
          <w:sz w:val="24"/>
          <w:szCs w:val="24"/>
        </w:rPr>
        <w:t>Additionally, patients might not be willing to share SDOH data with their health care providers</w:t>
      </w:r>
      <w:r w:rsidRPr="00F3189A" w:rsidR="0007781F">
        <w:rPr>
          <w:rFonts w:ascii="Times New Roman" w:hAnsi="Times New Roman" w:cs="Times New Roman"/>
          <w:sz w:val="24"/>
          <w:szCs w:val="24"/>
        </w:rPr>
        <w:t>.</w:t>
      </w:r>
      <w:r w:rsidRPr="00F3189A" w:rsidR="0007781F">
        <w:rPr>
          <w:rStyle w:val="FootnoteReference"/>
          <w:rFonts w:ascii="Times New Roman" w:hAnsi="Times New Roman" w:cs="Times New Roman"/>
          <w:sz w:val="24"/>
          <w:szCs w:val="24"/>
        </w:rPr>
        <w:footnoteReference w:id="6"/>
      </w:r>
      <w:r w:rsidRPr="00F3189A" w:rsidR="0007781F">
        <w:rPr>
          <w:rFonts w:ascii="Times New Roman" w:hAnsi="Times New Roman" w:cs="Times New Roman"/>
          <w:sz w:val="24"/>
          <w:szCs w:val="24"/>
        </w:rPr>
        <w:t xml:space="preserve"> </w:t>
      </w:r>
      <w:r w:rsidRPr="00F3189A">
        <w:rPr>
          <w:rFonts w:ascii="Times New Roman" w:hAnsi="Times New Roman" w:cs="Times New Roman"/>
          <w:sz w:val="24"/>
          <w:szCs w:val="24"/>
        </w:rPr>
        <w:t xml:space="preserve">There are a number of sensitivities surrounding SDOH data. Patients may not feel comfortable sharing sensitive matters such as intimate partner violence, homelessness, or child abuse directly </w:t>
      </w:r>
      <w:r w:rsidRPr="00F3189A" w:rsidR="00F5189C">
        <w:rPr>
          <w:rFonts w:ascii="Times New Roman" w:hAnsi="Times New Roman" w:cs="Times New Roman"/>
          <w:sz w:val="24"/>
          <w:szCs w:val="24"/>
        </w:rPr>
        <w:t>with</w:t>
      </w:r>
      <w:r w:rsidRPr="00F3189A">
        <w:rPr>
          <w:rFonts w:ascii="Times New Roman" w:hAnsi="Times New Roman" w:cs="Times New Roman"/>
          <w:sz w:val="24"/>
          <w:szCs w:val="24"/>
        </w:rPr>
        <w:t xml:space="preserve"> their health care provider. There are also a number of concerns regarding what the information will be used for and whether the information could lead to future discrimination. Additionally, patients may feel comfortable sharing information with a provider that they have established a relationship with but would be concerned about the information being shared with a different provider. </w:t>
      </w:r>
    </w:p>
    <w:p w:rsidRPr="00F3189A" w:rsidR="00DE3466" w:rsidP="00DE3466" w:rsidRDefault="00DE3466" w14:paraId="402B64AF" w14:textId="77777777">
      <w:pPr>
        <w:autoSpaceDE w:val="0"/>
        <w:autoSpaceDN w:val="0"/>
        <w:adjustRightInd w:val="0"/>
        <w:spacing w:after="0" w:line="240" w:lineRule="auto"/>
        <w:rPr>
          <w:rFonts w:ascii="Times New Roman" w:hAnsi="Times New Roman" w:cs="Times New Roman"/>
          <w:sz w:val="24"/>
          <w:szCs w:val="24"/>
        </w:rPr>
      </w:pPr>
    </w:p>
    <w:p w:rsidRPr="00F3189A" w:rsidR="00DE3466" w:rsidP="00DE3466" w:rsidRDefault="00DE3466" w14:paraId="5BC265D7" w14:textId="51639C2F">
      <w:pPr>
        <w:autoSpaceDE w:val="0"/>
        <w:autoSpaceDN w:val="0"/>
        <w:adjustRightInd w:val="0"/>
        <w:spacing w:after="0" w:line="240" w:lineRule="auto"/>
        <w:rPr>
          <w:rFonts w:ascii="Times New Roman" w:hAnsi="Times New Roman" w:cs="Times New Roman"/>
          <w:sz w:val="24"/>
          <w:szCs w:val="24"/>
        </w:rPr>
      </w:pPr>
      <w:r w:rsidRPr="00F3189A">
        <w:rPr>
          <w:rFonts w:ascii="Times New Roman" w:hAnsi="Times New Roman" w:cs="Times New Roman"/>
          <w:sz w:val="24"/>
          <w:szCs w:val="24"/>
        </w:rPr>
        <w:t>The federal government has made significant investments to accelerate the development and use of health IT to exchange clinical data. As a result, today, nearly all hospitals and 8 in 10 office-based physicians have a certified EHR. Adoption and use of health IT has led to an increase in health information exchange. However, with the emergence of new technologies and growing number of entities such as social service providers that could benefit from use of these technologies, it is critical to measure how to advance the access and use of SDOH data</w:t>
      </w:r>
      <w:r w:rsidRPr="00F3189A" w:rsidR="00274D7C">
        <w:rPr>
          <w:rFonts w:ascii="Times New Roman" w:hAnsi="Times New Roman" w:cs="Times New Roman"/>
          <w:sz w:val="24"/>
          <w:szCs w:val="24"/>
        </w:rPr>
        <w:t xml:space="preserve"> and to take into account both providers’ and patients’ perspectives.</w:t>
      </w:r>
    </w:p>
    <w:p w:rsidRPr="00F3189A" w:rsidR="00DE3466" w:rsidP="00DE3466" w:rsidRDefault="00DE3466" w14:paraId="4BC9C1E5" w14:textId="77777777">
      <w:pPr>
        <w:autoSpaceDE w:val="0"/>
        <w:autoSpaceDN w:val="0"/>
        <w:adjustRightInd w:val="0"/>
        <w:spacing w:after="0" w:line="240" w:lineRule="auto"/>
        <w:rPr>
          <w:rFonts w:ascii="Times New Roman" w:hAnsi="Times New Roman" w:cs="Times New Roman"/>
          <w:sz w:val="24"/>
          <w:szCs w:val="24"/>
          <w:lang w:val="en"/>
        </w:rPr>
      </w:pPr>
      <w:r w:rsidRPr="00F3189A">
        <w:rPr>
          <w:rFonts w:ascii="Times New Roman" w:hAnsi="Times New Roman" w:cs="Times New Roman"/>
          <w:sz w:val="24"/>
          <w:szCs w:val="24"/>
          <w:lang w:val="en"/>
        </w:rPr>
        <w:t xml:space="preserve"> </w:t>
      </w:r>
    </w:p>
    <w:p w:rsidRPr="00F0557C" w:rsidR="00D40D70" w:rsidP="00F0557C" w:rsidRDefault="00F0557C" w14:paraId="468F2AC9" w14:textId="32EAD869">
      <w:pPr>
        <w:pStyle w:val="Default"/>
        <w:numPr>
          <w:ilvl w:val="0"/>
          <w:numId w:val="7"/>
        </w:numPr>
        <w:rPr>
          <w:rFonts w:ascii="Times New Roman" w:hAnsi="Times New Roman" w:cs="Times New Roman"/>
          <w:u w:val="single"/>
        </w:rPr>
      </w:pPr>
      <w:r w:rsidRPr="00F0557C">
        <w:rPr>
          <w:rFonts w:ascii="Times New Roman" w:hAnsi="Times New Roman" w:cs="Times New Roman"/>
          <w:b/>
          <w:bCs/>
          <w:u w:val="single"/>
        </w:rPr>
        <w:t>Purpose and Use of Information Collection</w:t>
      </w:r>
    </w:p>
    <w:p w:rsidRPr="00F3189A" w:rsidR="00DE3466" w:rsidP="00DE3466" w:rsidRDefault="00DE3466" w14:paraId="4E0369BB" w14:textId="1C9F8739">
      <w:pPr>
        <w:autoSpaceDE w:val="0"/>
        <w:autoSpaceDN w:val="0"/>
        <w:adjustRightInd w:val="0"/>
        <w:spacing w:after="0" w:line="240" w:lineRule="auto"/>
        <w:rPr>
          <w:rFonts w:ascii="Times New Roman" w:hAnsi="Times New Roman" w:cs="Times New Roman"/>
          <w:sz w:val="24"/>
          <w:szCs w:val="24"/>
        </w:rPr>
      </w:pPr>
      <w:r w:rsidRPr="00F3189A">
        <w:rPr>
          <w:rFonts w:ascii="Times New Roman" w:hAnsi="Times New Roman" w:cs="Times New Roman"/>
          <w:sz w:val="24"/>
          <w:szCs w:val="24"/>
        </w:rPr>
        <w:t xml:space="preserve">The purpose of the </w:t>
      </w:r>
      <w:r w:rsidRPr="00F3189A" w:rsidR="00C91C35">
        <w:rPr>
          <w:rFonts w:ascii="Times New Roman" w:hAnsi="Times New Roman" w:cs="Times New Roman"/>
          <w:sz w:val="24"/>
          <w:szCs w:val="24"/>
        </w:rPr>
        <w:t>information collection</w:t>
      </w:r>
      <w:r w:rsidRPr="00F3189A">
        <w:rPr>
          <w:rFonts w:ascii="Times New Roman" w:hAnsi="Times New Roman" w:cs="Times New Roman"/>
          <w:sz w:val="24"/>
          <w:szCs w:val="24"/>
        </w:rPr>
        <w:t xml:space="preserve"> is for ONC is to obtain </w:t>
      </w:r>
      <w:r w:rsidRPr="00F3189A" w:rsidR="00A0357A">
        <w:rPr>
          <w:rFonts w:ascii="Times New Roman" w:hAnsi="Times New Roman" w:cs="Times New Roman"/>
          <w:sz w:val="24"/>
          <w:szCs w:val="24"/>
        </w:rPr>
        <w:t xml:space="preserve">data </w:t>
      </w:r>
      <w:r w:rsidRPr="00F3189A">
        <w:rPr>
          <w:rFonts w:ascii="Times New Roman" w:hAnsi="Times New Roman" w:cs="Times New Roman"/>
          <w:sz w:val="24"/>
          <w:szCs w:val="24"/>
        </w:rPr>
        <w:t>from health care providers and patients</w:t>
      </w:r>
      <w:r w:rsidRPr="00F3189A" w:rsidR="00F5189C">
        <w:rPr>
          <w:rFonts w:ascii="Times New Roman" w:hAnsi="Times New Roman" w:cs="Times New Roman"/>
          <w:sz w:val="24"/>
          <w:szCs w:val="24"/>
        </w:rPr>
        <w:t xml:space="preserve"> </w:t>
      </w:r>
      <w:r w:rsidRPr="00F3189A">
        <w:rPr>
          <w:rFonts w:ascii="Times New Roman" w:hAnsi="Times New Roman" w:cs="Times New Roman"/>
          <w:sz w:val="24"/>
          <w:szCs w:val="24"/>
        </w:rPr>
        <w:t>through qualitative research (focus groups) and analysis to understand:</w:t>
      </w:r>
    </w:p>
    <w:p w:rsidRPr="00F3189A" w:rsidR="00DE3466" w:rsidP="00DE3466" w:rsidRDefault="00DE3466" w14:paraId="73FC158E" w14:textId="4B6F6D3D">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F3189A">
        <w:rPr>
          <w:rFonts w:ascii="Times New Roman" w:hAnsi="Times New Roman" w:cs="Times New Roman"/>
          <w:sz w:val="24"/>
          <w:szCs w:val="24"/>
        </w:rPr>
        <w:t>To what extent do health care providers document and use SDOH information to treat a patient or offer referral services</w:t>
      </w:r>
      <w:r w:rsidRPr="00F3189A" w:rsidR="00F5189C">
        <w:rPr>
          <w:rFonts w:ascii="Times New Roman" w:hAnsi="Times New Roman" w:cs="Times New Roman"/>
          <w:sz w:val="24"/>
          <w:szCs w:val="24"/>
        </w:rPr>
        <w:t>;</w:t>
      </w:r>
    </w:p>
    <w:p w:rsidRPr="00F3189A" w:rsidR="00DE3466" w:rsidP="00DE3466" w:rsidRDefault="00DE3466" w14:paraId="28D3D4A2" w14:textId="0CBE9342">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F3189A">
        <w:rPr>
          <w:rFonts w:ascii="Times New Roman" w:hAnsi="Times New Roman" w:cs="Times New Roman"/>
          <w:sz w:val="24"/>
          <w:szCs w:val="24"/>
        </w:rPr>
        <w:t>How do health care providers leverage open text fields, specifically clinical notes and assessments section</w:t>
      </w:r>
      <w:r w:rsidRPr="00F3189A" w:rsidR="00F5189C">
        <w:rPr>
          <w:rFonts w:ascii="Times New Roman" w:hAnsi="Times New Roman" w:cs="Times New Roman"/>
          <w:sz w:val="24"/>
          <w:szCs w:val="24"/>
        </w:rPr>
        <w:t>s</w:t>
      </w:r>
      <w:r w:rsidRPr="00F3189A">
        <w:rPr>
          <w:rFonts w:ascii="Times New Roman" w:hAnsi="Times New Roman" w:cs="Times New Roman"/>
          <w:sz w:val="24"/>
          <w:szCs w:val="24"/>
        </w:rPr>
        <w:t xml:space="preserve"> of an </w:t>
      </w:r>
      <w:r w:rsidRPr="00F3189A" w:rsidR="00EE3225">
        <w:rPr>
          <w:rFonts w:ascii="Times New Roman" w:hAnsi="Times New Roman" w:cs="Times New Roman"/>
          <w:sz w:val="24"/>
          <w:szCs w:val="24"/>
        </w:rPr>
        <w:t>EHR,</w:t>
      </w:r>
      <w:r w:rsidRPr="00F3189A">
        <w:rPr>
          <w:rFonts w:ascii="Times New Roman" w:hAnsi="Times New Roman" w:cs="Times New Roman"/>
          <w:sz w:val="24"/>
          <w:szCs w:val="24"/>
        </w:rPr>
        <w:t xml:space="preserve"> to document SDOH data;</w:t>
      </w:r>
    </w:p>
    <w:p w:rsidRPr="00F3189A" w:rsidR="00DE3466" w:rsidP="00DE3466" w:rsidRDefault="00DE3466" w14:paraId="619121FE" w14:textId="5F281305">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F3189A">
        <w:rPr>
          <w:rFonts w:ascii="Times New Roman" w:hAnsi="Times New Roman" w:cs="Times New Roman"/>
          <w:sz w:val="24"/>
          <w:szCs w:val="24"/>
        </w:rPr>
        <w:lastRenderedPageBreak/>
        <w:t>Challenges clinicians experience when using SDOH data</w:t>
      </w:r>
      <w:r w:rsidRPr="00F3189A" w:rsidR="00EE3225">
        <w:rPr>
          <w:rFonts w:ascii="Times New Roman" w:hAnsi="Times New Roman" w:cs="Times New Roman"/>
          <w:sz w:val="24"/>
          <w:szCs w:val="24"/>
        </w:rPr>
        <w:t>,</w:t>
      </w:r>
      <w:r w:rsidRPr="00F3189A">
        <w:rPr>
          <w:rFonts w:ascii="Times New Roman" w:hAnsi="Times New Roman" w:cs="Times New Roman"/>
          <w:sz w:val="24"/>
          <w:szCs w:val="24"/>
        </w:rPr>
        <w:t xml:space="preserve"> including data captured in open text fields; </w:t>
      </w:r>
    </w:p>
    <w:p w:rsidRPr="00F3189A" w:rsidR="00DE3466" w:rsidP="00DE3466" w:rsidRDefault="00DE3466" w14:paraId="17D1F0A2" w14:textId="09B357BC">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F3189A">
        <w:rPr>
          <w:rFonts w:ascii="Times New Roman" w:hAnsi="Times New Roman" w:cs="Times New Roman"/>
          <w:sz w:val="24"/>
          <w:szCs w:val="24"/>
        </w:rPr>
        <w:t>The types of SDOH data that individuals</w:t>
      </w:r>
      <w:r w:rsidRPr="00F3189A" w:rsidR="00EE3225">
        <w:rPr>
          <w:rFonts w:ascii="Times New Roman" w:hAnsi="Times New Roman" w:cs="Times New Roman"/>
          <w:sz w:val="24"/>
          <w:szCs w:val="24"/>
        </w:rPr>
        <w:t xml:space="preserve"> (both providers and patients)</w:t>
      </w:r>
      <w:r w:rsidRPr="00F3189A">
        <w:rPr>
          <w:rFonts w:ascii="Times New Roman" w:hAnsi="Times New Roman" w:cs="Times New Roman"/>
          <w:sz w:val="24"/>
          <w:szCs w:val="24"/>
        </w:rPr>
        <w:t xml:space="preserve"> want collect</w:t>
      </w:r>
      <w:r w:rsidRPr="00F3189A" w:rsidR="00EE3225">
        <w:rPr>
          <w:rFonts w:ascii="Times New Roman" w:hAnsi="Times New Roman" w:cs="Times New Roman"/>
          <w:sz w:val="24"/>
          <w:szCs w:val="24"/>
        </w:rPr>
        <w:t>ed,</w:t>
      </w:r>
      <w:r w:rsidRPr="00F3189A">
        <w:rPr>
          <w:rFonts w:ascii="Times New Roman" w:hAnsi="Times New Roman" w:cs="Times New Roman"/>
          <w:sz w:val="24"/>
          <w:szCs w:val="24"/>
        </w:rPr>
        <w:t xml:space="preserve"> share</w:t>
      </w:r>
      <w:r w:rsidRPr="00F3189A" w:rsidR="00EE3225">
        <w:rPr>
          <w:rFonts w:ascii="Times New Roman" w:hAnsi="Times New Roman" w:cs="Times New Roman"/>
          <w:sz w:val="24"/>
          <w:szCs w:val="24"/>
        </w:rPr>
        <w:t>d</w:t>
      </w:r>
      <w:r w:rsidRPr="00F3189A">
        <w:rPr>
          <w:rFonts w:ascii="Times New Roman" w:hAnsi="Times New Roman" w:cs="Times New Roman"/>
          <w:sz w:val="24"/>
          <w:szCs w:val="24"/>
        </w:rPr>
        <w:t xml:space="preserve"> and use</w:t>
      </w:r>
      <w:r w:rsidRPr="00F3189A" w:rsidR="00EE3225">
        <w:rPr>
          <w:rFonts w:ascii="Times New Roman" w:hAnsi="Times New Roman" w:cs="Times New Roman"/>
          <w:sz w:val="24"/>
          <w:szCs w:val="24"/>
        </w:rPr>
        <w:t>d</w:t>
      </w:r>
      <w:r w:rsidRPr="00F3189A">
        <w:rPr>
          <w:rFonts w:ascii="Times New Roman" w:hAnsi="Times New Roman" w:cs="Times New Roman"/>
          <w:sz w:val="24"/>
          <w:szCs w:val="24"/>
        </w:rPr>
        <w:t>;</w:t>
      </w:r>
    </w:p>
    <w:p w:rsidRPr="00F3189A" w:rsidR="00DE3466" w:rsidP="00DE3466" w:rsidRDefault="00DE3466" w14:paraId="6C0924C8" w14:textId="62CC24C0">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F3189A">
        <w:rPr>
          <w:rFonts w:ascii="Times New Roman" w:hAnsi="Times New Roman" w:cs="Times New Roman"/>
          <w:sz w:val="24"/>
          <w:szCs w:val="24"/>
        </w:rPr>
        <w:t xml:space="preserve">Methods individuals </w:t>
      </w:r>
      <w:r w:rsidRPr="00F3189A" w:rsidR="00EE3225">
        <w:rPr>
          <w:rFonts w:ascii="Times New Roman" w:hAnsi="Times New Roman" w:cs="Times New Roman"/>
          <w:sz w:val="24"/>
          <w:szCs w:val="24"/>
        </w:rPr>
        <w:t xml:space="preserve">(both providers and patients) </w:t>
      </w:r>
      <w:r w:rsidRPr="00F3189A">
        <w:rPr>
          <w:rFonts w:ascii="Times New Roman" w:hAnsi="Times New Roman" w:cs="Times New Roman"/>
          <w:sz w:val="24"/>
          <w:szCs w:val="24"/>
        </w:rPr>
        <w:t>currently use or would like to use in the future to collect, share and use SDOH data, including smartphone apps or improvements to patient portals; and</w:t>
      </w:r>
    </w:p>
    <w:p w:rsidRPr="00F3189A" w:rsidR="00DE3466" w:rsidP="00DE3466" w:rsidRDefault="00DE3466" w14:paraId="35D4F3C2" w14:textId="4A2EE791">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F3189A">
        <w:rPr>
          <w:rFonts w:ascii="Times New Roman" w:hAnsi="Times New Roman" w:cs="Times New Roman"/>
          <w:sz w:val="24"/>
          <w:szCs w:val="24"/>
        </w:rPr>
        <w:t xml:space="preserve">Barriers individuals </w:t>
      </w:r>
      <w:r w:rsidRPr="00F3189A" w:rsidR="00EE3225">
        <w:rPr>
          <w:rFonts w:ascii="Times New Roman" w:hAnsi="Times New Roman" w:cs="Times New Roman"/>
          <w:sz w:val="24"/>
          <w:szCs w:val="24"/>
        </w:rPr>
        <w:t xml:space="preserve">(both providers and patients) </w:t>
      </w:r>
      <w:r w:rsidRPr="00F3189A">
        <w:rPr>
          <w:rFonts w:ascii="Times New Roman" w:hAnsi="Times New Roman" w:cs="Times New Roman"/>
          <w:sz w:val="24"/>
          <w:szCs w:val="24"/>
        </w:rPr>
        <w:t>perceive with the exchange of SDOH data, including privacy and security issues as well as secondary uses of the data.</w:t>
      </w:r>
    </w:p>
    <w:p w:rsidRPr="00F3189A" w:rsidR="00EE3225" w:rsidP="00EE3225" w:rsidRDefault="00EE3225" w14:paraId="04767C72" w14:textId="1C41F5E2">
      <w:pPr>
        <w:autoSpaceDE w:val="0"/>
        <w:autoSpaceDN w:val="0"/>
        <w:adjustRightInd w:val="0"/>
        <w:spacing w:after="0" w:line="240" w:lineRule="auto"/>
        <w:rPr>
          <w:rFonts w:ascii="Times New Roman" w:hAnsi="Times New Roman" w:cs="Times New Roman"/>
          <w:sz w:val="24"/>
          <w:szCs w:val="24"/>
        </w:rPr>
      </w:pPr>
    </w:p>
    <w:p w:rsidRPr="00F3189A" w:rsidR="00EE3225" w:rsidP="00EE3225" w:rsidRDefault="00EE3225" w14:paraId="1071F29F" w14:textId="77777777">
      <w:pPr>
        <w:autoSpaceDE w:val="0"/>
        <w:autoSpaceDN w:val="0"/>
        <w:adjustRightInd w:val="0"/>
        <w:spacing w:after="0" w:line="240" w:lineRule="auto"/>
        <w:rPr>
          <w:rFonts w:ascii="Times New Roman" w:hAnsi="Times New Roman" w:cs="Times New Roman"/>
          <w:sz w:val="24"/>
          <w:szCs w:val="24"/>
        </w:rPr>
      </w:pPr>
      <w:r w:rsidRPr="00F3189A">
        <w:rPr>
          <w:rFonts w:ascii="Times New Roman" w:hAnsi="Times New Roman" w:cs="Times New Roman"/>
          <w:sz w:val="24"/>
          <w:szCs w:val="24"/>
        </w:rPr>
        <w:t>Through qualitative data collection, this project will collect information from health care providers (including behavioral health providers) and patients/caregivers to inform ONC’s work on SDOH data collection and exchange. Specifically, it will inform:</w:t>
      </w:r>
    </w:p>
    <w:p w:rsidRPr="00F3189A" w:rsidR="00EE3225" w:rsidP="00EE3225" w:rsidRDefault="00EE3225" w14:paraId="7E7588D6" w14:textId="2F135CF7">
      <w:pPr>
        <w:pStyle w:val="ListParagraph"/>
        <w:numPr>
          <w:ilvl w:val="0"/>
          <w:numId w:val="8"/>
        </w:numPr>
        <w:autoSpaceDE w:val="0"/>
        <w:autoSpaceDN w:val="0"/>
        <w:adjustRightInd w:val="0"/>
        <w:spacing w:after="0" w:line="240" w:lineRule="auto"/>
        <w:rPr>
          <w:rFonts w:ascii="Times New Roman" w:hAnsi="Times New Roman" w:cs="Times New Roman"/>
          <w:sz w:val="24"/>
          <w:szCs w:val="24"/>
          <w:shd w:val="clear" w:color="auto" w:fill="FFFFFF"/>
        </w:rPr>
      </w:pPr>
      <w:r w:rsidRPr="00F3189A">
        <w:rPr>
          <w:rFonts w:ascii="Times New Roman" w:hAnsi="Times New Roman" w:cs="Times New Roman"/>
          <w:sz w:val="24"/>
          <w:szCs w:val="24"/>
        </w:rPr>
        <w:t xml:space="preserve">The creation of tools and resources, such as updates to the Health IT Playbook, to assist health care providers with documenting and acting upon SDOH data; </w:t>
      </w:r>
      <w:r w:rsidRPr="00F3189A" w:rsidR="00A0357A">
        <w:rPr>
          <w:rFonts w:ascii="Times New Roman" w:hAnsi="Times New Roman" w:cs="Times New Roman"/>
          <w:sz w:val="24"/>
          <w:szCs w:val="24"/>
        </w:rPr>
        <w:t>and</w:t>
      </w:r>
    </w:p>
    <w:p w:rsidRPr="00F3189A" w:rsidR="00EE3225" w:rsidP="00EE3225" w:rsidRDefault="15E007C3" w14:paraId="32CBCA67" w14:textId="7C849C83">
      <w:pPr>
        <w:pStyle w:val="ListParagraph"/>
        <w:numPr>
          <w:ilvl w:val="0"/>
          <w:numId w:val="8"/>
        </w:numPr>
        <w:autoSpaceDE w:val="0"/>
        <w:autoSpaceDN w:val="0"/>
        <w:adjustRightInd w:val="0"/>
        <w:spacing w:after="0" w:line="240" w:lineRule="auto"/>
        <w:rPr>
          <w:rFonts w:ascii="Times New Roman" w:hAnsi="Times New Roman" w:cs="Times New Roman"/>
          <w:sz w:val="24"/>
          <w:szCs w:val="24"/>
          <w:shd w:val="clear" w:color="auto" w:fill="FFFFFF"/>
        </w:rPr>
      </w:pPr>
      <w:r w:rsidRPr="44CB85AD">
        <w:rPr>
          <w:rFonts w:ascii="Times New Roman" w:hAnsi="Times New Roman" w:cs="Times New Roman"/>
          <w:sz w:val="24"/>
          <w:szCs w:val="24"/>
        </w:rPr>
        <w:t xml:space="preserve">Identifying SDOH data elements that both health care providers and patients agree are important to capture and exchange for future data standardization efforts. </w:t>
      </w:r>
    </w:p>
    <w:p w:rsidRPr="00F3189A" w:rsidR="00EE3225" w:rsidP="3DA9B698" w:rsidRDefault="1B5956FC" w14:paraId="29828D42" w14:textId="75CC4EAC">
      <w:pPr>
        <w:pStyle w:val="CM56"/>
        <w:spacing w:after="267"/>
        <w:ind w:right="632"/>
        <w:rPr>
          <w:rFonts w:ascii="Times New Roman" w:hAnsi="Times New Roman" w:cs="Times New Roman"/>
        </w:rPr>
      </w:pPr>
      <w:r w:rsidRPr="00F3189A">
        <w:rPr>
          <w:rFonts w:ascii="Times New Roman" w:hAnsi="Times New Roman" w:cs="Times New Roman"/>
        </w:rPr>
        <w:t>Ultimately, ONC is seeking to understand how patients and health care providers understand social determinants of health, how these data are currently documented in the electronic health record, and how they are used in care.</w:t>
      </w:r>
    </w:p>
    <w:p w:rsidRPr="00F3189A" w:rsidR="00D5691C" w:rsidP="00D5691C" w:rsidRDefault="00D5691C" w14:paraId="6B957577" w14:textId="77777777">
      <w:pPr>
        <w:pStyle w:val="CM56"/>
        <w:spacing w:after="267"/>
        <w:ind w:right="305"/>
        <w:contextualSpacing/>
        <w:rPr>
          <w:rFonts w:ascii="Times New Roman" w:hAnsi="Times New Roman" w:cs="Times New Roman"/>
        </w:rPr>
      </w:pPr>
    </w:p>
    <w:p w:rsidRPr="00F0557C" w:rsidR="00CA74CD" w:rsidP="00D5691C" w:rsidRDefault="00CA74CD" w14:paraId="5FC8535C" w14:textId="68BBB929">
      <w:pPr>
        <w:pStyle w:val="CM56"/>
        <w:spacing w:after="267"/>
        <w:ind w:right="305"/>
        <w:contextualSpacing/>
        <w:rPr>
          <w:rFonts w:ascii="Times New Roman" w:hAnsi="Times New Roman" w:cs="Times New Roman"/>
          <w:u w:val="single"/>
        </w:rPr>
      </w:pPr>
      <w:r w:rsidRPr="00F3189A">
        <w:rPr>
          <w:rFonts w:ascii="Times New Roman" w:hAnsi="Times New Roman" w:cs="Times New Roman"/>
          <w:b/>
          <w:bCs/>
        </w:rPr>
        <w:t xml:space="preserve">3. </w:t>
      </w:r>
      <w:r w:rsidRPr="00F0557C" w:rsidR="00F0557C">
        <w:rPr>
          <w:rFonts w:ascii="Times New Roman" w:hAnsi="Times New Roman" w:cs="Times New Roman"/>
          <w:b/>
          <w:bCs/>
          <w:u w:val="single"/>
        </w:rPr>
        <w:t>Use of Improved Information Technology and Burden Reduction</w:t>
      </w:r>
    </w:p>
    <w:p w:rsidRPr="00F3189A" w:rsidR="00D5691C" w:rsidP="6E357958" w:rsidRDefault="7E286A53" w14:paraId="4E5383E3" w14:textId="6822E1D6">
      <w:pPr>
        <w:pStyle w:val="CM56"/>
        <w:spacing w:after="267"/>
        <w:contextualSpacing/>
        <w:rPr>
          <w:rStyle w:val="CommentReference"/>
          <w:rFonts w:ascii="Times New Roman" w:hAnsi="Times New Roman" w:cs="Times New Roman"/>
          <w:sz w:val="24"/>
          <w:szCs w:val="24"/>
        </w:rPr>
      </w:pPr>
      <w:r w:rsidRPr="6E357958">
        <w:rPr>
          <w:rStyle w:val="CommentReference"/>
          <w:rFonts w:ascii="Times New Roman" w:hAnsi="Times New Roman" w:cs="Times New Roman"/>
          <w:sz w:val="24"/>
          <w:szCs w:val="24"/>
        </w:rPr>
        <w:t>ONC has contracted</w:t>
      </w:r>
      <w:r w:rsidRPr="6E357958" w:rsidR="5EADE320">
        <w:rPr>
          <w:rStyle w:val="CommentReference"/>
          <w:rFonts w:ascii="Times New Roman" w:hAnsi="Times New Roman" w:cs="Times New Roman"/>
          <w:sz w:val="24"/>
          <w:szCs w:val="24"/>
        </w:rPr>
        <w:t xml:space="preserve"> </w:t>
      </w:r>
      <w:r w:rsidRPr="6E357958" w:rsidR="6A383349">
        <w:rPr>
          <w:rStyle w:val="CommentReference"/>
          <w:rFonts w:ascii="Times New Roman" w:hAnsi="Times New Roman" w:cs="Times New Roman"/>
          <w:sz w:val="24"/>
          <w:szCs w:val="24"/>
        </w:rPr>
        <w:t xml:space="preserve">with </w:t>
      </w:r>
      <w:r w:rsidRPr="6E357958" w:rsidR="5EADE320">
        <w:rPr>
          <w:rStyle w:val="CommentReference"/>
          <w:rFonts w:ascii="Times New Roman" w:hAnsi="Times New Roman" w:cs="Times New Roman"/>
          <w:sz w:val="24"/>
          <w:szCs w:val="24"/>
        </w:rPr>
        <w:t xml:space="preserve">OpenNotes/Beth Israel Lahey Health (BILH) </w:t>
      </w:r>
      <w:r w:rsidRPr="6E357958" w:rsidR="26EDB434">
        <w:rPr>
          <w:rStyle w:val="CommentReference"/>
          <w:rFonts w:ascii="Times New Roman" w:hAnsi="Times New Roman" w:cs="Times New Roman"/>
          <w:sz w:val="24"/>
          <w:szCs w:val="24"/>
        </w:rPr>
        <w:t>on</w:t>
      </w:r>
      <w:r w:rsidRPr="6E357958" w:rsidR="5EADE320">
        <w:rPr>
          <w:rStyle w:val="CommentReference"/>
          <w:rFonts w:ascii="Times New Roman" w:hAnsi="Times New Roman" w:cs="Times New Roman"/>
          <w:sz w:val="24"/>
          <w:szCs w:val="24"/>
        </w:rPr>
        <w:t xml:space="preserve"> this </w:t>
      </w:r>
      <w:r w:rsidRPr="6E357958" w:rsidR="326DBEAA">
        <w:rPr>
          <w:rStyle w:val="CommentReference"/>
          <w:rFonts w:ascii="Times New Roman" w:hAnsi="Times New Roman" w:cs="Times New Roman"/>
          <w:sz w:val="24"/>
          <w:szCs w:val="24"/>
        </w:rPr>
        <w:t>study</w:t>
      </w:r>
      <w:r w:rsidRPr="6E357958" w:rsidR="6D0F0E2C">
        <w:rPr>
          <w:rStyle w:val="CommentReference"/>
          <w:rFonts w:ascii="Times New Roman" w:hAnsi="Times New Roman" w:cs="Times New Roman"/>
          <w:sz w:val="24"/>
          <w:szCs w:val="24"/>
        </w:rPr>
        <w:t>.</w:t>
      </w:r>
      <w:r w:rsidRPr="6E357958" w:rsidR="5EADE320">
        <w:rPr>
          <w:rStyle w:val="CommentReference"/>
          <w:rFonts w:ascii="Times New Roman" w:hAnsi="Times New Roman" w:cs="Times New Roman"/>
          <w:sz w:val="24"/>
          <w:szCs w:val="24"/>
        </w:rPr>
        <w:t xml:space="preserve"> </w:t>
      </w:r>
      <w:r w:rsidRPr="6E357958" w:rsidR="56477AB6">
        <w:rPr>
          <w:rStyle w:val="CommentReference"/>
          <w:rFonts w:ascii="Times New Roman" w:hAnsi="Times New Roman" w:cs="Times New Roman"/>
          <w:sz w:val="24"/>
          <w:szCs w:val="24"/>
        </w:rPr>
        <w:t>OpenNotes/BILH wil</w:t>
      </w:r>
      <w:r w:rsidRPr="6E357958" w:rsidR="65BCA401">
        <w:rPr>
          <w:rStyle w:val="CommentReference"/>
          <w:rFonts w:ascii="Times New Roman" w:hAnsi="Times New Roman" w:cs="Times New Roman"/>
          <w:sz w:val="24"/>
          <w:szCs w:val="24"/>
        </w:rPr>
        <w:t>l</w:t>
      </w:r>
      <w:r w:rsidRPr="6E357958" w:rsidR="51581140">
        <w:rPr>
          <w:rStyle w:val="CommentReference"/>
          <w:rFonts w:ascii="Times New Roman" w:hAnsi="Times New Roman" w:cs="Times New Roman"/>
          <w:sz w:val="24"/>
          <w:szCs w:val="24"/>
        </w:rPr>
        <w:t xml:space="preserve"> use a subcontractor to conduct the data </w:t>
      </w:r>
      <w:r w:rsidRPr="6E357958" w:rsidR="28BE015D">
        <w:rPr>
          <w:rStyle w:val="CommentReference"/>
          <w:rFonts w:ascii="Times New Roman" w:hAnsi="Times New Roman" w:cs="Times New Roman"/>
          <w:sz w:val="24"/>
          <w:szCs w:val="24"/>
        </w:rPr>
        <w:t>collection</w:t>
      </w:r>
      <w:r w:rsidRPr="6E357958" w:rsidR="457DDF44">
        <w:rPr>
          <w:rStyle w:val="CommentReference"/>
          <w:rFonts w:ascii="Times New Roman" w:hAnsi="Times New Roman" w:cs="Times New Roman"/>
          <w:sz w:val="24"/>
          <w:szCs w:val="24"/>
        </w:rPr>
        <w:t xml:space="preserve"> associated with this study. OpenNotes/BILH’s subcontractor, MedPanel, will be responsible for </w:t>
      </w:r>
      <w:r w:rsidRPr="6E357958" w:rsidR="2B36E841">
        <w:rPr>
          <w:rStyle w:val="CommentReference"/>
          <w:rFonts w:ascii="Times New Roman" w:hAnsi="Times New Roman" w:cs="Times New Roman"/>
          <w:sz w:val="24"/>
          <w:szCs w:val="24"/>
        </w:rPr>
        <w:t xml:space="preserve">participant recruitment, focus group facilitation, </w:t>
      </w:r>
      <w:r w:rsidRPr="6E357958" w:rsidR="0B087100">
        <w:rPr>
          <w:rStyle w:val="CommentReference"/>
          <w:rFonts w:ascii="Times New Roman" w:hAnsi="Times New Roman" w:cs="Times New Roman"/>
          <w:sz w:val="24"/>
          <w:szCs w:val="24"/>
        </w:rPr>
        <w:t xml:space="preserve">and disseminating data </w:t>
      </w:r>
      <w:r w:rsidRPr="6E357958" w:rsidR="54073E21">
        <w:rPr>
          <w:rStyle w:val="CommentReference"/>
          <w:rFonts w:ascii="Times New Roman" w:hAnsi="Times New Roman" w:cs="Times New Roman"/>
          <w:sz w:val="24"/>
          <w:szCs w:val="24"/>
        </w:rPr>
        <w:t>to O</w:t>
      </w:r>
      <w:r w:rsidRPr="6E357958" w:rsidR="3AF6C8E9">
        <w:rPr>
          <w:rStyle w:val="CommentReference"/>
          <w:rFonts w:ascii="Times New Roman" w:hAnsi="Times New Roman" w:cs="Times New Roman"/>
          <w:sz w:val="24"/>
          <w:szCs w:val="24"/>
        </w:rPr>
        <w:t>penNotes/BILH.</w:t>
      </w:r>
      <w:r w:rsidRPr="6E357958" w:rsidR="54073E21">
        <w:rPr>
          <w:rStyle w:val="CommentReference"/>
          <w:rFonts w:ascii="Times New Roman" w:hAnsi="Times New Roman" w:cs="Times New Roman"/>
          <w:sz w:val="24"/>
          <w:szCs w:val="24"/>
        </w:rPr>
        <w:t xml:space="preserve"> </w:t>
      </w:r>
    </w:p>
    <w:p w:rsidRPr="00F3189A" w:rsidR="00D5691C" w:rsidP="6E357958" w:rsidRDefault="00D5691C" w14:paraId="36B24C44" w14:textId="3B3F1871">
      <w:pPr>
        <w:pStyle w:val="CM56"/>
        <w:spacing w:after="267"/>
        <w:contextualSpacing/>
        <w:rPr>
          <w:rStyle w:val="CommentReference"/>
          <w:rFonts w:ascii="Times New Roman" w:hAnsi="Times New Roman" w:cs="Times New Roman"/>
          <w:sz w:val="24"/>
          <w:szCs w:val="24"/>
        </w:rPr>
      </w:pPr>
    </w:p>
    <w:p w:rsidRPr="00F3189A" w:rsidR="3DA9B698" w:rsidP="3DA9B698" w:rsidRDefault="77C97717" w14:paraId="7851051B" w14:textId="2F8D1818">
      <w:pPr>
        <w:pStyle w:val="CM56"/>
        <w:spacing w:after="267"/>
        <w:rPr>
          <w:rFonts w:ascii="Times New Roman" w:hAnsi="Times New Roman" w:cs="Times New Roman"/>
        </w:rPr>
      </w:pPr>
      <w:r w:rsidRPr="3ED3F2E5">
        <w:rPr>
          <w:rStyle w:val="CommentReference"/>
          <w:rFonts w:ascii="Times New Roman" w:hAnsi="Times New Roman" w:cs="Times New Roman"/>
          <w:sz w:val="24"/>
          <w:szCs w:val="24"/>
        </w:rPr>
        <w:t>The study will use a</w:t>
      </w:r>
      <w:r w:rsidRPr="3ED3F2E5" w:rsidR="3D60E65E">
        <w:rPr>
          <w:rStyle w:val="CommentReference"/>
          <w:rFonts w:ascii="Times New Roman" w:hAnsi="Times New Roman" w:cs="Times New Roman"/>
          <w:sz w:val="24"/>
          <w:szCs w:val="24"/>
        </w:rPr>
        <w:t xml:space="preserve"> secure online</w:t>
      </w:r>
      <w:r w:rsidRPr="3ED3F2E5">
        <w:rPr>
          <w:rStyle w:val="CommentReference"/>
          <w:rFonts w:ascii="Times New Roman" w:hAnsi="Times New Roman" w:cs="Times New Roman"/>
          <w:sz w:val="24"/>
          <w:szCs w:val="24"/>
        </w:rPr>
        <w:t xml:space="preserve"> prescreening questionnaire for participant recruitment.</w:t>
      </w:r>
      <w:r w:rsidRPr="3ED3F2E5" w:rsidR="3D60E65E">
        <w:rPr>
          <w:rStyle w:val="CommentReference"/>
          <w:rFonts w:ascii="Times New Roman" w:hAnsi="Times New Roman" w:cs="Times New Roman"/>
          <w:sz w:val="24"/>
          <w:szCs w:val="24"/>
        </w:rPr>
        <w:t xml:space="preserve"> The prescreening questionnaire </w:t>
      </w:r>
      <w:r w:rsidRPr="3ED3F2E5" w:rsidR="7C1810C5">
        <w:rPr>
          <w:rStyle w:val="CommentReference"/>
          <w:rFonts w:ascii="Times New Roman" w:hAnsi="Times New Roman" w:cs="Times New Roman"/>
          <w:sz w:val="24"/>
          <w:szCs w:val="24"/>
        </w:rPr>
        <w:t>will be</w:t>
      </w:r>
      <w:r w:rsidRPr="3ED3F2E5" w:rsidR="3D60E65E">
        <w:rPr>
          <w:rStyle w:val="CommentReference"/>
          <w:rFonts w:ascii="Times New Roman" w:hAnsi="Times New Roman" w:cs="Times New Roman"/>
          <w:sz w:val="24"/>
          <w:szCs w:val="24"/>
        </w:rPr>
        <w:t xml:space="preserve"> acces</w:t>
      </w:r>
      <w:r w:rsidRPr="3ED3F2E5" w:rsidR="62927C5A">
        <w:rPr>
          <w:rStyle w:val="CommentReference"/>
          <w:rFonts w:ascii="Times New Roman" w:hAnsi="Times New Roman" w:cs="Times New Roman"/>
          <w:sz w:val="24"/>
          <w:szCs w:val="24"/>
        </w:rPr>
        <w:t>sible</w:t>
      </w:r>
      <w:r w:rsidRPr="3ED3F2E5" w:rsidR="3D60E65E">
        <w:rPr>
          <w:rStyle w:val="CommentReference"/>
          <w:rFonts w:ascii="Times New Roman" w:hAnsi="Times New Roman" w:cs="Times New Roman"/>
          <w:sz w:val="24"/>
          <w:szCs w:val="24"/>
        </w:rPr>
        <w:t xml:space="preserve"> using a link that will be sent out to</w:t>
      </w:r>
      <w:r w:rsidRPr="3ED3F2E5" w:rsidR="2C27A82D">
        <w:rPr>
          <w:rStyle w:val="CommentReference"/>
          <w:rFonts w:ascii="Times New Roman" w:hAnsi="Times New Roman" w:cs="Times New Roman"/>
          <w:sz w:val="24"/>
          <w:szCs w:val="24"/>
        </w:rPr>
        <w:t xml:space="preserve"> participants. </w:t>
      </w:r>
      <w:r w:rsidRPr="3ED3F2E5" w:rsidR="3D60E65E">
        <w:rPr>
          <w:rStyle w:val="CommentReference"/>
          <w:rFonts w:ascii="Times New Roman" w:hAnsi="Times New Roman" w:cs="Times New Roman"/>
          <w:sz w:val="24"/>
          <w:szCs w:val="24"/>
        </w:rPr>
        <w:t xml:space="preserve">  </w:t>
      </w:r>
      <w:r w:rsidRPr="3ED3F2E5" w:rsidR="4C6A87EB">
        <w:rPr>
          <w:rStyle w:val="CommentReference"/>
          <w:rFonts w:ascii="Times New Roman" w:hAnsi="Times New Roman" w:cs="Times New Roman"/>
          <w:sz w:val="24"/>
          <w:szCs w:val="24"/>
        </w:rPr>
        <w:t>Study</w:t>
      </w:r>
      <w:r w:rsidRPr="3ED3F2E5" w:rsidR="78B47E59">
        <w:rPr>
          <w:rStyle w:val="CommentReference"/>
          <w:rFonts w:ascii="Times New Roman" w:hAnsi="Times New Roman" w:cs="Times New Roman"/>
          <w:sz w:val="24"/>
          <w:szCs w:val="24"/>
        </w:rPr>
        <w:t xml:space="preserve"> </w:t>
      </w:r>
      <w:r w:rsidRPr="3ED3F2E5" w:rsidR="3D60E65E">
        <w:rPr>
          <w:rStyle w:val="CommentReference"/>
          <w:rFonts w:ascii="Times New Roman" w:hAnsi="Times New Roman" w:cs="Times New Roman"/>
          <w:sz w:val="24"/>
          <w:szCs w:val="24"/>
        </w:rPr>
        <w:t>participants</w:t>
      </w:r>
      <w:r w:rsidRPr="3ED3F2E5" w:rsidR="70DFC824">
        <w:rPr>
          <w:rStyle w:val="CommentReference"/>
          <w:rFonts w:ascii="Times New Roman" w:hAnsi="Times New Roman" w:cs="Times New Roman"/>
          <w:sz w:val="24"/>
          <w:szCs w:val="24"/>
        </w:rPr>
        <w:t xml:space="preserve"> </w:t>
      </w:r>
      <w:r w:rsidRPr="3ED3F2E5" w:rsidR="15B198FB">
        <w:rPr>
          <w:rStyle w:val="CommentReference"/>
          <w:rFonts w:ascii="Times New Roman" w:hAnsi="Times New Roman" w:cs="Times New Roman"/>
          <w:sz w:val="24"/>
          <w:szCs w:val="24"/>
        </w:rPr>
        <w:t xml:space="preserve">will be </w:t>
      </w:r>
      <w:r w:rsidRPr="3ED3F2E5" w:rsidR="0479D3F5">
        <w:rPr>
          <w:rStyle w:val="CommentReference"/>
          <w:rFonts w:ascii="Times New Roman" w:hAnsi="Times New Roman" w:cs="Times New Roman"/>
          <w:sz w:val="24"/>
          <w:szCs w:val="24"/>
        </w:rPr>
        <w:t>recruited</w:t>
      </w:r>
      <w:r w:rsidRPr="3ED3F2E5" w:rsidR="70DFC824">
        <w:rPr>
          <w:rStyle w:val="CommentReference"/>
          <w:rFonts w:ascii="Times New Roman" w:hAnsi="Times New Roman" w:cs="Times New Roman"/>
          <w:sz w:val="24"/>
          <w:szCs w:val="24"/>
        </w:rPr>
        <w:t xml:space="preserve"> from </w:t>
      </w:r>
      <w:r w:rsidRPr="00012FEE" w:rsidR="70DFC824">
        <w:rPr>
          <w:rStyle w:val="CommentReference"/>
          <w:rFonts w:ascii="Times New Roman" w:hAnsi="Times New Roman" w:cs="Times New Roman"/>
          <w:sz w:val="24"/>
          <w:szCs w:val="24"/>
        </w:rPr>
        <w:t>pre-existing databases</w:t>
      </w:r>
      <w:r w:rsidRPr="3ED3F2E5" w:rsidR="70DFC824">
        <w:rPr>
          <w:rStyle w:val="CommentReference"/>
          <w:rFonts w:ascii="Times New Roman" w:hAnsi="Times New Roman" w:cs="Times New Roman"/>
          <w:sz w:val="24"/>
          <w:szCs w:val="24"/>
        </w:rPr>
        <w:t xml:space="preserve"> </w:t>
      </w:r>
      <w:r w:rsidRPr="3ED3F2E5" w:rsidR="50278305">
        <w:rPr>
          <w:rStyle w:val="CommentReference"/>
          <w:rFonts w:ascii="Times New Roman" w:hAnsi="Times New Roman" w:cs="Times New Roman"/>
          <w:sz w:val="24"/>
          <w:szCs w:val="24"/>
        </w:rPr>
        <w:t xml:space="preserve">owned and </w:t>
      </w:r>
      <w:r w:rsidRPr="3ED3F2E5" w:rsidR="70DFC824">
        <w:rPr>
          <w:rStyle w:val="CommentReference"/>
          <w:rFonts w:ascii="Times New Roman" w:hAnsi="Times New Roman" w:cs="Times New Roman"/>
          <w:sz w:val="24"/>
          <w:szCs w:val="24"/>
        </w:rPr>
        <w:t xml:space="preserve">maintained by </w:t>
      </w:r>
      <w:r w:rsidRPr="3ED3F2E5" w:rsidR="191D60FD">
        <w:rPr>
          <w:rStyle w:val="CommentReference"/>
          <w:rFonts w:ascii="Times New Roman" w:hAnsi="Times New Roman" w:cs="Times New Roman"/>
          <w:sz w:val="24"/>
          <w:szCs w:val="24"/>
        </w:rPr>
        <w:t>OpenNotes/BILH</w:t>
      </w:r>
      <w:r w:rsidRPr="3ED3F2E5" w:rsidR="71C2E23A">
        <w:rPr>
          <w:rStyle w:val="CommentReference"/>
          <w:rFonts w:ascii="Times New Roman" w:hAnsi="Times New Roman" w:cs="Times New Roman"/>
          <w:sz w:val="24"/>
          <w:szCs w:val="24"/>
        </w:rPr>
        <w:t>’s</w:t>
      </w:r>
      <w:r w:rsidRPr="3ED3F2E5" w:rsidR="191D60FD">
        <w:rPr>
          <w:rStyle w:val="CommentReference"/>
          <w:rFonts w:ascii="Times New Roman" w:hAnsi="Times New Roman" w:cs="Times New Roman"/>
          <w:sz w:val="24"/>
          <w:szCs w:val="24"/>
        </w:rPr>
        <w:t>, subcontractor</w:t>
      </w:r>
      <w:r w:rsidRPr="3ED3F2E5" w:rsidR="49E26B5F">
        <w:rPr>
          <w:rStyle w:val="CommentReference"/>
          <w:rFonts w:ascii="Times New Roman" w:hAnsi="Times New Roman" w:cs="Times New Roman"/>
          <w:sz w:val="24"/>
          <w:szCs w:val="24"/>
        </w:rPr>
        <w:t>, MedPanel</w:t>
      </w:r>
      <w:r w:rsidRPr="3ED3F2E5" w:rsidR="009131F2">
        <w:rPr>
          <w:rStyle w:val="CommentReference"/>
          <w:rFonts w:ascii="Times New Roman" w:hAnsi="Times New Roman" w:cs="Times New Roman"/>
          <w:sz w:val="24"/>
          <w:szCs w:val="24"/>
        </w:rPr>
        <w:t xml:space="preserve"> and from databases maintained by members of </w:t>
      </w:r>
      <w:proofErr w:type="spellStart"/>
      <w:r w:rsidRPr="3ED3F2E5" w:rsidR="009131F2">
        <w:rPr>
          <w:rStyle w:val="CommentReference"/>
          <w:rFonts w:ascii="Times New Roman" w:hAnsi="Times New Roman" w:cs="Times New Roman"/>
          <w:sz w:val="24"/>
          <w:szCs w:val="24"/>
        </w:rPr>
        <w:t>MedPanel’s</w:t>
      </w:r>
      <w:proofErr w:type="spellEnd"/>
      <w:r w:rsidRPr="3ED3F2E5" w:rsidR="009131F2">
        <w:rPr>
          <w:rStyle w:val="CommentReference"/>
          <w:rFonts w:ascii="Times New Roman" w:hAnsi="Times New Roman" w:cs="Times New Roman"/>
          <w:sz w:val="24"/>
          <w:szCs w:val="24"/>
        </w:rPr>
        <w:t xml:space="preserve"> association network</w:t>
      </w:r>
      <w:r w:rsidRPr="3ED3F2E5" w:rsidR="49E26B5F">
        <w:rPr>
          <w:rStyle w:val="CommentReference"/>
          <w:rFonts w:ascii="Times New Roman" w:hAnsi="Times New Roman" w:cs="Times New Roman"/>
          <w:sz w:val="24"/>
          <w:szCs w:val="24"/>
        </w:rPr>
        <w:t>.</w:t>
      </w:r>
      <w:r w:rsidRPr="3ED3F2E5" w:rsidR="191D60FD">
        <w:rPr>
          <w:rStyle w:val="CommentReference"/>
          <w:rFonts w:ascii="Times New Roman" w:hAnsi="Times New Roman" w:cs="Times New Roman"/>
          <w:sz w:val="24"/>
          <w:szCs w:val="24"/>
        </w:rPr>
        <w:t xml:space="preserve"> </w:t>
      </w:r>
      <w:r w:rsidRPr="3ED3F2E5" w:rsidR="540326FC">
        <w:rPr>
          <w:rStyle w:val="CommentReference"/>
          <w:rFonts w:ascii="Times New Roman" w:hAnsi="Times New Roman" w:cs="Times New Roman"/>
          <w:sz w:val="24"/>
          <w:szCs w:val="24"/>
        </w:rPr>
        <w:t xml:space="preserve">To ensure an adequate representative sample of focus group participants, </w:t>
      </w:r>
      <w:r w:rsidRPr="3ED3F2E5" w:rsidR="00283341">
        <w:rPr>
          <w:rStyle w:val="CommentReference"/>
          <w:rFonts w:ascii="Times New Roman" w:hAnsi="Times New Roman" w:cs="Times New Roman"/>
          <w:sz w:val="24"/>
          <w:szCs w:val="24"/>
        </w:rPr>
        <w:t>ONC has</w:t>
      </w:r>
      <w:r w:rsidRPr="3ED3F2E5" w:rsidR="2843264A">
        <w:rPr>
          <w:rStyle w:val="CommentReference"/>
          <w:rFonts w:ascii="Times New Roman" w:hAnsi="Times New Roman" w:cs="Times New Roman"/>
          <w:sz w:val="24"/>
          <w:szCs w:val="24"/>
        </w:rPr>
        <w:t xml:space="preserve"> set a target of </w:t>
      </w:r>
      <w:r w:rsidRPr="3ED3F2E5" w:rsidR="3D60E65E">
        <w:rPr>
          <w:rStyle w:val="CommentReference"/>
          <w:rFonts w:ascii="Times New Roman" w:hAnsi="Times New Roman" w:cs="Times New Roman"/>
          <w:sz w:val="24"/>
          <w:szCs w:val="24"/>
        </w:rPr>
        <w:t xml:space="preserve">1,500 individuals to complete </w:t>
      </w:r>
      <w:r w:rsidRPr="3ED3F2E5" w:rsidR="5CF89EE0">
        <w:rPr>
          <w:rStyle w:val="CommentReference"/>
          <w:rFonts w:ascii="Times New Roman" w:hAnsi="Times New Roman" w:cs="Times New Roman"/>
          <w:sz w:val="24"/>
          <w:szCs w:val="24"/>
        </w:rPr>
        <w:t>the prescreening questionnaire</w:t>
      </w:r>
      <w:r w:rsidRPr="3ED3F2E5" w:rsidR="001865FD">
        <w:rPr>
          <w:rStyle w:val="CommentReference"/>
          <w:rFonts w:ascii="Times New Roman" w:hAnsi="Times New Roman" w:cs="Times New Roman"/>
          <w:sz w:val="24"/>
          <w:szCs w:val="24"/>
        </w:rPr>
        <w:t>s</w:t>
      </w:r>
      <w:r w:rsidRPr="3ED3F2E5" w:rsidR="5CF89EE0">
        <w:rPr>
          <w:rStyle w:val="CommentReference"/>
          <w:rFonts w:ascii="Times New Roman" w:hAnsi="Times New Roman" w:cs="Times New Roman"/>
          <w:sz w:val="24"/>
          <w:szCs w:val="24"/>
        </w:rPr>
        <w:t>.</w:t>
      </w:r>
      <w:r w:rsidRPr="3ED3F2E5" w:rsidR="001865FD">
        <w:rPr>
          <w:rStyle w:val="CommentReference"/>
          <w:rFonts w:ascii="Times New Roman" w:hAnsi="Times New Roman" w:cs="Times New Roman"/>
          <w:sz w:val="24"/>
          <w:szCs w:val="24"/>
        </w:rPr>
        <w:t xml:space="preserve"> </w:t>
      </w:r>
      <w:r w:rsidRPr="3ED3F2E5" w:rsidR="4252E357">
        <w:rPr>
          <w:rStyle w:val="CommentReference"/>
          <w:rFonts w:ascii="Times New Roman" w:hAnsi="Times New Roman" w:cs="Times New Roman"/>
          <w:sz w:val="24"/>
          <w:szCs w:val="24"/>
        </w:rPr>
        <w:t xml:space="preserve">Based on responses, 200 </w:t>
      </w:r>
      <w:r w:rsidRPr="3ED3F2E5" w:rsidR="67725CE7">
        <w:rPr>
          <w:rStyle w:val="CommentReference"/>
          <w:rFonts w:ascii="Times New Roman" w:hAnsi="Times New Roman" w:cs="Times New Roman"/>
          <w:sz w:val="24"/>
          <w:szCs w:val="24"/>
        </w:rPr>
        <w:t xml:space="preserve">questionnaire respondents </w:t>
      </w:r>
      <w:r w:rsidRPr="3ED3F2E5" w:rsidR="3D60E65E">
        <w:rPr>
          <w:rStyle w:val="CommentReference"/>
          <w:rFonts w:ascii="Times New Roman" w:hAnsi="Times New Roman" w:cs="Times New Roman"/>
          <w:sz w:val="24"/>
          <w:szCs w:val="24"/>
        </w:rPr>
        <w:t>will be chosen to participate in the focus groups.</w:t>
      </w:r>
      <w:r w:rsidRPr="3ED3F2E5" w:rsidR="37C39CD5">
        <w:rPr>
          <w:rStyle w:val="CommentReference"/>
          <w:rFonts w:ascii="Times New Roman" w:hAnsi="Times New Roman" w:cs="Times New Roman"/>
          <w:sz w:val="24"/>
          <w:szCs w:val="24"/>
        </w:rPr>
        <w:t xml:space="preserve"> </w:t>
      </w:r>
    </w:p>
    <w:p w:rsidRPr="00F3189A" w:rsidR="007D2D7B" w:rsidP="6E357958" w:rsidRDefault="49B06104" w14:paraId="3F858210" w14:textId="75375868">
      <w:pPr>
        <w:pStyle w:val="CM56"/>
        <w:spacing w:after="267"/>
        <w:contextualSpacing/>
        <w:rPr>
          <w:rFonts w:ascii="Times New Roman" w:hAnsi="Times New Roman" w:cs="Times New Roman"/>
        </w:rPr>
      </w:pPr>
      <w:r w:rsidRPr="3ED3F2E5">
        <w:rPr>
          <w:rFonts w:ascii="Times New Roman" w:hAnsi="Times New Roman" w:cs="Times New Roman"/>
        </w:rPr>
        <w:t>Th</w:t>
      </w:r>
      <w:r w:rsidRPr="3ED3F2E5" w:rsidR="3D60E65E">
        <w:rPr>
          <w:rFonts w:ascii="Times New Roman" w:hAnsi="Times New Roman" w:cs="Times New Roman"/>
        </w:rPr>
        <w:t>e</w:t>
      </w:r>
      <w:r w:rsidRPr="3ED3F2E5">
        <w:rPr>
          <w:rFonts w:ascii="Times New Roman" w:hAnsi="Times New Roman" w:cs="Times New Roman"/>
        </w:rPr>
        <w:t xml:space="preserve"> study will use a mix of synchronous and asynchronous focus groups. For</w:t>
      </w:r>
      <w:r w:rsidRPr="3ED3F2E5" w:rsidR="4B33A91A">
        <w:rPr>
          <w:rFonts w:ascii="Times New Roman" w:hAnsi="Times New Roman" w:cs="Times New Roman"/>
        </w:rPr>
        <w:t xml:space="preserve"> the </w:t>
      </w:r>
      <w:r w:rsidRPr="3ED3F2E5">
        <w:rPr>
          <w:rFonts w:ascii="Times New Roman" w:hAnsi="Times New Roman" w:cs="Times New Roman"/>
        </w:rPr>
        <w:t>synchronous (</w:t>
      </w:r>
      <w:r w:rsidRPr="3ED3F2E5" w:rsidR="185FD655">
        <w:rPr>
          <w:rFonts w:ascii="Times New Roman" w:hAnsi="Times New Roman" w:cs="Times New Roman"/>
        </w:rPr>
        <w:t>conducted virtually</w:t>
      </w:r>
      <w:r w:rsidRPr="3ED3F2E5">
        <w:rPr>
          <w:rFonts w:ascii="Times New Roman" w:hAnsi="Times New Roman" w:cs="Times New Roman"/>
        </w:rPr>
        <w:t xml:space="preserve">) focus groups, participants will need </w:t>
      </w:r>
      <w:r w:rsidRPr="3ED3F2E5" w:rsidR="1D3FA116">
        <w:rPr>
          <w:rFonts w:ascii="Times New Roman" w:hAnsi="Times New Roman" w:cs="Times New Roman"/>
        </w:rPr>
        <w:t xml:space="preserve">to </w:t>
      </w:r>
      <w:r w:rsidRPr="3ED3F2E5" w:rsidR="185FD655">
        <w:rPr>
          <w:rFonts w:ascii="Times New Roman" w:hAnsi="Times New Roman" w:cs="Times New Roman"/>
        </w:rPr>
        <w:t xml:space="preserve">have a computer or phone to </w:t>
      </w:r>
      <w:r w:rsidRPr="3ED3F2E5">
        <w:rPr>
          <w:rFonts w:ascii="Times New Roman" w:hAnsi="Times New Roman" w:cs="Times New Roman"/>
        </w:rPr>
        <w:t xml:space="preserve">access the </w:t>
      </w:r>
      <w:r w:rsidRPr="3ED3F2E5" w:rsidR="185FD655">
        <w:rPr>
          <w:rFonts w:ascii="Times New Roman" w:hAnsi="Times New Roman" w:cs="Times New Roman"/>
        </w:rPr>
        <w:t>videoconferencing plat</w:t>
      </w:r>
      <w:r w:rsidRPr="3ED3F2E5" w:rsidR="1D3FA116">
        <w:rPr>
          <w:rFonts w:ascii="Times New Roman" w:hAnsi="Times New Roman" w:cs="Times New Roman"/>
        </w:rPr>
        <w:t>form</w:t>
      </w:r>
      <w:r w:rsidRPr="3ED3F2E5" w:rsidR="185FD655">
        <w:rPr>
          <w:rFonts w:ascii="Times New Roman" w:hAnsi="Times New Roman" w:cs="Times New Roman"/>
        </w:rPr>
        <w:t xml:space="preserve"> </w:t>
      </w:r>
      <w:r w:rsidRPr="3ED3F2E5">
        <w:rPr>
          <w:rFonts w:ascii="Times New Roman" w:hAnsi="Times New Roman" w:cs="Times New Roman"/>
        </w:rPr>
        <w:t>used for the virtual session</w:t>
      </w:r>
      <w:r w:rsidRPr="3ED3F2E5" w:rsidR="3941BD48">
        <w:rPr>
          <w:rFonts w:ascii="Times New Roman" w:hAnsi="Times New Roman" w:cs="Times New Roman"/>
        </w:rPr>
        <w:t xml:space="preserve">. </w:t>
      </w:r>
      <w:r w:rsidRPr="3ED3F2E5" w:rsidR="15E007C3">
        <w:rPr>
          <w:rFonts w:ascii="Times New Roman" w:hAnsi="Times New Roman" w:cs="Times New Roman"/>
        </w:rPr>
        <w:t xml:space="preserve">The sessions will be </w:t>
      </w:r>
      <w:r w:rsidRPr="3ED3F2E5" w:rsidR="49115D69">
        <w:rPr>
          <w:rFonts w:ascii="Times New Roman" w:hAnsi="Times New Roman" w:cs="Times New Roman"/>
        </w:rPr>
        <w:t xml:space="preserve">audio </w:t>
      </w:r>
      <w:r w:rsidRPr="3ED3F2E5" w:rsidR="15E007C3">
        <w:rPr>
          <w:rFonts w:ascii="Times New Roman" w:hAnsi="Times New Roman" w:cs="Times New Roman"/>
        </w:rPr>
        <w:t xml:space="preserve">recorded (participants will be informed </w:t>
      </w:r>
      <w:r w:rsidRPr="3ED3F2E5" w:rsidR="762850C7">
        <w:rPr>
          <w:rFonts w:ascii="Times New Roman" w:hAnsi="Times New Roman" w:cs="Times New Roman"/>
        </w:rPr>
        <w:t xml:space="preserve">in advance </w:t>
      </w:r>
      <w:r w:rsidRPr="3ED3F2E5" w:rsidR="15E007C3">
        <w:rPr>
          <w:rFonts w:ascii="Times New Roman" w:hAnsi="Times New Roman" w:cs="Times New Roman"/>
        </w:rPr>
        <w:t>that it is being recorded</w:t>
      </w:r>
      <w:r w:rsidRPr="3ED3F2E5" w:rsidR="3941BD48">
        <w:rPr>
          <w:rFonts w:ascii="Times New Roman" w:hAnsi="Times New Roman" w:cs="Times New Roman"/>
        </w:rPr>
        <w:t xml:space="preserve"> and will sign a release form</w:t>
      </w:r>
      <w:r w:rsidRPr="3ED3F2E5" w:rsidR="6A75B254">
        <w:rPr>
          <w:rFonts w:ascii="Times New Roman" w:hAnsi="Times New Roman" w:cs="Times New Roman"/>
        </w:rPr>
        <w:t xml:space="preserve">). </w:t>
      </w:r>
      <w:r w:rsidRPr="3ED3F2E5" w:rsidR="59F30C53">
        <w:rPr>
          <w:rFonts w:ascii="Times New Roman" w:hAnsi="Times New Roman" w:cs="Times New Roman"/>
        </w:rPr>
        <w:t xml:space="preserve">There will be no video recordings of the sessions. </w:t>
      </w:r>
      <w:r w:rsidRPr="3ED3F2E5" w:rsidR="2EF26F1E">
        <w:rPr>
          <w:rFonts w:ascii="Times New Roman" w:hAnsi="Times New Roman" w:cs="Times New Roman"/>
        </w:rPr>
        <w:t xml:space="preserve">The subcontractor facilitating the focus groups will provide </w:t>
      </w:r>
      <w:r w:rsidRPr="3ED3F2E5" w:rsidR="6A75B254">
        <w:rPr>
          <w:rFonts w:ascii="Times New Roman" w:hAnsi="Times New Roman" w:cs="Times New Roman"/>
        </w:rPr>
        <w:t>OpenNotes</w:t>
      </w:r>
      <w:r w:rsidRPr="3ED3F2E5" w:rsidR="4B33A91A">
        <w:rPr>
          <w:rFonts w:ascii="Times New Roman" w:hAnsi="Times New Roman" w:cs="Times New Roman"/>
        </w:rPr>
        <w:t>/ BILH</w:t>
      </w:r>
      <w:r w:rsidRPr="3ED3F2E5" w:rsidR="283A7376">
        <w:rPr>
          <w:rFonts w:ascii="Times New Roman" w:hAnsi="Times New Roman" w:cs="Times New Roman"/>
        </w:rPr>
        <w:t xml:space="preserve"> </w:t>
      </w:r>
      <w:r w:rsidRPr="3ED3F2E5" w:rsidR="42A5BA40">
        <w:rPr>
          <w:rFonts w:ascii="Times New Roman" w:hAnsi="Times New Roman" w:cs="Times New Roman"/>
        </w:rPr>
        <w:t>w</w:t>
      </w:r>
      <w:r w:rsidRPr="3ED3F2E5" w:rsidR="05906B5F">
        <w:rPr>
          <w:rFonts w:ascii="Times New Roman" w:hAnsi="Times New Roman" w:cs="Times New Roman"/>
        </w:rPr>
        <w:t xml:space="preserve">ith a </w:t>
      </w:r>
      <w:r w:rsidRPr="3ED3F2E5" w:rsidR="1377A66A">
        <w:rPr>
          <w:rFonts w:ascii="Times New Roman" w:hAnsi="Times New Roman" w:cs="Times New Roman"/>
        </w:rPr>
        <w:t xml:space="preserve">transcript </w:t>
      </w:r>
      <w:r w:rsidRPr="3ED3F2E5" w:rsidR="42A5BA40">
        <w:rPr>
          <w:rFonts w:ascii="Times New Roman" w:hAnsi="Times New Roman" w:cs="Times New Roman"/>
        </w:rPr>
        <w:t xml:space="preserve">of each </w:t>
      </w:r>
      <w:r w:rsidRPr="3ED3F2E5" w:rsidR="6A75B254">
        <w:rPr>
          <w:rFonts w:ascii="Times New Roman" w:hAnsi="Times New Roman" w:cs="Times New Roman"/>
        </w:rPr>
        <w:t>session.</w:t>
      </w:r>
      <w:r w:rsidRPr="3ED3F2E5" w:rsidR="57FCC90D">
        <w:rPr>
          <w:rFonts w:ascii="Times New Roman" w:hAnsi="Times New Roman" w:cs="Times New Roman"/>
        </w:rPr>
        <w:t xml:space="preserve"> </w:t>
      </w:r>
    </w:p>
    <w:p w:rsidRPr="00F3189A" w:rsidR="007D2D7B" w:rsidP="6E357958" w:rsidRDefault="007D2D7B" w14:paraId="325A7FCC" w14:textId="57E63A7B">
      <w:pPr>
        <w:pStyle w:val="CM56"/>
        <w:spacing w:after="267"/>
        <w:contextualSpacing/>
        <w:rPr>
          <w:rFonts w:ascii="Times New Roman" w:hAnsi="Times New Roman" w:cs="Times New Roman"/>
        </w:rPr>
      </w:pPr>
    </w:p>
    <w:p w:rsidRPr="00F3189A" w:rsidR="007D2D7B" w:rsidP="7E185D71" w:rsidRDefault="00B37AC6" w14:paraId="491F7A3E" w14:textId="744899A8">
      <w:pPr>
        <w:pStyle w:val="CM56"/>
        <w:spacing w:after="267"/>
        <w:contextualSpacing/>
        <w:rPr>
          <w:rFonts w:ascii="Times New Roman" w:hAnsi="Times New Roman" w:cs="Times New Roman"/>
        </w:rPr>
      </w:pPr>
      <w:r w:rsidRPr="6E357958">
        <w:rPr>
          <w:rFonts w:ascii="Times New Roman" w:hAnsi="Times New Roman" w:cs="Times New Roman"/>
        </w:rPr>
        <w:t>F</w:t>
      </w:r>
      <w:r w:rsidRPr="6E357958" w:rsidR="0021692E">
        <w:rPr>
          <w:rFonts w:ascii="Times New Roman" w:hAnsi="Times New Roman" w:cs="Times New Roman"/>
        </w:rPr>
        <w:t>or the asynchronous focus groups, participa</w:t>
      </w:r>
      <w:r w:rsidRPr="6E357958" w:rsidR="00EE3225">
        <w:rPr>
          <w:rFonts w:ascii="Times New Roman" w:hAnsi="Times New Roman" w:cs="Times New Roman"/>
        </w:rPr>
        <w:t>nts</w:t>
      </w:r>
      <w:r w:rsidRPr="6E357958" w:rsidR="0021692E">
        <w:rPr>
          <w:rFonts w:ascii="Times New Roman" w:hAnsi="Times New Roman" w:cs="Times New Roman"/>
        </w:rPr>
        <w:t xml:space="preserve"> will need </w:t>
      </w:r>
      <w:r w:rsidRPr="6E357958" w:rsidR="00A0357A">
        <w:rPr>
          <w:rFonts w:ascii="Times New Roman" w:hAnsi="Times New Roman" w:cs="Times New Roman"/>
        </w:rPr>
        <w:t xml:space="preserve">access to a computer </w:t>
      </w:r>
      <w:r w:rsidRPr="6E357958" w:rsidR="0021692E">
        <w:rPr>
          <w:rFonts w:ascii="Times New Roman" w:hAnsi="Times New Roman" w:cs="Times New Roman"/>
        </w:rPr>
        <w:t xml:space="preserve">to </w:t>
      </w:r>
      <w:r w:rsidRPr="6E357958" w:rsidR="00A0357A">
        <w:rPr>
          <w:rFonts w:ascii="Times New Roman" w:hAnsi="Times New Roman" w:cs="Times New Roman"/>
        </w:rPr>
        <w:t xml:space="preserve">log in to the </w:t>
      </w:r>
      <w:r w:rsidRPr="6E357958" w:rsidR="0021692E">
        <w:rPr>
          <w:rFonts w:ascii="Times New Roman" w:hAnsi="Times New Roman" w:cs="Times New Roman"/>
        </w:rPr>
        <w:t xml:space="preserve">online “discussion board” where the questions and probes will be posted. They will go online </w:t>
      </w:r>
      <w:r w:rsidRPr="6E357958" w:rsidR="0021692E">
        <w:rPr>
          <w:rFonts w:ascii="Times New Roman" w:hAnsi="Times New Roman" w:cs="Times New Roman"/>
        </w:rPr>
        <w:lastRenderedPageBreak/>
        <w:t>and contribute to the discussion when they are able, at any point over a defined period of time (</w:t>
      </w:r>
      <w:r w:rsidRPr="6E357958">
        <w:rPr>
          <w:rFonts w:ascii="Times New Roman" w:hAnsi="Times New Roman" w:cs="Times New Roman"/>
        </w:rPr>
        <w:t>e.g.</w:t>
      </w:r>
      <w:r w:rsidRPr="6E357958" w:rsidR="0021692E">
        <w:rPr>
          <w:rFonts w:ascii="Times New Roman" w:hAnsi="Times New Roman" w:cs="Times New Roman"/>
        </w:rPr>
        <w:t xml:space="preserve"> </w:t>
      </w:r>
      <w:r w:rsidRPr="6E357958" w:rsidR="2BA317FC">
        <w:rPr>
          <w:rFonts w:ascii="Times New Roman" w:hAnsi="Times New Roman" w:cs="Times New Roman"/>
        </w:rPr>
        <w:t>t</w:t>
      </w:r>
      <w:r w:rsidRPr="6E357958" w:rsidR="0021692E">
        <w:rPr>
          <w:rFonts w:ascii="Times New Roman" w:hAnsi="Times New Roman" w:cs="Times New Roman"/>
        </w:rPr>
        <w:t>he board will be monitored for 3 days and an individual participant</w:t>
      </w:r>
      <w:r w:rsidRPr="6E357958" w:rsidR="00EE3225">
        <w:rPr>
          <w:rFonts w:ascii="Times New Roman" w:hAnsi="Times New Roman" w:cs="Times New Roman"/>
        </w:rPr>
        <w:t xml:space="preserve"> </w:t>
      </w:r>
      <w:r w:rsidRPr="6E357958" w:rsidR="0021692E">
        <w:rPr>
          <w:rFonts w:ascii="Times New Roman" w:hAnsi="Times New Roman" w:cs="Times New Roman"/>
        </w:rPr>
        <w:t>can join at any time for any amount of time until they reach 90 minutes over those 3 days.)</w:t>
      </w:r>
      <w:r w:rsidRPr="6E357958" w:rsidR="00EE3225">
        <w:rPr>
          <w:rFonts w:ascii="Times New Roman" w:hAnsi="Times New Roman" w:cs="Times New Roman"/>
        </w:rPr>
        <w:t xml:space="preserve"> </w:t>
      </w:r>
      <w:r w:rsidRPr="6E357958" w:rsidR="007D2D7B">
        <w:rPr>
          <w:rFonts w:ascii="Times New Roman" w:hAnsi="Times New Roman" w:cs="Times New Roman"/>
        </w:rPr>
        <w:t xml:space="preserve"> </w:t>
      </w:r>
      <w:r w:rsidRPr="6E357958" w:rsidR="0DC5D6FB">
        <w:rPr>
          <w:rFonts w:ascii="Times New Roman" w:hAnsi="Times New Roman" w:cs="Times New Roman"/>
        </w:rPr>
        <w:t xml:space="preserve">OpenNotes/BILH’s subcontractor, </w:t>
      </w:r>
      <w:r w:rsidRPr="6E357958" w:rsidR="007D2D7B">
        <w:rPr>
          <w:rFonts w:ascii="Times New Roman" w:hAnsi="Times New Roman" w:cs="Times New Roman"/>
        </w:rPr>
        <w:t>MedPanel</w:t>
      </w:r>
      <w:r w:rsidRPr="6E357958" w:rsidR="4229EC92">
        <w:rPr>
          <w:rFonts w:ascii="Times New Roman" w:hAnsi="Times New Roman" w:cs="Times New Roman"/>
        </w:rPr>
        <w:t>,</w:t>
      </w:r>
      <w:r w:rsidRPr="6E357958" w:rsidR="007D2D7B">
        <w:rPr>
          <w:rFonts w:ascii="Times New Roman" w:hAnsi="Times New Roman" w:cs="Times New Roman"/>
        </w:rPr>
        <w:t xml:space="preserve"> will keep all personal information on a secure </w:t>
      </w:r>
      <w:r w:rsidRPr="6E357958">
        <w:rPr>
          <w:rFonts w:ascii="Times New Roman" w:hAnsi="Times New Roman" w:cs="Times New Roman"/>
        </w:rPr>
        <w:t>server and</w:t>
      </w:r>
      <w:r w:rsidRPr="6E357958" w:rsidR="007D2D7B">
        <w:rPr>
          <w:rFonts w:ascii="Times New Roman" w:hAnsi="Times New Roman" w:cs="Times New Roman"/>
        </w:rPr>
        <w:t xml:space="preserve"> will only send de-identified information </w:t>
      </w:r>
      <w:r w:rsidRPr="6E357958" w:rsidR="00004176">
        <w:rPr>
          <w:rFonts w:ascii="Times New Roman" w:hAnsi="Times New Roman" w:cs="Times New Roman"/>
        </w:rPr>
        <w:t xml:space="preserve">to </w:t>
      </w:r>
      <w:r w:rsidRPr="6E357958" w:rsidR="007D2D7B">
        <w:rPr>
          <w:rFonts w:ascii="Times New Roman" w:hAnsi="Times New Roman" w:cs="Times New Roman"/>
        </w:rPr>
        <w:t>OpenNotes</w:t>
      </w:r>
      <w:r w:rsidRPr="6E357958" w:rsidR="00004176">
        <w:rPr>
          <w:rFonts w:ascii="Times New Roman" w:hAnsi="Times New Roman" w:cs="Times New Roman"/>
        </w:rPr>
        <w:t>/BILH</w:t>
      </w:r>
      <w:r w:rsidRPr="6E357958" w:rsidR="007D2D7B">
        <w:rPr>
          <w:rFonts w:ascii="Times New Roman" w:hAnsi="Times New Roman" w:cs="Times New Roman"/>
        </w:rPr>
        <w:t xml:space="preserve">. The de-identified </w:t>
      </w:r>
      <w:r w:rsidRPr="6E357958" w:rsidR="6D184993">
        <w:rPr>
          <w:rFonts w:ascii="Times New Roman" w:hAnsi="Times New Roman" w:cs="Times New Roman"/>
        </w:rPr>
        <w:t>transcripts</w:t>
      </w:r>
      <w:r w:rsidRPr="6E357958" w:rsidR="007D2D7B">
        <w:rPr>
          <w:rFonts w:ascii="Times New Roman" w:hAnsi="Times New Roman" w:cs="Times New Roman"/>
        </w:rPr>
        <w:t xml:space="preserve"> and data</w:t>
      </w:r>
      <w:r w:rsidR="00953BDE">
        <w:rPr>
          <w:rFonts w:ascii="Times New Roman" w:hAnsi="Times New Roman" w:cs="Times New Roman"/>
        </w:rPr>
        <w:t xml:space="preserve"> (from both synchronous and asynchronous focus groups)</w:t>
      </w:r>
      <w:r w:rsidRPr="6E357958" w:rsidR="007D2D7B">
        <w:rPr>
          <w:rFonts w:ascii="Times New Roman" w:hAnsi="Times New Roman" w:cs="Times New Roman"/>
        </w:rPr>
        <w:t xml:space="preserve"> will be stored on a secure server</w:t>
      </w:r>
      <w:r w:rsidRPr="6E357958" w:rsidR="00B4228B">
        <w:rPr>
          <w:rFonts w:ascii="Times New Roman" w:hAnsi="Times New Roman" w:cs="Times New Roman"/>
        </w:rPr>
        <w:t xml:space="preserve"> at </w:t>
      </w:r>
      <w:r w:rsidRPr="6E357958" w:rsidR="00004176">
        <w:rPr>
          <w:rFonts w:ascii="Times New Roman" w:hAnsi="Times New Roman" w:cs="Times New Roman"/>
        </w:rPr>
        <w:t>BILH</w:t>
      </w:r>
      <w:r w:rsidRPr="6E357958" w:rsidR="007D2D7B">
        <w:rPr>
          <w:rFonts w:ascii="Times New Roman" w:hAnsi="Times New Roman" w:cs="Times New Roman"/>
        </w:rPr>
        <w:t xml:space="preserve"> and only the </w:t>
      </w:r>
      <w:r w:rsidRPr="6E357958" w:rsidR="00004176">
        <w:rPr>
          <w:rFonts w:ascii="Times New Roman" w:hAnsi="Times New Roman" w:cs="Times New Roman"/>
        </w:rPr>
        <w:t xml:space="preserve">OpenNotes/BILH </w:t>
      </w:r>
      <w:r w:rsidRPr="6E357958" w:rsidR="007D2D7B">
        <w:rPr>
          <w:rFonts w:ascii="Times New Roman" w:hAnsi="Times New Roman" w:cs="Times New Roman"/>
        </w:rPr>
        <w:t xml:space="preserve">project team will access it. </w:t>
      </w:r>
      <w:r w:rsidRPr="6E357958" w:rsidR="00004176">
        <w:rPr>
          <w:rFonts w:ascii="Times New Roman" w:hAnsi="Times New Roman" w:cs="Times New Roman"/>
        </w:rPr>
        <w:t>OpenNotes/BILH</w:t>
      </w:r>
      <w:r w:rsidRPr="6E357958" w:rsidR="007D2D7B">
        <w:rPr>
          <w:rFonts w:ascii="Times New Roman" w:hAnsi="Times New Roman" w:cs="Times New Roman"/>
        </w:rPr>
        <w:t xml:space="preserve"> will keep the de-identified data for 3 years after the end of the project period. </w:t>
      </w:r>
      <w:r w:rsidRPr="6E357958" w:rsidR="3806296B">
        <w:rPr>
          <w:rFonts w:ascii="Times New Roman" w:hAnsi="Times New Roman" w:cs="Times New Roman"/>
        </w:rPr>
        <w:t xml:space="preserve">OpenNotes/BILH’s </w:t>
      </w:r>
      <w:r w:rsidRPr="6E357958" w:rsidR="70447838">
        <w:rPr>
          <w:rFonts w:ascii="Times New Roman" w:hAnsi="Times New Roman" w:cs="Times New Roman"/>
        </w:rPr>
        <w:t>sub</w:t>
      </w:r>
      <w:r w:rsidRPr="6E357958" w:rsidR="3806296B">
        <w:rPr>
          <w:rFonts w:ascii="Times New Roman" w:hAnsi="Times New Roman" w:cs="Times New Roman"/>
        </w:rPr>
        <w:t xml:space="preserve">contractor, </w:t>
      </w:r>
      <w:r w:rsidRPr="6E357958" w:rsidR="007D2D7B">
        <w:rPr>
          <w:rFonts w:ascii="Times New Roman" w:hAnsi="Times New Roman" w:cs="Times New Roman"/>
        </w:rPr>
        <w:t>MedPanel</w:t>
      </w:r>
      <w:r w:rsidRPr="6E357958" w:rsidR="39520C22">
        <w:rPr>
          <w:rFonts w:ascii="Times New Roman" w:hAnsi="Times New Roman" w:cs="Times New Roman"/>
        </w:rPr>
        <w:t>,</w:t>
      </w:r>
      <w:r w:rsidRPr="6E357958" w:rsidR="007D2D7B">
        <w:rPr>
          <w:rFonts w:ascii="Times New Roman" w:hAnsi="Times New Roman" w:cs="Times New Roman"/>
        </w:rPr>
        <w:t xml:space="preserve"> will destroy all personal information</w:t>
      </w:r>
      <w:r w:rsidR="00953BDE">
        <w:rPr>
          <w:rFonts w:ascii="Times New Roman" w:hAnsi="Times New Roman" w:cs="Times New Roman"/>
        </w:rPr>
        <w:t>, and all audio recordings,</w:t>
      </w:r>
      <w:r w:rsidRPr="6E357958" w:rsidR="007D2D7B">
        <w:rPr>
          <w:rFonts w:ascii="Times New Roman" w:hAnsi="Times New Roman" w:cs="Times New Roman"/>
        </w:rPr>
        <w:t xml:space="preserve"> at the end of the project period.</w:t>
      </w:r>
    </w:p>
    <w:p w:rsidRPr="00F3189A" w:rsidR="00D5691C" w:rsidP="00D5691C" w:rsidRDefault="00D5691C" w14:paraId="6AB97C03" w14:textId="77777777">
      <w:pPr>
        <w:pStyle w:val="CM56"/>
        <w:spacing w:after="267"/>
        <w:ind w:right="305"/>
        <w:contextualSpacing/>
        <w:rPr>
          <w:rFonts w:ascii="Times New Roman" w:hAnsi="Times New Roman" w:cs="Times New Roman"/>
          <w:b/>
          <w:bCs/>
        </w:rPr>
      </w:pPr>
    </w:p>
    <w:p w:rsidR="000A1B80" w:rsidP="000A1B80" w:rsidRDefault="00CA74CD" w14:paraId="0291A44A" w14:textId="77777777">
      <w:pPr>
        <w:pStyle w:val="CM56"/>
        <w:spacing w:after="267"/>
        <w:ind w:right="305"/>
        <w:contextualSpacing/>
        <w:rPr>
          <w:rFonts w:ascii="Times New Roman" w:hAnsi="Times New Roman" w:cs="Times New Roman"/>
          <w:b/>
          <w:bCs/>
          <w:u w:val="single"/>
        </w:rPr>
      </w:pPr>
      <w:r w:rsidRPr="00F3189A">
        <w:rPr>
          <w:rFonts w:ascii="Times New Roman" w:hAnsi="Times New Roman" w:cs="Times New Roman"/>
          <w:b/>
          <w:bCs/>
        </w:rPr>
        <w:t xml:space="preserve">4. </w:t>
      </w:r>
      <w:r w:rsidRPr="00C84DC3" w:rsidR="00C84DC3">
        <w:rPr>
          <w:rFonts w:ascii="Times New Roman" w:hAnsi="Times New Roman" w:cs="Times New Roman"/>
          <w:b/>
          <w:bCs/>
          <w:u w:val="single"/>
        </w:rPr>
        <w:t>Efforts to Identify Duplication and Use of Similar Information</w:t>
      </w:r>
      <w:r w:rsidRPr="00C84DC3">
        <w:rPr>
          <w:rFonts w:ascii="Times New Roman" w:hAnsi="Times New Roman" w:cs="Times New Roman"/>
          <w:b/>
          <w:bCs/>
          <w:u w:val="single"/>
        </w:rPr>
        <w:t>.</w:t>
      </w:r>
    </w:p>
    <w:p w:rsidRPr="00F3189A" w:rsidR="003B2C36" w:rsidP="000A1B80" w:rsidRDefault="4B33A91A" w14:paraId="0CC80E96" w14:textId="7E630EBC">
      <w:pPr>
        <w:pStyle w:val="CM56"/>
        <w:spacing w:after="267"/>
        <w:ind w:right="305"/>
        <w:contextualSpacing/>
        <w:rPr>
          <w:rFonts w:ascii="Times New Roman" w:hAnsi="Times New Roman" w:cs="Times New Roman"/>
        </w:rPr>
      </w:pPr>
      <w:r w:rsidRPr="44CB85AD">
        <w:rPr>
          <w:rFonts w:ascii="Times New Roman" w:hAnsi="Times New Roman" w:cs="Times New Roman"/>
        </w:rPr>
        <w:t>OpenNotes/BILH staff</w:t>
      </w:r>
      <w:r w:rsidRPr="44CB85AD" w:rsidR="6D646377">
        <w:rPr>
          <w:rFonts w:ascii="Times New Roman" w:hAnsi="Times New Roman" w:cs="Times New Roman"/>
        </w:rPr>
        <w:t xml:space="preserve"> conducted an environmental scan of existing literature relating to the collection and documentation of SDOH information</w:t>
      </w:r>
      <w:r w:rsidRPr="44CB85AD" w:rsidR="0C63A6A7">
        <w:rPr>
          <w:rFonts w:ascii="Times New Roman" w:hAnsi="Times New Roman" w:cs="Times New Roman"/>
        </w:rPr>
        <w:t>.</w:t>
      </w:r>
      <w:r w:rsidRPr="44CB85AD" w:rsidR="6D646377">
        <w:rPr>
          <w:rFonts w:ascii="Times New Roman" w:hAnsi="Times New Roman" w:cs="Times New Roman"/>
        </w:rPr>
        <w:t xml:space="preserve"> </w:t>
      </w:r>
      <w:r w:rsidRPr="44CB85AD" w:rsidR="6CA54BA8">
        <w:rPr>
          <w:rFonts w:ascii="Times New Roman" w:hAnsi="Times New Roman" w:cs="Times New Roman"/>
        </w:rPr>
        <w:t xml:space="preserve">While there have been surveys of healthcare providers about </w:t>
      </w:r>
      <w:r w:rsidRPr="44CB85AD" w:rsidR="6A75B254">
        <w:rPr>
          <w:rFonts w:ascii="Times New Roman" w:hAnsi="Times New Roman" w:cs="Times New Roman"/>
        </w:rPr>
        <w:t>SDOH, the</w:t>
      </w:r>
      <w:r w:rsidRPr="44CB85AD" w:rsidR="504368F2">
        <w:rPr>
          <w:rFonts w:ascii="Times New Roman" w:hAnsi="Times New Roman" w:cs="Times New Roman"/>
        </w:rPr>
        <w:t xml:space="preserve"> types of providers surveyed is limited</w:t>
      </w:r>
      <w:r w:rsidRPr="44CB85AD" w:rsidR="782972B0">
        <w:rPr>
          <w:rFonts w:ascii="Times New Roman" w:hAnsi="Times New Roman" w:cs="Times New Roman"/>
        </w:rPr>
        <w:t xml:space="preserve">. </w:t>
      </w:r>
      <w:r w:rsidRPr="44CB85AD" w:rsidR="1B6D77F0">
        <w:rPr>
          <w:rFonts w:ascii="Times New Roman" w:hAnsi="Times New Roman" w:cs="Times New Roman"/>
        </w:rPr>
        <w:t>T</w:t>
      </w:r>
      <w:r w:rsidRPr="44CB85AD" w:rsidR="6CA54BA8">
        <w:rPr>
          <w:rFonts w:ascii="Times New Roman" w:hAnsi="Times New Roman" w:cs="Times New Roman"/>
        </w:rPr>
        <w:t>here</w:t>
      </w:r>
      <w:r w:rsidRPr="44CB85AD" w:rsidR="4455A0C4">
        <w:rPr>
          <w:rFonts w:ascii="Times New Roman" w:hAnsi="Times New Roman" w:cs="Times New Roman"/>
        </w:rPr>
        <w:t xml:space="preserve"> are also</w:t>
      </w:r>
      <w:r w:rsidRPr="44CB85AD" w:rsidR="6CA54BA8">
        <w:rPr>
          <w:rFonts w:ascii="Times New Roman" w:hAnsi="Times New Roman" w:cs="Times New Roman"/>
        </w:rPr>
        <w:t xml:space="preserve"> very few </w:t>
      </w:r>
      <w:r w:rsidRPr="44CB85AD" w:rsidR="1AD7AF15">
        <w:rPr>
          <w:rFonts w:ascii="Times New Roman" w:hAnsi="Times New Roman" w:cs="Times New Roman"/>
        </w:rPr>
        <w:t>studies</w:t>
      </w:r>
      <w:r w:rsidRPr="44CB85AD" w:rsidR="03D3613C">
        <w:rPr>
          <w:rFonts w:ascii="Times New Roman" w:hAnsi="Times New Roman" w:cs="Times New Roman"/>
        </w:rPr>
        <w:t xml:space="preserve"> of</w:t>
      </w:r>
      <w:r w:rsidRPr="44CB85AD" w:rsidR="5FCC573E">
        <w:rPr>
          <w:rFonts w:ascii="Times New Roman" w:hAnsi="Times New Roman" w:cs="Times New Roman"/>
        </w:rPr>
        <w:t xml:space="preserve"> patients’ </w:t>
      </w:r>
      <w:r w:rsidRPr="44CB85AD" w:rsidR="5D6FD0AA">
        <w:rPr>
          <w:rFonts w:ascii="Times New Roman" w:hAnsi="Times New Roman" w:cs="Times New Roman"/>
        </w:rPr>
        <w:t>comfort with document</w:t>
      </w:r>
      <w:r w:rsidRPr="44CB85AD" w:rsidR="6CA8E542">
        <w:rPr>
          <w:rFonts w:ascii="Times New Roman" w:hAnsi="Times New Roman" w:cs="Times New Roman"/>
        </w:rPr>
        <w:t xml:space="preserve">ing </w:t>
      </w:r>
      <w:r w:rsidRPr="44CB85AD" w:rsidR="5D6FD0AA">
        <w:rPr>
          <w:rFonts w:ascii="Times New Roman" w:hAnsi="Times New Roman" w:cs="Times New Roman"/>
        </w:rPr>
        <w:t>and sharing</w:t>
      </w:r>
      <w:r w:rsidRPr="44CB85AD" w:rsidR="70C85EB0">
        <w:rPr>
          <w:rFonts w:ascii="Times New Roman" w:hAnsi="Times New Roman" w:cs="Times New Roman"/>
        </w:rPr>
        <w:t xml:space="preserve"> their </w:t>
      </w:r>
      <w:r w:rsidRPr="44CB85AD" w:rsidR="5D6FD0AA">
        <w:rPr>
          <w:rFonts w:ascii="Times New Roman" w:hAnsi="Times New Roman" w:cs="Times New Roman"/>
        </w:rPr>
        <w:t>SDOH</w:t>
      </w:r>
      <w:r w:rsidRPr="44CB85AD" w:rsidR="7CCCA6A1">
        <w:rPr>
          <w:rFonts w:ascii="Times New Roman" w:hAnsi="Times New Roman" w:cs="Times New Roman"/>
        </w:rPr>
        <w:t xml:space="preserve"> data</w:t>
      </w:r>
      <w:r w:rsidRPr="44CB85AD" w:rsidR="6CA54BA8">
        <w:rPr>
          <w:rFonts w:ascii="Times New Roman" w:hAnsi="Times New Roman" w:cs="Times New Roman"/>
        </w:rPr>
        <w:t xml:space="preserve">. </w:t>
      </w:r>
      <w:r w:rsidRPr="44CB85AD" w:rsidR="42A5BA40">
        <w:rPr>
          <w:rFonts w:ascii="Times New Roman" w:hAnsi="Times New Roman" w:cs="Times New Roman"/>
        </w:rPr>
        <w:t xml:space="preserve"> </w:t>
      </w:r>
      <w:r w:rsidRPr="44CB85AD" w:rsidR="6CA54BA8">
        <w:rPr>
          <w:rFonts w:ascii="Times New Roman" w:hAnsi="Times New Roman" w:cs="Times New Roman"/>
        </w:rPr>
        <w:t xml:space="preserve">Moreover, </w:t>
      </w:r>
      <w:r w:rsidRPr="44CB85AD">
        <w:rPr>
          <w:rFonts w:ascii="Times New Roman" w:hAnsi="Times New Roman" w:cs="Times New Roman"/>
        </w:rPr>
        <w:t>OpenNotes/BILH</w:t>
      </w:r>
      <w:r w:rsidRPr="44CB85AD" w:rsidR="12435FDB">
        <w:rPr>
          <w:rFonts w:ascii="Times New Roman" w:hAnsi="Times New Roman" w:cs="Times New Roman"/>
        </w:rPr>
        <w:t xml:space="preserve"> </w:t>
      </w:r>
      <w:r w:rsidRPr="44CB85AD" w:rsidR="6D646377">
        <w:rPr>
          <w:rFonts w:ascii="Times New Roman" w:hAnsi="Times New Roman" w:cs="Times New Roman"/>
        </w:rPr>
        <w:t xml:space="preserve">found that there is minimal information about current documentation </w:t>
      </w:r>
      <w:r w:rsidRPr="44CB85AD" w:rsidR="77C97717">
        <w:rPr>
          <w:rFonts w:ascii="Times New Roman" w:hAnsi="Times New Roman" w:cs="Times New Roman"/>
        </w:rPr>
        <w:t xml:space="preserve">practices for </w:t>
      </w:r>
      <w:r w:rsidRPr="44CB85AD" w:rsidR="6D646377">
        <w:rPr>
          <w:rFonts w:ascii="Times New Roman" w:hAnsi="Times New Roman" w:cs="Times New Roman"/>
        </w:rPr>
        <w:t>SDOH</w:t>
      </w:r>
      <w:r w:rsidRPr="44CB85AD" w:rsidR="13F0C0A5">
        <w:rPr>
          <w:rFonts w:ascii="Times New Roman" w:hAnsi="Times New Roman" w:cs="Times New Roman"/>
        </w:rPr>
        <w:t xml:space="preserve">, particularly within the free text </w:t>
      </w:r>
      <w:r w:rsidRPr="44CB85AD" w:rsidR="31619AFD">
        <w:rPr>
          <w:rFonts w:ascii="Times New Roman" w:hAnsi="Times New Roman" w:cs="Times New Roman"/>
        </w:rPr>
        <w:t xml:space="preserve">/ clinical notes </w:t>
      </w:r>
      <w:r w:rsidRPr="44CB85AD" w:rsidR="13F0C0A5">
        <w:rPr>
          <w:rFonts w:ascii="Times New Roman" w:hAnsi="Times New Roman" w:cs="Times New Roman"/>
        </w:rPr>
        <w:t xml:space="preserve">fields of the EHR, </w:t>
      </w:r>
      <w:r w:rsidRPr="44CB85AD" w:rsidR="6D646377">
        <w:rPr>
          <w:rFonts w:ascii="Times New Roman" w:hAnsi="Times New Roman" w:cs="Times New Roman"/>
        </w:rPr>
        <w:t>and how, from the perspectives of care providers and patients, the info</w:t>
      </w:r>
      <w:r w:rsidRPr="44CB85AD" w:rsidR="2E6DAADB">
        <w:rPr>
          <w:rFonts w:ascii="Times New Roman" w:hAnsi="Times New Roman" w:cs="Times New Roman"/>
        </w:rPr>
        <w:t>r</w:t>
      </w:r>
      <w:r w:rsidRPr="44CB85AD" w:rsidR="6D646377">
        <w:rPr>
          <w:rFonts w:ascii="Times New Roman" w:hAnsi="Times New Roman" w:cs="Times New Roman"/>
        </w:rPr>
        <w:t xml:space="preserve">mation should be collected, documented and utilized. There is currently no other effort </w:t>
      </w:r>
      <w:r w:rsidRPr="44CB85AD" w:rsidR="4005DA42">
        <w:rPr>
          <w:rFonts w:ascii="Times New Roman" w:hAnsi="Times New Roman" w:cs="Times New Roman"/>
        </w:rPr>
        <w:t>ONC o</w:t>
      </w:r>
      <w:r w:rsidRPr="44CB85AD" w:rsidR="73B08559">
        <w:rPr>
          <w:rFonts w:ascii="Times New Roman" w:hAnsi="Times New Roman" w:cs="Times New Roman"/>
        </w:rPr>
        <w:t xml:space="preserve">r </w:t>
      </w:r>
      <w:r w:rsidRPr="44CB85AD">
        <w:rPr>
          <w:rFonts w:ascii="Times New Roman" w:hAnsi="Times New Roman" w:cs="Times New Roman"/>
        </w:rPr>
        <w:t>OpenNotes/BILH</w:t>
      </w:r>
      <w:r w:rsidRPr="44CB85AD" w:rsidR="6D646377">
        <w:rPr>
          <w:rFonts w:ascii="Times New Roman" w:hAnsi="Times New Roman" w:cs="Times New Roman"/>
        </w:rPr>
        <w:t xml:space="preserve"> </w:t>
      </w:r>
      <w:r w:rsidRPr="44CB85AD">
        <w:rPr>
          <w:rFonts w:ascii="Times New Roman" w:hAnsi="Times New Roman" w:cs="Times New Roman"/>
        </w:rPr>
        <w:t>is</w:t>
      </w:r>
      <w:r w:rsidRPr="44CB85AD" w:rsidR="6D646377">
        <w:rPr>
          <w:rFonts w:ascii="Times New Roman" w:hAnsi="Times New Roman" w:cs="Times New Roman"/>
        </w:rPr>
        <w:t xml:space="preserve"> aware of to gather this kind of information.</w:t>
      </w:r>
    </w:p>
    <w:p w:rsidRPr="00F3189A" w:rsidR="003B2C36" w:rsidP="003B2C36" w:rsidRDefault="003B2C36" w14:paraId="2F936FB0" w14:textId="77777777">
      <w:pPr>
        <w:pStyle w:val="Default"/>
        <w:rPr>
          <w:rFonts w:ascii="Times New Roman" w:hAnsi="Times New Roman" w:cs="Times New Roman"/>
        </w:rPr>
      </w:pPr>
    </w:p>
    <w:p w:rsidRPr="00F3189A" w:rsidR="00EE3225" w:rsidP="3DA9B698" w:rsidRDefault="185FD655" w14:paraId="08E091C2" w14:textId="3BDD33CC">
      <w:pPr>
        <w:pStyle w:val="CM56"/>
        <w:spacing w:after="267"/>
        <w:ind w:right="105"/>
        <w:contextualSpacing/>
        <w:rPr>
          <w:rFonts w:ascii="Times New Roman" w:hAnsi="Times New Roman" w:cs="Times New Roman"/>
        </w:rPr>
      </w:pPr>
      <w:r w:rsidRPr="44CB85AD">
        <w:rPr>
          <w:rFonts w:ascii="Times New Roman" w:hAnsi="Times New Roman" w:cs="Times New Roman"/>
        </w:rPr>
        <w:t>Further, close-ended survey items</w:t>
      </w:r>
      <w:r w:rsidRPr="44CB85AD" w:rsidR="15E007C3">
        <w:rPr>
          <w:rFonts w:ascii="Times New Roman" w:hAnsi="Times New Roman" w:cs="Times New Roman"/>
        </w:rPr>
        <w:t xml:space="preserve"> do not allow for more in-depth discussion and probing </w:t>
      </w:r>
      <w:r w:rsidRPr="44CB85AD">
        <w:rPr>
          <w:rFonts w:ascii="Times New Roman" w:hAnsi="Times New Roman" w:cs="Times New Roman"/>
        </w:rPr>
        <w:t xml:space="preserve">of why and how SDOH data is documented in clinical settings. </w:t>
      </w:r>
      <w:r w:rsidRPr="44CB85AD" w:rsidR="1D3FA116">
        <w:rPr>
          <w:rFonts w:ascii="Times New Roman" w:hAnsi="Times New Roman" w:cs="Times New Roman"/>
        </w:rPr>
        <w:t>Additionally</w:t>
      </w:r>
      <w:r w:rsidRPr="44CB85AD" w:rsidR="30E467AB">
        <w:rPr>
          <w:rFonts w:ascii="Times New Roman" w:hAnsi="Times New Roman" w:cs="Times New Roman"/>
        </w:rPr>
        <w:t xml:space="preserve">, with focus groups </w:t>
      </w:r>
      <w:r w:rsidRPr="44CB85AD" w:rsidR="4B33A91A">
        <w:rPr>
          <w:rFonts w:ascii="Times New Roman" w:hAnsi="Times New Roman" w:cs="Times New Roman"/>
        </w:rPr>
        <w:t>OpenNotes/BILH</w:t>
      </w:r>
      <w:r w:rsidRPr="44CB85AD" w:rsidR="30E467AB">
        <w:rPr>
          <w:rFonts w:ascii="Times New Roman" w:hAnsi="Times New Roman" w:cs="Times New Roman"/>
        </w:rPr>
        <w:t xml:space="preserve"> can ensure that the groups represent varied points of view, experiences, and demographics, both on the provider and patient/caregiver sides. </w:t>
      </w:r>
      <w:r w:rsidRPr="44CB85AD" w:rsidR="4B33A91A">
        <w:rPr>
          <w:rFonts w:ascii="Times New Roman" w:hAnsi="Times New Roman" w:cs="Times New Roman"/>
        </w:rPr>
        <w:t>OpenNotes/BILH</w:t>
      </w:r>
      <w:r w:rsidRPr="44CB85AD" w:rsidR="4A32A605">
        <w:rPr>
          <w:rFonts w:ascii="Times New Roman" w:hAnsi="Times New Roman" w:cs="Times New Roman"/>
        </w:rPr>
        <w:t>’s</w:t>
      </w:r>
      <w:r w:rsidRPr="44CB85AD" w:rsidR="4B33A91A">
        <w:rPr>
          <w:rFonts w:ascii="Times New Roman" w:hAnsi="Times New Roman" w:cs="Times New Roman"/>
        </w:rPr>
        <w:t xml:space="preserve"> </w:t>
      </w:r>
      <w:r w:rsidRPr="44CB85AD" w:rsidR="0EE80717">
        <w:rPr>
          <w:rFonts w:ascii="Times New Roman" w:hAnsi="Times New Roman" w:cs="Times New Roman"/>
        </w:rPr>
        <w:t>subcontractor</w:t>
      </w:r>
      <w:r w:rsidRPr="44CB85AD" w:rsidR="4B33A91A">
        <w:rPr>
          <w:rFonts w:ascii="Times New Roman" w:hAnsi="Times New Roman" w:cs="Times New Roman"/>
        </w:rPr>
        <w:t xml:space="preserve"> </w:t>
      </w:r>
      <w:proofErr w:type="spellStart"/>
      <w:r w:rsidRPr="44CB85AD" w:rsidR="4B33A91A">
        <w:rPr>
          <w:rFonts w:ascii="Times New Roman" w:hAnsi="Times New Roman" w:cs="Times New Roman"/>
        </w:rPr>
        <w:t>MedPanel</w:t>
      </w:r>
      <w:r w:rsidRPr="44CB85AD" w:rsidR="1328CAA3">
        <w:rPr>
          <w:rFonts w:ascii="Times New Roman" w:hAnsi="Times New Roman" w:cs="Times New Roman"/>
        </w:rPr>
        <w:t>’s</w:t>
      </w:r>
      <w:proofErr w:type="spellEnd"/>
      <w:r w:rsidRPr="44CB85AD" w:rsidR="4B33A91A">
        <w:rPr>
          <w:rFonts w:ascii="Times New Roman" w:hAnsi="Times New Roman" w:cs="Times New Roman"/>
        </w:rPr>
        <w:t xml:space="preserve"> moderators</w:t>
      </w:r>
      <w:r w:rsidRPr="44CB85AD" w:rsidR="30E467AB">
        <w:rPr>
          <w:rFonts w:ascii="Times New Roman" w:hAnsi="Times New Roman" w:cs="Times New Roman"/>
        </w:rPr>
        <w:t xml:space="preserve"> can </w:t>
      </w:r>
      <w:r w:rsidRPr="44CB85AD" w:rsidR="2FA320F0">
        <w:rPr>
          <w:rFonts w:ascii="Times New Roman" w:hAnsi="Times New Roman" w:cs="Times New Roman"/>
        </w:rPr>
        <w:t xml:space="preserve">ask </w:t>
      </w:r>
      <w:r w:rsidRPr="44CB85AD" w:rsidR="30E467AB">
        <w:rPr>
          <w:rFonts w:ascii="Times New Roman" w:hAnsi="Times New Roman" w:cs="Times New Roman"/>
        </w:rPr>
        <w:t>prob</w:t>
      </w:r>
      <w:r w:rsidRPr="44CB85AD" w:rsidR="7AB7775C">
        <w:rPr>
          <w:rFonts w:ascii="Times New Roman" w:hAnsi="Times New Roman" w:cs="Times New Roman"/>
        </w:rPr>
        <w:t>ing questions of</w:t>
      </w:r>
      <w:r w:rsidRPr="44CB85AD" w:rsidR="2B3BE6A6">
        <w:rPr>
          <w:rFonts w:ascii="Times New Roman" w:hAnsi="Times New Roman" w:cs="Times New Roman"/>
        </w:rPr>
        <w:t xml:space="preserve"> focus group participants</w:t>
      </w:r>
      <w:r w:rsidRPr="44CB85AD" w:rsidR="30E467AB">
        <w:rPr>
          <w:rFonts w:ascii="Times New Roman" w:hAnsi="Times New Roman" w:cs="Times New Roman"/>
        </w:rPr>
        <w:t>, for example, how social workers collect and utilize SDOH data and how they would like to use it, or what patients with disabilities or chronic conditions think should be collected and what they are comfortable sharing with their providers.</w:t>
      </w:r>
      <w:r w:rsidRPr="44CB85AD" w:rsidR="2A86C7A1">
        <w:rPr>
          <w:rFonts w:ascii="Times New Roman" w:hAnsi="Times New Roman" w:cs="Times New Roman"/>
        </w:rPr>
        <w:t xml:space="preserve"> This information is vital to understanding the benefits and challenges associated with SDOH data documentation and exchange. </w:t>
      </w:r>
    </w:p>
    <w:p w:rsidRPr="00F3189A" w:rsidR="0021692E" w:rsidP="00D5691C" w:rsidRDefault="0021692E" w14:paraId="4F2800D6" w14:textId="77777777">
      <w:pPr>
        <w:pStyle w:val="CM56"/>
        <w:spacing w:after="267"/>
        <w:ind w:right="105"/>
        <w:contextualSpacing/>
        <w:rPr>
          <w:rFonts w:ascii="Times New Roman" w:hAnsi="Times New Roman" w:cs="Times New Roman"/>
        </w:rPr>
      </w:pPr>
    </w:p>
    <w:p w:rsidRPr="00F3189A" w:rsidR="00CA74CD" w:rsidP="00D5691C" w:rsidRDefault="00CA74CD" w14:paraId="30DEB4B6" w14:textId="5D0B86F2">
      <w:pPr>
        <w:pStyle w:val="CM56"/>
        <w:spacing w:after="267"/>
        <w:ind w:right="305"/>
        <w:contextualSpacing/>
        <w:rPr>
          <w:rFonts w:ascii="Times New Roman" w:hAnsi="Times New Roman" w:cs="Times New Roman"/>
        </w:rPr>
      </w:pPr>
      <w:r w:rsidRPr="00F3189A">
        <w:rPr>
          <w:rFonts w:ascii="Times New Roman" w:hAnsi="Times New Roman" w:cs="Times New Roman"/>
          <w:b/>
          <w:bCs/>
        </w:rPr>
        <w:t xml:space="preserve">5. </w:t>
      </w:r>
      <w:r w:rsidRPr="00C84DC3" w:rsidR="00C84DC3">
        <w:rPr>
          <w:rFonts w:ascii="Times New Roman" w:hAnsi="Times New Roman" w:cs="Times New Roman"/>
          <w:b/>
          <w:bCs/>
          <w:u w:val="single"/>
        </w:rPr>
        <w:t>Impact on Small Businesses or Other Small Entities</w:t>
      </w:r>
      <w:r w:rsidRPr="00C84DC3">
        <w:rPr>
          <w:rFonts w:ascii="Times New Roman" w:hAnsi="Times New Roman" w:cs="Times New Roman"/>
          <w:b/>
          <w:bCs/>
          <w:u w:val="single"/>
        </w:rPr>
        <w:t xml:space="preserve">. </w:t>
      </w:r>
    </w:p>
    <w:p w:rsidRPr="00F3189A" w:rsidR="0021692E" w:rsidP="00B37AC6" w:rsidRDefault="0EFF23CE" w14:paraId="29876D1C" w14:textId="69F85830">
      <w:pPr>
        <w:pStyle w:val="CM56"/>
        <w:rPr>
          <w:rFonts w:ascii="Times New Roman" w:hAnsi="Times New Roman" w:cs="Times New Roman"/>
        </w:rPr>
      </w:pPr>
      <w:r w:rsidRPr="00F3189A">
        <w:rPr>
          <w:rFonts w:ascii="Times New Roman" w:hAnsi="Times New Roman" w:cs="Times New Roman"/>
        </w:rPr>
        <w:t>This collection of information does not impact small businesses or other small entities.</w:t>
      </w:r>
    </w:p>
    <w:p w:rsidRPr="00F3189A" w:rsidR="00D5691C" w:rsidP="00D5691C" w:rsidRDefault="00D5691C" w14:paraId="26B922F1" w14:textId="77777777">
      <w:pPr>
        <w:pStyle w:val="CM56"/>
        <w:spacing w:after="267"/>
        <w:ind w:right="182"/>
        <w:contextualSpacing/>
        <w:rPr>
          <w:rFonts w:ascii="Times New Roman" w:hAnsi="Times New Roman" w:cs="Times New Roman"/>
          <w:b/>
          <w:bCs/>
        </w:rPr>
      </w:pPr>
    </w:p>
    <w:p w:rsidRPr="00F3189A" w:rsidR="00CA74CD" w:rsidP="00D5691C" w:rsidRDefault="00CA74CD" w14:paraId="277E42B5" w14:textId="3AD489F8">
      <w:pPr>
        <w:pStyle w:val="CM56"/>
        <w:spacing w:after="267"/>
        <w:ind w:right="182"/>
        <w:contextualSpacing/>
        <w:rPr>
          <w:rFonts w:ascii="Times New Roman" w:hAnsi="Times New Roman" w:cs="Times New Roman"/>
        </w:rPr>
      </w:pPr>
      <w:r w:rsidRPr="00F3189A">
        <w:rPr>
          <w:rFonts w:ascii="Times New Roman" w:hAnsi="Times New Roman" w:cs="Times New Roman"/>
          <w:b/>
          <w:bCs/>
        </w:rPr>
        <w:t xml:space="preserve">6. </w:t>
      </w:r>
      <w:r w:rsidRPr="00C84DC3" w:rsidR="00C84DC3">
        <w:rPr>
          <w:rFonts w:ascii="Times New Roman" w:hAnsi="Times New Roman" w:cs="Times New Roman"/>
          <w:b/>
          <w:bCs/>
          <w:u w:val="single"/>
        </w:rPr>
        <w:t>Consequences of Not Collecting the Information</w:t>
      </w:r>
      <w:r w:rsidRPr="00F3189A">
        <w:rPr>
          <w:rFonts w:ascii="Times New Roman" w:hAnsi="Times New Roman" w:cs="Times New Roman"/>
          <w:b/>
          <w:bCs/>
        </w:rPr>
        <w:t xml:space="preserve">. </w:t>
      </w:r>
    </w:p>
    <w:p w:rsidRPr="00E54567" w:rsidR="001E1D7C" w:rsidP="00B37AC6" w:rsidRDefault="213513E7" w14:paraId="57FB467A" w14:textId="54470B76">
      <w:pPr>
        <w:pStyle w:val="CM56"/>
        <w:spacing w:after="267"/>
        <w:ind w:right="632"/>
        <w:contextualSpacing/>
        <w:rPr>
          <w:rFonts w:ascii="Times New Roman" w:hAnsi="Times New Roman" w:cs="Times New Roman"/>
        </w:rPr>
      </w:pPr>
      <w:r w:rsidRPr="3ED3F2E5">
        <w:rPr>
          <w:rFonts w:ascii="Times New Roman" w:hAnsi="Times New Roman" w:cs="Times New Roman"/>
        </w:rPr>
        <w:t>Currently, there is a g</w:t>
      </w:r>
      <w:r w:rsidRPr="3ED3F2E5">
        <w:rPr>
          <w:rFonts w:ascii="Times New Roman" w:hAnsi="Times New Roman" w:eastAsia="Times New Roman" w:cs="Times New Roman"/>
        </w:rPr>
        <w:t>overnment-wide effort to address health equity</w:t>
      </w:r>
      <w:r w:rsidRPr="3ED3F2E5">
        <w:rPr>
          <w:rFonts w:ascii="Times New Roman" w:hAnsi="Times New Roman" w:cs="Times New Roman"/>
        </w:rPr>
        <w:t xml:space="preserve">. </w:t>
      </w:r>
      <w:r w:rsidRPr="3ED3F2E5" w:rsidR="70E2ED86">
        <w:rPr>
          <w:rFonts w:ascii="Times New Roman" w:hAnsi="Times New Roman" w:cs="Times New Roman"/>
        </w:rPr>
        <w:t xml:space="preserve">The </w:t>
      </w:r>
      <w:r w:rsidRPr="3ED3F2E5" w:rsidR="2F1D27FA">
        <w:rPr>
          <w:rFonts w:ascii="Times New Roman" w:hAnsi="Times New Roman" w:cs="Times New Roman"/>
        </w:rPr>
        <w:t>ONC</w:t>
      </w:r>
      <w:r w:rsidRPr="3ED3F2E5" w:rsidR="44520000">
        <w:rPr>
          <w:rFonts w:ascii="Times New Roman" w:hAnsi="Times New Roman" w:cs="Times New Roman"/>
        </w:rPr>
        <w:t xml:space="preserve"> </w:t>
      </w:r>
      <w:r w:rsidRPr="3ED3F2E5" w:rsidR="7B30A646">
        <w:rPr>
          <w:rFonts w:ascii="Times New Roman" w:hAnsi="Times New Roman" w:cs="Times New Roman"/>
        </w:rPr>
        <w:t>goals</w:t>
      </w:r>
      <w:r w:rsidRPr="3ED3F2E5" w:rsidR="44520000">
        <w:rPr>
          <w:rFonts w:ascii="Times New Roman" w:hAnsi="Times New Roman" w:cs="Times New Roman"/>
        </w:rPr>
        <w:t xml:space="preserve"> include</w:t>
      </w:r>
      <w:r w:rsidRPr="3ED3F2E5" w:rsidR="2F1D27FA">
        <w:rPr>
          <w:rFonts w:ascii="Times New Roman" w:hAnsi="Times New Roman" w:cs="Times New Roman"/>
        </w:rPr>
        <w:t xml:space="preserve"> </w:t>
      </w:r>
      <w:r w:rsidRPr="3ED3F2E5" w:rsidR="7C065DEE">
        <w:rPr>
          <w:rFonts w:ascii="Times New Roman" w:hAnsi="Times New Roman" w:cs="Times New Roman"/>
        </w:rPr>
        <w:t>support</w:t>
      </w:r>
      <w:r w:rsidRPr="3ED3F2E5" w:rsidR="01FBD7F1">
        <w:rPr>
          <w:rFonts w:ascii="Times New Roman" w:hAnsi="Times New Roman" w:cs="Times New Roman"/>
        </w:rPr>
        <w:t>ing</w:t>
      </w:r>
      <w:r w:rsidRPr="3ED3F2E5" w:rsidR="2F1D27FA">
        <w:rPr>
          <w:rFonts w:ascii="Times New Roman" w:hAnsi="Times New Roman" w:cs="Times New Roman"/>
        </w:rPr>
        <w:t xml:space="preserve"> the </w:t>
      </w:r>
      <w:r w:rsidRPr="3ED3F2E5" w:rsidR="504368F2">
        <w:rPr>
          <w:rFonts w:ascii="Times New Roman" w:hAnsi="Times New Roman" w:cs="Times New Roman"/>
        </w:rPr>
        <w:t>collecti</w:t>
      </w:r>
      <w:r w:rsidRPr="3ED3F2E5" w:rsidR="1BDF7FA3">
        <w:rPr>
          <w:rFonts w:ascii="Times New Roman" w:hAnsi="Times New Roman" w:cs="Times New Roman"/>
        </w:rPr>
        <w:t>on</w:t>
      </w:r>
      <w:r w:rsidRPr="3ED3F2E5" w:rsidR="504368F2">
        <w:rPr>
          <w:rFonts w:ascii="Times New Roman" w:hAnsi="Times New Roman" w:cs="Times New Roman"/>
        </w:rPr>
        <w:t xml:space="preserve"> and </w:t>
      </w:r>
      <w:r w:rsidRPr="3ED3F2E5" w:rsidR="70535337">
        <w:rPr>
          <w:rFonts w:ascii="Times New Roman" w:hAnsi="Times New Roman" w:cs="Times New Roman"/>
        </w:rPr>
        <w:t>use of</w:t>
      </w:r>
      <w:r w:rsidRPr="3ED3F2E5" w:rsidR="504368F2">
        <w:rPr>
          <w:rFonts w:ascii="Times New Roman" w:hAnsi="Times New Roman" w:cs="Times New Roman"/>
        </w:rPr>
        <w:t xml:space="preserve"> SDOH data to improve care delivery and </w:t>
      </w:r>
      <w:r w:rsidRPr="3ED3F2E5" w:rsidR="6A75B254">
        <w:rPr>
          <w:rFonts w:ascii="Times New Roman" w:hAnsi="Times New Roman" w:cs="Times New Roman"/>
        </w:rPr>
        <w:t>patients’</w:t>
      </w:r>
      <w:r w:rsidRPr="3ED3F2E5" w:rsidR="504368F2">
        <w:rPr>
          <w:rFonts w:ascii="Times New Roman" w:hAnsi="Times New Roman" w:cs="Times New Roman"/>
        </w:rPr>
        <w:t xml:space="preserve"> outcomes and reduce health disparities. </w:t>
      </w:r>
      <w:r w:rsidRPr="3ED3F2E5" w:rsidR="30E467AB">
        <w:rPr>
          <w:rFonts w:ascii="Times New Roman" w:hAnsi="Times New Roman" w:cs="Times New Roman"/>
        </w:rPr>
        <w:t>If th</w:t>
      </w:r>
      <w:r w:rsidRPr="3ED3F2E5" w:rsidR="720F7A64">
        <w:rPr>
          <w:rFonts w:ascii="Times New Roman" w:hAnsi="Times New Roman" w:cs="Times New Roman"/>
        </w:rPr>
        <w:t>is</w:t>
      </w:r>
      <w:r w:rsidRPr="3ED3F2E5" w:rsidR="30E467AB">
        <w:rPr>
          <w:rFonts w:ascii="Times New Roman" w:hAnsi="Times New Roman" w:cs="Times New Roman"/>
        </w:rPr>
        <w:t xml:space="preserve"> collection is not conducted, ONC will not have sufficient information to fully inform its efforts to </w:t>
      </w:r>
      <w:r w:rsidRPr="3ED3F2E5" w:rsidR="6F48EA36">
        <w:rPr>
          <w:rFonts w:ascii="Times New Roman" w:hAnsi="Times New Roman" w:cs="Times New Roman"/>
        </w:rPr>
        <w:t>standardize documentation and encourage the use of SDOH data</w:t>
      </w:r>
      <w:r w:rsidRPr="3ED3F2E5" w:rsidR="504368F2">
        <w:rPr>
          <w:rFonts w:ascii="Times New Roman" w:hAnsi="Times New Roman" w:cs="Times New Roman"/>
        </w:rPr>
        <w:t xml:space="preserve"> in a way that helps to achieve these goals. </w:t>
      </w:r>
      <w:r w:rsidRPr="3ED3F2E5" w:rsidR="1C5624E5">
        <w:rPr>
          <w:rFonts w:ascii="Times New Roman" w:hAnsi="Times New Roman" w:cs="Times New Roman"/>
        </w:rPr>
        <w:t xml:space="preserve">This information </w:t>
      </w:r>
      <w:r w:rsidRPr="3ED3F2E5" w:rsidR="055AC040">
        <w:rPr>
          <w:rFonts w:ascii="Times New Roman" w:hAnsi="Times New Roman" w:cs="Times New Roman"/>
        </w:rPr>
        <w:t xml:space="preserve">will </w:t>
      </w:r>
      <w:r w:rsidRPr="3ED3F2E5" w:rsidR="1C5624E5">
        <w:rPr>
          <w:rFonts w:ascii="Times New Roman" w:hAnsi="Times New Roman" w:cs="Times New Roman"/>
        </w:rPr>
        <w:t>help</w:t>
      </w:r>
      <w:r w:rsidRPr="3ED3F2E5" w:rsidR="305BFA05">
        <w:rPr>
          <w:rFonts w:ascii="Times New Roman" w:hAnsi="Times New Roman" w:cs="Times New Roman"/>
        </w:rPr>
        <w:t xml:space="preserve"> </w:t>
      </w:r>
      <w:r w:rsidRPr="3ED3F2E5" w:rsidR="148C7519">
        <w:rPr>
          <w:rFonts w:ascii="Times New Roman" w:hAnsi="Times New Roman" w:cs="Times New Roman"/>
        </w:rPr>
        <w:t>inform</w:t>
      </w:r>
      <w:r w:rsidRPr="3ED3F2E5" w:rsidR="70DFC824">
        <w:rPr>
          <w:rFonts w:ascii="Times New Roman" w:hAnsi="Times New Roman" w:cs="Times New Roman"/>
        </w:rPr>
        <w:t xml:space="preserve"> the development </w:t>
      </w:r>
      <w:r w:rsidRPr="3ED3F2E5" w:rsidR="305BFA05">
        <w:rPr>
          <w:rFonts w:ascii="Times New Roman" w:hAnsi="Times New Roman" w:cs="Times New Roman"/>
        </w:rPr>
        <w:t>of tools</w:t>
      </w:r>
      <w:r w:rsidRPr="3ED3F2E5" w:rsidR="3D7349D7">
        <w:rPr>
          <w:rFonts w:ascii="Times New Roman" w:hAnsi="Times New Roman" w:cs="Times New Roman"/>
        </w:rPr>
        <w:t xml:space="preserve"> necessary to </w:t>
      </w:r>
      <w:r w:rsidRPr="3ED3F2E5" w:rsidR="5BD1EC9D">
        <w:rPr>
          <w:rFonts w:ascii="Times New Roman" w:hAnsi="Times New Roman" w:cs="Times New Roman"/>
        </w:rPr>
        <w:t>assist providers w</w:t>
      </w:r>
      <w:r w:rsidRPr="3ED3F2E5" w:rsidR="5C687826">
        <w:rPr>
          <w:rFonts w:ascii="Times New Roman" w:hAnsi="Times New Roman" w:cs="Times New Roman"/>
        </w:rPr>
        <w:t>ith</w:t>
      </w:r>
      <w:r w:rsidRPr="3ED3F2E5" w:rsidR="5BD1EC9D">
        <w:rPr>
          <w:rFonts w:ascii="Times New Roman" w:hAnsi="Times New Roman" w:cs="Times New Roman"/>
        </w:rPr>
        <w:t xml:space="preserve"> documenting </w:t>
      </w:r>
      <w:r w:rsidRPr="3ED3F2E5" w:rsidR="055FF217">
        <w:rPr>
          <w:rFonts w:ascii="Times New Roman" w:hAnsi="Times New Roman" w:cs="Times New Roman"/>
        </w:rPr>
        <w:t xml:space="preserve">sensitive </w:t>
      </w:r>
      <w:r w:rsidRPr="3ED3F2E5" w:rsidR="5BD1EC9D">
        <w:rPr>
          <w:rFonts w:ascii="Times New Roman" w:hAnsi="Times New Roman" w:cs="Times New Roman"/>
        </w:rPr>
        <w:t>SDOH data in the clinical notes section</w:t>
      </w:r>
      <w:r w:rsidRPr="3ED3F2E5" w:rsidR="70DFC824">
        <w:rPr>
          <w:rFonts w:ascii="Times New Roman" w:hAnsi="Times New Roman" w:cs="Times New Roman"/>
        </w:rPr>
        <w:t xml:space="preserve"> of the </w:t>
      </w:r>
      <w:r w:rsidRPr="3ED3F2E5" w:rsidR="6DA90BB2">
        <w:rPr>
          <w:rFonts w:ascii="Times New Roman" w:hAnsi="Times New Roman" w:cs="Times New Roman"/>
        </w:rPr>
        <w:t>EHR</w:t>
      </w:r>
      <w:r w:rsidRPr="3ED3F2E5" w:rsidR="47AFAC78">
        <w:rPr>
          <w:rFonts w:ascii="Times New Roman" w:hAnsi="Times New Roman" w:cs="Times New Roman"/>
        </w:rPr>
        <w:t>.</w:t>
      </w:r>
      <w:r w:rsidRPr="3ED3F2E5" w:rsidR="77C97717">
        <w:rPr>
          <w:rFonts w:ascii="Times New Roman" w:hAnsi="Times New Roman" w:cs="Times New Roman"/>
        </w:rPr>
        <w:t xml:space="preserve"> </w:t>
      </w:r>
      <w:r w:rsidRPr="3ED3F2E5" w:rsidR="1B01AE79">
        <w:rPr>
          <w:rFonts w:ascii="Times New Roman" w:hAnsi="Times New Roman" w:cs="Times New Roman"/>
        </w:rPr>
        <w:t>This information will also</w:t>
      </w:r>
      <w:r w:rsidRPr="3ED3F2E5" w:rsidR="76D8D878">
        <w:rPr>
          <w:rFonts w:ascii="Times New Roman" w:hAnsi="Times New Roman" w:cs="Times New Roman"/>
        </w:rPr>
        <w:t xml:space="preserve"> help to</w:t>
      </w:r>
      <w:r w:rsidRPr="3ED3F2E5" w:rsidR="1B01AE79">
        <w:rPr>
          <w:rFonts w:ascii="Times New Roman" w:hAnsi="Times New Roman" w:cs="Times New Roman"/>
        </w:rPr>
        <w:t xml:space="preserve"> inform ONC’s data standardization efforts</w:t>
      </w:r>
      <w:r w:rsidRPr="3ED3F2E5" w:rsidR="14380F65">
        <w:rPr>
          <w:rFonts w:ascii="Times New Roman" w:hAnsi="Times New Roman" w:cs="Times New Roman"/>
        </w:rPr>
        <w:t>.</w:t>
      </w:r>
      <w:r w:rsidRPr="3ED3F2E5" w:rsidR="1B01AE79">
        <w:rPr>
          <w:rFonts w:ascii="Times New Roman" w:hAnsi="Times New Roman" w:cs="Times New Roman"/>
        </w:rPr>
        <w:t xml:space="preserve"> </w:t>
      </w:r>
      <w:r w:rsidRPr="3ED3F2E5" w:rsidR="30E467AB">
        <w:rPr>
          <w:rFonts w:ascii="Times New Roman" w:hAnsi="Times New Roman" w:cs="Times New Roman"/>
        </w:rPr>
        <w:t xml:space="preserve"> </w:t>
      </w:r>
      <w:r w:rsidRPr="3ED3F2E5" w:rsidR="458A911C">
        <w:rPr>
          <w:rFonts w:ascii="Times New Roman" w:hAnsi="Times New Roman" w:cs="Times New Roman"/>
        </w:rPr>
        <w:t xml:space="preserve">Data standardization </w:t>
      </w:r>
      <w:r w:rsidRPr="3ED3F2E5" w:rsidR="30E467AB">
        <w:rPr>
          <w:rFonts w:ascii="Times New Roman" w:hAnsi="Times New Roman" w:cs="Times New Roman"/>
        </w:rPr>
        <w:t>ensure</w:t>
      </w:r>
      <w:r w:rsidRPr="3ED3F2E5" w:rsidR="1FC72110">
        <w:rPr>
          <w:rFonts w:ascii="Times New Roman" w:hAnsi="Times New Roman" w:cs="Times New Roman"/>
        </w:rPr>
        <w:t>s</w:t>
      </w:r>
      <w:r w:rsidRPr="3ED3F2E5" w:rsidR="30E467AB">
        <w:rPr>
          <w:rFonts w:ascii="Times New Roman" w:hAnsi="Times New Roman" w:cs="Times New Roman"/>
        </w:rPr>
        <w:t xml:space="preserve"> that </w:t>
      </w:r>
      <w:r w:rsidRPr="3ED3F2E5" w:rsidR="27186162">
        <w:rPr>
          <w:rFonts w:ascii="Times New Roman" w:hAnsi="Times New Roman" w:cs="Times New Roman"/>
        </w:rPr>
        <w:t xml:space="preserve">electronic health </w:t>
      </w:r>
      <w:r w:rsidRPr="3ED3F2E5" w:rsidR="30E467AB">
        <w:rPr>
          <w:rFonts w:ascii="Times New Roman" w:hAnsi="Times New Roman" w:cs="Times New Roman"/>
        </w:rPr>
        <w:t xml:space="preserve">information is collected in a uniform way </w:t>
      </w:r>
      <w:r w:rsidRPr="3ED3F2E5" w:rsidR="30E467AB">
        <w:rPr>
          <w:rFonts w:ascii="Times New Roman" w:hAnsi="Times New Roman" w:cs="Times New Roman"/>
        </w:rPr>
        <w:lastRenderedPageBreak/>
        <w:t>across providers</w:t>
      </w:r>
      <w:r w:rsidRPr="3ED3F2E5" w:rsidR="6D646377">
        <w:rPr>
          <w:rFonts w:ascii="Times New Roman" w:hAnsi="Times New Roman" w:cs="Times New Roman"/>
        </w:rPr>
        <w:t xml:space="preserve"> and organizations. Such uniformity will allow for greater data interoperability and utilization – both key elements in coordinated, equitable care. </w:t>
      </w:r>
      <w:r w:rsidRPr="3ED3F2E5" w:rsidR="30E467AB">
        <w:rPr>
          <w:rFonts w:ascii="Times New Roman" w:hAnsi="Times New Roman" w:cs="Times New Roman"/>
        </w:rPr>
        <w:t xml:space="preserve"> Currently, SDOH data is collect</w:t>
      </w:r>
      <w:r w:rsidRPr="3ED3F2E5" w:rsidR="2331BD72">
        <w:rPr>
          <w:rFonts w:ascii="Times New Roman" w:hAnsi="Times New Roman" w:cs="Times New Roman"/>
        </w:rPr>
        <w:t xml:space="preserve">ed </w:t>
      </w:r>
      <w:r w:rsidRPr="3ED3F2E5" w:rsidR="30E467AB">
        <w:rPr>
          <w:rFonts w:ascii="Times New Roman" w:hAnsi="Times New Roman" w:cs="Times New Roman"/>
        </w:rPr>
        <w:t xml:space="preserve">in </w:t>
      </w:r>
      <w:r w:rsidRPr="3ED3F2E5" w:rsidR="6D646377">
        <w:rPr>
          <w:rFonts w:ascii="Times New Roman" w:hAnsi="Times New Roman" w:cs="Times New Roman"/>
        </w:rPr>
        <w:t xml:space="preserve">non-standard </w:t>
      </w:r>
      <w:r w:rsidRPr="3ED3F2E5" w:rsidR="30E467AB">
        <w:rPr>
          <w:rFonts w:ascii="Times New Roman" w:hAnsi="Times New Roman" w:cs="Times New Roman"/>
        </w:rPr>
        <w:t>ways across health care systems</w:t>
      </w:r>
      <w:r w:rsidRPr="3ED3F2E5" w:rsidR="7D7B9F8F">
        <w:rPr>
          <w:rFonts w:ascii="Times New Roman" w:hAnsi="Times New Roman" w:cs="Times New Roman"/>
        </w:rPr>
        <w:t xml:space="preserve"> and</w:t>
      </w:r>
      <w:r w:rsidRPr="3ED3F2E5" w:rsidR="30E467AB">
        <w:rPr>
          <w:rFonts w:ascii="Times New Roman" w:hAnsi="Times New Roman" w:cs="Times New Roman"/>
        </w:rPr>
        <w:t xml:space="preserve"> there is minimal </w:t>
      </w:r>
      <w:r w:rsidRPr="3ED3F2E5" w:rsidR="305BFA05">
        <w:rPr>
          <w:rFonts w:ascii="Times New Roman" w:hAnsi="Times New Roman" w:cs="Times New Roman"/>
        </w:rPr>
        <w:t>uniformity.</w:t>
      </w:r>
      <w:r w:rsidRPr="3ED3F2E5" w:rsidR="30E467AB">
        <w:rPr>
          <w:rFonts w:ascii="Times New Roman" w:hAnsi="Times New Roman" w:cs="Times New Roman"/>
        </w:rPr>
        <w:t xml:space="preserve"> This project will greatly inform that work. In terms of frequency, for this project </w:t>
      </w:r>
      <w:r w:rsidRPr="3ED3F2E5" w:rsidR="4B33A91A">
        <w:rPr>
          <w:rFonts w:ascii="Times New Roman" w:hAnsi="Times New Roman" w:cs="Times New Roman"/>
        </w:rPr>
        <w:t xml:space="preserve">OpenNotes/BILH, </w:t>
      </w:r>
      <w:r w:rsidRPr="3ED3F2E5" w:rsidR="597C8105">
        <w:rPr>
          <w:rFonts w:ascii="Times New Roman" w:hAnsi="Times New Roman" w:cs="Times New Roman"/>
        </w:rPr>
        <w:t>through its subcontractor,</w:t>
      </w:r>
      <w:r w:rsidRPr="3ED3F2E5" w:rsidR="4B33A91A">
        <w:rPr>
          <w:rFonts w:ascii="Times New Roman" w:hAnsi="Times New Roman" w:cs="Times New Roman"/>
        </w:rPr>
        <w:t xml:space="preserve"> MedPanel,</w:t>
      </w:r>
      <w:r w:rsidRPr="3ED3F2E5" w:rsidR="30E467AB">
        <w:rPr>
          <w:rFonts w:ascii="Times New Roman" w:hAnsi="Times New Roman" w:cs="Times New Roman"/>
        </w:rPr>
        <w:t xml:space="preserve"> </w:t>
      </w:r>
      <w:r w:rsidRPr="3ED3F2E5" w:rsidR="4B33A91A">
        <w:rPr>
          <w:rFonts w:ascii="Times New Roman" w:hAnsi="Times New Roman" w:cs="Times New Roman"/>
        </w:rPr>
        <w:t>will conduct</w:t>
      </w:r>
      <w:r w:rsidRPr="3ED3F2E5" w:rsidR="30E467AB">
        <w:rPr>
          <w:rFonts w:ascii="Times New Roman" w:hAnsi="Times New Roman" w:cs="Times New Roman"/>
        </w:rPr>
        <w:t xml:space="preserve"> </w:t>
      </w:r>
      <w:r w:rsidRPr="3ED3F2E5" w:rsidR="20A04802">
        <w:rPr>
          <w:rFonts w:ascii="Times New Roman" w:hAnsi="Times New Roman" w:cs="Times New Roman"/>
        </w:rPr>
        <w:t xml:space="preserve">a series of </w:t>
      </w:r>
      <w:r w:rsidRPr="3ED3F2E5" w:rsidR="30E467AB">
        <w:rPr>
          <w:rFonts w:ascii="Times New Roman" w:hAnsi="Times New Roman" w:cs="Times New Roman"/>
        </w:rPr>
        <w:t xml:space="preserve">focus groups </w:t>
      </w:r>
      <w:r w:rsidRPr="3ED3F2E5" w:rsidR="20A04802">
        <w:rPr>
          <w:rFonts w:ascii="Times New Roman" w:hAnsi="Times New Roman" w:cs="Times New Roman"/>
        </w:rPr>
        <w:t>o</w:t>
      </w:r>
      <w:r w:rsidRPr="3ED3F2E5" w:rsidR="30E467AB">
        <w:rPr>
          <w:rFonts w:ascii="Times New Roman" w:hAnsi="Times New Roman" w:cs="Times New Roman"/>
        </w:rPr>
        <w:t xml:space="preserve">ver a period of </w:t>
      </w:r>
      <w:r w:rsidRPr="3ED3F2E5" w:rsidR="305BFA05">
        <w:rPr>
          <w:rFonts w:ascii="Times New Roman" w:hAnsi="Times New Roman" w:cs="Times New Roman"/>
        </w:rPr>
        <w:t>several months</w:t>
      </w:r>
      <w:r w:rsidRPr="3ED3F2E5" w:rsidR="1D3FA116">
        <w:rPr>
          <w:rFonts w:ascii="Times New Roman" w:hAnsi="Times New Roman" w:cs="Times New Roman"/>
        </w:rPr>
        <w:t xml:space="preserve"> </w:t>
      </w:r>
      <w:r w:rsidRPr="3ED3F2E5" w:rsidR="00305537">
        <w:rPr>
          <w:rFonts w:ascii="Times New Roman" w:hAnsi="Times New Roman" w:cs="Times New Roman"/>
        </w:rPr>
        <w:t>beginning in</w:t>
      </w:r>
      <w:r w:rsidRPr="3ED3F2E5" w:rsidR="30E467AB">
        <w:rPr>
          <w:rFonts w:ascii="Times New Roman" w:hAnsi="Times New Roman" w:cs="Times New Roman"/>
        </w:rPr>
        <w:t xml:space="preserve"> </w:t>
      </w:r>
      <w:r w:rsidR="00DB23E8">
        <w:rPr>
          <w:rFonts w:ascii="Times New Roman" w:hAnsi="Times New Roman" w:cs="Times New Roman"/>
          <w:b/>
          <w:bCs/>
        </w:rPr>
        <w:t>early 2022</w:t>
      </w:r>
      <w:r w:rsidRPr="3ED3F2E5" w:rsidR="30E467AB">
        <w:rPr>
          <w:rFonts w:ascii="Times New Roman" w:hAnsi="Times New Roman" w:cs="Times New Roman"/>
        </w:rPr>
        <w:t xml:space="preserve">. </w:t>
      </w:r>
      <w:r w:rsidRPr="3ED3F2E5" w:rsidR="7D71FB53">
        <w:rPr>
          <w:rFonts w:ascii="Times New Roman" w:hAnsi="Times New Roman" w:cs="Times New Roman"/>
        </w:rPr>
        <w:t xml:space="preserve">This study </w:t>
      </w:r>
      <w:r w:rsidRPr="3ED3F2E5" w:rsidR="70319149">
        <w:rPr>
          <w:rFonts w:ascii="Times New Roman" w:hAnsi="Times New Roman" w:cs="Times New Roman"/>
        </w:rPr>
        <w:t xml:space="preserve">will </w:t>
      </w:r>
      <w:r w:rsidRPr="3ED3F2E5" w:rsidR="30E467AB">
        <w:rPr>
          <w:rFonts w:ascii="Times New Roman" w:hAnsi="Times New Roman" w:cs="Times New Roman"/>
        </w:rPr>
        <w:t xml:space="preserve">not repeat </w:t>
      </w:r>
      <w:r w:rsidRPr="3ED3F2E5" w:rsidR="79A29B2D">
        <w:rPr>
          <w:rFonts w:ascii="Times New Roman" w:hAnsi="Times New Roman" w:cs="Times New Roman"/>
        </w:rPr>
        <w:t xml:space="preserve">the </w:t>
      </w:r>
      <w:r w:rsidRPr="3ED3F2E5" w:rsidR="30E467AB">
        <w:rPr>
          <w:rFonts w:ascii="Times New Roman" w:hAnsi="Times New Roman" w:cs="Times New Roman"/>
        </w:rPr>
        <w:t xml:space="preserve">focus groups in future years. </w:t>
      </w:r>
    </w:p>
    <w:p w:rsidRPr="00F3189A" w:rsidR="001E1D7C" w:rsidP="00D5691C" w:rsidRDefault="001E1D7C" w14:paraId="653B2881" w14:textId="77777777">
      <w:pPr>
        <w:pStyle w:val="CM56"/>
        <w:spacing w:after="267"/>
        <w:ind w:right="632"/>
        <w:contextualSpacing/>
        <w:rPr>
          <w:rFonts w:ascii="Times New Roman" w:hAnsi="Times New Roman" w:cs="Times New Roman"/>
        </w:rPr>
      </w:pPr>
    </w:p>
    <w:p w:rsidRPr="00F3189A" w:rsidR="00D5691C" w:rsidP="00D5691C" w:rsidRDefault="00CA74CD" w14:paraId="5C8F1904" w14:textId="598F7C0B">
      <w:pPr>
        <w:pStyle w:val="CM16"/>
        <w:spacing w:line="240" w:lineRule="auto"/>
        <w:ind w:right="182"/>
        <w:contextualSpacing/>
        <w:rPr>
          <w:rFonts w:ascii="Times New Roman" w:hAnsi="Times New Roman" w:cs="Times New Roman"/>
          <w:b/>
          <w:bCs/>
        </w:rPr>
      </w:pPr>
      <w:r w:rsidRPr="00F3189A">
        <w:rPr>
          <w:rFonts w:ascii="Times New Roman" w:hAnsi="Times New Roman" w:cs="Times New Roman"/>
          <w:b/>
          <w:bCs/>
        </w:rPr>
        <w:t xml:space="preserve">7. </w:t>
      </w:r>
      <w:r w:rsidRPr="003A2569" w:rsidR="003A2569">
        <w:rPr>
          <w:rFonts w:ascii="Times New Roman" w:hAnsi="Times New Roman" w:cs="Times New Roman"/>
          <w:b/>
          <w:bCs/>
          <w:u w:val="single"/>
        </w:rPr>
        <w:t>Special Circumstances</w:t>
      </w:r>
      <w:r w:rsidRPr="003A2569" w:rsidR="003A2569">
        <w:rPr>
          <w:u w:val="single"/>
        </w:rPr>
        <w:t xml:space="preserve"> </w:t>
      </w:r>
      <w:r w:rsidRPr="003A2569" w:rsidR="003A2569">
        <w:rPr>
          <w:rFonts w:ascii="Times New Roman" w:hAnsi="Times New Roman" w:cs="Times New Roman"/>
          <w:b/>
          <w:bCs/>
          <w:u w:val="single"/>
        </w:rPr>
        <w:t>Relating to the Guidelines of 5 CFR 1320.5</w:t>
      </w:r>
      <w:r w:rsidR="003A2569">
        <w:rPr>
          <w:rFonts w:ascii="Times New Roman" w:hAnsi="Times New Roman" w:cs="Times New Roman"/>
          <w:b/>
          <w:bCs/>
        </w:rPr>
        <w:t xml:space="preserve"> </w:t>
      </w:r>
      <w:r w:rsidRPr="00F3189A">
        <w:rPr>
          <w:rFonts w:ascii="Times New Roman" w:hAnsi="Times New Roman" w:cs="Times New Roman"/>
          <w:b/>
          <w:bCs/>
        </w:rPr>
        <w:t xml:space="preserve"> </w:t>
      </w:r>
    </w:p>
    <w:p w:rsidRPr="00F3189A" w:rsidR="00A2518D" w:rsidP="00A2518D" w:rsidRDefault="003A2569" w14:paraId="00BACC1F" w14:textId="10A8A197">
      <w:pPr>
        <w:pStyle w:val="Default"/>
        <w:rPr>
          <w:rFonts w:ascii="Times New Roman" w:hAnsi="Times New Roman" w:cs="Times New Roman"/>
        </w:rPr>
      </w:pPr>
      <w:r w:rsidRPr="003A2569">
        <w:rPr>
          <w:rFonts w:ascii="Times New Roman" w:hAnsi="Times New Roman" w:cs="Times New Roman"/>
        </w:rPr>
        <w:t>This data collection request is fully consistent with the guidelines. There are no special circumstances required for the collection of information in this data collection.</w:t>
      </w:r>
    </w:p>
    <w:p w:rsidR="003A2569" w:rsidP="00D5691C" w:rsidRDefault="003A2569" w14:paraId="6ABE181D" w14:textId="77777777">
      <w:pPr>
        <w:pStyle w:val="CM56"/>
        <w:spacing w:after="267"/>
        <w:ind w:right="182"/>
        <w:contextualSpacing/>
        <w:rPr>
          <w:rFonts w:ascii="Times New Roman" w:hAnsi="Times New Roman" w:cs="Times New Roman"/>
          <w:b/>
          <w:bCs/>
        </w:rPr>
      </w:pPr>
    </w:p>
    <w:p w:rsidR="000A1B80" w:rsidP="000A1B80" w:rsidRDefault="12F073B5" w14:paraId="60F2BA02" w14:textId="1C790000">
      <w:pPr>
        <w:pStyle w:val="CM56"/>
        <w:spacing w:after="267"/>
        <w:ind w:right="182"/>
        <w:contextualSpacing/>
        <w:rPr>
          <w:rFonts w:ascii="Times New Roman" w:hAnsi="Times New Roman" w:cs="Times New Roman"/>
          <w:b/>
          <w:bCs/>
          <w:u w:val="single"/>
        </w:rPr>
      </w:pPr>
      <w:r w:rsidRPr="44CB85AD">
        <w:rPr>
          <w:rFonts w:ascii="Times New Roman" w:hAnsi="Times New Roman" w:cs="Times New Roman"/>
          <w:b/>
          <w:bCs/>
        </w:rPr>
        <w:t xml:space="preserve">8. </w:t>
      </w:r>
      <w:r w:rsidRPr="44CB85AD" w:rsidR="30AF2F44">
        <w:rPr>
          <w:rFonts w:ascii="Times New Roman" w:hAnsi="Times New Roman" w:cs="Times New Roman"/>
          <w:b/>
          <w:bCs/>
          <w:u w:val="single"/>
        </w:rPr>
        <w:t>Comments in Response to the Federal Register Notice</w:t>
      </w:r>
      <w:r w:rsidRPr="44CB85AD" w:rsidR="191DD0AA">
        <w:rPr>
          <w:u w:val="single"/>
        </w:rPr>
        <w:t>/</w:t>
      </w:r>
      <w:r w:rsidRPr="44CB85AD" w:rsidR="191DD0AA">
        <w:rPr>
          <w:rFonts w:ascii="Times New Roman" w:hAnsi="Times New Roman" w:cs="Times New Roman"/>
          <w:b/>
          <w:bCs/>
          <w:u w:val="single"/>
        </w:rPr>
        <w:t>Outside Consultation</w:t>
      </w:r>
    </w:p>
    <w:p w:rsidR="00267D82" w:rsidP="00267D82" w:rsidRDefault="175B7DD1" w14:paraId="2D40F916" w14:textId="77777777">
      <w:pPr>
        <w:pStyle w:val="CM56"/>
        <w:spacing w:after="267"/>
        <w:ind w:right="182"/>
        <w:contextualSpacing/>
        <w:rPr>
          <w:rFonts w:ascii="Times New Roman" w:hAnsi="Times New Roman" w:cs="Times New Roman"/>
        </w:rPr>
      </w:pPr>
      <w:r w:rsidRPr="476ACF95">
        <w:rPr>
          <w:rFonts w:ascii="Times New Roman" w:hAnsi="Times New Roman" w:cs="Times New Roman"/>
        </w:rPr>
        <w:t xml:space="preserve">On March 11, </w:t>
      </w:r>
      <w:r w:rsidRPr="476ACF95" w:rsidR="00365A4D">
        <w:rPr>
          <w:rFonts w:ascii="Times New Roman" w:hAnsi="Times New Roman" w:cs="Times New Roman"/>
        </w:rPr>
        <w:t>2021, a</w:t>
      </w:r>
      <w:r w:rsidRPr="476ACF95" w:rsidR="30B6AA66">
        <w:rPr>
          <w:rFonts w:ascii="Times New Roman" w:hAnsi="Times New Roman" w:cs="Times New Roman"/>
        </w:rPr>
        <w:t xml:space="preserve"> 60-Day Federal Register Notice was published at 86 FR 13908 pages 13</w:t>
      </w:r>
      <w:r w:rsidR="00267D82">
        <w:rPr>
          <w:rFonts w:ascii="Times New Roman" w:hAnsi="Times New Roman" w:cs="Times New Roman"/>
        </w:rPr>
        <w:t xml:space="preserve">. </w:t>
      </w:r>
    </w:p>
    <w:p w:rsidR="00267D82" w:rsidP="00267D82" w:rsidRDefault="00267D82" w14:paraId="1B63BA6F" w14:textId="77777777">
      <w:pPr>
        <w:pStyle w:val="CM56"/>
        <w:spacing w:after="267"/>
        <w:ind w:right="182"/>
        <w:contextualSpacing/>
        <w:rPr>
          <w:rFonts w:ascii="Times New Roman" w:hAnsi="Times New Roman" w:cs="Times New Roman"/>
        </w:rPr>
      </w:pPr>
    </w:p>
    <w:p w:rsidR="00267D82" w:rsidP="00267D82" w:rsidRDefault="00267D82" w14:paraId="399A17EB" w14:textId="71811D63">
      <w:pPr>
        <w:pStyle w:val="CM56"/>
        <w:ind w:right="187"/>
        <w:contextualSpacing/>
        <w:rPr>
          <w:rFonts w:ascii="Times New Roman" w:hAnsi="Times New Roman" w:cs="Times New Roman"/>
        </w:rPr>
      </w:pPr>
      <w:r w:rsidRPr="00267D82">
        <w:rPr>
          <w:rFonts w:ascii="Times New Roman" w:hAnsi="Times New Roman" w:cs="Times New Roman"/>
        </w:rPr>
        <w:t>We received thirteen comments in response to the 60-day federal register notice; two were substantive, four were requests for the complete information collection request (ICR) package and seven were out of scope for this ICR.</w:t>
      </w:r>
    </w:p>
    <w:p w:rsidRPr="00267D82" w:rsidR="00267D82" w:rsidP="00267D82" w:rsidRDefault="00267D82" w14:paraId="0151537C" w14:textId="77777777">
      <w:pPr>
        <w:pStyle w:val="Default"/>
      </w:pPr>
    </w:p>
    <w:p w:rsidR="00267D82" w:rsidP="00267D82" w:rsidRDefault="00267D82" w14:paraId="425EB86E" w14:textId="27FC5A8B">
      <w:pPr>
        <w:pStyle w:val="CM56"/>
        <w:ind w:right="187"/>
        <w:contextualSpacing/>
        <w:rPr>
          <w:rFonts w:ascii="Times New Roman" w:hAnsi="Times New Roman" w:cs="Times New Roman"/>
        </w:rPr>
      </w:pPr>
      <w:r w:rsidRPr="00267D82">
        <w:rPr>
          <w:rFonts w:ascii="Times New Roman" w:hAnsi="Times New Roman" w:cs="Times New Roman"/>
        </w:rPr>
        <w:t xml:space="preserve">Of the substantive comments, one commenter requested that we add questions to measure well-being of focus group participants. While that information may be valuable, we found that such questions would be out of scope for this ICR.  </w:t>
      </w:r>
    </w:p>
    <w:p w:rsidRPr="00267D82" w:rsidR="00267D82" w:rsidP="00267D82" w:rsidRDefault="00267D82" w14:paraId="172A5D91" w14:textId="77777777">
      <w:pPr>
        <w:pStyle w:val="Default"/>
      </w:pPr>
    </w:p>
    <w:p w:rsidRPr="00267D82" w:rsidR="00267D82" w:rsidP="00267D82" w:rsidRDefault="00267D82" w14:paraId="646F07B6" w14:textId="3D22854A">
      <w:pPr>
        <w:pStyle w:val="CM56"/>
        <w:spacing w:after="270"/>
        <w:ind w:right="187"/>
        <w:contextualSpacing/>
        <w:rPr>
          <w:rFonts w:ascii="Times New Roman" w:hAnsi="Times New Roman" w:cs="Times New Roman"/>
        </w:rPr>
      </w:pPr>
      <w:r w:rsidRPr="6F1D764C">
        <w:rPr>
          <w:rFonts w:ascii="Times New Roman" w:hAnsi="Times New Roman" w:cs="Times New Roman"/>
        </w:rPr>
        <w:t xml:space="preserve">A different commenter requested that we recruit registered dietitian nutritionists to participate in the research and add them as an option on the prescreening questionnaire. In response, we will recruit registered dietitian nutritionists for the focus groups, and we have updated the prescreening questionnaire to include registered dietitian nutritionists on the list of non-physician professionals. Complete table of comments and responses can be found in attached supplement </w:t>
      </w:r>
      <w:r w:rsidRPr="0005180F">
        <w:rPr>
          <w:rFonts w:ascii="Times New Roman" w:hAnsi="Times New Roman" w:cs="Times New Roman"/>
        </w:rPr>
        <w:t xml:space="preserve">document </w:t>
      </w:r>
      <w:r w:rsidRPr="0005180F" w:rsidR="007A45AF">
        <w:rPr>
          <w:rFonts w:ascii="Times New Roman" w:hAnsi="Times New Roman" w:cs="Times New Roman"/>
        </w:rPr>
        <w:t xml:space="preserve">(see </w:t>
      </w:r>
      <w:r w:rsidRPr="0005180F" w:rsidR="3EEB6A8C">
        <w:rPr>
          <w:rFonts w:ascii="Times New Roman" w:hAnsi="Times New Roman" w:cs="Times New Roman"/>
        </w:rPr>
        <w:t>a</w:t>
      </w:r>
      <w:r w:rsidRPr="0005180F" w:rsidR="007A45AF">
        <w:rPr>
          <w:rFonts w:ascii="Times New Roman" w:hAnsi="Times New Roman" w:cs="Times New Roman"/>
        </w:rPr>
        <w:t xml:space="preserve">ttachment </w:t>
      </w:r>
      <w:r w:rsidRPr="0005180F" w:rsidR="2E73DEED">
        <w:rPr>
          <w:rFonts w:ascii="Times New Roman" w:hAnsi="Times New Roman" w:cs="Times New Roman"/>
        </w:rPr>
        <w:t>A1</w:t>
      </w:r>
      <w:r w:rsidRPr="0005180F">
        <w:rPr>
          <w:rFonts w:ascii="Times New Roman" w:hAnsi="Times New Roman" w:cs="Times New Roman"/>
        </w:rPr>
        <w:t>)</w:t>
      </w:r>
      <w:r w:rsidRPr="0005180F" w:rsidR="6505B436">
        <w:rPr>
          <w:rFonts w:ascii="Times New Roman" w:hAnsi="Times New Roman" w:cs="Times New Roman"/>
        </w:rPr>
        <w:t>.</w:t>
      </w:r>
      <w:r w:rsidRPr="6F1D764C" w:rsidR="30B6AA66">
        <w:rPr>
          <w:rFonts w:ascii="Times New Roman" w:hAnsi="Times New Roman" w:cs="Times New Roman"/>
        </w:rPr>
        <w:t xml:space="preserve"> </w:t>
      </w:r>
    </w:p>
    <w:p w:rsidRPr="009131F2" w:rsidR="001865FD" w:rsidP="00267D82" w:rsidRDefault="00CA74CD" w14:paraId="39C61C84" w14:textId="5C428409">
      <w:pPr>
        <w:pStyle w:val="Default"/>
        <w:spacing w:after="270"/>
      </w:pPr>
      <w:r w:rsidRPr="6E357958">
        <w:rPr>
          <w:rFonts w:ascii="Times New Roman" w:hAnsi="Times New Roman" w:cs="Times New Roman"/>
          <w:b/>
          <w:bCs/>
        </w:rPr>
        <w:t xml:space="preserve">9. </w:t>
      </w:r>
      <w:r w:rsidRPr="6E357958" w:rsidR="000711C3">
        <w:rPr>
          <w:rFonts w:ascii="Times New Roman" w:hAnsi="Times New Roman" w:cs="Times New Roman"/>
          <w:b/>
          <w:bCs/>
          <w:u w:val="single"/>
        </w:rPr>
        <w:t>Explanation of any Payment/Gift to Respondents</w:t>
      </w:r>
    </w:p>
    <w:p w:rsidRPr="00F3189A" w:rsidR="7E185D71" w:rsidP="6F1D764C" w:rsidRDefault="71783EFB" w14:paraId="19E4F486" w14:textId="76D99CD9">
      <w:pPr>
        <w:pStyle w:val="CM56"/>
        <w:spacing w:after="267"/>
        <w:ind w:right="105"/>
        <w:rPr>
          <w:rStyle w:val="CommentReference"/>
          <w:rFonts w:ascii="Times New Roman" w:hAnsi="Times New Roman" w:cs="Times New Roman"/>
          <w:sz w:val="24"/>
          <w:szCs w:val="24"/>
        </w:rPr>
      </w:pPr>
      <w:r w:rsidRPr="6F1D764C">
        <w:rPr>
          <w:rStyle w:val="CommentReference"/>
          <w:rFonts w:ascii="Times New Roman" w:hAnsi="Times New Roman" w:cs="Times New Roman"/>
          <w:sz w:val="24"/>
          <w:szCs w:val="24"/>
        </w:rPr>
        <w:t xml:space="preserve">OpenNotes/BILH will not offer payments or gifts </w:t>
      </w:r>
      <w:r w:rsidRPr="6F1D764C" w:rsidR="74C200C1">
        <w:rPr>
          <w:rStyle w:val="CommentReference"/>
          <w:rFonts w:ascii="Times New Roman" w:hAnsi="Times New Roman" w:cs="Times New Roman"/>
          <w:sz w:val="24"/>
          <w:szCs w:val="24"/>
        </w:rPr>
        <w:t xml:space="preserve">directly </w:t>
      </w:r>
      <w:r w:rsidRPr="6F1D764C">
        <w:rPr>
          <w:rStyle w:val="CommentReference"/>
          <w:rFonts w:ascii="Times New Roman" w:hAnsi="Times New Roman" w:cs="Times New Roman"/>
          <w:sz w:val="24"/>
          <w:szCs w:val="24"/>
        </w:rPr>
        <w:t xml:space="preserve">to study participants. However, </w:t>
      </w:r>
      <w:r w:rsidRPr="6F1D764C" w:rsidR="7AD0CEB0">
        <w:rPr>
          <w:rStyle w:val="CommentReference"/>
          <w:rFonts w:ascii="Times New Roman" w:hAnsi="Times New Roman" w:cs="Times New Roman"/>
          <w:sz w:val="24"/>
          <w:szCs w:val="24"/>
        </w:rPr>
        <w:t>Open</w:t>
      </w:r>
      <w:r w:rsidRPr="6F1D764C" w:rsidR="7663E037">
        <w:rPr>
          <w:rStyle w:val="CommentReference"/>
          <w:rFonts w:ascii="Times New Roman" w:hAnsi="Times New Roman" w:cs="Times New Roman"/>
          <w:sz w:val="24"/>
          <w:szCs w:val="24"/>
        </w:rPr>
        <w:t xml:space="preserve">Notes/BILH’s subcontractor, MedPanel, </w:t>
      </w:r>
      <w:r w:rsidRPr="6F1D764C" w:rsidR="239D6D6D">
        <w:rPr>
          <w:rStyle w:val="CommentReference"/>
          <w:rFonts w:ascii="Times New Roman" w:hAnsi="Times New Roman" w:cs="Times New Roman"/>
          <w:sz w:val="24"/>
          <w:szCs w:val="24"/>
        </w:rPr>
        <w:t xml:space="preserve">is </w:t>
      </w:r>
      <w:r w:rsidRPr="6F1D764C" w:rsidR="7663E037">
        <w:rPr>
          <w:rStyle w:val="CommentReference"/>
          <w:rFonts w:ascii="Times New Roman" w:hAnsi="Times New Roman" w:cs="Times New Roman"/>
          <w:sz w:val="24"/>
          <w:szCs w:val="24"/>
        </w:rPr>
        <w:t xml:space="preserve">responsible for participant recruitment, focus group facilitation, and disseminating data to OpenNotes/BILH. </w:t>
      </w:r>
      <w:r w:rsidRPr="6F1D764C" w:rsidR="3F522098">
        <w:rPr>
          <w:rStyle w:val="CommentReference"/>
          <w:rFonts w:ascii="Times New Roman" w:hAnsi="Times New Roman" w:cs="Times New Roman"/>
          <w:sz w:val="24"/>
          <w:szCs w:val="24"/>
        </w:rPr>
        <w:t>The subcontractor</w:t>
      </w:r>
      <w:r w:rsidRPr="6F1D764C" w:rsidR="7663E037">
        <w:rPr>
          <w:rStyle w:val="CommentReference"/>
          <w:rFonts w:ascii="Times New Roman" w:hAnsi="Times New Roman" w:cs="Times New Roman"/>
          <w:sz w:val="24"/>
          <w:szCs w:val="24"/>
        </w:rPr>
        <w:t xml:space="preserve"> will use its standard organizational techniques to encourage study participation </w:t>
      </w:r>
      <w:r w:rsidRPr="6F1D764C" w:rsidR="3F24C0A4">
        <w:rPr>
          <w:rStyle w:val="CommentReference"/>
          <w:rFonts w:ascii="Times New Roman" w:hAnsi="Times New Roman" w:cs="Times New Roman"/>
          <w:sz w:val="24"/>
          <w:szCs w:val="24"/>
        </w:rPr>
        <w:t>to</w:t>
      </w:r>
      <w:r w:rsidRPr="6F1D764C" w:rsidR="23AFB55D">
        <w:rPr>
          <w:rStyle w:val="CommentReference"/>
          <w:rFonts w:ascii="Times New Roman" w:hAnsi="Times New Roman" w:cs="Times New Roman"/>
          <w:sz w:val="24"/>
          <w:szCs w:val="24"/>
        </w:rPr>
        <w:t xml:space="preserve"> achieve </w:t>
      </w:r>
      <w:r w:rsidRPr="6F1D764C" w:rsidR="6E55C519">
        <w:rPr>
          <w:rStyle w:val="CommentReference"/>
          <w:rFonts w:ascii="Times New Roman" w:hAnsi="Times New Roman" w:cs="Times New Roman"/>
          <w:sz w:val="24"/>
          <w:szCs w:val="24"/>
        </w:rPr>
        <w:t>ONC’</w:t>
      </w:r>
      <w:r w:rsidRPr="6F1D764C" w:rsidR="00886DA6">
        <w:rPr>
          <w:rStyle w:val="CommentReference"/>
          <w:rFonts w:ascii="Times New Roman" w:hAnsi="Times New Roman" w:cs="Times New Roman"/>
          <w:sz w:val="24"/>
          <w:szCs w:val="24"/>
        </w:rPr>
        <w:t>s</w:t>
      </w:r>
      <w:r w:rsidRPr="6F1D764C" w:rsidR="6E55C519">
        <w:rPr>
          <w:rStyle w:val="CommentReference"/>
          <w:rFonts w:ascii="Times New Roman" w:hAnsi="Times New Roman" w:cs="Times New Roman"/>
          <w:sz w:val="24"/>
          <w:szCs w:val="24"/>
        </w:rPr>
        <w:t xml:space="preserve"> specified study participation targets.</w:t>
      </w:r>
      <w:r w:rsidRPr="6F1D764C" w:rsidR="1AE51895">
        <w:rPr>
          <w:rStyle w:val="CommentReference"/>
          <w:rFonts w:ascii="Times New Roman" w:hAnsi="Times New Roman" w:cs="Times New Roman"/>
          <w:sz w:val="24"/>
          <w:szCs w:val="24"/>
        </w:rPr>
        <w:t xml:space="preserve"> </w:t>
      </w:r>
    </w:p>
    <w:p w:rsidRPr="00F3189A" w:rsidR="00D5691C" w:rsidP="00D5691C" w:rsidRDefault="00CA74CD" w14:paraId="63EF9484" w14:textId="428A0983">
      <w:pPr>
        <w:pStyle w:val="CM17"/>
        <w:spacing w:line="240" w:lineRule="auto"/>
        <w:ind w:right="105"/>
        <w:contextualSpacing/>
        <w:rPr>
          <w:rFonts w:ascii="Times New Roman" w:hAnsi="Times New Roman" w:cs="Times New Roman"/>
          <w:b/>
          <w:bCs/>
        </w:rPr>
      </w:pPr>
      <w:r w:rsidRPr="6E357958">
        <w:rPr>
          <w:rFonts w:ascii="Times New Roman" w:hAnsi="Times New Roman" w:cs="Times New Roman"/>
          <w:b/>
          <w:bCs/>
        </w:rPr>
        <w:t xml:space="preserve">10. </w:t>
      </w:r>
      <w:r w:rsidRPr="6E357958" w:rsidR="000711C3">
        <w:rPr>
          <w:rFonts w:ascii="Times New Roman" w:hAnsi="Times New Roman" w:cs="Times New Roman"/>
          <w:b/>
          <w:bCs/>
          <w:u w:val="single"/>
        </w:rPr>
        <w:t>Assurance of Confidentiality Provided to Respondents</w:t>
      </w:r>
    </w:p>
    <w:p w:rsidR="00427C64" w:rsidP="00004176" w:rsidRDefault="00427C64" w14:paraId="651BC203" w14:textId="77777777">
      <w:pPr>
        <w:pStyle w:val="Default"/>
        <w:rPr>
          <w:rFonts w:ascii="Times New Roman" w:hAnsi="Times New Roman" w:cs="Times New Roman"/>
        </w:rPr>
      </w:pPr>
    </w:p>
    <w:p w:rsidRPr="00427C64" w:rsidR="00427C64" w:rsidP="00004176" w:rsidRDefault="00427C64" w14:paraId="20796F71" w14:textId="6AF21BA7">
      <w:pPr>
        <w:pStyle w:val="Default"/>
        <w:rPr>
          <w:rFonts w:ascii="Times New Roman" w:hAnsi="Times New Roman" w:cs="Times New Roman"/>
          <w:u w:val="single"/>
        </w:rPr>
      </w:pPr>
      <w:r w:rsidRPr="0005180F">
        <w:rPr>
          <w:rFonts w:ascii="Times New Roman" w:hAnsi="Times New Roman" w:cs="Times New Roman"/>
          <w:u w:val="single"/>
        </w:rPr>
        <w:t>A10.A Privacy Act Determination</w:t>
      </w:r>
      <w:r w:rsidRPr="00427C64">
        <w:rPr>
          <w:rFonts w:ascii="Times New Roman" w:hAnsi="Times New Roman" w:cs="Times New Roman"/>
          <w:u w:val="single"/>
        </w:rPr>
        <w:t xml:space="preserve"> </w:t>
      </w:r>
    </w:p>
    <w:p w:rsidR="00427C64" w:rsidP="00004176" w:rsidRDefault="00427C64" w14:paraId="0E5B9865" w14:textId="77777777">
      <w:pPr>
        <w:pStyle w:val="Default"/>
        <w:rPr>
          <w:rFonts w:ascii="Times New Roman" w:hAnsi="Times New Roman" w:cs="Times New Roman"/>
        </w:rPr>
      </w:pPr>
    </w:p>
    <w:p w:rsidR="00004176" w:rsidP="00004176" w:rsidRDefault="00004176" w14:paraId="61DACD98" w14:textId="3AB23322">
      <w:pPr>
        <w:pStyle w:val="Default"/>
        <w:rPr>
          <w:rFonts w:ascii="Times New Roman" w:hAnsi="Times New Roman" w:cs="Times New Roman"/>
        </w:rPr>
      </w:pPr>
      <w:r w:rsidRPr="6E357958">
        <w:rPr>
          <w:rFonts w:ascii="Times New Roman" w:hAnsi="Times New Roman" w:cs="Times New Roman"/>
        </w:rPr>
        <w:t xml:space="preserve">The only personal identifiers involved in this information collection will be names and contact information of patients and providers recruited to participate in the focus groups. The identifiers will be in pre-existing proprietary recruitment records of the subcontractor, MedPanel, which are </w:t>
      </w:r>
      <w:r w:rsidRPr="6E357958">
        <w:rPr>
          <w:rFonts w:ascii="Times New Roman" w:hAnsi="Times New Roman" w:cs="Times New Roman"/>
        </w:rPr>
        <w:lastRenderedPageBreak/>
        <w:t>not under federal agency control</w:t>
      </w:r>
      <w:r w:rsidRPr="6E357958" w:rsidR="230D7C96">
        <w:rPr>
          <w:rFonts w:ascii="Times New Roman" w:hAnsi="Times New Roman" w:cs="Times New Roman"/>
        </w:rPr>
        <w:t>.</w:t>
      </w:r>
      <w:r w:rsidRPr="6E357958">
        <w:rPr>
          <w:rFonts w:ascii="Times New Roman" w:hAnsi="Times New Roman" w:cs="Times New Roman"/>
        </w:rPr>
        <w:t xml:space="preserve"> </w:t>
      </w:r>
      <w:r w:rsidRPr="6E357958" w:rsidR="66710530">
        <w:rPr>
          <w:rFonts w:ascii="Times New Roman" w:hAnsi="Times New Roman" w:cs="Times New Roman"/>
        </w:rPr>
        <w:t>Therefore, this</w:t>
      </w:r>
      <w:r w:rsidRPr="6E357958">
        <w:rPr>
          <w:rFonts w:ascii="Times New Roman" w:hAnsi="Times New Roman" w:cs="Times New Roman"/>
        </w:rPr>
        <w:t xml:space="preserve"> will not constitute Privacy Act records, even if </w:t>
      </w:r>
      <w:r w:rsidRPr="6E357958" w:rsidR="7975FA4B">
        <w:rPr>
          <w:rFonts w:ascii="Times New Roman" w:hAnsi="Times New Roman" w:cs="Times New Roman"/>
        </w:rPr>
        <w:t>the subcontractor</w:t>
      </w:r>
      <w:r w:rsidRPr="6E357958" w:rsidR="088C7744">
        <w:rPr>
          <w:rFonts w:ascii="Times New Roman" w:hAnsi="Times New Roman" w:cs="Times New Roman"/>
        </w:rPr>
        <w:t>,</w:t>
      </w:r>
      <w:r w:rsidRPr="6E357958" w:rsidR="75F97C4B">
        <w:rPr>
          <w:rFonts w:ascii="Times New Roman" w:hAnsi="Times New Roman" w:cs="Times New Roman"/>
        </w:rPr>
        <w:t xml:space="preserve"> MedPanel</w:t>
      </w:r>
      <w:r w:rsidRPr="6E357958" w:rsidR="151174A4">
        <w:rPr>
          <w:rFonts w:ascii="Times New Roman" w:hAnsi="Times New Roman" w:cs="Times New Roman"/>
        </w:rPr>
        <w:t xml:space="preserve">, </w:t>
      </w:r>
      <w:r w:rsidRPr="6E357958">
        <w:rPr>
          <w:rFonts w:ascii="Times New Roman" w:hAnsi="Times New Roman" w:cs="Times New Roman"/>
        </w:rPr>
        <w:t xml:space="preserve">uses the identifiers for retrieval. </w:t>
      </w:r>
    </w:p>
    <w:p w:rsidR="00004176" w:rsidP="00004176" w:rsidRDefault="00004176" w14:paraId="220E25E6" w14:textId="68E9DFFD">
      <w:pPr>
        <w:pStyle w:val="Default"/>
        <w:rPr>
          <w:rFonts w:ascii="Times New Roman" w:hAnsi="Times New Roman" w:cs="Times New Roman"/>
        </w:rPr>
      </w:pPr>
    </w:p>
    <w:p w:rsidRPr="0005180F" w:rsidR="00F2525E" w:rsidP="00004176" w:rsidRDefault="00F2525E" w14:paraId="6F42D390" w14:textId="0D7CAF88">
      <w:pPr>
        <w:pStyle w:val="Default"/>
        <w:rPr>
          <w:rFonts w:ascii="Times New Roman" w:hAnsi="Times New Roman" w:cs="Times New Roman"/>
          <w:u w:val="single"/>
        </w:rPr>
      </w:pPr>
      <w:r w:rsidRPr="0005180F">
        <w:rPr>
          <w:rFonts w:ascii="Times New Roman" w:hAnsi="Times New Roman" w:cs="Times New Roman"/>
          <w:u w:val="single"/>
        </w:rPr>
        <w:t xml:space="preserve">A10.B Consent </w:t>
      </w:r>
    </w:p>
    <w:p w:rsidRPr="0005180F" w:rsidR="00004176" w:rsidP="6F1D764C" w:rsidRDefault="29127D9B" w14:paraId="13D0AEB1" w14:textId="032DBD7E">
      <w:pPr>
        <w:pStyle w:val="Default"/>
        <w:rPr>
          <w:rFonts w:ascii="Times New Roman" w:hAnsi="Times New Roman" w:eastAsia="Times New Roman" w:cs="Times New Roman"/>
          <w:color w:val="333333"/>
          <w:shd w:val="clear" w:color="auto" w:fill="FFFFFF"/>
        </w:rPr>
      </w:pPr>
      <w:r w:rsidRPr="0005180F">
        <w:rPr>
          <w:rFonts w:ascii="Times New Roman" w:hAnsi="Times New Roman" w:cs="Times New Roman"/>
        </w:rPr>
        <w:t xml:space="preserve">Participation in this study will require written consent. </w:t>
      </w:r>
      <w:r w:rsidRPr="0005180F" w:rsidR="1CBCD8D0">
        <w:rPr>
          <w:rFonts w:ascii="Times New Roman" w:hAnsi="Times New Roman" w:cs="Times New Roman"/>
        </w:rPr>
        <w:t xml:space="preserve">During the recruitment process </w:t>
      </w:r>
      <w:r w:rsidRPr="0005180F" w:rsidR="728DDB80">
        <w:rPr>
          <w:rFonts w:ascii="Times New Roman" w:hAnsi="Times New Roman" w:cs="Times New Roman"/>
        </w:rPr>
        <w:t>the subcontractor,</w:t>
      </w:r>
      <w:r w:rsidRPr="0005180F" w:rsidR="2ACC2A4E">
        <w:rPr>
          <w:rFonts w:ascii="Times New Roman" w:hAnsi="Times New Roman" w:cs="Times New Roman"/>
        </w:rPr>
        <w:t xml:space="preserve"> </w:t>
      </w:r>
      <w:r w:rsidRPr="0005180F" w:rsidR="1CBCD8D0">
        <w:rPr>
          <w:rFonts w:ascii="Times New Roman" w:hAnsi="Times New Roman" w:eastAsia="Times New Roman" w:cs="Times New Roman"/>
          <w:color w:val="333333"/>
        </w:rPr>
        <w:t>MedPane</w:t>
      </w:r>
      <w:r w:rsidRPr="0005180F" w:rsidR="4BA95F20">
        <w:rPr>
          <w:rFonts w:ascii="Times New Roman" w:hAnsi="Times New Roman" w:eastAsia="Times New Roman" w:cs="Times New Roman"/>
          <w:color w:val="333333"/>
        </w:rPr>
        <w:t>l,</w:t>
      </w:r>
      <w:r w:rsidRPr="0005180F" w:rsidR="1CBCD8D0">
        <w:rPr>
          <w:rFonts w:ascii="Times New Roman" w:hAnsi="Times New Roman" w:eastAsia="Times New Roman" w:cs="Times New Roman"/>
          <w:color w:val="333333"/>
        </w:rPr>
        <w:t xml:space="preserve"> </w:t>
      </w:r>
      <w:r w:rsidRPr="0005180F" w:rsidR="07BD0106">
        <w:rPr>
          <w:rFonts w:ascii="Times New Roman" w:hAnsi="Times New Roman" w:eastAsia="Times New Roman" w:cs="Times New Roman"/>
          <w:color w:val="333333"/>
        </w:rPr>
        <w:t>will provide prospective participants with a document that describes</w:t>
      </w:r>
      <w:r w:rsidRPr="0005180F" w:rsidR="1CBCD8D0">
        <w:rPr>
          <w:rFonts w:ascii="Times New Roman" w:hAnsi="Times New Roman" w:eastAsia="Times New Roman" w:cs="Times New Roman"/>
          <w:color w:val="333333"/>
        </w:rPr>
        <w:t xml:space="preserve"> </w:t>
      </w:r>
      <w:r w:rsidRPr="0005180F" w:rsidR="07697168">
        <w:rPr>
          <w:rFonts w:ascii="Times New Roman" w:hAnsi="Times New Roman" w:eastAsia="Times New Roman" w:cs="Times New Roman"/>
          <w:color w:val="333333"/>
        </w:rPr>
        <w:t>i</w:t>
      </w:r>
      <w:r w:rsidRPr="0005180F" w:rsidR="7C8E03AF">
        <w:rPr>
          <w:rFonts w:ascii="Times New Roman" w:hAnsi="Times New Roman" w:eastAsia="Times New Roman" w:cs="Times New Roman"/>
          <w:color w:val="333333"/>
        </w:rPr>
        <w:t>t</w:t>
      </w:r>
      <w:r w:rsidRPr="0005180F" w:rsidR="1CBCD8D0">
        <w:rPr>
          <w:rFonts w:ascii="Times New Roman" w:hAnsi="Times New Roman" w:eastAsia="Times New Roman" w:cs="Times New Roman"/>
          <w:color w:val="333333"/>
        </w:rPr>
        <w:t>s privacy policy</w:t>
      </w:r>
      <w:r w:rsidRPr="0005180F" w:rsidR="01DA9CC4">
        <w:rPr>
          <w:rFonts w:ascii="Times New Roman" w:hAnsi="Times New Roman" w:eastAsia="Times New Roman" w:cs="Times New Roman"/>
          <w:color w:val="333333"/>
        </w:rPr>
        <w:t xml:space="preserve"> and</w:t>
      </w:r>
      <w:r w:rsidRPr="0005180F" w:rsidR="1CBCD8D0">
        <w:rPr>
          <w:rFonts w:ascii="Times New Roman" w:hAnsi="Times New Roman" w:eastAsia="Times New Roman" w:cs="Times New Roman"/>
          <w:color w:val="333333"/>
        </w:rPr>
        <w:t xml:space="preserve"> terms and conditions</w:t>
      </w:r>
      <w:r w:rsidRPr="0005180F" w:rsidR="5F1C3AEB">
        <w:rPr>
          <w:rFonts w:ascii="Times New Roman" w:hAnsi="Times New Roman" w:eastAsia="Times New Roman" w:cs="Times New Roman"/>
          <w:color w:val="333333"/>
        </w:rPr>
        <w:t xml:space="preserve">. </w:t>
      </w:r>
      <w:r w:rsidRPr="0005180F" w:rsidR="345EE6B7">
        <w:rPr>
          <w:rFonts w:ascii="Times New Roman" w:hAnsi="Times New Roman" w:eastAsia="Times New Roman" w:cs="Times New Roman"/>
          <w:color w:val="333333"/>
        </w:rPr>
        <w:t>The document</w:t>
      </w:r>
      <w:r w:rsidRPr="0005180F" w:rsidR="1CBCD8D0">
        <w:rPr>
          <w:rFonts w:ascii="Times New Roman" w:hAnsi="Times New Roman" w:eastAsia="Times New Roman" w:cs="Times New Roman"/>
          <w:color w:val="333333"/>
        </w:rPr>
        <w:t xml:space="preserve"> will provide a brief general overview of the ONC research project and allow disinterested respondents to withdraw from receiving survey invites</w:t>
      </w:r>
      <w:r w:rsidRPr="0005180F" w:rsidR="00F2525E">
        <w:rPr>
          <w:rFonts w:ascii="Times New Roman" w:hAnsi="Times New Roman" w:eastAsia="Times New Roman" w:cs="Times New Roman"/>
          <w:color w:val="333333"/>
        </w:rPr>
        <w:t xml:space="preserve"> and/or focus group participation</w:t>
      </w:r>
      <w:r w:rsidRPr="0005180F" w:rsidR="007A45AF">
        <w:rPr>
          <w:rFonts w:ascii="Times New Roman" w:hAnsi="Times New Roman" w:eastAsia="Times New Roman" w:cs="Times New Roman"/>
          <w:color w:val="333333"/>
        </w:rPr>
        <w:t xml:space="preserve"> (see </w:t>
      </w:r>
      <w:r w:rsidRPr="0005180F" w:rsidR="13490280">
        <w:rPr>
          <w:rFonts w:ascii="Times New Roman" w:hAnsi="Times New Roman" w:eastAsia="Times New Roman" w:cs="Times New Roman"/>
          <w:color w:val="333333"/>
        </w:rPr>
        <w:t>a</w:t>
      </w:r>
      <w:r w:rsidRPr="0005180F" w:rsidR="007A45AF">
        <w:rPr>
          <w:rFonts w:ascii="Times New Roman" w:hAnsi="Times New Roman" w:eastAsia="Times New Roman" w:cs="Times New Roman"/>
          <w:color w:val="333333"/>
        </w:rPr>
        <w:t>ttachments</w:t>
      </w:r>
      <w:r w:rsidRPr="0005180F" w:rsidR="75988FFA">
        <w:rPr>
          <w:rFonts w:ascii="Times New Roman" w:hAnsi="Times New Roman" w:eastAsia="Times New Roman" w:cs="Times New Roman"/>
          <w:color w:val="333333"/>
        </w:rPr>
        <w:t xml:space="preserve"> D1 - D5</w:t>
      </w:r>
      <w:r w:rsidRPr="0005180F" w:rsidR="007A45AF">
        <w:rPr>
          <w:rFonts w:ascii="Times New Roman" w:hAnsi="Times New Roman" w:eastAsia="Times New Roman" w:cs="Times New Roman"/>
          <w:color w:val="333333"/>
        </w:rPr>
        <w:t xml:space="preserve">). </w:t>
      </w:r>
    </w:p>
    <w:p w:rsidRPr="0005180F" w:rsidR="00004176" w:rsidP="00004176" w:rsidRDefault="00004176" w14:paraId="47CA7060" w14:textId="5648AB7D">
      <w:pPr>
        <w:pStyle w:val="Default"/>
        <w:rPr>
          <w:rFonts w:ascii="Times New Roman" w:hAnsi="Times New Roman" w:eastAsia="Times New Roman" w:cs="Times New Roman"/>
          <w:color w:val="333333"/>
          <w:shd w:val="clear" w:color="auto" w:fill="FFFFFF"/>
        </w:rPr>
      </w:pPr>
    </w:p>
    <w:p w:rsidRPr="0005180F" w:rsidR="00267D82" w:rsidP="00004176" w:rsidRDefault="00267D82" w14:paraId="3CE7AF87" w14:textId="41540A9D">
      <w:pPr>
        <w:pStyle w:val="Default"/>
        <w:rPr>
          <w:rFonts w:ascii="Times New Roman" w:hAnsi="Times New Roman" w:eastAsia="Times New Roman" w:cs="Times New Roman"/>
          <w:color w:val="333333"/>
          <w:u w:val="single"/>
          <w:shd w:val="clear" w:color="auto" w:fill="FFFFFF"/>
        </w:rPr>
      </w:pPr>
      <w:r w:rsidRPr="0005180F">
        <w:rPr>
          <w:rFonts w:ascii="Times New Roman" w:hAnsi="Times New Roman" w:eastAsia="Times New Roman" w:cs="Times New Roman"/>
          <w:color w:val="333333"/>
          <w:u w:val="single"/>
          <w:shd w:val="clear" w:color="auto" w:fill="FFFFFF"/>
        </w:rPr>
        <w:t>A10.C Safeguards</w:t>
      </w:r>
    </w:p>
    <w:p w:rsidR="007A45AF" w:rsidP="007A45AF" w:rsidRDefault="002B0C69" w14:paraId="616068C8" w14:textId="10F3A5AC">
      <w:pPr>
        <w:pStyle w:val="Default"/>
        <w:rPr>
          <w:rFonts w:ascii="Times New Roman" w:hAnsi="Times New Roman" w:cs="Times New Roman"/>
        </w:rPr>
      </w:pPr>
      <w:r w:rsidRPr="0005180F">
        <w:rPr>
          <w:rFonts w:ascii="Times New Roman" w:hAnsi="Times New Roman" w:cs="Times New Roman"/>
        </w:rPr>
        <w:t xml:space="preserve">Limited personal identifiable information will be collected during this data collection. </w:t>
      </w:r>
      <w:r w:rsidRPr="0005180F" w:rsidR="007A45AF">
        <w:rPr>
          <w:rFonts w:ascii="Times New Roman" w:hAnsi="Times New Roman" w:cs="Times New Roman"/>
        </w:rPr>
        <w:t>The names and contact information collected will be used only by MedPanel, for participant recruitment purposes. All other personally identifiable information involved will be characteristics about the patients and providers. However, personal identifying information will not be linkable at any time to response data collected during focus group discussions.</w:t>
      </w:r>
      <w:r w:rsidR="007A45AF">
        <w:rPr>
          <w:rFonts w:ascii="Times New Roman" w:hAnsi="Times New Roman" w:cs="Times New Roman"/>
        </w:rPr>
        <w:t xml:space="preserve"> </w:t>
      </w:r>
    </w:p>
    <w:p w:rsidR="007A45AF" w:rsidP="007A45AF" w:rsidRDefault="007A45AF" w14:paraId="2444E9FA" w14:textId="77777777">
      <w:pPr>
        <w:pStyle w:val="Default"/>
        <w:rPr>
          <w:rFonts w:ascii="Times New Roman" w:hAnsi="Times New Roman" w:cs="Times New Roman"/>
        </w:rPr>
      </w:pPr>
    </w:p>
    <w:p w:rsidRPr="00F3189A" w:rsidR="00DB23E8" w:rsidP="00004176" w:rsidRDefault="00004176" w14:paraId="32CB53A2" w14:textId="5213B3E4">
      <w:pPr>
        <w:pStyle w:val="Default"/>
        <w:rPr>
          <w:rFonts w:ascii="Times New Roman" w:hAnsi="Times New Roman" w:cs="Times New Roman"/>
        </w:rPr>
      </w:pPr>
      <w:r w:rsidRPr="3ED3F2E5">
        <w:rPr>
          <w:rFonts w:ascii="Times New Roman" w:hAnsi="Times New Roman" w:eastAsia="Times New Roman" w:cs="Times New Roman"/>
          <w:color w:val="333333"/>
        </w:rPr>
        <w:t>MedPanel screeners will collect data from interested respondents by means of an initial, brief prescreening questionnaire for the purpose of selecting</w:t>
      </w:r>
      <w:r w:rsidRPr="3ED3F2E5" w:rsidR="1C3A5D31">
        <w:rPr>
          <w:rFonts w:ascii="Times New Roman" w:hAnsi="Times New Roman" w:eastAsia="Times New Roman" w:cs="Times New Roman"/>
          <w:color w:val="333333"/>
        </w:rPr>
        <w:t>,</w:t>
      </w:r>
      <w:r w:rsidRPr="3ED3F2E5">
        <w:rPr>
          <w:rFonts w:ascii="Times New Roman" w:hAnsi="Times New Roman" w:eastAsia="Times New Roman" w:cs="Times New Roman"/>
          <w:color w:val="333333"/>
        </w:rPr>
        <w:t xml:space="preserve"> participants based on demographic characteristics, to ensure diversity in the research. Respondents who are selected for participation and</w:t>
      </w:r>
      <w:r w:rsidRPr="3ED3F2E5">
        <w:rPr>
          <w:rFonts w:ascii="Times New Roman" w:hAnsi="Times New Roman" w:cs="Times New Roman"/>
        </w:rPr>
        <w:t xml:space="preserve"> agree to participate in the focus groups will be sent a detailed letter about confidentiality ahead of their designated session.</w:t>
      </w:r>
    </w:p>
    <w:p w:rsidRPr="00F3189A" w:rsidR="00004176" w:rsidP="00004176" w:rsidRDefault="00004176" w14:paraId="62F88A3E" w14:textId="77777777">
      <w:pPr>
        <w:pStyle w:val="Default"/>
        <w:rPr>
          <w:rFonts w:ascii="Times New Roman" w:hAnsi="Times New Roman" w:cs="Times New Roman"/>
        </w:rPr>
      </w:pPr>
    </w:p>
    <w:p w:rsidRPr="00F3189A" w:rsidR="00004176" w:rsidP="00004176" w:rsidRDefault="1CBCD8D0" w14:paraId="73DC641B" w14:textId="58E907C5">
      <w:pPr>
        <w:spacing w:after="0" w:line="240" w:lineRule="auto"/>
        <w:rPr>
          <w:rFonts w:ascii="Times New Roman" w:hAnsi="Times New Roman" w:eastAsia="Times New Roman" w:cs="Times New Roman"/>
          <w:sz w:val="24"/>
          <w:szCs w:val="24"/>
        </w:rPr>
      </w:pPr>
      <w:r w:rsidRPr="6E357958">
        <w:rPr>
          <w:rFonts w:ascii="Times New Roman" w:hAnsi="Times New Roman" w:eastAsia="Times New Roman" w:cs="Times New Roman"/>
          <w:color w:val="333333"/>
          <w:sz w:val="24"/>
          <w:szCs w:val="24"/>
        </w:rPr>
        <w:t xml:space="preserve">The asynchronous platform that MedPanel will use for online focus groups, Focus Vision, has an "Obscure Profile Personally Identifiable Information" that masks participants’ personal information (first and last name, email address). </w:t>
      </w:r>
      <w:r w:rsidRPr="6E357958" w:rsidR="28E8251B">
        <w:rPr>
          <w:rFonts w:ascii="Times New Roman" w:hAnsi="Times New Roman" w:eastAsia="Times New Roman" w:cs="Times New Roman"/>
          <w:color w:val="333333"/>
          <w:sz w:val="24"/>
          <w:szCs w:val="24"/>
        </w:rPr>
        <w:t xml:space="preserve"> </w:t>
      </w:r>
      <w:r w:rsidRPr="6E357958">
        <w:rPr>
          <w:rFonts w:ascii="Times New Roman" w:hAnsi="Times New Roman" w:eastAsia="Times New Roman" w:cs="Times New Roman"/>
          <w:color w:val="333333"/>
          <w:sz w:val="24"/>
          <w:szCs w:val="24"/>
        </w:rPr>
        <w:t>For synchronous live groups, MedPanel and observing team members from OpenNotes/BILH and ONC will only see blocks labeled "Patient 1, 2" or “Provider 1,2” to protect privacy of participants. The sessions will only be audio recorded, not video recorded. When focus groups are complete, MedPanel will send the de-identified transcripts to the prime contractor</w:t>
      </w:r>
      <w:r w:rsidRPr="6E357958" w:rsidR="7281E8E2">
        <w:rPr>
          <w:rFonts w:ascii="Times New Roman" w:hAnsi="Times New Roman" w:eastAsia="Times New Roman" w:cs="Times New Roman"/>
          <w:color w:val="333333"/>
          <w:sz w:val="24"/>
          <w:szCs w:val="24"/>
        </w:rPr>
        <w:t xml:space="preserve"> OpenNotes/BILH.</w:t>
      </w:r>
      <w:r w:rsidRPr="6E357958">
        <w:rPr>
          <w:rFonts w:ascii="Times New Roman" w:hAnsi="Times New Roman" w:eastAsia="Times New Roman" w:cs="Times New Roman"/>
          <w:color w:val="333333"/>
          <w:sz w:val="24"/>
          <w:szCs w:val="24"/>
        </w:rPr>
        <w:t xml:space="preserve"> OpenNotes/BILH will prepare an aggregate, qualitative analysis of the results of the session. OpenNotes/BILH will provide only the analysis to ONC.</w:t>
      </w:r>
    </w:p>
    <w:p w:rsidRPr="00F3189A" w:rsidR="00004176" w:rsidP="00004176" w:rsidRDefault="00004176" w14:paraId="68F95C1D" w14:textId="77777777">
      <w:pPr>
        <w:pStyle w:val="Default"/>
        <w:rPr>
          <w:rFonts w:ascii="Times New Roman" w:hAnsi="Times New Roman" w:cs="Times New Roman"/>
        </w:rPr>
      </w:pPr>
    </w:p>
    <w:p w:rsidRPr="00F3189A" w:rsidR="00004176" w:rsidP="00004176" w:rsidRDefault="00004176" w14:paraId="414FAB90" w14:textId="10C821C1">
      <w:pPr>
        <w:spacing w:after="0" w:line="240" w:lineRule="auto"/>
        <w:rPr>
          <w:rFonts w:ascii="Times New Roman" w:hAnsi="Times New Roman" w:eastAsia="Times New Roman" w:cs="Times New Roman"/>
          <w:sz w:val="24"/>
          <w:szCs w:val="24"/>
        </w:rPr>
      </w:pPr>
      <w:r w:rsidRPr="6E357958">
        <w:rPr>
          <w:rFonts w:ascii="Times New Roman" w:hAnsi="Times New Roman" w:eastAsia="Times New Roman" w:cs="Times New Roman"/>
          <w:color w:val="333333"/>
          <w:sz w:val="24"/>
          <w:szCs w:val="24"/>
        </w:rPr>
        <w:t xml:space="preserve">Patient and provider information shared with MedPanel in order to join </w:t>
      </w:r>
      <w:proofErr w:type="spellStart"/>
      <w:r w:rsidRPr="6E357958">
        <w:rPr>
          <w:rFonts w:ascii="Times New Roman" w:hAnsi="Times New Roman" w:eastAsia="Times New Roman" w:cs="Times New Roman"/>
          <w:color w:val="333333"/>
          <w:sz w:val="24"/>
          <w:szCs w:val="24"/>
        </w:rPr>
        <w:t>MedPanel’s</w:t>
      </w:r>
      <w:proofErr w:type="spellEnd"/>
      <w:r w:rsidRPr="6E357958">
        <w:rPr>
          <w:rFonts w:ascii="Times New Roman" w:hAnsi="Times New Roman" w:eastAsia="Times New Roman" w:cs="Times New Roman"/>
          <w:color w:val="333333"/>
          <w:sz w:val="24"/>
          <w:szCs w:val="24"/>
        </w:rPr>
        <w:t xml:space="preserve"> existing panels </w:t>
      </w:r>
      <w:r w:rsidRPr="6E357958" w:rsidR="36D9B121">
        <w:rPr>
          <w:rFonts w:ascii="Times New Roman" w:hAnsi="Times New Roman" w:eastAsia="Times New Roman" w:cs="Times New Roman"/>
          <w:color w:val="333333"/>
          <w:sz w:val="24"/>
          <w:szCs w:val="24"/>
        </w:rPr>
        <w:t xml:space="preserve">is self-reported </w:t>
      </w:r>
      <w:r w:rsidRPr="6E357958">
        <w:rPr>
          <w:rFonts w:ascii="Times New Roman" w:hAnsi="Times New Roman" w:eastAsia="Times New Roman" w:cs="Times New Roman"/>
          <w:color w:val="333333"/>
          <w:sz w:val="24"/>
          <w:szCs w:val="24"/>
        </w:rPr>
        <w:t xml:space="preserve">by the </w:t>
      </w:r>
      <w:r w:rsidRPr="6E357958" w:rsidR="36D9B121">
        <w:rPr>
          <w:rFonts w:ascii="Times New Roman" w:hAnsi="Times New Roman" w:eastAsia="Times New Roman" w:cs="Times New Roman"/>
          <w:color w:val="333333"/>
          <w:sz w:val="24"/>
          <w:szCs w:val="24"/>
        </w:rPr>
        <w:t>participants</w:t>
      </w:r>
      <w:r w:rsidRPr="6E357958">
        <w:rPr>
          <w:rFonts w:ascii="Times New Roman" w:hAnsi="Times New Roman" w:eastAsia="Times New Roman" w:cs="Times New Roman"/>
          <w:color w:val="333333"/>
          <w:sz w:val="24"/>
          <w:szCs w:val="24"/>
        </w:rPr>
        <w:t xml:space="preserve">/respondents. MedPanel allows participants to access and delete their profile data (not project specific screening data) that MedPanel maintains on them, to exercise their right to privacy. MedPanel follows the International Standards Organization (ISO) standards for information security, in addition to safeguarding participants' personal information, and </w:t>
      </w:r>
      <w:proofErr w:type="spellStart"/>
      <w:r w:rsidRPr="6E357958">
        <w:rPr>
          <w:rFonts w:ascii="Times New Roman" w:hAnsi="Times New Roman" w:eastAsia="Times New Roman" w:cs="Times New Roman"/>
          <w:color w:val="333333"/>
          <w:sz w:val="24"/>
          <w:szCs w:val="24"/>
        </w:rPr>
        <w:t>MedPanel’s</w:t>
      </w:r>
      <w:proofErr w:type="spellEnd"/>
      <w:r w:rsidRPr="6E357958">
        <w:rPr>
          <w:rFonts w:ascii="Times New Roman" w:hAnsi="Times New Roman" w:eastAsia="Times New Roman" w:cs="Times New Roman"/>
          <w:color w:val="333333"/>
          <w:sz w:val="24"/>
          <w:szCs w:val="24"/>
        </w:rPr>
        <w:t xml:space="preserve"> information system is compliant with the ISO standards for market research and public opinion research agencies. </w:t>
      </w:r>
    </w:p>
    <w:p w:rsidRPr="00F3189A" w:rsidR="00004176" w:rsidP="00004176" w:rsidRDefault="00004176" w14:paraId="287583CA" w14:textId="77777777">
      <w:pPr>
        <w:pStyle w:val="Default"/>
        <w:rPr>
          <w:rFonts w:ascii="Times New Roman" w:hAnsi="Times New Roman" w:cs="Times New Roman"/>
        </w:rPr>
      </w:pPr>
    </w:p>
    <w:p w:rsidRPr="00F3189A" w:rsidR="00004176" w:rsidP="00004176" w:rsidRDefault="7EC76EE3" w14:paraId="3F4D9302" w14:textId="68C3B324">
      <w:pPr>
        <w:rPr>
          <w:rFonts w:ascii="Times New Roman" w:hAnsi="Times New Roman" w:cs="Times New Roman"/>
          <w:sz w:val="24"/>
          <w:szCs w:val="24"/>
        </w:rPr>
      </w:pPr>
      <w:r w:rsidRPr="19D18D0C">
        <w:rPr>
          <w:rFonts w:ascii="Times New Roman" w:hAnsi="Times New Roman" w:cs="Times New Roman"/>
          <w:sz w:val="24"/>
          <w:szCs w:val="24"/>
        </w:rPr>
        <w:t xml:space="preserve">The information for this study is being collected by OpenNotes/BILH, through its subcontractor MedPanel, on behalf of ONC. Based on </w:t>
      </w:r>
      <w:r w:rsidRPr="19D18D0C" w:rsidR="5B698536">
        <w:rPr>
          <w:rFonts w:ascii="Times New Roman" w:hAnsi="Times New Roman" w:cs="Times New Roman"/>
          <w:sz w:val="24"/>
          <w:szCs w:val="24"/>
        </w:rPr>
        <w:t>Beth Israel Deaconess Medical Center’s</w:t>
      </w:r>
      <w:r w:rsidRPr="19D18D0C">
        <w:rPr>
          <w:rFonts w:ascii="Times New Roman" w:hAnsi="Times New Roman" w:cs="Times New Roman"/>
          <w:sz w:val="24"/>
          <w:szCs w:val="24"/>
        </w:rPr>
        <w:t xml:space="preserve"> Human Research Protection Program Institutional Review Board (IRB) review, an exempt certification was granted for this study. </w:t>
      </w:r>
    </w:p>
    <w:p w:rsidRPr="00F3189A" w:rsidR="00D5691C" w:rsidP="00D5691C" w:rsidRDefault="00D5691C" w14:paraId="6005D57D" w14:textId="77777777">
      <w:pPr>
        <w:pStyle w:val="CM56"/>
        <w:spacing w:after="267"/>
        <w:ind w:right="305"/>
        <w:contextualSpacing/>
        <w:rPr>
          <w:rFonts w:ascii="Times New Roman" w:hAnsi="Times New Roman" w:cs="Times New Roman"/>
          <w:b/>
          <w:bCs/>
        </w:rPr>
      </w:pPr>
    </w:p>
    <w:p w:rsidRPr="00F3189A" w:rsidR="00CA74CD" w:rsidP="00D5691C" w:rsidRDefault="00CA74CD" w14:paraId="5ADC0A67" w14:textId="01A9B0F5">
      <w:pPr>
        <w:pStyle w:val="CM56"/>
        <w:spacing w:after="267"/>
        <w:ind w:right="305"/>
        <w:contextualSpacing/>
        <w:rPr>
          <w:rFonts w:ascii="Times New Roman" w:hAnsi="Times New Roman" w:cs="Times New Roman"/>
        </w:rPr>
      </w:pPr>
      <w:r w:rsidRPr="00F3189A">
        <w:rPr>
          <w:rFonts w:ascii="Times New Roman" w:hAnsi="Times New Roman" w:cs="Times New Roman"/>
          <w:b/>
          <w:bCs/>
        </w:rPr>
        <w:lastRenderedPageBreak/>
        <w:t xml:space="preserve">11. </w:t>
      </w:r>
      <w:r w:rsidRPr="00FE7F2A" w:rsidR="00FE7F2A">
        <w:rPr>
          <w:rFonts w:ascii="Times New Roman" w:hAnsi="Times New Roman" w:cs="Times New Roman"/>
          <w:b/>
          <w:bCs/>
          <w:u w:val="single"/>
        </w:rPr>
        <w:t>Justification for Sensitive Questions</w:t>
      </w:r>
    </w:p>
    <w:p w:rsidRPr="00F3189A" w:rsidR="00816648" w:rsidP="00D5691C" w:rsidRDefault="00EC1E78" w14:paraId="088417F8" w14:textId="622C9A99">
      <w:pPr>
        <w:pStyle w:val="CM56"/>
        <w:spacing w:after="267"/>
        <w:ind w:right="105"/>
        <w:contextualSpacing/>
        <w:rPr>
          <w:rFonts w:ascii="Times New Roman" w:hAnsi="Times New Roman" w:cs="Times New Roman"/>
        </w:rPr>
      </w:pPr>
      <w:r w:rsidRPr="00F3189A">
        <w:rPr>
          <w:rFonts w:ascii="Times New Roman" w:hAnsi="Times New Roman" w:cs="Times New Roman"/>
        </w:rPr>
        <w:t xml:space="preserve">The focus group questions will not ask participants to share sensitive personal information </w:t>
      </w:r>
      <w:r w:rsidRPr="00F3189A" w:rsidR="00EE70B9">
        <w:rPr>
          <w:rFonts w:ascii="Times New Roman" w:hAnsi="Times New Roman" w:cs="Times New Roman"/>
        </w:rPr>
        <w:t xml:space="preserve">such as </w:t>
      </w:r>
      <w:r w:rsidRPr="00F3189A">
        <w:rPr>
          <w:rFonts w:ascii="Times New Roman" w:hAnsi="Times New Roman" w:cs="Times New Roman"/>
        </w:rPr>
        <w:t xml:space="preserve">sexual behavior, religious beliefs or other personal matters.  However, many issues related to SDOH can be considered sensitive. </w:t>
      </w:r>
      <w:r w:rsidRPr="00F3189A" w:rsidR="00816648">
        <w:rPr>
          <w:rFonts w:ascii="Times New Roman" w:hAnsi="Times New Roman" w:cs="Times New Roman"/>
        </w:rPr>
        <w:t xml:space="preserve">As part of the patient/caregiver focus groups, there </w:t>
      </w:r>
      <w:r w:rsidRPr="00F3189A">
        <w:rPr>
          <w:rFonts w:ascii="Times New Roman" w:hAnsi="Times New Roman" w:cs="Times New Roman"/>
        </w:rPr>
        <w:t xml:space="preserve">may </w:t>
      </w:r>
      <w:r w:rsidRPr="00F3189A" w:rsidR="00816648">
        <w:rPr>
          <w:rFonts w:ascii="Times New Roman" w:hAnsi="Times New Roman" w:cs="Times New Roman"/>
        </w:rPr>
        <w:t xml:space="preserve">be times when participants </w:t>
      </w:r>
      <w:r w:rsidRPr="003F06B5" w:rsidR="00795294">
        <w:rPr>
          <w:rFonts w:ascii="Times New Roman" w:hAnsi="Times New Roman" w:cs="Times New Roman"/>
          <w:bCs/>
        </w:rPr>
        <w:t>volunteer</w:t>
      </w:r>
      <w:r w:rsidRPr="003F06B5" w:rsidR="00531947">
        <w:rPr>
          <w:rFonts w:ascii="Times New Roman" w:hAnsi="Times New Roman" w:cs="Times New Roman"/>
          <w:bCs/>
        </w:rPr>
        <w:t xml:space="preserve"> </w:t>
      </w:r>
      <w:r w:rsidRPr="00F3189A" w:rsidR="00816648">
        <w:rPr>
          <w:rFonts w:ascii="Times New Roman" w:hAnsi="Times New Roman" w:cs="Times New Roman"/>
        </w:rPr>
        <w:t xml:space="preserve">sensitive information about themselves as this information relates to SDOH. Everyone in the focus group will be informed that the session is being recorded and that </w:t>
      </w:r>
      <w:r w:rsidR="00DD0358">
        <w:rPr>
          <w:rFonts w:ascii="Times New Roman" w:hAnsi="Times New Roman" w:cs="Times New Roman"/>
        </w:rPr>
        <w:t>OpenNotes/BILH</w:t>
      </w:r>
      <w:r w:rsidRPr="00F3189A" w:rsidR="00816648">
        <w:rPr>
          <w:rFonts w:ascii="Times New Roman" w:hAnsi="Times New Roman" w:cs="Times New Roman"/>
        </w:rPr>
        <w:t xml:space="preserve"> may </w:t>
      </w:r>
      <w:r w:rsidRPr="00F3189A">
        <w:rPr>
          <w:rFonts w:ascii="Times New Roman" w:hAnsi="Times New Roman" w:cs="Times New Roman"/>
        </w:rPr>
        <w:t>use</w:t>
      </w:r>
      <w:r w:rsidRPr="00F3189A" w:rsidR="00816648">
        <w:rPr>
          <w:rFonts w:ascii="Times New Roman" w:hAnsi="Times New Roman" w:cs="Times New Roman"/>
        </w:rPr>
        <w:t xml:space="preserve"> quotes </w:t>
      </w:r>
      <w:r w:rsidRPr="00F3189A">
        <w:rPr>
          <w:rFonts w:ascii="Times New Roman" w:hAnsi="Times New Roman" w:cs="Times New Roman"/>
        </w:rPr>
        <w:t xml:space="preserve">in reporting </w:t>
      </w:r>
      <w:r w:rsidRPr="00F3189A" w:rsidR="00816648">
        <w:rPr>
          <w:rFonts w:ascii="Times New Roman" w:hAnsi="Times New Roman" w:cs="Times New Roman"/>
        </w:rPr>
        <w:t>but without individual identification.</w:t>
      </w:r>
      <w:r w:rsidRPr="00F3189A" w:rsidR="00616955">
        <w:rPr>
          <w:rFonts w:ascii="Times New Roman" w:hAnsi="Times New Roman" w:cs="Times New Roman"/>
        </w:rPr>
        <w:t xml:space="preserve"> </w:t>
      </w:r>
      <w:r w:rsidR="00DD0358">
        <w:rPr>
          <w:rFonts w:ascii="Times New Roman" w:hAnsi="Times New Roman" w:cs="Times New Roman"/>
        </w:rPr>
        <w:t>MedPanel</w:t>
      </w:r>
      <w:r w:rsidRPr="00F3189A" w:rsidR="00616955">
        <w:rPr>
          <w:rFonts w:ascii="Times New Roman" w:hAnsi="Times New Roman" w:cs="Times New Roman"/>
        </w:rPr>
        <w:t xml:space="preserve"> will inform participants that they can stop participating at any time. </w:t>
      </w:r>
      <w:r w:rsidR="00DD0358">
        <w:rPr>
          <w:rFonts w:ascii="Times New Roman" w:hAnsi="Times New Roman" w:cs="Times New Roman"/>
        </w:rPr>
        <w:t>MedPanel</w:t>
      </w:r>
      <w:r w:rsidRPr="00F3189A" w:rsidR="00616955">
        <w:rPr>
          <w:rFonts w:ascii="Times New Roman" w:hAnsi="Times New Roman" w:cs="Times New Roman"/>
        </w:rPr>
        <w:t xml:space="preserve"> will also inform them that they can contact the project team at any time if they have any concerns or questions.</w:t>
      </w:r>
    </w:p>
    <w:p w:rsidRPr="00F3189A" w:rsidR="00D5691C" w:rsidP="00D5691C" w:rsidRDefault="00D5691C" w14:paraId="62CB5164" w14:textId="77777777">
      <w:pPr>
        <w:pStyle w:val="CM56"/>
        <w:spacing w:after="267"/>
        <w:ind w:right="745"/>
        <w:contextualSpacing/>
        <w:rPr>
          <w:rFonts w:ascii="Times New Roman" w:hAnsi="Times New Roman" w:cs="Times New Roman"/>
          <w:b/>
          <w:bCs/>
        </w:rPr>
      </w:pPr>
    </w:p>
    <w:p w:rsidRPr="00F3189A" w:rsidR="00795294" w:rsidP="000A1B80" w:rsidRDefault="00CA74CD" w14:paraId="55A2606D" w14:textId="3B76BBAE">
      <w:pPr>
        <w:pStyle w:val="CM56"/>
        <w:spacing w:after="267"/>
        <w:ind w:right="745"/>
        <w:contextualSpacing/>
        <w:rPr>
          <w:rFonts w:ascii="Times New Roman" w:hAnsi="Times New Roman" w:cs="Times New Roman"/>
        </w:rPr>
      </w:pPr>
      <w:r w:rsidRPr="00F3189A">
        <w:rPr>
          <w:rFonts w:ascii="Times New Roman" w:hAnsi="Times New Roman" w:cs="Times New Roman"/>
          <w:b/>
          <w:bCs/>
        </w:rPr>
        <w:t xml:space="preserve">12. </w:t>
      </w:r>
      <w:r w:rsidRPr="000A1B80" w:rsidR="000A1B80">
        <w:rPr>
          <w:rFonts w:ascii="Times New Roman" w:hAnsi="Times New Roman" w:cs="Times New Roman"/>
          <w:b/>
          <w:bCs/>
          <w:u w:val="single"/>
        </w:rPr>
        <w:t>Estimates of Annualized Hour and Cost Burden</w:t>
      </w:r>
      <w:r w:rsidRPr="000A1B80" w:rsidR="000A1B80">
        <w:rPr>
          <w:rFonts w:ascii="Times New Roman" w:hAnsi="Times New Roman" w:cs="Times New Roman"/>
          <w:b/>
          <w:bCs/>
        </w:rPr>
        <w:t xml:space="preserve">  </w:t>
      </w:r>
    </w:p>
    <w:p w:rsidRPr="00F3189A" w:rsidR="00160FE7" w:rsidP="00D5691C" w:rsidRDefault="00D40D70" w14:paraId="7A527DEF" w14:textId="23798FF9">
      <w:pPr>
        <w:pStyle w:val="CM56"/>
        <w:spacing w:after="267"/>
        <w:ind w:right="745"/>
        <w:contextualSpacing/>
        <w:rPr>
          <w:rFonts w:ascii="Times New Roman" w:hAnsi="Times New Roman" w:cs="Times New Roman"/>
        </w:rPr>
      </w:pPr>
      <w:r w:rsidRPr="6F1D764C">
        <w:rPr>
          <w:rFonts w:ascii="Times New Roman" w:hAnsi="Times New Roman" w:cs="Times New Roman"/>
        </w:rPr>
        <w:t xml:space="preserve">A prescreening questionnaire will be sent to approximately </w:t>
      </w:r>
      <w:r w:rsidRPr="6F1D764C" w:rsidR="00861207">
        <w:rPr>
          <w:rFonts w:ascii="Times New Roman" w:hAnsi="Times New Roman" w:cs="Times New Roman"/>
        </w:rPr>
        <w:t>1500</w:t>
      </w:r>
      <w:r w:rsidRPr="6F1D764C" w:rsidR="00712609">
        <w:rPr>
          <w:rFonts w:ascii="Times New Roman" w:hAnsi="Times New Roman" w:cs="Times New Roman"/>
        </w:rPr>
        <w:t xml:space="preserve"> </w:t>
      </w:r>
      <w:r w:rsidRPr="6F1D764C">
        <w:rPr>
          <w:rFonts w:ascii="Times New Roman" w:hAnsi="Times New Roman" w:cs="Times New Roman"/>
        </w:rPr>
        <w:t>individuals</w:t>
      </w:r>
      <w:r w:rsidRPr="6F1D764C" w:rsidR="138073F8">
        <w:rPr>
          <w:rFonts w:ascii="Times New Roman" w:hAnsi="Times New Roman" w:cs="Times New Roman"/>
        </w:rPr>
        <w:t xml:space="preserve"> (</w:t>
      </w:r>
      <w:r w:rsidRPr="0005180F" w:rsidR="138073F8">
        <w:rPr>
          <w:rFonts w:ascii="Times New Roman" w:hAnsi="Times New Roman" w:cs="Times New Roman"/>
        </w:rPr>
        <w:t xml:space="preserve">see </w:t>
      </w:r>
      <w:r w:rsidRPr="0005180F" w:rsidR="23028400">
        <w:rPr>
          <w:rFonts w:ascii="Times New Roman" w:hAnsi="Times New Roman" w:cs="Times New Roman"/>
        </w:rPr>
        <w:t>attachments</w:t>
      </w:r>
      <w:r w:rsidRPr="0005180F" w:rsidR="138073F8">
        <w:rPr>
          <w:rFonts w:ascii="Times New Roman" w:hAnsi="Times New Roman" w:cs="Times New Roman"/>
        </w:rPr>
        <w:t xml:space="preserve"> B1 – B3)</w:t>
      </w:r>
      <w:r w:rsidRPr="0005180F">
        <w:rPr>
          <w:rFonts w:ascii="Times New Roman" w:hAnsi="Times New Roman" w:cs="Times New Roman"/>
        </w:rPr>
        <w:t>. The questionnaire will take 5 minutes to fill out. From that group,</w:t>
      </w:r>
      <w:r w:rsidRPr="0005180F" w:rsidR="00DD0358">
        <w:rPr>
          <w:rFonts w:ascii="Times New Roman" w:hAnsi="Times New Roman" w:cs="Times New Roman"/>
        </w:rPr>
        <w:t xml:space="preserve"> </w:t>
      </w:r>
      <w:r w:rsidRPr="0005180F" w:rsidR="1BE9BB83">
        <w:rPr>
          <w:rFonts w:ascii="Times New Roman" w:hAnsi="Times New Roman" w:cs="Times New Roman"/>
        </w:rPr>
        <w:t xml:space="preserve">subcontractor, </w:t>
      </w:r>
      <w:r w:rsidRPr="0005180F" w:rsidR="00DD0358">
        <w:rPr>
          <w:rFonts w:ascii="Times New Roman" w:hAnsi="Times New Roman" w:cs="Times New Roman"/>
        </w:rPr>
        <w:t>MedPanel</w:t>
      </w:r>
      <w:r w:rsidRPr="0005180F" w:rsidR="48B6B751">
        <w:rPr>
          <w:rFonts w:ascii="Times New Roman" w:hAnsi="Times New Roman" w:cs="Times New Roman"/>
        </w:rPr>
        <w:t>,</w:t>
      </w:r>
      <w:r w:rsidRPr="0005180F" w:rsidR="007A45AF">
        <w:rPr>
          <w:rFonts w:ascii="Times New Roman" w:hAnsi="Times New Roman" w:cs="Times New Roman"/>
        </w:rPr>
        <w:t xml:space="preserve"> </w:t>
      </w:r>
      <w:r w:rsidRPr="0005180F" w:rsidR="00160FE7">
        <w:rPr>
          <w:rFonts w:ascii="Times New Roman" w:hAnsi="Times New Roman" w:cs="Times New Roman"/>
        </w:rPr>
        <w:t>will recruit up to 100 patient</w:t>
      </w:r>
      <w:r w:rsidRPr="0005180F" w:rsidR="00795294">
        <w:rPr>
          <w:rFonts w:ascii="Times New Roman" w:hAnsi="Times New Roman" w:cs="Times New Roman"/>
        </w:rPr>
        <w:t xml:space="preserve"> and</w:t>
      </w:r>
      <w:r w:rsidRPr="0005180F" w:rsidR="00531947">
        <w:rPr>
          <w:rFonts w:ascii="Times New Roman" w:hAnsi="Times New Roman" w:cs="Times New Roman"/>
        </w:rPr>
        <w:t xml:space="preserve"> </w:t>
      </w:r>
      <w:r w:rsidRPr="0005180F" w:rsidR="00160FE7">
        <w:rPr>
          <w:rFonts w:ascii="Times New Roman" w:hAnsi="Times New Roman" w:cs="Times New Roman"/>
        </w:rPr>
        <w:t>care</w:t>
      </w:r>
      <w:r w:rsidRPr="0005180F" w:rsidR="008A4B25">
        <w:rPr>
          <w:rFonts w:ascii="Times New Roman" w:hAnsi="Times New Roman" w:cs="Times New Roman"/>
        </w:rPr>
        <w:t xml:space="preserve">giver </w:t>
      </w:r>
      <w:r w:rsidRPr="0005180F" w:rsidR="00160FE7">
        <w:rPr>
          <w:rFonts w:ascii="Times New Roman" w:hAnsi="Times New Roman" w:cs="Times New Roman"/>
        </w:rPr>
        <w:t>participants (10 individuals in each of 10 groups) and up to 100 clinician</w:t>
      </w:r>
      <w:r w:rsidRPr="0005180F" w:rsidR="00795294">
        <w:rPr>
          <w:rFonts w:ascii="Times New Roman" w:hAnsi="Times New Roman" w:cs="Times New Roman"/>
        </w:rPr>
        <w:t xml:space="preserve"> and</w:t>
      </w:r>
      <w:r w:rsidRPr="0005180F" w:rsidR="00616955">
        <w:rPr>
          <w:rFonts w:ascii="Times New Roman" w:hAnsi="Times New Roman" w:cs="Times New Roman"/>
        </w:rPr>
        <w:t xml:space="preserve"> professional</w:t>
      </w:r>
      <w:r w:rsidRPr="0005180F" w:rsidR="00160FE7">
        <w:rPr>
          <w:rFonts w:ascii="Times New Roman" w:hAnsi="Times New Roman" w:cs="Times New Roman"/>
        </w:rPr>
        <w:t xml:space="preserve"> participants (10 individuals in each of 10 groups). For both the synchronous and asynchronous focus groups the total time requested of participants will be 90 minutes</w:t>
      </w:r>
      <w:r w:rsidRPr="0005180F" w:rsidR="00816648">
        <w:rPr>
          <w:rFonts w:ascii="Times New Roman" w:hAnsi="Times New Roman" w:cs="Times New Roman"/>
        </w:rPr>
        <w:t xml:space="preserve"> (that is the total annual hour burden</w:t>
      </w:r>
      <w:r w:rsidRPr="0005180F" w:rsidR="00795294">
        <w:rPr>
          <w:rFonts w:ascii="Times New Roman" w:hAnsi="Times New Roman" w:cs="Times New Roman"/>
        </w:rPr>
        <w:t xml:space="preserve"> per participant per group</w:t>
      </w:r>
      <w:r w:rsidRPr="0005180F" w:rsidR="00816648">
        <w:rPr>
          <w:rFonts w:ascii="Times New Roman" w:hAnsi="Times New Roman" w:cs="Times New Roman"/>
        </w:rPr>
        <w:t>)</w:t>
      </w:r>
      <w:r w:rsidRPr="0005180F" w:rsidR="7B72B0CD">
        <w:rPr>
          <w:rFonts w:ascii="Times New Roman" w:hAnsi="Times New Roman" w:cs="Times New Roman"/>
        </w:rPr>
        <w:t xml:space="preserve"> (see </w:t>
      </w:r>
      <w:r w:rsidRPr="0005180F" w:rsidR="5982FFEA">
        <w:rPr>
          <w:rFonts w:ascii="Times New Roman" w:hAnsi="Times New Roman" w:cs="Times New Roman"/>
        </w:rPr>
        <w:t>attachments</w:t>
      </w:r>
      <w:r w:rsidRPr="0005180F" w:rsidR="7B72B0CD">
        <w:rPr>
          <w:rFonts w:ascii="Times New Roman" w:hAnsi="Times New Roman" w:cs="Times New Roman"/>
        </w:rPr>
        <w:t xml:space="preserve"> C1 – C5)</w:t>
      </w:r>
      <w:r w:rsidRPr="0005180F" w:rsidR="00816648">
        <w:rPr>
          <w:rFonts w:ascii="Times New Roman" w:hAnsi="Times New Roman" w:cs="Times New Roman"/>
        </w:rPr>
        <w:t>.</w:t>
      </w:r>
    </w:p>
    <w:p w:rsidR="00C8772A" w:rsidP="00FB30C4" w:rsidRDefault="54EDFC8C" w14:paraId="75846192" w14:textId="2A17F200">
      <w:pPr>
        <w:pStyle w:val="Default"/>
        <w:rPr>
          <w:rFonts w:ascii="Times New Roman" w:hAnsi="Times New Roman" w:cs="Times New Roman"/>
        </w:rPr>
      </w:pPr>
      <w:r w:rsidRPr="44CB85AD">
        <w:rPr>
          <w:rFonts w:ascii="Times New Roman" w:hAnsi="Times New Roman" w:cs="Times New Roman"/>
        </w:rPr>
        <w:t>Exhibit 1: Estimated Annualized Burden Hours</w:t>
      </w:r>
      <w:r w:rsidR="00871499">
        <w:rPr>
          <w:rFonts w:ascii="Times New Roman" w:hAnsi="Times New Roman" w:cs="Times New Roman"/>
        </w:rPr>
        <w:t xml:space="preserve"> and Respondent Costs</w:t>
      </w:r>
    </w:p>
    <w:p w:rsidR="009A43DB" w:rsidP="009A43DB" w:rsidRDefault="009A43DB" w14:paraId="1CD5DFB0" w14:textId="77777777">
      <w:pPr>
        <w:pStyle w:val="Default"/>
        <w:rPr>
          <w:rFonts w:eastAsia="Calibri"/>
          <w:color w:val="000000" w:themeColor="text1"/>
        </w:rPr>
      </w:pPr>
    </w:p>
    <w:tbl>
      <w:tblPr>
        <w:tblW w:w="1050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1E0" w:firstRow="1" w:lastRow="1" w:firstColumn="1" w:lastColumn="1" w:noHBand="0" w:noVBand="0"/>
      </w:tblPr>
      <w:tblGrid>
        <w:gridCol w:w="1610"/>
        <w:gridCol w:w="1440"/>
        <w:gridCol w:w="1260"/>
        <w:gridCol w:w="1350"/>
        <w:gridCol w:w="1170"/>
        <w:gridCol w:w="1080"/>
        <w:gridCol w:w="990"/>
        <w:gridCol w:w="1607"/>
      </w:tblGrid>
      <w:tr w:rsidR="009A43DB" w:rsidTr="009177BD" w14:paraId="2EC05067" w14:textId="77777777">
        <w:trPr>
          <w:trHeight w:val="280"/>
        </w:trPr>
        <w:tc>
          <w:tcPr>
            <w:tcW w:w="1610" w:type="dxa"/>
          </w:tcPr>
          <w:p w:rsidR="009A43DB" w:rsidP="009177BD" w:rsidRDefault="009A43DB" w14:paraId="53F32FE3" w14:textId="77777777">
            <w:r w:rsidRPr="44CB85AD">
              <w:rPr>
                <w:rFonts w:ascii="Times New Roman" w:hAnsi="Times New Roman" w:eastAsia="Times New Roman" w:cs="Times New Roman"/>
                <w:sz w:val="24"/>
                <w:szCs w:val="24"/>
              </w:rPr>
              <w:t xml:space="preserve">Form name  </w:t>
            </w:r>
          </w:p>
        </w:tc>
        <w:tc>
          <w:tcPr>
            <w:tcW w:w="1440" w:type="dxa"/>
          </w:tcPr>
          <w:p w:rsidR="009A43DB" w:rsidP="009177BD" w:rsidRDefault="009A43DB" w14:paraId="33810636" w14:textId="77777777">
            <w:r w:rsidRPr="44CB85AD">
              <w:rPr>
                <w:rFonts w:ascii="Times New Roman" w:hAnsi="Times New Roman" w:eastAsia="Times New Roman" w:cs="Times New Roman"/>
                <w:sz w:val="24"/>
                <w:szCs w:val="24"/>
              </w:rPr>
              <w:t>Respondents</w:t>
            </w:r>
          </w:p>
          <w:p w:rsidR="009A43DB" w:rsidP="009177BD" w:rsidRDefault="009A43DB" w14:paraId="77D80AEC" w14:textId="77777777">
            <w:r w:rsidRPr="44CB85AD">
              <w:rPr>
                <w:rFonts w:ascii="Times New Roman" w:hAnsi="Times New Roman" w:eastAsia="Times New Roman" w:cs="Times New Roman"/>
                <w:sz w:val="24"/>
                <w:szCs w:val="24"/>
              </w:rPr>
              <w:t xml:space="preserve"> </w:t>
            </w:r>
          </w:p>
        </w:tc>
        <w:tc>
          <w:tcPr>
            <w:tcW w:w="1260" w:type="dxa"/>
          </w:tcPr>
          <w:p w:rsidR="009A43DB" w:rsidP="009177BD" w:rsidRDefault="009A43DB" w14:paraId="3628009D" w14:textId="77777777">
            <w:r w:rsidRPr="44CB85AD">
              <w:rPr>
                <w:rFonts w:ascii="Times New Roman" w:hAnsi="Times New Roman" w:eastAsia="Times New Roman" w:cs="Times New Roman"/>
                <w:sz w:val="24"/>
                <w:szCs w:val="24"/>
              </w:rPr>
              <w:t xml:space="preserve">Number of Responses   </w:t>
            </w:r>
          </w:p>
        </w:tc>
        <w:tc>
          <w:tcPr>
            <w:tcW w:w="1350" w:type="dxa"/>
          </w:tcPr>
          <w:p w:rsidR="009A43DB" w:rsidP="009177BD" w:rsidRDefault="009A43DB" w14:paraId="37AC4AB2" w14:textId="77777777">
            <w:r w:rsidRPr="44CB85AD">
              <w:rPr>
                <w:rFonts w:ascii="Times New Roman" w:hAnsi="Times New Roman" w:eastAsia="Times New Roman" w:cs="Times New Roman"/>
                <w:sz w:val="24"/>
                <w:szCs w:val="24"/>
              </w:rPr>
              <w:t xml:space="preserve">Number of Responses per Respondent </w:t>
            </w:r>
          </w:p>
        </w:tc>
        <w:tc>
          <w:tcPr>
            <w:tcW w:w="1170" w:type="dxa"/>
          </w:tcPr>
          <w:p w:rsidR="009A43DB" w:rsidP="009177BD" w:rsidRDefault="009A43DB" w14:paraId="67BA6953" w14:textId="77777777">
            <w:r w:rsidRPr="44CB85AD">
              <w:rPr>
                <w:rFonts w:ascii="Times New Roman" w:hAnsi="Times New Roman" w:eastAsia="Times New Roman" w:cs="Times New Roman"/>
                <w:sz w:val="24"/>
                <w:szCs w:val="24"/>
              </w:rPr>
              <w:t>Average Burden per Response (x/60)</w:t>
            </w:r>
          </w:p>
        </w:tc>
        <w:tc>
          <w:tcPr>
            <w:tcW w:w="1080" w:type="dxa"/>
          </w:tcPr>
          <w:p w:rsidR="009A43DB" w:rsidP="009177BD" w:rsidRDefault="009A43DB" w14:paraId="75678D1C" w14:textId="77777777">
            <w:r w:rsidRPr="44CB85AD">
              <w:rPr>
                <w:rFonts w:ascii="Times New Roman" w:hAnsi="Times New Roman" w:eastAsia="Times New Roman" w:cs="Times New Roman"/>
                <w:sz w:val="24"/>
                <w:szCs w:val="24"/>
              </w:rPr>
              <w:t xml:space="preserve">Total Burden Hours </w:t>
            </w:r>
          </w:p>
        </w:tc>
        <w:tc>
          <w:tcPr>
            <w:tcW w:w="990" w:type="dxa"/>
          </w:tcPr>
          <w:p w:rsidRPr="44CB85AD" w:rsidR="009A43DB" w:rsidP="009177BD" w:rsidRDefault="009A43DB" w14:paraId="209D63F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Wage</w:t>
            </w:r>
          </w:p>
        </w:tc>
        <w:tc>
          <w:tcPr>
            <w:tcW w:w="1607" w:type="dxa"/>
          </w:tcPr>
          <w:p w:rsidR="009A43DB" w:rsidP="009177BD" w:rsidRDefault="009A43DB" w14:paraId="5110805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w:t>
            </w:r>
          </w:p>
          <w:p w:rsidRPr="44CB85AD" w:rsidR="009A43DB" w:rsidP="009177BD" w:rsidRDefault="009A43DB" w14:paraId="0118C81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Total Costs</w:t>
            </w:r>
          </w:p>
        </w:tc>
      </w:tr>
      <w:tr w:rsidR="009A43DB" w:rsidTr="009177BD" w14:paraId="391FCFFD" w14:textId="77777777">
        <w:trPr>
          <w:trHeight w:val="280"/>
        </w:trPr>
        <w:tc>
          <w:tcPr>
            <w:tcW w:w="1610" w:type="dxa"/>
          </w:tcPr>
          <w:p w:rsidR="009A43DB" w:rsidP="009177BD" w:rsidRDefault="009A43DB" w14:paraId="22D94E8C" w14:textId="77777777">
            <w:pPr>
              <w:spacing w:line="480" w:lineRule="auto"/>
              <w:rPr>
                <w:rFonts w:ascii="Times New Roman" w:hAnsi="Times New Roman" w:eastAsia="Times New Roman" w:cs="Times New Roman"/>
                <w:sz w:val="24"/>
                <w:szCs w:val="24"/>
                <w:u w:val="single"/>
              </w:rPr>
            </w:pPr>
            <w:r w:rsidRPr="2A924739">
              <w:rPr>
                <w:rFonts w:ascii="Times New Roman" w:hAnsi="Times New Roman" w:eastAsia="Times New Roman" w:cs="Times New Roman"/>
                <w:sz w:val="24"/>
                <w:szCs w:val="24"/>
                <w:u w:val="single"/>
              </w:rPr>
              <w:t>Prescreening Questionnaire</w:t>
            </w:r>
          </w:p>
          <w:p w:rsidR="009A43DB" w:rsidP="009177BD" w:rsidRDefault="009A43DB" w14:paraId="05A708A6"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(English)</w:t>
            </w:r>
          </w:p>
        </w:tc>
        <w:tc>
          <w:tcPr>
            <w:tcW w:w="1440" w:type="dxa"/>
          </w:tcPr>
          <w:p w:rsidR="009A43DB" w:rsidP="009177BD" w:rsidRDefault="009A43DB" w14:paraId="7403717A"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Patients and Care Partners</w:t>
            </w:r>
          </w:p>
        </w:tc>
        <w:tc>
          <w:tcPr>
            <w:tcW w:w="1260" w:type="dxa"/>
          </w:tcPr>
          <w:p w:rsidR="009A43DB" w:rsidP="009177BD" w:rsidRDefault="009A43DB" w14:paraId="43253B1C"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675</w:t>
            </w:r>
          </w:p>
        </w:tc>
        <w:tc>
          <w:tcPr>
            <w:tcW w:w="1350" w:type="dxa"/>
          </w:tcPr>
          <w:p w:rsidR="009A43DB" w:rsidP="009177BD" w:rsidRDefault="009A43DB" w14:paraId="0659850E"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1</w:t>
            </w:r>
          </w:p>
        </w:tc>
        <w:tc>
          <w:tcPr>
            <w:tcW w:w="1170" w:type="dxa"/>
          </w:tcPr>
          <w:p w:rsidR="009A43DB" w:rsidP="009177BD" w:rsidRDefault="009A43DB" w14:paraId="3352226F"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5/60</w:t>
            </w:r>
          </w:p>
        </w:tc>
        <w:tc>
          <w:tcPr>
            <w:tcW w:w="1080" w:type="dxa"/>
          </w:tcPr>
          <w:p w:rsidR="009A43DB" w:rsidP="009177BD" w:rsidRDefault="009A43DB" w14:paraId="70FFC693"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56</w:t>
            </w:r>
            <w:r>
              <w:rPr>
                <w:rFonts w:ascii="Times New Roman" w:hAnsi="Times New Roman" w:eastAsia="Times New Roman" w:cs="Times New Roman"/>
                <w:sz w:val="24"/>
                <w:szCs w:val="24"/>
                <w:u w:val="single"/>
              </w:rPr>
              <w:t>.25</w:t>
            </w:r>
          </w:p>
        </w:tc>
        <w:tc>
          <w:tcPr>
            <w:tcW w:w="990" w:type="dxa"/>
          </w:tcPr>
          <w:p w:rsidRPr="44CB85AD" w:rsidR="009A43DB" w:rsidP="009177BD" w:rsidRDefault="009A43DB" w14:paraId="1F71F5D5"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$25.72</w:t>
            </w:r>
          </w:p>
        </w:tc>
        <w:tc>
          <w:tcPr>
            <w:tcW w:w="1607" w:type="dxa"/>
          </w:tcPr>
          <w:p w:rsidRPr="44CB85AD" w:rsidR="009A43DB" w:rsidP="009177BD" w:rsidRDefault="009A43DB" w14:paraId="71F0ACBD"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$1,446.75</w:t>
            </w:r>
          </w:p>
        </w:tc>
      </w:tr>
      <w:tr w:rsidR="009A43DB" w:rsidTr="009177BD" w14:paraId="01A56543" w14:textId="77777777">
        <w:trPr>
          <w:trHeight w:val="280"/>
        </w:trPr>
        <w:tc>
          <w:tcPr>
            <w:tcW w:w="1610" w:type="dxa"/>
          </w:tcPr>
          <w:p w:rsidR="009A43DB" w:rsidP="009177BD" w:rsidRDefault="009A43DB" w14:paraId="147AE42C"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Prescreening Questionnaire (Spanish)</w:t>
            </w:r>
          </w:p>
        </w:tc>
        <w:tc>
          <w:tcPr>
            <w:tcW w:w="1440" w:type="dxa"/>
          </w:tcPr>
          <w:p w:rsidR="009A43DB" w:rsidP="009177BD" w:rsidRDefault="009A43DB" w14:paraId="4990157F"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Patient and Care Partners (Spanish speakers)</w:t>
            </w:r>
          </w:p>
        </w:tc>
        <w:tc>
          <w:tcPr>
            <w:tcW w:w="1260" w:type="dxa"/>
          </w:tcPr>
          <w:p w:rsidR="009A43DB" w:rsidP="009177BD" w:rsidRDefault="009A43DB" w14:paraId="379574BD"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75</w:t>
            </w:r>
          </w:p>
        </w:tc>
        <w:tc>
          <w:tcPr>
            <w:tcW w:w="1350" w:type="dxa"/>
          </w:tcPr>
          <w:p w:rsidR="009A43DB" w:rsidP="009177BD" w:rsidRDefault="009A43DB" w14:paraId="7BAC5B10"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1</w:t>
            </w:r>
          </w:p>
        </w:tc>
        <w:tc>
          <w:tcPr>
            <w:tcW w:w="1170" w:type="dxa"/>
          </w:tcPr>
          <w:p w:rsidR="009A43DB" w:rsidP="009177BD" w:rsidRDefault="009A43DB" w14:paraId="1E2E5DF0"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5/60</w:t>
            </w:r>
          </w:p>
        </w:tc>
        <w:tc>
          <w:tcPr>
            <w:tcW w:w="1080" w:type="dxa"/>
          </w:tcPr>
          <w:p w:rsidR="009A43DB" w:rsidP="009177BD" w:rsidRDefault="009A43DB" w14:paraId="73D69408"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6</w:t>
            </w:r>
            <w:r>
              <w:rPr>
                <w:rFonts w:ascii="Times New Roman" w:hAnsi="Times New Roman" w:eastAsia="Times New Roman" w:cs="Times New Roman"/>
                <w:sz w:val="24"/>
                <w:szCs w:val="24"/>
                <w:u w:val="single"/>
              </w:rPr>
              <w:t>.25</w:t>
            </w:r>
          </w:p>
        </w:tc>
        <w:tc>
          <w:tcPr>
            <w:tcW w:w="990" w:type="dxa"/>
          </w:tcPr>
          <w:p w:rsidRPr="44CB85AD" w:rsidR="009A43DB" w:rsidP="009177BD" w:rsidRDefault="009A43DB" w14:paraId="09F9DA91"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$25.72</w:t>
            </w:r>
          </w:p>
        </w:tc>
        <w:tc>
          <w:tcPr>
            <w:tcW w:w="1607" w:type="dxa"/>
          </w:tcPr>
          <w:p w:rsidRPr="44CB85AD" w:rsidR="009A43DB" w:rsidP="009177BD" w:rsidRDefault="009A43DB" w14:paraId="51429044"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$160.75</w:t>
            </w:r>
          </w:p>
        </w:tc>
      </w:tr>
      <w:tr w:rsidR="009A43DB" w:rsidTr="009177BD" w14:paraId="01BCEE61" w14:textId="77777777">
        <w:trPr>
          <w:trHeight w:val="280"/>
        </w:trPr>
        <w:tc>
          <w:tcPr>
            <w:tcW w:w="1610" w:type="dxa"/>
          </w:tcPr>
          <w:p w:rsidR="009A43DB" w:rsidP="009177BD" w:rsidRDefault="009A43DB" w14:paraId="412A65AD"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lastRenderedPageBreak/>
              <w:t>Prescreening Questionnaire</w:t>
            </w:r>
          </w:p>
        </w:tc>
        <w:tc>
          <w:tcPr>
            <w:tcW w:w="1440" w:type="dxa"/>
          </w:tcPr>
          <w:p w:rsidR="009A43DB" w:rsidP="009177BD" w:rsidRDefault="009A43DB" w14:paraId="128B6961"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Clinicians and Healthcare Professionals</w:t>
            </w:r>
          </w:p>
        </w:tc>
        <w:tc>
          <w:tcPr>
            <w:tcW w:w="1260" w:type="dxa"/>
          </w:tcPr>
          <w:p w:rsidR="009A43DB" w:rsidP="009177BD" w:rsidRDefault="009A43DB" w14:paraId="095670C7"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750</w:t>
            </w:r>
          </w:p>
        </w:tc>
        <w:tc>
          <w:tcPr>
            <w:tcW w:w="1350" w:type="dxa"/>
          </w:tcPr>
          <w:p w:rsidR="009A43DB" w:rsidP="009177BD" w:rsidRDefault="009A43DB" w14:paraId="54314128"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1</w:t>
            </w:r>
          </w:p>
        </w:tc>
        <w:tc>
          <w:tcPr>
            <w:tcW w:w="1170" w:type="dxa"/>
          </w:tcPr>
          <w:p w:rsidR="009A43DB" w:rsidP="009177BD" w:rsidRDefault="009A43DB" w14:paraId="009D8496"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5/60</w:t>
            </w:r>
          </w:p>
        </w:tc>
        <w:tc>
          <w:tcPr>
            <w:tcW w:w="1080" w:type="dxa"/>
          </w:tcPr>
          <w:p w:rsidR="009A43DB" w:rsidP="009177BD" w:rsidRDefault="009A43DB" w14:paraId="35F414EE"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6</w:t>
            </w:r>
            <w:r>
              <w:rPr>
                <w:rFonts w:ascii="Times New Roman" w:hAnsi="Times New Roman" w:eastAsia="Times New Roman" w:cs="Times New Roman"/>
                <w:sz w:val="24"/>
                <w:szCs w:val="24"/>
                <w:u w:val="single"/>
              </w:rPr>
              <w:t>2.5</w:t>
            </w:r>
          </w:p>
        </w:tc>
        <w:tc>
          <w:tcPr>
            <w:tcW w:w="990" w:type="dxa"/>
          </w:tcPr>
          <w:p w:rsidRPr="44CB85AD" w:rsidR="009A43DB" w:rsidP="009177BD" w:rsidRDefault="009A43DB" w14:paraId="6FD3CF44"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$96.00</w:t>
            </w:r>
          </w:p>
        </w:tc>
        <w:tc>
          <w:tcPr>
            <w:tcW w:w="1607" w:type="dxa"/>
          </w:tcPr>
          <w:p w:rsidRPr="44CB85AD" w:rsidR="009A43DB" w:rsidP="009177BD" w:rsidRDefault="009A43DB" w14:paraId="2BC36315"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$6,000</w:t>
            </w:r>
          </w:p>
        </w:tc>
      </w:tr>
      <w:tr w:rsidR="009A43DB" w:rsidTr="009177BD" w14:paraId="12B6DD26" w14:textId="77777777">
        <w:trPr>
          <w:trHeight w:val="280"/>
        </w:trPr>
        <w:tc>
          <w:tcPr>
            <w:tcW w:w="1610" w:type="dxa"/>
          </w:tcPr>
          <w:p w:rsidR="009A43DB" w:rsidP="009177BD" w:rsidRDefault="009A43DB" w14:paraId="4811B93C"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 xml:space="preserve">Asynchronous </w:t>
            </w:r>
            <w:r>
              <w:rPr>
                <w:rFonts w:ascii="Times New Roman" w:hAnsi="Times New Roman" w:eastAsia="Times New Roman" w:cs="Times New Roman"/>
                <w:sz w:val="24"/>
                <w:szCs w:val="24"/>
                <w:u w:val="single"/>
              </w:rPr>
              <w:t>Focus Group</w:t>
            </w:r>
          </w:p>
        </w:tc>
        <w:tc>
          <w:tcPr>
            <w:tcW w:w="1440" w:type="dxa"/>
          </w:tcPr>
          <w:p w:rsidR="009A43DB" w:rsidP="009177BD" w:rsidRDefault="009A43DB" w14:paraId="6AFBFCE7"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Patients and Care Partners</w:t>
            </w:r>
          </w:p>
        </w:tc>
        <w:tc>
          <w:tcPr>
            <w:tcW w:w="1260" w:type="dxa"/>
          </w:tcPr>
          <w:p w:rsidR="009A43DB" w:rsidP="009177BD" w:rsidRDefault="009A43DB" w14:paraId="60220D0C"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10</w:t>
            </w:r>
          </w:p>
        </w:tc>
        <w:tc>
          <w:tcPr>
            <w:tcW w:w="1350" w:type="dxa"/>
          </w:tcPr>
          <w:p w:rsidR="009A43DB" w:rsidP="009177BD" w:rsidRDefault="009A43DB" w14:paraId="155B6B31"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1</w:t>
            </w:r>
          </w:p>
        </w:tc>
        <w:tc>
          <w:tcPr>
            <w:tcW w:w="1170" w:type="dxa"/>
          </w:tcPr>
          <w:p w:rsidR="009A43DB" w:rsidP="009177BD" w:rsidRDefault="009A43DB" w14:paraId="6F2BE481"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90/60</w:t>
            </w:r>
          </w:p>
        </w:tc>
        <w:tc>
          <w:tcPr>
            <w:tcW w:w="1080" w:type="dxa"/>
          </w:tcPr>
          <w:p w:rsidR="009A43DB" w:rsidP="009177BD" w:rsidRDefault="009A43DB" w14:paraId="01EA216D"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15</w:t>
            </w:r>
          </w:p>
        </w:tc>
        <w:tc>
          <w:tcPr>
            <w:tcW w:w="990" w:type="dxa"/>
          </w:tcPr>
          <w:p w:rsidRPr="44CB85AD" w:rsidR="009A43DB" w:rsidP="009177BD" w:rsidRDefault="009A43DB" w14:paraId="0E11101E"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$25.72</w:t>
            </w:r>
          </w:p>
        </w:tc>
        <w:tc>
          <w:tcPr>
            <w:tcW w:w="1607" w:type="dxa"/>
          </w:tcPr>
          <w:p w:rsidRPr="44CB85AD" w:rsidR="009A43DB" w:rsidP="009177BD" w:rsidRDefault="009A43DB" w14:paraId="3FA4073F"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$385.80</w:t>
            </w:r>
          </w:p>
        </w:tc>
      </w:tr>
      <w:tr w:rsidR="009A43DB" w:rsidTr="009177BD" w14:paraId="22C933B7" w14:textId="77777777">
        <w:trPr>
          <w:trHeight w:val="280"/>
        </w:trPr>
        <w:tc>
          <w:tcPr>
            <w:tcW w:w="1610" w:type="dxa"/>
          </w:tcPr>
          <w:p w:rsidR="009A43DB" w:rsidP="009177BD" w:rsidRDefault="009A43DB" w14:paraId="0C4EA571"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 xml:space="preserve">Synchronous </w:t>
            </w:r>
            <w:r>
              <w:rPr>
                <w:rFonts w:ascii="Times New Roman" w:hAnsi="Times New Roman" w:eastAsia="Times New Roman" w:cs="Times New Roman"/>
                <w:sz w:val="24"/>
                <w:szCs w:val="24"/>
                <w:u w:val="single"/>
              </w:rPr>
              <w:t>Focus Group</w:t>
            </w:r>
            <w:r w:rsidRPr="44CB85AD">
              <w:rPr>
                <w:rFonts w:ascii="Times New Roman" w:hAnsi="Times New Roman" w:eastAsia="Times New Roman" w:cs="Times New Roman"/>
                <w:sz w:val="24"/>
                <w:szCs w:val="24"/>
                <w:u w:val="single"/>
              </w:rPr>
              <w:t xml:space="preserve"> (English)</w:t>
            </w:r>
          </w:p>
        </w:tc>
        <w:tc>
          <w:tcPr>
            <w:tcW w:w="1440" w:type="dxa"/>
          </w:tcPr>
          <w:p w:rsidR="009A43DB" w:rsidP="009177BD" w:rsidRDefault="009A43DB" w14:paraId="402DA117"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Patients and Care Partners</w:t>
            </w:r>
          </w:p>
        </w:tc>
        <w:tc>
          <w:tcPr>
            <w:tcW w:w="1260" w:type="dxa"/>
          </w:tcPr>
          <w:p w:rsidR="009A43DB" w:rsidP="009177BD" w:rsidRDefault="009A43DB" w14:paraId="3189BC4F"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80</w:t>
            </w:r>
          </w:p>
        </w:tc>
        <w:tc>
          <w:tcPr>
            <w:tcW w:w="1350" w:type="dxa"/>
          </w:tcPr>
          <w:p w:rsidR="009A43DB" w:rsidP="009177BD" w:rsidRDefault="009A43DB" w14:paraId="0C09EB15"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1</w:t>
            </w:r>
          </w:p>
        </w:tc>
        <w:tc>
          <w:tcPr>
            <w:tcW w:w="1170" w:type="dxa"/>
          </w:tcPr>
          <w:p w:rsidR="009A43DB" w:rsidP="009177BD" w:rsidRDefault="009A43DB" w14:paraId="738C49EF"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90/60</w:t>
            </w:r>
          </w:p>
        </w:tc>
        <w:tc>
          <w:tcPr>
            <w:tcW w:w="1080" w:type="dxa"/>
          </w:tcPr>
          <w:p w:rsidR="009A43DB" w:rsidP="009177BD" w:rsidRDefault="009A43DB" w14:paraId="67FD56B3"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120</w:t>
            </w:r>
          </w:p>
        </w:tc>
        <w:tc>
          <w:tcPr>
            <w:tcW w:w="990" w:type="dxa"/>
          </w:tcPr>
          <w:p w:rsidRPr="44CB85AD" w:rsidR="009A43DB" w:rsidP="009177BD" w:rsidRDefault="009A43DB" w14:paraId="7CF3FB0C"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$25.72</w:t>
            </w:r>
          </w:p>
        </w:tc>
        <w:tc>
          <w:tcPr>
            <w:tcW w:w="1607" w:type="dxa"/>
          </w:tcPr>
          <w:p w:rsidRPr="44CB85AD" w:rsidR="009A43DB" w:rsidP="009177BD" w:rsidRDefault="009A43DB" w14:paraId="36F2FC63"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$3,086.40</w:t>
            </w:r>
          </w:p>
        </w:tc>
      </w:tr>
      <w:tr w:rsidR="009A43DB" w:rsidTr="009177BD" w14:paraId="4F8294EB" w14:textId="77777777">
        <w:trPr>
          <w:trHeight w:val="280"/>
        </w:trPr>
        <w:tc>
          <w:tcPr>
            <w:tcW w:w="1610" w:type="dxa"/>
          </w:tcPr>
          <w:p w:rsidR="009A43DB" w:rsidP="009177BD" w:rsidRDefault="009A43DB" w14:paraId="1BD1AD7A"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Synchronous Focus Group (Spanish)</w:t>
            </w:r>
          </w:p>
        </w:tc>
        <w:tc>
          <w:tcPr>
            <w:tcW w:w="1440" w:type="dxa"/>
          </w:tcPr>
          <w:p w:rsidR="009A43DB" w:rsidP="009177BD" w:rsidRDefault="009A43DB" w14:paraId="55F8EB6C"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Patients and Care Partners (Spanish speakers)</w:t>
            </w:r>
          </w:p>
        </w:tc>
        <w:tc>
          <w:tcPr>
            <w:tcW w:w="1260" w:type="dxa"/>
          </w:tcPr>
          <w:p w:rsidR="009A43DB" w:rsidP="009177BD" w:rsidRDefault="009A43DB" w14:paraId="496C80B9"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10</w:t>
            </w:r>
          </w:p>
        </w:tc>
        <w:tc>
          <w:tcPr>
            <w:tcW w:w="1350" w:type="dxa"/>
          </w:tcPr>
          <w:p w:rsidR="009A43DB" w:rsidP="009177BD" w:rsidRDefault="009A43DB" w14:paraId="62932806" w14:textId="77777777">
            <w:pPr>
              <w:spacing w:line="480" w:lineRule="auto"/>
              <w:rPr>
                <w:rFonts w:ascii="Times New Roman" w:hAnsi="Times New Roman" w:eastAsia="Times New Roman" w:cs="Times New Roman"/>
                <w:sz w:val="24"/>
                <w:szCs w:val="24"/>
              </w:rPr>
            </w:pPr>
            <w:r w:rsidRPr="44CB85AD">
              <w:rPr>
                <w:rFonts w:ascii="Times New Roman" w:hAnsi="Times New Roman" w:eastAsia="Times New Roman" w:cs="Times New Roman"/>
                <w:sz w:val="24"/>
                <w:szCs w:val="24"/>
              </w:rPr>
              <w:t xml:space="preserve"> </w:t>
            </w:r>
          </w:p>
        </w:tc>
        <w:tc>
          <w:tcPr>
            <w:tcW w:w="1170" w:type="dxa"/>
          </w:tcPr>
          <w:p w:rsidR="009A43DB" w:rsidP="009177BD" w:rsidRDefault="009A43DB" w14:paraId="427360D2"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90/60</w:t>
            </w:r>
          </w:p>
        </w:tc>
        <w:tc>
          <w:tcPr>
            <w:tcW w:w="1080" w:type="dxa"/>
          </w:tcPr>
          <w:p w:rsidR="009A43DB" w:rsidP="009177BD" w:rsidRDefault="009A43DB" w14:paraId="5F562EAE"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15</w:t>
            </w:r>
          </w:p>
        </w:tc>
        <w:tc>
          <w:tcPr>
            <w:tcW w:w="990" w:type="dxa"/>
          </w:tcPr>
          <w:p w:rsidRPr="44CB85AD" w:rsidR="009A43DB" w:rsidP="009177BD" w:rsidRDefault="009A43DB" w14:paraId="0849B39D"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$25.72</w:t>
            </w:r>
          </w:p>
        </w:tc>
        <w:tc>
          <w:tcPr>
            <w:tcW w:w="1607" w:type="dxa"/>
          </w:tcPr>
          <w:p w:rsidRPr="44CB85AD" w:rsidR="009A43DB" w:rsidP="009177BD" w:rsidRDefault="009A43DB" w14:paraId="0E7C3ED1"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$385.80</w:t>
            </w:r>
          </w:p>
        </w:tc>
      </w:tr>
      <w:tr w:rsidR="009A43DB" w:rsidTr="009177BD" w14:paraId="4758FE59" w14:textId="77777777">
        <w:trPr>
          <w:trHeight w:val="280"/>
        </w:trPr>
        <w:tc>
          <w:tcPr>
            <w:tcW w:w="1610" w:type="dxa"/>
          </w:tcPr>
          <w:p w:rsidR="009A43DB" w:rsidP="009177BD" w:rsidRDefault="009A43DB" w14:paraId="5F97CFAA"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Asynchronous</w:t>
            </w:r>
            <w:r>
              <w:rPr>
                <w:rFonts w:ascii="Times New Roman" w:hAnsi="Times New Roman" w:eastAsia="Times New Roman" w:cs="Times New Roman"/>
                <w:sz w:val="24"/>
                <w:szCs w:val="24"/>
                <w:u w:val="single"/>
              </w:rPr>
              <w:t xml:space="preserve"> Focus Group</w:t>
            </w:r>
          </w:p>
        </w:tc>
        <w:tc>
          <w:tcPr>
            <w:tcW w:w="1440" w:type="dxa"/>
          </w:tcPr>
          <w:p w:rsidR="009A43DB" w:rsidP="009177BD" w:rsidRDefault="009A43DB" w14:paraId="5E0693DC"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Clinicians and Healthcare Professionals</w:t>
            </w:r>
          </w:p>
        </w:tc>
        <w:tc>
          <w:tcPr>
            <w:tcW w:w="1260" w:type="dxa"/>
          </w:tcPr>
          <w:p w:rsidR="009A43DB" w:rsidP="009177BD" w:rsidRDefault="009A43DB" w14:paraId="3D63365D"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90</w:t>
            </w:r>
          </w:p>
        </w:tc>
        <w:tc>
          <w:tcPr>
            <w:tcW w:w="1350" w:type="dxa"/>
          </w:tcPr>
          <w:p w:rsidR="009A43DB" w:rsidP="009177BD" w:rsidRDefault="009A43DB" w14:paraId="222966A7"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1</w:t>
            </w:r>
          </w:p>
        </w:tc>
        <w:tc>
          <w:tcPr>
            <w:tcW w:w="1170" w:type="dxa"/>
          </w:tcPr>
          <w:p w:rsidR="009A43DB" w:rsidP="009177BD" w:rsidRDefault="009A43DB" w14:paraId="2953D87B"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90/60</w:t>
            </w:r>
          </w:p>
        </w:tc>
        <w:tc>
          <w:tcPr>
            <w:tcW w:w="1080" w:type="dxa"/>
          </w:tcPr>
          <w:p w:rsidR="009A43DB" w:rsidP="009177BD" w:rsidRDefault="009A43DB" w14:paraId="10A4A8EC"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1</w:t>
            </w:r>
            <w:r>
              <w:rPr>
                <w:rFonts w:ascii="Times New Roman" w:hAnsi="Times New Roman" w:eastAsia="Times New Roman" w:cs="Times New Roman"/>
                <w:sz w:val="24"/>
                <w:szCs w:val="24"/>
                <w:u w:val="single"/>
              </w:rPr>
              <w:t>35</w:t>
            </w:r>
          </w:p>
        </w:tc>
        <w:tc>
          <w:tcPr>
            <w:tcW w:w="990" w:type="dxa"/>
          </w:tcPr>
          <w:p w:rsidRPr="44CB85AD" w:rsidR="009A43DB" w:rsidP="009177BD" w:rsidRDefault="009A43DB" w14:paraId="17F12F18"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$96.00</w:t>
            </w:r>
          </w:p>
        </w:tc>
        <w:tc>
          <w:tcPr>
            <w:tcW w:w="1607" w:type="dxa"/>
          </w:tcPr>
          <w:p w:rsidRPr="44CB85AD" w:rsidR="009A43DB" w:rsidP="009177BD" w:rsidRDefault="009A43DB" w14:paraId="1AA85887"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$12,960.00</w:t>
            </w:r>
          </w:p>
        </w:tc>
      </w:tr>
      <w:tr w:rsidR="009A43DB" w:rsidTr="009177BD" w14:paraId="2A1D1EA4" w14:textId="77777777">
        <w:trPr>
          <w:trHeight w:val="280"/>
        </w:trPr>
        <w:tc>
          <w:tcPr>
            <w:tcW w:w="1610" w:type="dxa"/>
          </w:tcPr>
          <w:p w:rsidRPr="00427C64" w:rsidR="009A43DB" w:rsidP="009177BD" w:rsidRDefault="009A43DB" w14:paraId="3C2264DD" w14:textId="77777777">
            <w:pPr>
              <w:spacing w:line="480" w:lineRule="auto"/>
              <w:rPr>
                <w:rFonts w:ascii="Times New Roman" w:hAnsi="Times New Roman" w:eastAsia="Times New Roman" w:cs="Times New Roman"/>
                <w:sz w:val="24"/>
                <w:szCs w:val="24"/>
                <w:u w:val="single"/>
              </w:rPr>
            </w:pPr>
            <w:r w:rsidRPr="00427C64">
              <w:rPr>
                <w:rFonts w:ascii="Times New Roman" w:hAnsi="Times New Roman" w:eastAsia="Times New Roman" w:cs="Times New Roman"/>
                <w:sz w:val="24"/>
                <w:szCs w:val="24"/>
                <w:u w:val="single"/>
              </w:rPr>
              <w:lastRenderedPageBreak/>
              <w:t>Synchronous Focus Group</w:t>
            </w:r>
          </w:p>
        </w:tc>
        <w:tc>
          <w:tcPr>
            <w:tcW w:w="1440" w:type="dxa"/>
          </w:tcPr>
          <w:p w:rsidRPr="005365C4" w:rsidR="009A43DB" w:rsidP="009177BD" w:rsidRDefault="009A43DB" w14:paraId="0E844589" w14:textId="77777777">
            <w:pPr>
              <w:spacing w:line="480" w:lineRule="auto"/>
              <w:rPr>
                <w:rFonts w:ascii="Times New Roman" w:hAnsi="Times New Roman" w:eastAsia="Times New Roman" w:cs="Times New Roman"/>
                <w:sz w:val="24"/>
                <w:szCs w:val="24"/>
              </w:rPr>
            </w:pPr>
            <w:r w:rsidRPr="005365C4">
              <w:rPr>
                <w:rFonts w:ascii="Times New Roman" w:hAnsi="Times New Roman" w:eastAsia="Times New Roman" w:cs="Times New Roman"/>
                <w:sz w:val="24"/>
                <w:szCs w:val="24"/>
              </w:rPr>
              <w:t>Clinicians and Healthcare Professionals</w:t>
            </w:r>
          </w:p>
        </w:tc>
        <w:tc>
          <w:tcPr>
            <w:tcW w:w="1260" w:type="dxa"/>
          </w:tcPr>
          <w:p w:rsidR="009A43DB" w:rsidP="009177BD" w:rsidRDefault="009A43DB" w14:paraId="036C44AE"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10</w:t>
            </w:r>
          </w:p>
        </w:tc>
        <w:tc>
          <w:tcPr>
            <w:tcW w:w="1350" w:type="dxa"/>
          </w:tcPr>
          <w:p w:rsidR="009A43DB" w:rsidP="009177BD" w:rsidRDefault="009A43DB" w14:paraId="6B938B9E"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1</w:t>
            </w:r>
          </w:p>
        </w:tc>
        <w:tc>
          <w:tcPr>
            <w:tcW w:w="1170" w:type="dxa"/>
            <w:shd w:val="clear" w:color="auto" w:fill="FFFFFF" w:themeFill="background1"/>
          </w:tcPr>
          <w:p w:rsidRPr="005365C4" w:rsidR="009A43DB" w:rsidP="009177BD" w:rsidRDefault="009A43DB" w14:paraId="16602662" w14:textId="77777777">
            <w:pPr>
              <w:spacing w:line="480" w:lineRule="auto"/>
              <w:rPr>
                <w:rFonts w:ascii="Times New Roman" w:hAnsi="Times New Roman" w:eastAsia="Times New Roman" w:cs="Times New Roman"/>
                <w:sz w:val="24"/>
                <w:szCs w:val="24"/>
              </w:rPr>
            </w:pPr>
            <w:r w:rsidRPr="005365C4">
              <w:rPr>
                <w:rFonts w:ascii="Times New Roman" w:hAnsi="Times New Roman" w:eastAsia="Times New Roman" w:cs="Times New Roman"/>
                <w:sz w:val="24"/>
                <w:szCs w:val="24"/>
              </w:rPr>
              <w:t>90/60</w:t>
            </w:r>
          </w:p>
        </w:tc>
        <w:tc>
          <w:tcPr>
            <w:tcW w:w="1080" w:type="dxa"/>
          </w:tcPr>
          <w:p w:rsidR="009A43DB" w:rsidP="009177BD" w:rsidRDefault="009A43DB" w14:paraId="01AD4C5B"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15</w:t>
            </w:r>
          </w:p>
        </w:tc>
        <w:tc>
          <w:tcPr>
            <w:tcW w:w="990" w:type="dxa"/>
          </w:tcPr>
          <w:p w:rsidRPr="44CB85AD" w:rsidR="009A43DB" w:rsidP="009177BD" w:rsidRDefault="009A43DB" w14:paraId="7056EEDC"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$96.00</w:t>
            </w:r>
          </w:p>
        </w:tc>
        <w:tc>
          <w:tcPr>
            <w:tcW w:w="1607" w:type="dxa"/>
          </w:tcPr>
          <w:p w:rsidR="009A43DB" w:rsidP="009177BD" w:rsidRDefault="009A43DB" w14:paraId="521669C8"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$1,440.00</w:t>
            </w:r>
          </w:p>
          <w:p w:rsidRPr="44CB85AD" w:rsidR="009A43DB" w:rsidP="009177BD" w:rsidRDefault="009A43DB" w14:paraId="40E4F1CD" w14:textId="77777777">
            <w:pPr>
              <w:spacing w:line="480" w:lineRule="auto"/>
              <w:rPr>
                <w:rFonts w:ascii="Times New Roman" w:hAnsi="Times New Roman" w:eastAsia="Times New Roman" w:cs="Times New Roman"/>
                <w:sz w:val="24"/>
                <w:szCs w:val="24"/>
                <w:u w:val="single"/>
              </w:rPr>
            </w:pPr>
          </w:p>
        </w:tc>
      </w:tr>
      <w:tr w:rsidR="009A43DB" w:rsidTr="009177BD" w14:paraId="330A315E" w14:textId="77777777">
        <w:trPr>
          <w:trHeight w:val="280"/>
        </w:trPr>
        <w:tc>
          <w:tcPr>
            <w:tcW w:w="1610" w:type="dxa"/>
          </w:tcPr>
          <w:p w:rsidR="009A43DB" w:rsidP="009177BD" w:rsidRDefault="009A43DB" w14:paraId="3A2D32E6" w14:textId="77777777">
            <w:pPr>
              <w:spacing w:line="480" w:lineRule="auto"/>
              <w:rPr>
                <w:rFonts w:ascii="Times New Roman" w:hAnsi="Times New Roman" w:eastAsia="Times New Roman" w:cs="Times New Roman"/>
                <w:sz w:val="24"/>
                <w:szCs w:val="24"/>
              </w:rPr>
            </w:pPr>
            <w:r w:rsidRPr="44CB85AD">
              <w:rPr>
                <w:rFonts w:ascii="Times New Roman" w:hAnsi="Times New Roman" w:eastAsia="Times New Roman" w:cs="Times New Roman"/>
                <w:sz w:val="24"/>
                <w:szCs w:val="24"/>
              </w:rPr>
              <w:t xml:space="preserve">Grand Total </w:t>
            </w:r>
          </w:p>
        </w:tc>
        <w:tc>
          <w:tcPr>
            <w:tcW w:w="1440" w:type="dxa"/>
          </w:tcPr>
          <w:p w:rsidR="009A43DB" w:rsidP="009177BD" w:rsidRDefault="009A43DB" w14:paraId="730679AB" w14:textId="77777777">
            <w:pPr>
              <w:spacing w:line="480" w:lineRule="auto"/>
              <w:rPr>
                <w:rFonts w:ascii="Times New Roman" w:hAnsi="Times New Roman" w:eastAsia="Times New Roman" w:cs="Times New Roman"/>
                <w:sz w:val="24"/>
                <w:szCs w:val="24"/>
              </w:rPr>
            </w:pPr>
            <w:r w:rsidRPr="44CB85AD">
              <w:rPr>
                <w:rFonts w:ascii="Times New Roman" w:hAnsi="Times New Roman" w:eastAsia="Times New Roman" w:cs="Times New Roman"/>
                <w:sz w:val="24"/>
                <w:szCs w:val="24"/>
              </w:rPr>
              <w:t xml:space="preserve"> </w:t>
            </w:r>
          </w:p>
        </w:tc>
        <w:tc>
          <w:tcPr>
            <w:tcW w:w="1260" w:type="dxa"/>
          </w:tcPr>
          <w:p w:rsidR="009A43DB" w:rsidP="009177BD" w:rsidRDefault="009A43DB" w14:paraId="5A768656"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1700</w:t>
            </w:r>
          </w:p>
        </w:tc>
        <w:tc>
          <w:tcPr>
            <w:tcW w:w="1350" w:type="dxa"/>
          </w:tcPr>
          <w:p w:rsidR="009A43DB" w:rsidP="009177BD" w:rsidRDefault="009A43DB" w14:paraId="100C7CC4"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1</w:t>
            </w:r>
          </w:p>
        </w:tc>
        <w:tc>
          <w:tcPr>
            <w:tcW w:w="1170" w:type="dxa"/>
            <w:shd w:val="clear" w:color="auto" w:fill="AEAAAA" w:themeFill="background2" w:themeFillShade="BF"/>
          </w:tcPr>
          <w:p w:rsidR="009A43DB" w:rsidP="009177BD" w:rsidRDefault="009A43DB" w14:paraId="4A1B37C8" w14:textId="77777777">
            <w:pPr>
              <w:spacing w:line="480" w:lineRule="auto"/>
              <w:rPr>
                <w:rFonts w:ascii="Times New Roman" w:hAnsi="Times New Roman" w:eastAsia="Times New Roman" w:cs="Times New Roman"/>
                <w:sz w:val="24"/>
                <w:szCs w:val="24"/>
              </w:rPr>
            </w:pPr>
            <w:r w:rsidRPr="44CB85AD">
              <w:rPr>
                <w:rFonts w:ascii="Times New Roman" w:hAnsi="Times New Roman" w:eastAsia="Times New Roman" w:cs="Times New Roman"/>
                <w:sz w:val="24"/>
                <w:szCs w:val="24"/>
              </w:rPr>
              <w:t xml:space="preserve"> </w:t>
            </w:r>
          </w:p>
        </w:tc>
        <w:tc>
          <w:tcPr>
            <w:tcW w:w="1080" w:type="dxa"/>
          </w:tcPr>
          <w:p w:rsidR="009A43DB" w:rsidP="009177BD" w:rsidRDefault="009A43DB" w14:paraId="1137BF90" w14:textId="77777777">
            <w:pPr>
              <w:spacing w:line="480" w:lineRule="auto"/>
              <w:rPr>
                <w:rFonts w:ascii="Times New Roman" w:hAnsi="Times New Roman" w:eastAsia="Times New Roman" w:cs="Times New Roman"/>
                <w:sz w:val="24"/>
                <w:szCs w:val="24"/>
                <w:u w:val="single"/>
              </w:rPr>
            </w:pPr>
            <w:r w:rsidRPr="44CB85AD">
              <w:rPr>
                <w:rFonts w:ascii="Times New Roman" w:hAnsi="Times New Roman" w:eastAsia="Times New Roman" w:cs="Times New Roman"/>
                <w:sz w:val="24"/>
                <w:szCs w:val="24"/>
                <w:u w:val="single"/>
              </w:rPr>
              <w:t>425</w:t>
            </w:r>
          </w:p>
        </w:tc>
        <w:tc>
          <w:tcPr>
            <w:tcW w:w="990" w:type="dxa"/>
            <w:shd w:val="clear" w:color="auto" w:fill="A6A6A6" w:themeFill="background1" w:themeFillShade="A6"/>
          </w:tcPr>
          <w:p w:rsidRPr="44CB85AD" w:rsidR="009A43DB" w:rsidP="009177BD" w:rsidRDefault="009A43DB" w14:paraId="22BCAADE" w14:textId="77777777">
            <w:pPr>
              <w:spacing w:line="480" w:lineRule="auto"/>
              <w:rPr>
                <w:rFonts w:ascii="Times New Roman" w:hAnsi="Times New Roman" w:eastAsia="Times New Roman" w:cs="Times New Roman"/>
                <w:sz w:val="24"/>
                <w:szCs w:val="24"/>
                <w:u w:val="single"/>
              </w:rPr>
            </w:pPr>
          </w:p>
        </w:tc>
        <w:tc>
          <w:tcPr>
            <w:tcW w:w="1607" w:type="dxa"/>
          </w:tcPr>
          <w:p w:rsidRPr="44CB85AD" w:rsidR="009A43DB" w:rsidP="009177BD" w:rsidRDefault="009A43DB" w14:paraId="3AF3B8ED" w14:textId="77777777">
            <w:pPr>
              <w:spacing w:line="48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$25,865.50</w:t>
            </w:r>
          </w:p>
        </w:tc>
      </w:tr>
    </w:tbl>
    <w:p w:rsidRPr="00F3189A" w:rsidR="009A43DB" w:rsidP="00FB30C4" w:rsidRDefault="009A43DB" w14:paraId="73ABB1EE" w14:textId="77777777">
      <w:pPr>
        <w:pStyle w:val="Default"/>
        <w:rPr>
          <w:rFonts w:ascii="Times New Roman" w:hAnsi="Times New Roman" w:cs="Times New Roman"/>
        </w:rPr>
      </w:pPr>
    </w:p>
    <w:p w:rsidR="44CB85AD" w:rsidP="44CB85AD" w:rsidRDefault="44CB85AD" w14:paraId="1A95E436" w14:textId="2159906E">
      <w:pPr>
        <w:pStyle w:val="Default"/>
        <w:rPr>
          <w:rFonts w:eastAsia="Calibri"/>
          <w:color w:val="000000" w:themeColor="text1"/>
        </w:rPr>
      </w:pPr>
    </w:p>
    <w:p w:rsidR="44CB85AD" w:rsidP="44CB85AD" w:rsidRDefault="44CB85AD" w14:paraId="37C18720" w14:textId="18F79759">
      <w:pPr>
        <w:pStyle w:val="Default"/>
        <w:rPr>
          <w:rFonts w:eastAsia="Calibri"/>
          <w:color w:val="000000" w:themeColor="text1"/>
        </w:rPr>
      </w:pPr>
    </w:p>
    <w:p w:rsidRPr="00F3189A" w:rsidR="008572F2" w:rsidP="00D5691C" w:rsidRDefault="008572F2" w14:paraId="5FB8AD17" w14:textId="7A06FBE7">
      <w:pPr>
        <w:spacing w:line="240" w:lineRule="auto"/>
        <w:contextualSpacing/>
        <w:rPr>
          <w:rFonts w:ascii="Times New Roman" w:hAnsi="Times New Roman" w:cs="Times New Roman"/>
          <w:sz w:val="24"/>
          <w:szCs w:val="24"/>
        </w:rPr>
      </w:pPr>
      <w:bookmarkStart w:name="_Hlk86141346" w:id="1"/>
    </w:p>
    <w:bookmarkEnd w:id="1"/>
    <w:p w:rsidRPr="00F3189A" w:rsidR="00C8772A" w:rsidP="00D5691C" w:rsidRDefault="00C8772A" w14:paraId="02A5D370" w14:textId="77777777">
      <w:pPr>
        <w:spacing w:line="240" w:lineRule="auto"/>
        <w:contextualSpacing/>
        <w:rPr>
          <w:rFonts w:ascii="Times New Roman" w:hAnsi="Times New Roman" w:cs="Times New Roman"/>
          <w:sz w:val="24"/>
          <w:szCs w:val="24"/>
        </w:rPr>
      </w:pPr>
    </w:p>
    <w:p w:rsidRPr="00F3189A" w:rsidR="0065450A" w:rsidP="00D5691C" w:rsidRDefault="00CA74CD" w14:paraId="568E0C54" w14:textId="3238403D">
      <w:pPr>
        <w:autoSpaceDE w:val="0"/>
        <w:autoSpaceDN w:val="0"/>
        <w:adjustRightInd w:val="0"/>
        <w:spacing w:after="267" w:line="240" w:lineRule="auto"/>
        <w:ind w:right="247"/>
        <w:contextualSpacing/>
        <w:rPr>
          <w:rFonts w:ascii="Times New Roman" w:hAnsi="Times New Roman" w:cs="Times New Roman"/>
          <w:color w:val="000000"/>
          <w:sz w:val="24"/>
          <w:szCs w:val="24"/>
        </w:rPr>
      </w:pPr>
      <w:r w:rsidRPr="00F3189A">
        <w:rPr>
          <w:rFonts w:ascii="Times New Roman" w:hAnsi="Times New Roman" w:cs="Times New Roman"/>
          <w:b/>
          <w:bCs/>
          <w:color w:val="000000"/>
          <w:sz w:val="24"/>
          <w:szCs w:val="24"/>
        </w:rPr>
        <w:t>13.</w:t>
      </w:r>
      <w:r w:rsidR="00786362">
        <w:rPr>
          <w:rFonts w:ascii="Times New Roman" w:hAnsi="Times New Roman" w:cs="Times New Roman"/>
          <w:b/>
          <w:bCs/>
          <w:color w:val="000000"/>
          <w:sz w:val="24"/>
          <w:szCs w:val="24"/>
        </w:rPr>
        <w:t xml:space="preserve"> </w:t>
      </w:r>
      <w:r w:rsidRPr="00786362" w:rsidR="00786362">
        <w:rPr>
          <w:rFonts w:ascii="Times New Roman" w:hAnsi="Times New Roman" w:cs="Times New Roman"/>
          <w:b/>
          <w:bCs/>
          <w:color w:val="000000"/>
          <w:sz w:val="24"/>
          <w:szCs w:val="24"/>
          <w:u w:val="single"/>
        </w:rPr>
        <w:t>Estimates of other Total Annual Cost Burden to Respondents or Recordkeepers/Capital Costs</w:t>
      </w:r>
    </w:p>
    <w:p w:rsidR="00D725E3" w:rsidP="00D5691C" w:rsidRDefault="00786362" w14:paraId="6741826C" w14:textId="33053D40">
      <w:pPr>
        <w:autoSpaceDE w:val="0"/>
        <w:autoSpaceDN w:val="0"/>
        <w:adjustRightInd w:val="0"/>
        <w:spacing w:after="267" w:line="240" w:lineRule="auto"/>
        <w:ind w:right="247"/>
        <w:contextualSpacing/>
        <w:rPr>
          <w:rFonts w:ascii="Times New Roman" w:hAnsi="Times New Roman" w:cs="Times New Roman"/>
          <w:color w:val="000000"/>
          <w:sz w:val="24"/>
          <w:szCs w:val="24"/>
        </w:rPr>
      </w:pPr>
      <w:r w:rsidRPr="00786362">
        <w:rPr>
          <w:rFonts w:ascii="Times New Roman" w:hAnsi="Times New Roman" w:cs="Times New Roman"/>
          <w:color w:val="000000"/>
          <w:sz w:val="24"/>
          <w:szCs w:val="24"/>
        </w:rPr>
        <w:t>There are no annualized capital/startup or ongoing operation and maintenance costs involved in collecting the information.</w:t>
      </w:r>
    </w:p>
    <w:p w:rsidRPr="00F3189A" w:rsidR="00786362" w:rsidP="00D5691C" w:rsidRDefault="00786362" w14:paraId="6B0B98F6" w14:textId="77777777">
      <w:pPr>
        <w:autoSpaceDE w:val="0"/>
        <w:autoSpaceDN w:val="0"/>
        <w:adjustRightInd w:val="0"/>
        <w:spacing w:after="267" w:line="240" w:lineRule="auto"/>
        <w:ind w:right="247"/>
        <w:contextualSpacing/>
        <w:rPr>
          <w:rFonts w:ascii="Times New Roman" w:hAnsi="Times New Roman" w:cs="Times New Roman"/>
          <w:color w:val="000000"/>
          <w:sz w:val="24"/>
          <w:szCs w:val="24"/>
        </w:rPr>
      </w:pPr>
    </w:p>
    <w:p w:rsidR="00CA74CD" w:rsidP="00786362" w:rsidRDefault="00CA74CD" w14:paraId="00906881" w14:textId="32347329">
      <w:pPr>
        <w:autoSpaceDE w:val="0"/>
        <w:autoSpaceDN w:val="0"/>
        <w:adjustRightInd w:val="0"/>
        <w:spacing w:after="267" w:line="240" w:lineRule="auto"/>
        <w:contextualSpacing/>
        <w:rPr>
          <w:rFonts w:ascii="Times New Roman" w:hAnsi="Times New Roman" w:cs="Times New Roman"/>
          <w:b/>
          <w:bCs/>
          <w:sz w:val="24"/>
          <w:szCs w:val="24"/>
          <w:u w:val="single"/>
        </w:rPr>
      </w:pPr>
      <w:r w:rsidRPr="00F3189A">
        <w:rPr>
          <w:rFonts w:ascii="Times New Roman" w:hAnsi="Times New Roman" w:cs="Times New Roman"/>
          <w:b/>
          <w:bCs/>
          <w:sz w:val="24"/>
          <w:szCs w:val="24"/>
        </w:rPr>
        <w:t xml:space="preserve">14. </w:t>
      </w:r>
      <w:r w:rsidRPr="00786362" w:rsidR="00786362">
        <w:rPr>
          <w:rFonts w:ascii="Times New Roman" w:hAnsi="Times New Roman" w:cs="Times New Roman"/>
          <w:b/>
          <w:bCs/>
          <w:sz w:val="24"/>
          <w:szCs w:val="24"/>
          <w:u w:val="single"/>
        </w:rPr>
        <w:t>Annualized Cost to Federal Government</w:t>
      </w:r>
    </w:p>
    <w:p w:rsidRPr="00F3189A" w:rsidR="00786362" w:rsidP="00786362" w:rsidRDefault="00786362" w14:paraId="2132BAA5" w14:textId="77777777">
      <w:pPr>
        <w:autoSpaceDE w:val="0"/>
        <w:autoSpaceDN w:val="0"/>
        <w:adjustRightInd w:val="0"/>
        <w:spacing w:after="267" w:line="240" w:lineRule="auto"/>
        <w:contextualSpacing/>
        <w:rPr>
          <w:rFonts w:ascii="Times New Roman" w:hAnsi="Times New Roman" w:cs="Times New Roman"/>
          <w:sz w:val="24"/>
          <w:szCs w:val="24"/>
        </w:rPr>
      </w:pPr>
    </w:p>
    <w:tbl>
      <w:tblPr>
        <w:tblStyle w:val="TableGrid"/>
        <w:tblW w:w="0" w:type="auto"/>
        <w:tblLayout w:type="fixed"/>
        <w:tblLook w:val="06A0" w:firstRow="1" w:lastRow="0" w:firstColumn="1" w:lastColumn="0" w:noHBand="1" w:noVBand="1"/>
      </w:tblPr>
      <w:tblGrid>
        <w:gridCol w:w="4680"/>
        <w:gridCol w:w="4680"/>
      </w:tblGrid>
      <w:tr w:rsidRPr="00F3189A" w:rsidR="3DA9B698" w:rsidTr="270BFBCC" w14:paraId="251BD8B9" w14:textId="77777777">
        <w:tc>
          <w:tcPr>
            <w:tcW w:w="9360" w:type="dxa"/>
            <w:gridSpan w:val="2"/>
          </w:tcPr>
          <w:p w:rsidRPr="00F3189A" w:rsidR="3DA9B698" w:rsidP="00ED6EC2" w:rsidRDefault="3DA9B698" w14:paraId="1B963AE9" w14:textId="7FFE91F9">
            <w:pPr>
              <w:jc w:val="center"/>
              <w:rPr>
                <w:rFonts w:ascii="Times New Roman" w:hAnsi="Times New Roman" w:eastAsia="Calibri" w:cs="Times New Roman"/>
                <w:color w:val="000000" w:themeColor="text1"/>
                <w:sz w:val="24"/>
                <w:szCs w:val="24"/>
              </w:rPr>
            </w:pPr>
            <w:r w:rsidRPr="00F3189A">
              <w:rPr>
                <w:rFonts w:ascii="Times New Roman" w:hAnsi="Times New Roman" w:eastAsia="Calibri" w:cs="Times New Roman"/>
                <w:color w:val="000000" w:themeColor="text1"/>
                <w:sz w:val="24"/>
                <w:szCs w:val="24"/>
              </w:rPr>
              <w:t>Estimated Annualized Cost to the Government</w:t>
            </w:r>
          </w:p>
        </w:tc>
      </w:tr>
      <w:tr w:rsidRPr="00F3189A" w:rsidR="3DA9B698" w:rsidTr="270BFBCC" w14:paraId="7D45C37A" w14:textId="77777777">
        <w:tc>
          <w:tcPr>
            <w:tcW w:w="4680" w:type="dxa"/>
          </w:tcPr>
          <w:p w:rsidRPr="00F3189A" w:rsidR="3DA9B698" w:rsidRDefault="3DA9B698" w14:paraId="7240977D" w14:textId="2F3BBD02">
            <w:pPr>
              <w:rPr>
                <w:rFonts w:ascii="Times New Roman" w:hAnsi="Times New Roman" w:cs="Times New Roman"/>
                <w:sz w:val="24"/>
                <w:szCs w:val="24"/>
              </w:rPr>
            </w:pPr>
            <w:r w:rsidRPr="00F3189A">
              <w:rPr>
                <w:rFonts w:ascii="Times New Roman" w:hAnsi="Times New Roman" w:eastAsia="Calibri" w:cs="Times New Roman"/>
                <w:color w:val="000000" w:themeColor="text1"/>
                <w:sz w:val="24"/>
                <w:szCs w:val="24"/>
              </w:rPr>
              <w:t>Cost Category</w:t>
            </w:r>
          </w:p>
        </w:tc>
        <w:tc>
          <w:tcPr>
            <w:tcW w:w="4680" w:type="dxa"/>
          </w:tcPr>
          <w:p w:rsidRPr="00F3189A" w:rsidR="3DA9B698" w:rsidRDefault="3DA9B698" w14:paraId="1C00DBEF" w14:textId="5094BDB9">
            <w:pPr>
              <w:rPr>
                <w:rFonts w:ascii="Times New Roman" w:hAnsi="Times New Roman" w:cs="Times New Roman"/>
                <w:sz w:val="24"/>
                <w:szCs w:val="24"/>
              </w:rPr>
            </w:pPr>
            <w:r w:rsidRPr="00F3189A">
              <w:rPr>
                <w:rFonts w:ascii="Times New Roman" w:hAnsi="Times New Roman" w:eastAsia="Calibri" w:cs="Times New Roman"/>
                <w:color w:val="000000" w:themeColor="text1"/>
                <w:sz w:val="24"/>
                <w:szCs w:val="24"/>
              </w:rPr>
              <w:t>Estimated Annualized Cost</w:t>
            </w:r>
          </w:p>
        </w:tc>
      </w:tr>
      <w:tr w:rsidRPr="00F3189A" w:rsidR="3DA9B698" w:rsidTr="270BFBCC" w14:paraId="500DCA11" w14:textId="77777777">
        <w:tc>
          <w:tcPr>
            <w:tcW w:w="4680" w:type="dxa"/>
          </w:tcPr>
          <w:p w:rsidRPr="00F3189A" w:rsidR="3DA9B698" w:rsidRDefault="3DA9B698" w14:paraId="3FF23BA3" w14:textId="6EDBF571">
            <w:pPr>
              <w:rPr>
                <w:rFonts w:ascii="Times New Roman" w:hAnsi="Times New Roman" w:cs="Times New Roman"/>
                <w:sz w:val="24"/>
                <w:szCs w:val="24"/>
              </w:rPr>
            </w:pPr>
            <w:r w:rsidRPr="00F3189A">
              <w:rPr>
                <w:rFonts w:ascii="Times New Roman" w:hAnsi="Times New Roman" w:eastAsia="Calibri" w:cs="Times New Roman"/>
                <w:color w:val="000000" w:themeColor="text1"/>
                <w:sz w:val="24"/>
                <w:szCs w:val="24"/>
              </w:rPr>
              <w:t>Year 1</w:t>
            </w:r>
          </w:p>
        </w:tc>
        <w:tc>
          <w:tcPr>
            <w:tcW w:w="4680" w:type="dxa"/>
          </w:tcPr>
          <w:p w:rsidRPr="00F3189A" w:rsidR="3DA9B698" w:rsidRDefault="3DA9B698" w14:paraId="487F20DF" w14:textId="6DBB5D14">
            <w:pPr>
              <w:rPr>
                <w:rFonts w:ascii="Times New Roman" w:hAnsi="Times New Roman" w:cs="Times New Roman"/>
                <w:sz w:val="24"/>
                <w:szCs w:val="24"/>
              </w:rPr>
            </w:pPr>
          </w:p>
        </w:tc>
      </w:tr>
      <w:tr w:rsidRPr="00F3189A" w:rsidR="3DA9B698" w:rsidTr="270BFBCC" w14:paraId="5D4E16E0" w14:textId="77777777">
        <w:tc>
          <w:tcPr>
            <w:tcW w:w="4680" w:type="dxa"/>
          </w:tcPr>
          <w:p w:rsidRPr="00F3189A" w:rsidR="3DA9B698" w:rsidRDefault="3DA9B698" w14:paraId="1B252C6C" w14:textId="4E252FE7">
            <w:pPr>
              <w:rPr>
                <w:rFonts w:ascii="Times New Roman" w:hAnsi="Times New Roman" w:cs="Times New Roman"/>
                <w:sz w:val="24"/>
                <w:szCs w:val="24"/>
              </w:rPr>
            </w:pPr>
            <w:r w:rsidRPr="00F3189A">
              <w:rPr>
                <w:rFonts w:ascii="Times New Roman" w:hAnsi="Times New Roman" w:eastAsia="Calibri" w:cs="Times New Roman"/>
                <w:color w:val="000000" w:themeColor="text1"/>
                <w:sz w:val="24"/>
                <w:szCs w:val="24"/>
              </w:rPr>
              <w:t>Federal employee costs, 30 staff hours at GS-13 step 5 and 15 staff hours at a GS-15 step 5 salary</w:t>
            </w:r>
          </w:p>
        </w:tc>
        <w:tc>
          <w:tcPr>
            <w:tcW w:w="4680" w:type="dxa"/>
          </w:tcPr>
          <w:p w:rsidRPr="00F3189A" w:rsidR="3DA9B698" w:rsidRDefault="3DA9B698" w14:paraId="2C92323A" w14:textId="55D1AEF6">
            <w:pPr>
              <w:rPr>
                <w:rFonts w:ascii="Times New Roman" w:hAnsi="Times New Roman" w:cs="Times New Roman"/>
                <w:sz w:val="24"/>
                <w:szCs w:val="24"/>
              </w:rPr>
            </w:pPr>
            <w:r w:rsidRPr="00F3189A">
              <w:rPr>
                <w:rFonts w:ascii="Times New Roman" w:hAnsi="Times New Roman" w:eastAsia="Calibri" w:cs="Times New Roman"/>
                <w:color w:val="000000" w:themeColor="text1"/>
                <w:sz w:val="24"/>
                <w:szCs w:val="24"/>
              </w:rPr>
              <w:t xml:space="preserve">$2,863.50 </w:t>
            </w:r>
          </w:p>
        </w:tc>
      </w:tr>
      <w:tr w:rsidRPr="00F3189A" w:rsidR="3DA9B698" w:rsidTr="270BFBCC" w14:paraId="6EFB5DC7" w14:textId="77777777">
        <w:tc>
          <w:tcPr>
            <w:tcW w:w="4680" w:type="dxa"/>
          </w:tcPr>
          <w:p w:rsidRPr="00F3189A" w:rsidR="3DA9B698" w:rsidRDefault="3DA9B698" w14:paraId="1A0E09E4" w14:textId="785FB594">
            <w:pPr>
              <w:rPr>
                <w:rFonts w:ascii="Times New Roman" w:hAnsi="Times New Roman" w:cs="Times New Roman"/>
                <w:sz w:val="24"/>
                <w:szCs w:val="24"/>
              </w:rPr>
            </w:pPr>
            <w:r w:rsidRPr="00F3189A">
              <w:rPr>
                <w:rFonts w:ascii="Times New Roman" w:hAnsi="Times New Roman" w:eastAsia="Calibri" w:cs="Times New Roman"/>
                <w:color w:val="000000" w:themeColor="text1"/>
                <w:sz w:val="24"/>
                <w:szCs w:val="24"/>
              </w:rPr>
              <w:t>Contractual costs for development of focus group questions and pre-screening questionnaire, and pilot testing</w:t>
            </w:r>
          </w:p>
        </w:tc>
        <w:tc>
          <w:tcPr>
            <w:tcW w:w="4680" w:type="dxa"/>
          </w:tcPr>
          <w:p w:rsidRPr="00F3189A" w:rsidR="3DA9B698" w:rsidRDefault="3DA9B698" w14:paraId="5EB2D3D4" w14:textId="0474B56A">
            <w:pPr>
              <w:rPr>
                <w:rFonts w:ascii="Times New Roman" w:hAnsi="Times New Roman" w:cs="Times New Roman"/>
                <w:sz w:val="24"/>
                <w:szCs w:val="24"/>
              </w:rPr>
            </w:pPr>
            <w:r w:rsidRPr="00F3189A">
              <w:rPr>
                <w:rFonts w:ascii="Times New Roman" w:hAnsi="Times New Roman" w:eastAsia="Calibri" w:cs="Times New Roman"/>
                <w:color w:val="000000" w:themeColor="text1"/>
                <w:sz w:val="24"/>
                <w:szCs w:val="24"/>
              </w:rPr>
              <w:t xml:space="preserve">$97,921.62 </w:t>
            </w:r>
          </w:p>
        </w:tc>
      </w:tr>
      <w:tr w:rsidRPr="00F3189A" w:rsidR="3DA9B698" w:rsidTr="270BFBCC" w14:paraId="0C24AE80" w14:textId="77777777">
        <w:tc>
          <w:tcPr>
            <w:tcW w:w="4680" w:type="dxa"/>
          </w:tcPr>
          <w:p w:rsidRPr="00F3189A" w:rsidR="3DA9B698" w:rsidRDefault="3DA9B698" w14:paraId="068BB7FB" w14:textId="271BEAF3">
            <w:pPr>
              <w:rPr>
                <w:rFonts w:ascii="Times New Roman" w:hAnsi="Times New Roman" w:cs="Times New Roman"/>
                <w:sz w:val="24"/>
                <w:szCs w:val="24"/>
              </w:rPr>
            </w:pPr>
            <w:r w:rsidRPr="00F3189A">
              <w:rPr>
                <w:rFonts w:ascii="Times New Roman" w:hAnsi="Times New Roman" w:eastAsia="Calibri" w:cs="Times New Roman"/>
                <w:b/>
                <w:bCs/>
                <w:color w:val="000000" w:themeColor="text1"/>
                <w:sz w:val="24"/>
                <w:szCs w:val="24"/>
              </w:rPr>
              <w:t>Year 1 Sub-total</w:t>
            </w:r>
          </w:p>
        </w:tc>
        <w:tc>
          <w:tcPr>
            <w:tcW w:w="4680" w:type="dxa"/>
          </w:tcPr>
          <w:p w:rsidRPr="00F3189A" w:rsidR="3DA9B698" w:rsidRDefault="3DA9B698" w14:paraId="51D1A787" w14:textId="4FE7F9C0">
            <w:pPr>
              <w:rPr>
                <w:rFonts w:ascii="Times New Roman" w:hAnsi="Times New Roman" w:cs="Times New Roman"/>
                <w:sz w:val="24"/>
                <w:szCs w:val="24"/>
              </w:rPr>
            </w:pPr>
            <w:r w:rsidRPr="00F3189A">
              <w:rPr>
                <w:rFonts w:ascii="Times New Roman" w:hAnsi="Times New Roman" w:eastAsia="Calibri" w:cs="Times New Roman"/>
                <w:b/>
                <w:bCs/>
                <w:color w:val="000000" w:themeColor="text1"/>
                <w:sz w:val="24"/>
                <w:szCs w:val="24"/>
              </w:rPr>
              <w:t xml:space="preserve">$100,785.12 </w:t>
            </w:r>
          </w:p>
        </w:tc>
      </w:tr>
      <w:tr w:rsidRPr="00F3189A" w:rsidR="3DA9B698" w:rsidTr="270BFBCC" w14:paraId="7430D92D" w14:textId="77777777">
        <w:tc>
          <w:tcPr>
            <w:tcW w:w="4680" w:type="dxa"/>
          </w:tcPr>
          <w:p w:rsidRPr="00F3189A" w:rsidR="3DA9B698" w:rsidRDefault="3DA9B698" w14:paraId="12CB449B" w14:textId="056DFE51">
            <w:pPr>
              <w:rPr>
                <w:rFonts w:ascii="Times New Roman" w:hAnsi="Times New Roman" w:cs="Times New Roman"/>
                <w:sz w:val="24"/>
                <w:szCs w:val="24"/>
              </w:rPr>
            </w:pPr>
            <w:r w:rsidRPr="00F3189A">
              <w:rPr>
                <w:rFonts w:ascii="Times New Roman" w:hAnsi="Times New Roman" w:eastAsia="Calibri" w:cs="Times New Roman"/>
                <w:color w:val="000000" w:themeColor="text1"/>
                <w:sz w:val="24"/>
                <w:szCs w:val="24"/>
              </w:rPr>
              <w:t>Year 2</w:t>
            </w:r>
          </w:p>
        </w:tc>
        <w:tc>
          <w:tcPr>
            <w:tcW w:w="4680" w:type="dxa"/>
          </w:tcPr>
          <w:p w:rsidRPr="00F3189A" w:rsidR="3DA9B698" w:rsidRDefault="3DA9B698" w14:paraId="4DE8A326" w14:textId="2D9C08F5">
            <w:pPr>
              <w:rPr>
                <w:rFonts w:ascii="Times New Roman" w:hAnsi="Times New Roman" w:cs="Times New Roman"/>
                <w:sz w:val="24"/>
                <w:szCs w:val="24"/>
              </w:rPr>
            </w:pPr>
          </w:p>
        </w:tc>
      </w:tr>
      <w:tr w:rsidRPr="00F3189A" w:rsidR="3DA9B698" w:rsidTr="270BFBCC" w14:paraId="42BE2675" w14:textId="77777777">
        <w:tc>
          <w:tcPr>
            <w:tcW w:w="4680" w:type="dxa"/>
          </w:tcPr>
          <w:p w:rsidRPr="00F3189A" w:rsidR="3DA9B698" w:rsidRDefault="3DA9B698" w14:paraId="1A29A5B3" w14:textId="7659241C">
            <w:pPr>
              <w:rPr>
                <w:rFonts w:ascii="Times New Roman" w:hAnsi="Times New Roman" w:cs="Times New Roman"/>
                <w:sz w:val="24"/>
                <w:szCs w:val="24"/>
              </w:rPr>
            </w:pPr>
            <w:r w:rsidRPr="00F3189A">
              <w:rPr>
                <w:rFonts w:ascii="Times New Roman" w:hAnsi="Times New Roman" w:eastAsia="Calibri" w:cs="Times New Roman"/>
                <w:color w:val="000000" w:themeColor="text1"/>
                <w:sz w:val="24"/>
                <w:szCs w:val="24"/>
              </w:rPr>
              <w:t>Federal employee costs, (10 staff hours at GS-13 step 5 and 5 staff hours at a GS-15 step 5 salary)</w:t>
            </w:r>
          </w:p>
        </w:tc>
        <w:tc>
          <w:tcPr>
            <w:tcW w:w="4680" w:type="dxa"/>
          </w:tcPr>
          <w:p w:rsidRPr="00F3189A" w:rsidR="3DA9B698" w:rsidRDefault="3DA9B698" w14:paraId="113C36B5" w14:textId="2E38729D">
            <w:pPr>
              <w:rPr>
                <w:rFonts w:ascii="Times New Roman" w:hAnsi="Times New Roman" w:cs="Times New Roman"/>
                <w:sz w:val="24"/>
                <w:szCs w:val="24"/>
              </w:rPr>
            </w:pPr>
            <w:r w:rsidRPr="00F3189A">
              <w:rPr>
                <w:rFonts w:ascii="Times New Roman" w:hAnsi="Times New Roman" w:eastAsia="Calibri" w:cs="Times New Roman"/>
                <w:color w:val="000000" w:themeColor="text1"/>
                <w:sz w:val="24"/>
                <w:szCs w:val="24"/>
              </w:rPr>
              <w:t xml:space="preserve">$954.50 </w:t>
            </w:r>
          </w:p>
        </w:tc>
      </w:tr>
      <w:tr w:rsidRPr="00F3189A" w:rsidR="3DA9B698" w:rsidTr="270BFBCC" w14:paraId="586E75DE" w14:textId="77777777">
        <w:tc>
          <w:tcPr>
            <w:tcW w:w="4680" w:type="dxa"/>
          </w:tcPr>
          <w:p w:rsidRPr="00F3189A" w:rsidR="3DA9B698" w:rsidP="270BFBCC" w:rsidRDefault="0BF48685" w14:paraId="5D7FE737" w14:textId="18E71B47">
            <w:pPr>
              <w:rPr>
                <w:rFonts w:ascii="Times New Roman" w:hAnsi="Times New Roman" w:eastAsia="Calibri" w:cs="Times New Roman"/>
                <w:color w:val="000000" w:themeColor="text1"/>
                <w:sz w:val="24"/>
                <w:szCs w:val="24"/>
              </w:rPr>
            </w:pPr>
            <w:r w:rsidRPr="00F3189A">
              <w:rPr>
                <w:rFonts w:ascii="Times New Roman" w:hAnsi="Times New Roman" w:eastAsia="Calibri" w:cs="Times New Roman"/>
                <w:color w:val="000000" w:themeColor="text1"/>
                <w:sz w:val="24"/>
                <w:szCs w:val="24"/>
              </w:rPr>
              <w:t xml:space="preserve">Contractual costs for participant recruitment, conducting the focus groups, publication costs and licensing software for data </w:t>
            </w:r>
            <w:r w:rsidRPr="00F3189A" w:rsidR="38748AF0">
              <w:rPr>
                <w:rFonts w:ascii="Times New Roman" w:hAnsi="Times New Roman" w:eastAsia="Calibri" w:cs="Times New Roman"/>
                <w:color w:val="000000" w:themeColor="text1"/>
                <w:sz w:val="24"/>
                <w:szCs w:val="24"/>
              </w:rPr>
              <w:t>analysis</w:t>
            </w:r>
          </w:p>
        </w:tc>
        <w:tc>
          <w:tcPr>
            <w:tcW w:w="4680" w:type="dxa"/>
          </w:tcPr>
          <w:p w:rsidRPr="00F3189A" w:rsidR="3DA9B698" w:rsidRDefault="3DA9B698" w14:paraId="756E61D1" w14:textId="19D53247">
            <w:pPr>
              <w:rPr>
                <w:rFonts w:ascii="Times New Roman" w:hAnsi="Times New Roman" w:cs="Times New Roman"/>
                <w:sz w:val="24"/>
                <w:szCs w:val="24"/>
              </w:rPr>
            </w:pPr>
            <w:r w:rsidRPr="00F3189A">
              <w:rPr>
                <w:rFonts w:ascii="Times New Roman" w:hAnsi="Times New Roman" w:eastAsia="Calibri" w:cs="Times New Roman"/>
                <w:color w:val="000000" w:themeColor="text1"/>
                <w:sz w:val="24"/>
                <w:szCs w:val="24"/>
              </w:rPr>
              <w:t>$230,384.16</w:t>
            </w:r>
          </w:p>
        </w:tc>
      </w:tr>
      <w:tr w:rsidRPr="00F3189A" w:rsidR="3DA9B698" w:rsidTr="270BFBCC" w14:paraId="09765928" w14:textId="77777777">
        <w:tc>
          <w:tcPr>
            <w:tcW w:w="4680" w:type="dxa"/>
          </w:tcPr>
          <w:p w:rsidRPr="00F3189A" w:rsidR="3DA9B698" w:rsidRDefault="3DA9B698" w14:paraId="52643B74" w14:textId="3235EAEB">
            <w:pPr>
              <w:rPr>
                <w:rFonts w:ascii="Times New Roman" w:hAnsi="Times New Roman" w:cs="Times New Roman"/>
                <w:sz w:val="24"/>
                <w:szCs w:val="24"/>
              </w:rPr>
            </w:pPr>
            <w:r w:rsidRPr="00F3189A">
              <w:rPr>
                <w:rFonts w:ascii="Times New Roman" w:hAnsi="Times New Roman" w:eastAsia="Calibri" w:cs="Times New Roman"/>
                <w:b/>
                <w:bCs/>
                <w:color w:val="000000" w:themeColor="text1"/>
                <w:sz w:val="24"/>
                <w:szCs w:val="24"/>
              </w:rPr>
              <w:t>Year 2 Sub-total</w:t>
            </w:r>
          </w:p>
        </w:tc>
        <w:tc>
          <w:tcPr>
            <w:tcW w:w="4680" w:type="dxa"/>
          </w:tcPr>
          <w:p w:rsidRPr="00F3189A" w:rsidR="3DA9B698" w:rsidRDefault="3DA9B698" w14:paraId="3153A234" w14:textId="37456CAE">
            <w:pPr>
              <w:rPr>
                <w:rFonts w:ascii="Times New Roman" w:hAnsi="Times New Roman" w:cs="Times New Roman"/>
                <w:sz w:val="24"/>
                <w:szCs w:val="24"/>
              </w:rPr>
            </w:pPr>
            <w:r w:rsidRPr="00F3189A">
              <w:rPr>
                <w:rFonts w:ascii="Times New Roman" w:hAnsi="Times New Roman" w:eastAsia="Calibri" w:cs="Times New Roman"/>
                <w:b/>
                <w:bCs/>
                <w:color w:val="000000" w:themeColor="text1"/>
                <w:sz w:val="24"/>
                <w:szCs w:val="24"/>
              </w:rPr>
              <w:t xml:space="preserve">$231,338.66 </w:t>
            </w:r>
          </w:p>
        </w:tc>
      </w:tr>
      <w:tr w:rsidRPr="00F3189A" w:rsidR="3DA9B698" w:rsidTr="270BFBCC" w14:paraId="6DD73A4C" w14:textId="77777777">
        <w:tc>
          <w:tcPr>
            <w:tcW w:w="4680" w:type="dxa"/>
          </w:tcPr>
          <w:p w:rsidRPr="00F3189A" w:rsidR="3DA9B698" w:rsidRDefault="3DA9B698" w14:paraId="21F69B12" w14:textId="6757EBD9">
            <w:pPr>
              <w:rPr>
                <w:rFonts w:ascii="Times New Roman" w:hAnsi="Times New Roman" w:cs="Times New Roman"/>
                <w:sz w:val="24"/>
                <w:szCs w:val="24"/>
              </w:rPr>
            </w:pPr>
            <w:r w:rsidRPr="00F3189A">
              <w:rPr>
                <w:rFonts w:ascii="Times New Roman" w:hAnsi="Times New Roman" w:eastAsia="Calibri" w:cs="Times New Roman"/>
                <w:b/>
                <w:bCs/>
                <w:color w:val="000000" w:themeColor="text1"/>
                <w:sz w:val="24"/>
                <w:szCs w:val="24"/>
              </w:rPr>
              <w:t xml:space="preserve">Total </w:t>
            </w:r>
          </w:p>
        </w:tc>
        <w:tc>
          <w:tcPr>
            <w:tcW w:w="4680" w:type="dxa"/>
          </w:tcPr>
          <w:p w:rsidRPr="00F3189A" w:rsidR="3DA9B698" w:rsidRDefault="3DA9B698" w14:paraId="33879BC7" w14:textId="7D131989">
            <w:pPr>
              <w:rPr>
                <w:rFonts w:ascii="Times New Roman" w:hAnsi="Times New Roman" w:cs="Times New Roman"/>
                <w:sz w:val="24"/>
                <w:szCs w:val="24"/>
              </w:rPr>
            </w:pPr>
            <w:r w:rsidRPr="00F3189A">
              <w:rPr>
                <w:rFonts w:ascii="Times New Roman" w:hAnsi="Times New Roman" w:eastAsia="Calibri" w:cs="Times New Roman"/>
                <w:b/>
                <w:bCs/>
                <w:color w:val="000000" w:themeColor="text1"/>
                <w:sz w:val="24"/>
                <w:szCs w:val="24"/>
              </w:rPr>
              <w:t>$332,123.78</w:t>
            </w:r>
          </w:p>
        </w:tc>
      </w:tr>
    </w:tbl>
    <w:p w:rsidRPr="00F3189A" w:rsidR="3DA9B698" w:rsidP="3DA9B698" w:rsidRDefault="3DA9B698" w14:paraId="1B83D945" w14:textId="15D0BEEA">
      <w:pPr>
        <w:rPr>
          <w:rFonts w:ascii="Times New Roman" w:hAnsi="Times New Roman" w:cs="Times New Roman"/>
          <w:sz w:val="24"/>
          <w:szCs w:val="24"/>
        </w:rPr>
      </w:pPr>
    </w:p>
    <w:p w:rsidRPr="00F3189A" w:rsidR="00CA74CD" w:rsidP="00D5691C" w:rsidRDefault="00CA74CD" w14:paraId="5EF675AE" w14:textId="15490DA6">
      <w:pPr>
        <w:autoSpaceDE w:val="0"/>
        <w:autoSpaceDN w:val="0"/>
        <w:adjustRightInd w:val="0"/>
        <w:spacing w:after="267" w:line="240" w:lineRule="auto"/>
        <w:ind w:right="387"/>
        <w:contextualSpacing/>
        <w:rPr>
          <w:rFonts w:ascii="Times New Roman" w:hAnsi="Times New Roman" w:cs="Times New Roman"/>
          <w:sz w:val="24"/>
          <w:szCs w:val="24"/>
        </w:rPr>
      </w:pPr>
      <w:r w:rsidRPr="00F3189A">
        <w:rPr>
          <w:rFonts w:ascii="Times New Roman" w:hAnsi="Times New Roman" w:cs="Times New Roman"/>
          <w:b/>
          <w:bCs/>
          <w:sz w:val="24"/>
          <w:szCs w:val="24"/>
        </w:rPr>
        <w:lastRenderedPageBreak/>
        <w:t xml:space="preserve">15. </w:t>
      </w:r>
      <w:r w:rsidRPr="00786362" w:rsidR="00786362">
        <w:rPr>
          <w:rFonts w:ascii="Times New Roman" w:hAnsi="Times New Roman" w:cs="Times New Roman"/>
          <w:b/>
          <w:bCs/>
          <w:sz w:val="24"/>
          <w:szCs w:val="24"/>
          <w:u w:val="single"/>
        </w:rPr>
        <w:t>Explanation for Program Changes or Adjustments</w:t>
      </w:r>
    </w:p>
    <w:p w:rsidRPr="00F3189A" w:rsidR="0065450A" w:rsidP="00D5691C" w:rsidRDefault="0065450A" w14:paraId="48B609C9" w14:textId="10E9D8AB">
      <w:pPr>
        <w:autoSpaceDE w:val="0"/>
        <w:autoSpaceDN w:val="0"/>
        <w:adjustRightInd w:val="0"/>
        <w:spacing w:after="267" w:line="240" w:lineRule="auto"/>
        <w:contextualSpacing/>
        <w:rPr>
          <w:rFonts w:ascii="Times New Roman" w:hAnsi="Times New Roman" w:cs="Times New Roman"/>
          <w:sz w:val="24"/>
          <w:szCs w:val="24"/>
        </w:rPr>
      </w:pPr>
      <w:r w:rsidRPr="00F3189A">
        <w:rPr>
          <w:rFonts w:ascii="Times New Roman" w:hAnsi="Times New Roman" w:cs="Times New Roman"/>
          <w:sz w:val="24"/>
          <w:szCs w:val="24"/>
        </w:rPr>
        <w:t xml:space="preserve">This is a new </w:t>
      </w:r>
      <w:r w:rsidR="00786362">
        <w:rPr>
          <w:rFonts w:ascii="Times New Roman" w:hAnsi="Times New Roman" w:cs="Times New Roman"/>
          <w:sz w:val="24"/>
          <w:szCs w:val="24"/>
        </w:rPr>
        <w:t>data collection</w:t>
      </w:r>
      <w:r w:rsidRPr="00F3189A">
        <w:rPr>
          <w:rFonts w:ascii="Times New Roman" w:hAnsi="Times New Roman" w:cs="Times New Roman"/>
          <w:sz w:val="24"/>
          <w:szCs w:val="24"/>
        </w:rPr>
        <w:t>.</w:t>
      </w:r>
    </w:p>
    <w:p w:rsidRPr="00F3189A" w:rsidR="00D5691C" w:rsidP="00D5691C" w:rsidRDefault="00D5691C" w14:paraId="04482E9F" w14:textId="77777777">
      <w:pPr>
        <w:autoSpaceDE w:val="0"/>
        <w:autoSpaceDN w:val="0"/>
        <w:adjustRightInd w:val="0"/>
        <w:spacing w:after="267" w:line="240" w:lineRule="auto"/>
        <w:ind w:right="182"/>
        <w:contextualSpacing/>
        <w:rPr>
          <w:rFonts w:ascii="Times New Roman" w:hAnsi="Times New Roman" w:cs="Times New Roman"/>
          <w:b/>
          <w:bCs/>
          <w:sz w:val="24"/>
          <w:szCs w:val="24"/>
        </w:rPr>
      </w:pPr>
    </w:p>
    <w:p w:rsidRPr="004C6E57" w:rsidR="00D5691C" w:rsidP="004C6E57" w:rsidRDefault="00CA74CD" w14:paraId="5E8821FE" w14:textId="3B1F807F">
      <w:pPr>
        <w:autoSpaceDE w:val="0"/>
        <w:autoSpaceDN w:val="0"/>
        <w:adjustRightInd w:val="0"/>
        <w:spacing w:after="267" w:line="240" w:lineRule="auto"/>
        <w:ind w:right="182"/>
        <w:contextualSpacing/>
        <w:rPr>
          <w:rFonts w:ascii="Times New Roman" w:hAnsi="Times New Roman" w:cs="Times New Roman"/>
          <w:sz w:val="24"/>
          <w:szCs w:val="24"/>
          <w:u w:val="single"/>
        </w:rPr>
      </w:pPr>
      <w:r w:rsidRPr="00F3189A">
        <w:rPr>
          <w:rFonts w:ascii="Times New Roman" w:hAnsi="Times New Roman" w:cs="Times New Roman"/>
          <w:b/>
          <w:bCs/>
          <w:sz w:val="24"/>
          <w:szCs w:val="24"/>
        </w:rPr>
        <w:t xml:space="preserve">16. </w:t>
      </w:r>
      <w:r w:rsidRPr="004C6E57" w:rsidR="004C6E57">
        <w:rPr>
          <w:rFonts w:ascii="Times New Roman" w:hAnsi="Times New Roman" w:cs="Times New Roman"/>
          <w:b/>
          <w:bCs/>
          <w:sz w:val="24"/>
          <w:szCs w:val="24"/>
          <w:u w:val="single"/>
        </w:rPr>
        <w:t>Plans for Tabulation and Publication and Project Time Schedule</w:t>
      </w:r>
    </w:p>
    <w:p w:rsidRPr="00F3189A" w:rsidR="0065450A" w:rsidP="00D5691C" w:rsidRDefault="5BF62A29" w14:paraId="4E7E313E" w14:textId="11F66474">
      <w:pPr>
        <w:autoSpaceDE w:val="0"/>
        <w:autoSpaceDN w:val="0"/>
        <w:adjustRightInd w:val="0"/>
        <w:spacing w:after="0" w:line="240" w:lineRule="auto"/>
        <w:contextualSpacing/>
        <w:rPr>
          <w:rFonts w:ascii="Times New Roman" w:hAnsi="Times New Roman" w:cs="Times New Roman"/>
          <w:sz w:val="24"/>
          <w:szCs w:val="24"/>
        </w:rPr>
      </w:pPr>
      <w:r w:rsidRPr="6E357958">
        <w:rPr>
          <w:rFonts w:ascii="Times New Roman" w:hAnsi="Times New Roman" w:cs="Times New Roman"/>
          <w:sz w:val="24"/>
          <w:szCs w:val="24"/>
        </w:rPr>
        <w:t>The</w:t>
      </w:r>
      <w:r w:rsidRPr="6E357958" w:rsidR="34EF34E6">
        <w:rPr>
          <w:rFonts w:ascii="Times New Roman" w:hAnsi="Times New Roman" w:cs="Times New Roman"/>
          <w:sz w:val="24"/>
          <w:szCs w:val="24"/>
        </w:rPr>
        <w:t xml:space="preserve"> </w:t>
      </w:r>
      <w:r w:rsidRPr="6E357958" w:rsidR="321D3699">
        <w:rPr>
          <w:rFonts w:ascii="Times New Roman" w:hAnsi="Times New Roman" w:cs="Times New Roman"/>
          <w:sz w:val="24"/>
          <w:szCs w:val="24"/>
        </w:rPr>
        <w:t xml:space="preserve">project contract period is </w:t>
      </w:r>
      <w:r w:rsidRPr="6E357958" w:rsidR="0065450A">
        <w:rPr>
          <w:rFonts w:ascii="Times New Roman" w:hAnsi="Times New Roman" w:cs="Times New Roman"/>
          <w:sz w:val="24"/>
          <w:szCs w:val="24"/>
        </w:rPr>
        <w:t xml:space="preserve">from September 30, 2020 until September </w:t>
      </w:r>
      <w:r w:rsidRPr="6E357958" w:rsidR="00E33E8C">
        <w:rPr>
          <w:rFonts w:ascii="Times New Roman" w:hAnsi="Times New Roman" w:cs="Times New Roman"/>
          <w:sz w:val="24"/>
          <w:szCs w:val="24"/>
        </w:rPr>
        <w:t>30,</w:t>
      </w:r>
      <w:r w:rsidRPr="6E357958" w:rsidR="0065450A">
        <w:rPr>
          <w:rFonts w:ascii="Times New Roman" w:hAnsi="Times New Roman" w:cs="Times New Roman"/>
          <w:sz w:val="24"/>
          <w:szCs w:val="24"/>
        </w:rPr>
        <w:t xml:space="preserve"> 2022. The focus groups will take place </w:t>
      </w:r>
      <w:r w:rsidR="00DB23E8">
        <w:rPr>
          <w:rFonts w:ascii="Times New Roman" w:hAnsi="Times New Roman" w:cs="Times New Roman"/>
          <w:sz w:val="24"/>
          <w:szCs w:val="24"/>
        </w:rPr>
        <w:t>January-March</w:t>
      </w:r>
      <w:r w:rsidRPr="6E357958" w:rsidR="0065450A">
        <w:rPr>
          <w:rFonts w:ascii="Times New Roman" w:hAnsi="Times New Roman" w:cs="Times New Roman"/>
          <w:sz w:val="24"/>
          <w:szCs w:val="24"/>
        </w:rPr>
        <w:t xml:space="preserve"> 202</w:t>
      </w:r>
      <w:r w:rsidR="00DB23E8">
        <w:rPr>
          <w:rFonts w:ascii="Times New Roman" w:hAnsi="Times New Roman" w:cs="Times New Roman"/>
          <w:sz w:val="24"/>
          <w:szCs w:val="24"/>
        </w:rPr>
        <w:t>2</w:t>
      </w:r>
      <w:r w:rsidRPr="6E357958" w:rsidR="0065450A">
        <w:rPr>
          <w:rFonts w:ascii="Times New Roman" w:hAnsi="Times New Roman" w:cs="Times New Roman"/>
          <w:sz w:val="24"/>
          <w:szCs w:val="24"/>
        </w:rPr>
        <w:t xml:space="preserve">. Results will be analyzed starting in </w:t>
      </w:r>
      <w:r w:rsidR="00DB23E8">
        <w:rPr>
          <w:rFonts w:ascii="Times New Roman" w:hAnsi="Times New Roman" w:cs="Times New Roman"/>
          <w:sz w:val="24"/>
          <w:szCs w:val="24"/>
        </w:rPr>
        <w:t>April</w:t>
      </w:r>
      <w:r w:rsidRPr="6E357958" w:rsidR="0065450A">
        <w:rPr>
          <w:rFonts w:ascii="Times New Roman" w:hAnsi="Times New Roman" w:cs="Times New Roman"/>
          <w:sz w:val="24"/>
          <w:szCs w:val="24"/>
        </w:rPr>
        <w:t xml:space="preserve"> 202</w:t>
      </w:r>
      <w:r w:rsidR="00DB23E8">
        <w:rPr>
          <w:rFonts w:ascii="Times New Roman" w:hAnsi="Times New Roman" w:cs="Times New Roman"/>
          <w:sz w:val="24"/>
          <w:szCs w:val="24"/>
        </w:rPr>
        <w:t>2</w:t>
      </w:r>
      <w:r w:rsidRPr="6E357958" w:rsidR="0065450A">
        <w:rPr>
          <w:rFonts w:ascii="Times New Roman" w:hAnsi="Times New Roman" w:cs="Times New Roman"/>
          <w:sz w:val="24"/>
          <w:szCs w:val="24"/>
        </w:rPr>
        <w:t xml:space="preserve">. A final report will be submitted to ONC by September </w:t>
      </w:r>
      <w:r w:rsidRPr="6E357958" w:rsidR="00E33E8C">
        <w:rPr>
          <w:rFonts w:ascii="Times New Roman" w:hAnsi="Times New Roman" w:cs="Times New Roman"/>
          <w:sz w:val="24"/>
          <w:szCs w:val="24"/>
        </w:rPr>
        <w:t>30</w:t>
      </w:r>
      <w:r w:rsidRPr="6E357958" w:rsidR="0065450A">
        <w:rPr>
          <w:rFonts w:ascii="Times New Roman" w:hAnsi="Times New Roman" w:cs="Times New Roman"/>
          <w:sz w:val="24"/>
          <w:szCs w:val="24"/>
        </w:rPr>
        <w:t xml:space="preserve">, 2022. </w:t>
      </w:r>
      <w:r w:rsidRPr="6E357958" w:rsidR="00E33E8C">
        <w:rPr>
          <w:rFonts w:ascii="Times New Roman" w:hAnsi="Times New Roman" w:cs="Times New Roman"/>
          <w:sz w:val="24"/>
          <w:szCs w:val="24"/>
        </w:rPr>
        <w:t xml:space="preserve"> </w:t>
      </w:r>
      <w:r w:rsidRPr="6E357958" w:rsidR="00DD0358">
        <w:rPr>
          <w:rFonts w:ascii="Times New Roman" w:hAnsi="Times New Roman" w:cs="Times New Roman"/>
          <w:sz w:val="24"/>
          <w:szCs w:val="24"/>
        </w:rPr>
        <w:t>OpenNotes/BILH</w:t>
      </w:r>
      <w:r w:rsidRPr="6E357958" w:rsidR="00E33E8C">
        <w:rPr>
          <w:rFonts w:ascii="Times New Roman" w:hAnsi="Times New Roman" w:cs="Times New Roman"/>
          <w:sz w:val="24"/>
          <w:szCs w:val="24"/>
        </w:rPr>
        <w:t xml:space="preserve"> will work with ONC to determine</w:t>
      </w:r>
      <w:r w:rsidRPr="6E357958" w:rsidR="27F632E9">
        <w:rPr>
          <w:rFonts w:ascii="Times New Roman" w:hAnsi="Times New Roman" w:cs="Times New Roman"/>
          <w:sz w:val="24"/>
          <w:szCs w:val="24"/>
        </w:rPr>
        <w:t xml:space="preserve"> </w:t>
      </w:r>
      <w:r w:rsidRPr="6E357958" w:rsidR="5EF88DEB">
        <w:rPr>
          <w:rFonts w:ascii="Times New Roman" w:hAnsi="Times New Roman" w:cs="Times New Roman"/>
          <w:sz w:val="24"/>
          <w:szCs w:val="24"/>
        </w:rPr>
        <w:t xml:space="preserve">the timing and method of dissemination </w:t>
      </w:r>
      <w:r w:rsidR="001865FD">
        <w:rPr>
          <w:rFonts w:ascii="Times New Roman" w:hAnsi="Times New Roman" w:cs="Times New Roman"/>
          <w:sz w:val="24"/>
          <w:szCs w:val="24"/>
        </w:rPr>
        <w:t xml:space="preserve">of </w:t>
      </w:r>
      <w:r w:rsidRPr="6E357958" w:rsidR="5EF88DEB">
        <w:rPr>
          <w:rFonts w:ascii="Times New Roman" w:hAnsi="Times New Roman" w:cs="Times New Roman"/>
          <w:sz w:val="24"/>
          <w:szCs w:val="24"/>
        </w:rPr>
        <w:t>the final report</w:t>
      </w:r>
      <w:r w:rsidRPr="6E357958" w:rsidR="2FF7B347">
        <w:rPr>
          <w:rFonts w:ascii="Times New Roman" w:hAnsi="Times New Roman" w:cs="Times New Roman"/>
          <w:sz w:val="24"/>
          <w:szCs w:val="24"/>
        </w:rPr>
        <w:t>.</w:t>
      </w:r>
    </w:p>
    <w:p w:rsidRPr="00F3189A" w:rsidR="007B7C63" w:rsidP="00D5691C" w:rsidRDefault="007B7C63" w14:paraId="6352C9D9" w14:textId="77777777">
      <w:pPr>
        <w:autoSpaceDE w:val="0"/>
        <w:autoSpaceDN w:val="0"/>
        <w:adjustRightInd w:val="0"/>
        <w:spacing w:after="0" w:line="240" w:lineRule="auto"/>
        <w:contextualSpacing/>
        <w:rPr>
          <w:rFonts w:ascii="Times New Roman" w:hAnsi="Times New Roman" w:cs="Times New Roman"/>
          <w:sz w:val="24"/>
          <w:szCs w:val="24"/>
        </w:rPr>
      </w:pPr>
    </w:p>
    <w:p w:rsidRPr="00F3189A" w:rsidR="00E33E8C" w:rsidP="00D5691C" w:rsidRDefault="003C3651" w14:paraId="09860884" w14:textId="5061550E">
      <w:pPr>
        <w:autoSpaceDE w:val="0"/>
        <w:autoSpaceDN w:val="0"/>
        <w:adjustRightInd w:val="0"/>
        <w:spacing w:after="0" w:line="240" w:lineRule="auto"/>
        <w:contextualSpacing/>
        <w:rPr>
          <w:rFonts w:ascii="Times New Roman" w:hAnsi="Times New Roman" w:cs="Times New Roman"/>
          <w:sz w:val="24"/>
          <w:szCs w:val="24"/>
        </w:rPr>
      </w:pPr>
      <w:r w:rsidRPr="00F3189A">
        <w:rPr>
          <w:rFonts w:ascii="Times New Roman" w:hAnsi="Times New Roman" w:cs="Times New Roman"/>
          <w:sz w:val="24"/>
          <w:szCs w:val="24"/>
        </w:rPr>
        <w:t>Using an inductive coding method for qualitative analysis, t</w:t>
      </w:r>
      <w:r w:rsidRPr="00F3189A" w:rsidR="00E33E8C">
        <w:rPr>
          <w:rFonts w:ascii="Times New Roman" w:hAnsi="Times New Roman" w:cs="Times New Roman"/>
          <w:sz w:val="24"/>
          <w:szCs w:val="24"/>
        </w:rPr>
        <w:t xml:space="preserve">he </w:t>
      </w:r>
      <w:r w:rsidR="00DD0358">
        <w:rPr>
          <w:rFonts w:ascii="Times New Roman" w:hAnsi="Times New Roman" w:cs="Times New Roman"/>
          <w:sz w:val="24"/>
          <w:szCs w:val="24"/>
        </w:rPr>
        <w:t xml:space="preserve">OpenNotes/BILH </w:t>
      </w:r>
      <w:r w:rsidRPr="00F3189A" w:rsidR="00E33E8C">
        <w:rPr>
          <w:rFonts w:ascii="Times New Roman" w:hAnsi="Times New Roman" w:cs="Times New Roman"/>
          <w:sz w:val="24"/>
          <w:szCs w:val="24"/>
        </w:rPr>
        <w:t xml:space="preserve">project team will use </w:t>
      </w:r>
      <w:proofErr w:type="spellStart"/>
      <w:r w:rsidRPr="00F3189A" w:rsidR="00E33E8C">
        <w:rPr>
          <w:rFonts w:ascii="Times New Roman" w:hAnsi="Times New Roman" w:cs="Times New Roman"/>
          <w:sz w:val="24"/>
          <w:szCs w:val="24"/>
        </w:rPr>
        <w:t>Atlas.ti</w:t>
      </w:r>
      <w:proofErr w:type="spellEnd"/>
      <w:r w:rsidRPr="00F3189A" w:rsidR="00E33E8C">
        <w:rPr>
          <w:rFonts w:ascii="Times New Roman" w:hAnsi="Times New Roman" w:cs="Times New Roman"/>
          <w:sz w:val="24"/>
          <w:szCs w:val="24"/>
        </w:rPr>
        <w:t>, a qualitative data an</w:t>
      </w:r>
      <w:r w:rsidRPr="00F3189A" w:rsidR="003C6C38">
        <w:rPr>
          <w:rFonts w:ascii="Times New Roman" w:hAnsi="Times New Roman" w:cs="Times New Roman"/>
          <w:sz w:val="24"/>
          <w:szCs w:val="24"/>
        </w:rPr>
        <w:t>aly</w:t>
      </w:r>
      <w:r w:rsidRPr="00F3189A" w:rsidR="00E33E8C">
        <w:rPr>
          <w:rFonts w:ascii="Times New Roman" w:hAnsi="Times New Roman" w:cs="Times New Roman"/>
          <w:sz w:val="24"/>
          <w:szCs w:val="24"/>
        </w:rPr>
        <w:t xml:space="preserve">sis tool, to sort, code, and analyze data from the focus groups. </w:t>
      </w:r>
      <w:r w:rsidRPr="00F3189A" w:rsidR="00936A28">
        <w:rPr>
          <w:rFonts w:ascii="Times New Roman" w:hAnsi="Times New Roman" w:cs="Times New Roman"/>
          <w:sz w:val="24"/>
          <w:szCs w:val="24"/>
        </w:rPr>
        <w:t xml:space="preserve">Two members of the </w:t>
      </w:r>
      <w:r w:rsidR="00DD0358">
        <w:rPr>
          <w:rFonts w:ascii="Times New Roman" w:hAnsi="Times New Roman" w:cs="Times New Roman"/>
          <w:sz w:val="24"/>
          <w:szCs w:val="24"/>
        </w:rPr>
        <w:t xml:space="preserve">OpenNotes/BILH </w:t>
      </w:r>
      <w:r w:rsidRPr="00F3189A" w:rsidR="00936A28">
        <w:rPr>
          <w:rFonts w:ascii="Times New Roman" w:hAnsi="Times New Roman" w:cs="Times New Roman"/>
          <w:sz w:val="24"/>
          <w:szCs w:val="24"/>
        </w:rPr>
        <w:t xml:space="preserve">study team will independently review a randomly selected subset of transcripts to develop our initial set of codes. </w:t>
      </w:r>
      <w:r w:rsidR="00DD0358">
        <w:rPr>
          <w:rFonts w:ascii="Times New Roman" w:hAnsi="Times New Roman" w:cs="Times New Roman"/>
          <w:sz w:val="24"/>
          <w:szCs w:val="24"/>
        </w:rPr>
        <w:t>OpenNotes/BILH</w:t>
      </w:r>
      <w:r w:rsidRPr="00F3189A" w:rsidR="00DD0358">
        <w:rPr>
          <w:rFonts w:ascii="Times New Roman" w:hAnsi="Times New Roman" w:cs="Times New Roman"/>
          <w:sz w:val="24"/>
          <w:szCs w:val="24"/>
        </w:rPr>
        <w:t xml:space="preserve"> </w:t>
      </w:r>
      <w:r w:rsidRPr="00F3189A" w:rsidR="00936A28">
        <w:rPr>
          <w:rFonts w:ascii="Times New Roman" w:hAnsi="Times New Roman" w:cs="Times New Roman"/>
          <w:sz w:val="24"/>
          <w:szCs w:val="24"/>
        </w:rPr>
        <w:t xml:space="preserve">will calculate a kappa statistic to ensure quality. All disagreements around this initial set of codes will be resolved through discussion. </w:t>
      </w:r>
      <w:r w:rsidR="00DD0358">
        <w:rPr>
          <w:rFonts w:ascii="Times New Roman" w:hAnsi="Times New Roman" w:cs="Times New Roman"/>
          <w:sz w:val="24"/>
          <w:szCs w:val="24"/>
        </w:rPr>
        <w:t>OpenNotes/BILH</w:t>
      </w:r>
      <w:r w:rsidRPr="00F3189A" w:rsidR="00936A28">
        <w:rPr>
          <w:rFonts w:ascii="Times New Roman" w:hAnsi="Times New Roman" w:cs="Times New Roman"/>
          <w:sz w:val="24"/>
          <w:szCs w:val="24"/>
        </w:rPr>
        <w:t xml:space="preserve"> will then apply these initial codes to all transcripts and use </w:t>
      </w:r>
      <w:proofErr w:type="spellStart"/>
      <w:r w:rsidRPr="00F3189A" w:rsidR="00936A28">
        <w:rPr>
          <w:rFonts w:ascii="Times New Roman" w:hAnsi="Times New Roman" w:cs="Times New Roman"/>
          <w:sz w:val="24"/>
          <w:szCs w:val="24"/>
        </w:rPr>
        <w:t>Atlas.ti</w:t>
      </w:r>
      <w:proofErr w:type="spellEnd"/>
      <w:r w:rsidRPr="00F3189A" w:rsidR="00936A28">
        <w:rPr>
          <w:rFonts w:ascii="Times New Roman" w:hAnsi="Times New Roman" w:cs="Times New Roman"/>
          <w:sz w:val="24"/>
          <w:szCs w:val="24"/>
        </w:rPr>
        <w:t xml:space="preserve"> to categorize these codes into themes. </w:t>
      </w:r>
      <w:r w:rsidR="00DD0358">
        <w:rPr>
          <w:rFonts w:ascii="Times New Roman" w:hAnsi="Times New Roman" w:cs="Times New Roman"/>
          <w:sz w:val="24"/>
          <w:szCs w:val="24"/>
        </w:rPr>
        <w:t xml:space="preserve">OpenNotes/BILH </w:t>
      </w:r>
      <w:r w:rsidRPr="00F3189A" w:rsidR="003C6C38">
        <w:rPr>
          <w:rFonts w:ascii="Times New Roman" w:hAnsi="Times New Roman" w:cs="Times New Roman"/>
          <w:sz w:val="24"/>
          <w:szCs w:val="24"/>
        </w:rPr>
        <w:t xml:space="preserve">will present the findings to </w:t>
      </w:r>
      <w:r w:rsidR="00DD0358">
        <w:rPr>
          <w:rFonts w:ascii="Times New Roman" w:hAnsi="Times New Roman" w:cs="Times New Roman"/>
          <w:sz w:val="24"/>
          <w:szCs w:val="24"/>
        </w:rPr>
        <w:t>the project</w:t>
      </w:r>
      <w:r w:rsidRPr="00F3189A" w:rsidR="00DD0358">
        <w:rPr>
          <w:rFonts w:ascii="Times New Roman" w:hAnsi="Times New Roman" w:cs="Times New Roman"/>
          <w:sz w:val="24"/>
          <w:szCs w:val="24"/>
        </w:rPr>
        <w:t xml:space="preserve"> </w:t>
      </w:r>
      <w:r w:rsidRPr="00F3189A" w:rsidR="003C6C38">
        <w:rPr>
          <w:rFonts w:ascii="Times New Roman" w:hAnsi="Times New Roman" w:cs="Times New Roman"/>
          <w:sz w:val="24"/>
          <w:szCs w:val="24"/>
        </w:rPr>
        <w:t>advisory panel and ONC and will use their feedback in drafting the report.</w:t>
      </w:r>
    </w:p>
    <w:p w:rsidRPr="00F3189A" w:rsidR="00936A28" w:rsidP="00D5691C" w:rsidRDefault="00936A28" w14:paraId="13868097" w14:textId="21E7BD77">
      <w:pPr>
        <w:autoSpaceDE w:val="0"/>
        <w:autoSpaceDN w:val="0"/>
        <w:adjustRightInd w:val="0"/>
        <w:spacing w:after="0" w:line="240" w:lineRule="auto"/>
        <w:contextualSpacing/>
        <w:rPr>
          <w:rFonts w:ascii="Times New Roman" w:hAnsi="Times New Roman" w:cs="Times New Roman"/>
          <w:sz w:val="24"/>
          <w:szCs w:val="24"/>
        </w:rPr>
      </w:pPr>
    </w:p>
    <w:p w:rsidRPr="00F3189A" w:rsidR="00936A28" w:rsidP="3DA9B698" w:rsidRDefault="00DD0358" w14:paraId="525C4051" w14:textId="0F596D46">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OpenNotes/BILH</w:t>
      </w:r>
      <w:r w:rsidRPr="00F3189A" w:rsidR="00936A28">
        <w:rPr>
          <w:rFonts w:ascii="Times New Roman" w:hAnsi="Times New Roman" w:cs="Times New Roman"/>
          <w:sz w:val="24"/>
          <w:szCs w:val="24"/>
        </w:rPr>
        <w:t xml:space="preserve"> will submit a manuscript based on the final report to a peer-reviewed journal. All final deliverables will be posted on the OpenNote</w:t>
      </w:r>
      <w:r>
        <w:rPr>
          <w:rFonts w:ascii="Times New Roman" w:hAnsi="Times New Roman" w:cs="Times New Roman"/>
          <w:sz w:val="24"/>
          <w:szCs w:val="24"/>
        </w:rPr>
        <w:t xml:space="preserve">s/BILH </w:t>
      </w:r>
      <w:r w:rsidRPr="00F3189A" w:rsidR="00936A28">
        <w:rPr>
          <w:rFonts w:ascii="Times New Roman" w:hAnsi="Times New Roman" w:cs="Times New Roman"/>
          <w:sz w:val="24"/>
          <w:szCs w:val="24"/>
        </w:rPr>
        <w:t xml:space="preserve">website and disseminated through </w:t>
      </w:r>
      <w:r>
        <w:rPr>
          <w:rFonts w:ascii="Times New Roman" w:hAnsi="Times New Roman" w:cs="Times New Roman"/>
          <w:sz w:val="24"/>
          <w:szCs w:val="24"/>
        </w:rPr>
        <w:t xml:space="preserve">OpenNotes/BILH </w:t>
      </w:r>
      <w:r w:rsidRPr="00F3189A" w:rsidR="00936A28">
        <w:rPr>
          <w:rFonts w:ascii="Times New Roman" w:hAnsi="Times New Roman" w:cs="Times New Roman"/>
          <w:sz w:val="24"/>
          <w:szCs w:val="24"/>
        </w:rPr>
        <w:t>social media channels.</w:t>
      </w:r>
      <w:r w:rsidRPr="00F3189A" w:rsidR="33B5B678">
        <w:rPr>
          <w:rFonts w:ascii="Times New Roman" w:hAnsi="Times New Roman" w:cs="Times New Roman"/>
          <w:sz w:val="24"/>
          <w:szCs w:val="24"/>
        </w:rPr>
        <w:t xml:space="preserve"> Deliverables may also be made available or referenced on ONC’s website: healthit.gov.  </w:t>
      </w:r>
    </w:p>
    <w:p w:rsidRPr="00F3189A" w:rsidR="003C6C38" w:rsidP="00D5691C" w:rsidRDefault="003C6C38" w14:paraId="475B74A5" w14:textId="77777777">
      <w:pPr>
        <w:autoSpaceDE w:val="0"/>
        <w:autoSpaceDN w:val="0"/>
        <w:adjustRightInd w:val="0"/>
        <w:spacing w:after="0" w:line="240" w:lineRule="auto"/>
        <w:contextualSpacing/>
        <w:rPr>
          <w:rFonts w:ascii="Times New Roman" w:hAnsi="Times New Roman" w:cs="Times New Roman"/>
          <w:sz w:val="24"/>
          <w:szCs w:val="24"/>
        </w:rPr>
      </w:pPr>
    </w:p>
    <w:tbl>
      <w:tblPr>
        <w:tblW w:w="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70"/>
        <w:gridCol w:w="7200"/>
      </w:tblGrid>
      <w:tr w:rsidRPr="00F3189A" w:rsidR="00E33E8C" w:rsidTr="3ED3F2E5" w14:paraId="3FFE5C1F" w14:textId="77777777">
        <w:trPr>
          <w:trHeight w:val="274"/>
        </w:trPr>
        <w:tc>
          <w:tcPr>
            <w:tcW w:w="207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F3189A" w:rsidR="00E33E8C" w:rsidP="2A924739" w:rsidRDefault="00E33E8C" w14:paraId="76B7ABB2" w14:textId="2597C22F">
            <w:pPr>
              <w:spacing w:line="254" w:lineRule="auto"/>
              <w:rPr>
                <w:rFonts w:ascii="Times New Roman" w:hAnsi="Times New Roman" w:cs="Times New Roman"/>
                <w:b/>
                <w:bCs/>
                <w:color w:val="FFFFFF" w:themeColor="background1"/>
                <w:sz w:val="24"/>
                <w:szCs w:val="24"/>
              </w:rPr>
            </w:pPr>
            <w:r w:rsidRPr="3ED3F2E5">
              <w:rPr>
                <w:rFonts w:ascii="Times New Roman" w:hAnsi="Times New Roman" w:cs="Times New Roman"/>
                <w:b/>
                <w:bCs/>
                <w:color w:val="FFFFFF" w:themeColor="background1"/>
                <w:sz w:val="24"/>
                <w:szCs w:val="24"/>
              </w:rPr>
              <w:t>Dates</w:t>
            </w:r>
          </w:p>
        </w:tc>
        <w:tc>
          <w:tcPr>
            <w:tcW w:w="720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F3189A" w:rsidR="00E33E8C" w:rsidP="00EF59A7" w:rsidRDefault="00E33E8C" w14:paraId="7F42C7F7" w14:textId="77777777">
            <w:pPr>
              <w:spacing w:line="254" w:lineRule="auto"/>
              <w:rPr>
                <w:rFonts w:ascii="Times New Roman" w:hAnsi="Times New Roman" w:cs="Times New Roman"/>
                <w:b/>
                <w:color w:val="FFFFFF" w:themeColor="background1"/>
                <w:sz w:val="24"/>
                <w:szCs w:val="24"/>
              </w:rPr>
            </w:pPr>
            <w:r w:rsidRPr="00F3189A">
              <w:rPr>
                <w:rFonts w:ascii="Times New Roman" w:hAnsi="Times New Roman" w:cs="Times New Roman"/>
                <w:b/>
                <w:color w:val="FFFFFF" w:themeColor="background1"/>
                <w:sz w:val="24"/>
                <w:szCs w:val="24"/>
              </w:rPr>
              <w:t>Major Tasks/Milestones</w:t>
            </w:r>
          </w:p>
        </w:tc>
      </w:tr>
      <w:tr w:rsidRPr="00F3189A" w:rsidR="00E33E8C" w:rsidTr="3ED3F2E5" w14:paraId="398A0BD9" w14:textId="77777777">
        <w:trPr>
          <w:trHeight w:val="422"/>
        </w:trPr>
        <w:tc>
          <w:tcPr>
            <w:tcW w:w="2070" w:type="dxa"/>
            <w:tcBorders>
              <w:top w:val="single" w:color="auto" w:sz="4" w:space="0"/>
              <w:left w:val="single" w:color="auto" w:sz="4" w:space="0"/>
              <w:bottom w:val="single" w:color="auto" w:sz="4" w:space="0"/>
              <w:right w:val="single" w:color="auto" w:sz="4" w:space="0"/>
            </w:tcBorders>
            <w:vAlign w:val="center"/>
          </w:tcPr>
          <w:p w:rsidRPr="00F3189A" w:rsidR="00E33E8C" w:rsidP="00EF59A7" w:rsidRDefault="00DB23E8" w14:paraId="1C20E1D0" w14:textId="4092C8E1">
            <w:pPr>
              <w:spacing w:line="254" w:lineRule="auto"/>
              <w:rPr>
                <w:rFonts w:ascii="Times New Roman" w:hAnsi="Times New Roman" w:cs="Times New Roman"/>
                <w:sz w:val="24"/>
                <w:szCs w:val="24"/>
              </w:rPr>
            </w:pPr>
            <w:r>
              <w:rPr>
                <w:rFonts w:ascii="Times New Roman" w:hAnsi="Times New Roman" w:cs="Times New Roman"/>
                <w:sz w:val="24"/>
                <w:szCs w:val="24"/>
              </w:rPr>
              <w:t>October 2021-December 2021</w:t>
            </w:r>
          </w:p>
        </w:tc>
        <w:tc>
          <w:tcPr>
            <w:tcW w:w="7200" w:type="dxa"/>
            <w:tcBorders>
              <w:top w:val="single" w:color="auto" w:sz="4" w:space="0"/>
              <w:left w:val="single" w:color="auto" w:sz="4" w:space="0"/>
              <w:bottom w:val="single" w:color="auto" w:sz="4" w:space="0"/>
              <w:right w:val="single" w:color="auto" w:sz="4" w:space="0"/>
            </w:tcBorders>
            <w:vAlign w:val="center"/>
          </w:tcPr>
          <w:p w:rsidRPr="00F3189A" w:rsidR="00E33E8C" w:rsidP="00E33E8C" w:rsidRDefault="00E33E8C" w14:paraId="3483A628" w14:textId="4C5A5EAA">
            <w:pPr>
              <w:pStyle w:val="ListParagraph"/>
              <w:numPr>
                <w:ilvl w:val="0"/>
                <w:numId w:val="10"/>
              </w:numPr>
              <w:spacing w:after="0" w:line="254" w:lineRule="auto"/>
              <w:ind w:left="367"/>
              <w:rPr>
                <w:rFonts w:ascii="Times New Roman" w:hAnsi="Times New Roman" w:cs="Times New Roman"/>
                <w:sz w:val="24"/>
                <w:szCs w:val="24"/>
              </w:rPr>
            </w:pPr>
            <w:r w:rsidRPr="00F3189A">
              <w:rPr>
                <w:rFonts w:ascii="Times New Roman" w:hAnsi="Times New Roman" w:cs="Times New Roman"/>
                <w:sz w:val="24"/>
                <w:szCs w:val="24"/>
              </w:rPr>
              <w:t>Recruit for and schedule focus groups</w:t>
            </w:r>
          </w:p>
        </w:tc>
      </w:tr>
      <w:tr w:rsidRPr="00F3189A" w:rsidR="00E33E8C" w:rsidTr="3ED3F2E5" w14:paraId="68A04BC0" w14:textId="77777777">
        <w:trPr>
          <w:trHeight w:val="422"/>
        </w:trPr>
        <w:tc>
          <w:tcPr>
            <w:tcW w:w="2070" w:type="dxa"/>
            <w:tcBorders>
              <w:top w:val="single" w:color="auto" w:sz="4" w:space="0"/>
              <w:left w:val="single" w:color="auto" w:sz="4" w:space="0"/>
              <w:bottom w:val="single" w:color="auto" w:sz="4" w:space="0"/>
              <w:right w:val="single" w:color="auto" w:sz="4" w:space="0"/>
            </w:tcBorders>
            <w:vAlign w:val="center"/>
          </w:tcPr>
          <w:p w:rsidRPr="00F3189A" w:rsidR="00E33E8C" w:rsidP="00EF59A7" w:rsidRDefault="00305537" w14:paraId="7FF549F6" w14:textId="4DBCD71D">
            <w:pPr>
              <w:spacing w:line="254" w:lineRule="auto"/>
              <w:rPr>
                <w:rFonts w:ascii="Times New Roman" w:hAnsi="Times New Roman" w:cs="Times New Roman"/>
                <w:sz w:val="24"/>
                <w:szCs w:val="24"/>
              </w:rPr>
            </w:pPr>
            <w:r w:rsidRPr="3ED3F2E5">
              <w:rPr>
                <w:rFonts w:ascii="Times New Roman" w:hAnsi="Times New Roman" w:cs="Times New Roman"/>
                <w:sz w:val="24"/>
                <w:szCs w:val="24"/>
              </w:rPr>
              <w:t>January</w:t>
            </w:r>
            <w:r w:rsidR="00DB23E8">
              <w:rPr>
                <w:rFonts w:ascii="Times New Roman" w:hAnsi="Times New Roman" w:cs="Times New Roman"/>
                <w:sz w:val="24"/>
                <w:szCs w:val="24"/>
              </w:rPr>
              <w:t xml:space="preserve"> 2022-March</w:t>
            </w:r>
            <w:r w:rsidRPr="3ED3F2E5">
              <w:rPr>
                <w:rFonts w:ascii="Times New Roman" w:hAnsi="Times New Roman" w:cs="Times New Roman"/>
                <w:sz w:val="24"/>
                <w:szCs w:val="24"/>
              </w:rPr>
              <w:t xml:space="preserve"> 2022</w:t>
            </w:r>
          </w:p>
        </w:tc>
        <w:tc>
          <w:tcPr>
            <w:tcW w:w="7200" w:type="dxa"/>
            <w:tcBorders>
              <w:top w:val="single" w:color="auto" w:sz="4" w:space="0"/>
              <w:left w:val="single" w:color="auto" w:sz="4" w:space="0"/>
              <w:bottom w:val="single" w:color="auto" w:sz="4" w:space="0"/>
              <w:right w:val="single" w:color="auto" w:sz="4" w:space="0"/>
            </w:tcBorders>
            <w:vAlign w:val="center"/>
          </w:tcPr>
          <w:p w:rsidRPr="00F3189A" w:rsidR="00E33E8C" w:rsidP="00E33E8C" w:rsidRDefault="00E33E8C" w14:paraId="0023632C" w14:textId="650E65AA">
            <w:pPr>
              <w:pStyle w:val="ListParagraph"/>
              <w:numPr>
                <w:ilvl w:val="0"/>
                <w:numId w:val="11"/>
              </w:numPr>
              <w:spacing w:after="0" w:line="254" w:lineRule="auto"/>
              <w:ind w:left="342"/>
              <w:rPr>
                <w:rFonts w:ascii="Times New Roman" w:hAnsi="Times New Roman" w:cs="Times New Roman"/>
                <w:sz w:val="24"/>
                <w:szCs w:val="24"/>
              </w:rPr>
            </w:pPr>
            <w:r w:rsidRPr="00F3189A">
              <w:rPr>
                <w:rFonts w:ascii="Times New Roman" w:hAnsi="Times New Roman" w:cs="Times New Roman"/>
                <w:sz w:val="24"/>
                <w:szCs w:val="24"/>
              </w:rPr>
              <w:t>Conduct focus groups</w:t>
            </w:r>
          </w:p>
        </w:tc>
      </w:tr>
      <w:tr w:rsidRPr="00F3189A" w:rsidR="00E33E8C" w:rsidTr="3ED3F2E5" w14:paraId="7F9B7837" w14:textId="77777777">
        <w:trPr>
          <w:trHeight w:val="422"/>
        </w:trPr>
        <w:tc>
          <w:tcPr>
            <w:tcW w:w="2070" w:type="dxa"/>
            <w:tcBorders>
              <w:top w:val="single" w:color="auto" w:sz="4" w:space="0"/>
              <w:left w:val="single" w:color="auto" w:sz="4" w:space="0"/>
              <w:bottom w:val="single" w:color="auto" w:sz="4" w:space="0"/>
              <w:right w:val="single" w:color="auto" w:sz="4" w:space="0"/>
            </w:tcBorders>
            <w:vAlign w:val="center"/>
          </w:tcPr>
          <w:p w:rsidRPr="00F3189A" w:rsidR="00E33E8C" w:rsidP="00EF59A7" w:rsidRDefault="00DB23E8" w14:paraId="6886EA80" w14:textId="3EAD7801">
            <w:pPr>
              <w:spacing w:line="254" w:lineRule="auto"/>
              <w:rPr>
                <w:rFonts w:ascii="Times New Roman" w:hAnsi="Times New Roman" w:cs="Times New Roman"/>
                <w:sz w:val="24"/>
                <w:szCs w:val="24"/>
              </w:rPr>
            </w:pPr>
            <w:r>
              <w:rPr>
                <w:rFonts w:ascii="Times New Roman" w:hAnsi="Times New Roman" w:cs="Times New Roman"/>
                <w:sz w:val="24"/>
                <w:szCs w:val="24"/>
              </w:rPr>
              <w:t xml:space="preserve">April </w:t>
            </w:r>
            <w:r w:rsidRPr="3ED3F2E5" w:rsidR="00E33E8C">
              <w:rPr>
                <w:rFonts w:ascii="Times New Roman" w:hAnsi="Times New Roman" w:cs="Times New Roman"/>
                <w:sz w:val="24"/>
                <w:szCs w:val="24"/>
              </w:rPr>
              <w:t>202</w:t>
            </w:r>
            <w:r w:rsidRPr="3ED3F2E5" w:rsidR="4DD56C88">
              <w:rPr>
                <w:rFonts w:ascii="Times New Roman" w:hAnsi="Times New Roman" w:cs="Times New Roman"/>
                <w:sz w:val="24"/>
                <w:szCs w:val="24"/>
              </w:rPr>
              <w:t>2</w:t>
            </w:r>
            <w:r w:rsidRPr="3ED3F2E5" w:rsidR="00E33E8C">
              <w:rPr>
                <w:rFonts w:ascii="Times New Roman" w:hAnsi="Times New Roman" w:cs="Times New Roman"/>
                <w:sz w:val="24"/>
                <w:szCs w:val="24"/>
              </w:rPr>
              <w:t>-</w:t>
            </w:r>
            <w:r>
              <w:rPr>
                <w:rFonts w:ascii="Times New Roman" w:hAnsi="Times New Roman" w:cs="Times New Roman"/>
                <w:sz w:val="24"/>
                <w:szCs w:val="24"/>
              </w:rPr>
              <w:t>June</w:t>
            </w:r>
            <w:r w:rsidRPr="3ED3F2E5" w:rsidR="00E33E8C">
              <w:rPr>
                <w:rFonts w:ascii="Times New Roman" w:hAnsi="Times New Roman" w:cs="Times New Roman"/>
                <w:sz w:val="24"/>
                <w:szCs w:val="24"/>
              </w:rPr>
              <w:t xml:space="preserve"> 2022</w:t>
            </w:r>
          </w:p>
        </w:tc>
        <w:tc>
          <w:tcPr>
            <w:tcW w:w="7200" w:type="dxa"/>
            <w:tcBorders>
              <w:top w:val="single" w:color="auto" w:sz="4" w:space="0"/>
              <w:left w:val="single" w:color="auto" w:sz="4" w:space="0"/>
              <w:bottom w:val="single" w:color="auto" w:sz="4" w:space="0"/>
              <w:right w:val="single" w:color="auto" w:sz="4" w:space="0"/>
            </w:tcBorders>
            <w:vAlign w:val="center"/>
          </w:tcPr>
          <w:p w:rsidRPr="00F3189A" w:rsidR="00E33E8C" w:rsidP="00E33E8C" w:rsidRDefault="00E33E8C" w14:paraId="1ADF325A" w14:textId="77777777">
            <w:pPr>
              <w:pStyle w:val="ListParagraph"/>
              <w:numPr>
                <w:ilvl w:val="0"/>
                <w:numId w:val="11"/>
              </w:numPr>
              <w:spacing w:after="0" w:line="254" w:lineRule="auto"/>
              <w:ind w:left="342"/>
              <w:rPr>
                <w:rFonts w:ascii="Times New Roman" w:hAnsi="Times New Roman" w:cs="Times New Roman"/>
                <w:sz w:val="24"/>
                <w:szCs w:val="24"/>
              </w:rPr>
            </w:pPr>
            <w:r w:rsidRPr="00F3189A">
              <w:rPr>
                <w:rFonts w:ascii="Times New Roman" w:hAnsi="Times New Roman" w:cs="Times New Roman"/>
                <w:sz w:val="24"/>
                <w:szCs w:val="24"/>
              </w:rPr>
              <w:t>Qualitative analysis</w:t>
            </w:r>
          </w:p>
        </w:tc>
      </w:tr>
      <w:tr w:rsidRPr="00F3189A" w:rsidR="00E33E8C" w:rsidTr="3ED3F2E5" w14:paraId="3F78DFA4" w14:textId="77777777">
        <w:trPr>
          <w:trHeight w:val="422"/>
        </w:trPr>
        <w:tc>
          <w:tcPr>
            <w:tcW w:w="2070" w:type="dxa"/>
            <w:tcBorders>
              <w:top w:val="single" w:color="auto" w:sz="4" w:space="0"/>
              <w:left w:val="single" w:color="auto" w:sz="4" w:space="0"/>
              <w:bottom w:val="single" w:color="auto" w:sz="4" w:space="0"/>
              <w:right w:val="single" w:color="auto" w:sz="4" w:space="0"/>
            </w:tcBorders>
            <w:vAlign w:val="center"/>
          </w:tcPr>
          <w:p w:rsidRPr="00F3189A" w:rsidR="00E33E8C" w:rsidP="00EF59A7" w:rsidRDefault="00DB23E8" w14:paraId="0A5FC7CD" w14:textId="1FE1A46B">
            <w:pPr>
              <w:spacing w:line="254" w:lineRule="auto"/>
              <w:rPr>
                <w:rFonts w:ascii="Times New Roman" w:hAnsi="Times New Roman" w:cs="Times New Roman"/>
                <w:sz w:val="24"/>
                <w:szCs w:val="24"/>
              </w:rPr>
            </w:pPr>
            <w:r>
              <w:rPr>
                <w:rFonts w:ascii="Times New Roman" w:hAnsi="Times New Roman" w:cs="Times New Roman"/>
                <w:sz w:val="24"/>
                <w:szCs w:val="24"/>
              </w:rPr>
              <w:t>August 15</w:t>
            </w:r>
            <w:r w:rsidRPr="00F3189A" w:rsidR="00E33E8C">
              <w:rPr>
                <w:rFonts w:ascii="Times New Roman" w:hAnsi="Times New Roman" w:cs="Times New Roman"/>
                <w:sz w:val="24"/>
                <w:szCs w:val="24"/>
              </w:rPr>
              <w:t>, 2022</w:t>
            </w:r>
          </w:p>
        </w:tc>
        <w:tc>
          <w:tcPr>
            <w:tcW w:w="7200" w:type="dxa"/>
            <w:tcBorders>
              <w:top w:val="single" w:color="auto" w:sz="4" w:space="0"/>
              <w:left w:val="single" w:color="auto" w:sz="4" w:space="0"/>
              <w:bottom w:val="single" w:color="auto" w:sz="4" w:space="0"/>
              <w:right w:val="single" w:color="auto" w:sz="4" w:space="0"/>
            </w:tcBorders>
            <w:vAlign w:val="center"/>
          </w:tcPr>
          <w:p w:rsidRPr="00F3189A" w:rsidR="00E33E8C" w:rsidP="00E33E8C" w:rsidRDefault="00E33E8C" w14:paraId="1780B3A8" w14:textId="1B4D2AE4">
            <w:pPr>
              <w:pStyle w:val="ListParagraph"/>
              <w:numPr>
                <w:ilvl w:val="0"/>
                <w:numId w:val="11"/>
              </w:numPr>
              <w:spacing w:after="0" w:line="254" w:lineRule="auto"/>
              <w:ind w:left="367"/>
              <w:rPr>
                <w:rFonts w:ascii="Times New Roman" w:hAnsi="Times New Roman" w:cs="Times New Roman"/>
                <w:sz w:val="24"/>
                <w:szCs w:val="24"/>
              </w:rPr>
            </w:pPr>
            <w:r w:rsidRPr="00F3189A">
              <w:rPr>
                <w:rFonts w:ascii="Times New Roman" w:hAnsi="Times New Roman" w:cs="Times New Roman"/>
                <w:sz w:val="24"/>
                <w:szCs w:val="24"/>
              </w:rPr>
              <w:t>Draft of final report submitted</w:t>
            </w:r>
          </w:p>
        </w:tc>
      </w:tr>
      <w:tr w:rsidRPr="00F3189A" w:rsidR="00E33E8C" w:rsidTr="3ED3F2E5" w14:paraId="7A0A94B9" w14:textId="77777777">
        <w:trPr>
          <w:trHeight w:val="422"/>
        </w:trPr>
        <w:tc>
          <w:tcPr>
            <w:tcW w:w="2070" w:type="dxa"/>
            <w:tcBorders>
              <w:top w:val="single" w:color="auto" w:sz="4" w:space="0"/>
              <w:left w:val="single" w:color="auto" w:sz="4" w:space="0"/>
              <w:bottom w:val="single" w:color="auto" w:sz="4" w:space="0"/>
              <w:right w:val="single" w:color="auto" w:sz="4" w:space="0"/>
            </w:tcBorders>
            <w:vAlign w:val="center"/>
          </w:tcPr>
          <w:p w:rsidRPr="00F3189A" w:rsidR="00E33E8C" w:rsidP="00EF59A7" w:rsidRDefault="00E33E8C" w14:paraId="5569F545" w14:textId="32D2A7EC">
            <w:pPr>
              <w:spacing w:line="254" w:lineRule="auto"/>
              <w:rPr>
                <w:rFonts w:ascii="Times New Roman" w:hAnsi="Times New Roman" w:cs="Times New Roman"/>
                <w:sz w:val="24"/>
                <w:szCs w:val="24"/>
              </w:rPr>
            </w:pPr>
            <w:r w:rsidRPr="00F3189A">
              <w:rPr>
                <w:rFonts w:ascii="Times New Roman" w:hAnsi="Times New Roman" w:cs="Times New Roman"/>
                <w:sz w:val="24"/>
                <w:szCs w:val="24"/>
              </w:rPr>
              <w:t>September 30, 2022</w:t>
            </w:r>
          </w:p>
        </w:tc>
        <w:tc>
          <w:tcPr>
            <w:tcW w:w="7200" w:type="dxa"/>
            <w:tcBorders>
              <w:top w:val="single" w:color="auto" w:sz="4" w:space="0"/>
              <w:left w:val="single" w:color="auto" w:sz="4" w:space="0"/>
              <w:bottom w:val="single" w:color="auto" w:sz="4" w:space="0"/>
              <w:right w:val="single" w:color="auto" w:sz="4" w:space="0"/>
            </w:tcBorders>
            <w:vAlign w:val="center"/>
          </w:tcPr>
          <w:p w:rsidRPr="00F3189A" w:rsidR="00E33E8C" w:rsidP="00E33E8C" w:rsidRDefault="00E33E8C" w14:paraId="5CF33A25" w14:textId="39523AD7">
            <w:pPr>
              <w:pStyle w:val="ListParagraph"/>
              <w:numPr>
                <w:ilvl w:val="0"/>
                <w:numId w:val="11"/>
              </w:numPr>
              <w:spacing w:after="0" w:line="254" w:lineRule="auto"/>
              <w:ind w:left="367"/>
              <w:rPr>
                <w:rFonts w:ascii="Times New Roman" w:hAnsi="Times New Roman" w:cs="Times New Roman"/>
                <w:sz w:val="24"/>
                <w:szCs w:val="24"/>
              </w:rPr>
            </w:pPr>
            <w:r w:rsidRPr="00F3189A">
              <w:rPr>
                <w:rFonts w:ascii="Times New Roman" w:hAnsi="Times New Roman" w:cs="Times New Roman"/>
                <w:sz w:val="24"/>
                <w:szCs w:val="24"/>
              </w:rPr>
              <w:t>Final report</w:t>
            </w:r>
          </w:p>
        </w:tc>
      </w:tr>
    </w:tbl>
    <w:p w:rsidRPr="00F3189A" w:rsidR="00E33E8C" w:rsidP="00D5691C" w:rsidRDefault="00E33E8C" w14:paraId="4C5868C2" w14:textId="77777777">
      <w:pPr>
        <w:autoSpaceDE w:val="0"/>
        <w:autoSpaceDN w:val="0"/>
        <w:adjustRightInd w:val="0"/>
        <w:spacing w:after="0" w:line="240" w:lineRule="auto"/>
        <w:contextualSpacing/>
        <w:rPr>
          <w:rFonts w:ascii="Times New Roman" w:hAnsi="Times New Roman" w:cs="Times New Roman"/>
          <w:sz w:val="24"/>
          <w:szCs w:val="24"/>
        </w:rPr>
      </w:pPr>
    </w:p>
    <w:p w:rsidRPr="00F3189A" w:rsidR="0065450A" w:rsidP="00D5691C" w:rsidRDefault="0065450A" w14:paraId="17E735A1" w14:textId="77777777">
      <w:pPr>
        <w:autoSpaceDE w:val="0"/>
        <w:autoSpaceDN w:val="0"/>
        <w:adjustRightInd w:val="0"/>
        <w:spacing w:after="0" w:line="240" w:lineRule="auto"/>
        <w:contextualSpacing/>
        <w:rPr>
          <w:rFonts w:ascii="Times New Roman" w:hAnsi="Times New Roman" w:cs="Times New Roman"/>
          <w:sz w:val="24"/>
          <w:szCs w:val="24"/>
        </w:rPr>
      </w:pPr>
    </w:p>
    <w:p w:rsidRPr="00F3189A" w:rsidR="000B09B3" w:rsidP="00D5691C" w:rsidRDefault="000B09B3" w14:paraId="0085B3BE" w14:textId="77777777">
      <w:pPr>
        <w:autoSpaceDE w:val="0"/>
        <w:autoSpaceDN w:val="0"/>
        <w:adjustRightInd w:val="0"/>
        <w:spacing w:after="0" w:line="240" w:lineRule="auto"/>
        <w:contextualSpacing/>
        <w:rPr>
          <w:rFonts w:ascii="Times New Roman" w:hAnsi="Times New Roman" w:cs="Times New Roman"/>
          <w:sz w:val="24"/>
          <w:szCs w:val="24"/>
        </w:rPr>
      </w:pPr>
    </w:p>
    <w:p w:rsidRPr="00F3189A" w:rsidR="00CA74CD" w:rsidP="00D5691C" w:rsidRDefault="00CA74CD" w14:paraId="63BBF302" w14:textId="171681C5">
      <w:pPr>
        <w:autoSpaceDE w:val="0"/>
        <w:autoSpaceDN w:val="0"/>
        <w:adjustRightInd w:val="0"/>
        <w:spacing w:after="0" w:line="240" w:lineRule="auto"/>
        <w:contextualSpacing/>
        <w:rPr>
          <w:rFonts w:ascii="Times New Roman" w:hAnsi="Times New Roman" w:cs="Times New Roman"/>
          <w:sz w:val="24"/>
          <w:szCs w:val="24"/>
        </w:rPr>
      </w:pPr>
      <w:r w:rsidRPr="00F3189A">
        <w:rPr>
          <w:rFonts w:ascii="Times New Roman" w:hAnsi="Times New Roman" w:cs="Times New Roman"/>
          <w:b/>
          <w:bCs/>
          <w:sz w:val="24"/>
          <w:szCs w:val="24"/>
        </w:rPr>
        <w:t xml:space="preserve">17. </w:t>
      </w:r>
      <w:r w:rsidRPr="004C6E57" w:rsidR="004C6E57">
        <w:rPr>
          <w:rFonts w:ascii="Times New Roman" w:hAnsi="Times New Roman" w:cs="Times New Roman"/>
          <w:b/>
          <w:bCs/>
          <w:sz w:val="24"/>
          <w:szCs w:val="24"/>
          <w:u w:val="single"/>
        </w:rPr>
        <w:t>Reason(s) Display of OMB Expiration Date is Inappropriate</w:t>
      </w:r>
    </w:p>
    <w:p w:rsidRPr="00F3189A" w:rsidR="00E33E8C" w:rsidP="00E33E8C" w:rsidRDefault="00E33E8C" w14:paraId="6AE69168" w14:textId="2A65356C">
      <w:pPr>
        <w:pStyle w:val="BodyText"/>
        <w:rPr>
          <w:sz w:val="24"/>
        </w:rPr>
      </w:pPr>
      <w:r w:rsidRPr="00F3189A">
        <w:rPr>
          <w:sz w:val="24"/>
        </w:rPr>
        <w:t>All data collection materials will display the OMB expiration date.</w:t>
      </w:r>
    </w:p>
    <w:p w:rsidRPr="00F3189A" w:rsidR="0065450A" w:rsidP="00D5691C" w:rsidRDefault="0065450A" w14:paraId="2DAF294A" w14:textId="285BF584">
      <w:pPr>
        <w:autoSpaceDE w:val="0"/>
        <w:autoSpaceDN w:val="0"/>
        <w:adjustRightInd w:val="0"/>
        <w:spacing w:after="267" w:line="240" w:lineRule="auto"/>
        <w:ind w:right="105"/>
        <w:contextualSpacing/>
        <w:rPr>
          <w:rFonts w:ascii="Times New Roman" w:hAnsi="Times New Roman" w:cs="Times New Roman"/>
          <w:sz w:val="24"/>
          <w:szCs w:val="24"/>
        </w:rPr>
      </w:pPr>
    </w:p>
    <w:p w:rsidRPr="00F3189A" w:rsidR="00D5691C" w:rsidP="00D5691C" w:rsidRDefault="00D5691C" w14:paraId="3627F5A6" w14:textId="77777777">
      <w:pPr>
        <w:autoSpaceDE w:val="0"/>
        <w:autoSpaceDN w:val="0"/>
        <w:adjustRightInd w:val="0"/>
        <w:spacing w:after="267" w:line="240" w:lineRule="auto"/>
        <w:ind w:right="305"/>
        <w:contextualSpacing/>
        <w:rPr>
          <w:rFonts w:ascii="Times New Roman" w:hAnsi="Times New Roman" w:cs="Times New Roman"/>
          <w:b/>
          <w:bCs/>
          <w:sz w:val="24"/>
          <w:szCs w:val="24"/>
        </w:rPr>
      </w:pPr>
    </w:p>
    <w:p w:rsidR="00556DF5" w:rsidP="00556DF5" w:rsidRDefault="00CA74CD" w14:paraId="338A001C" w14:textId="77777777">
      <w:pPr>
        <w:autoSpaceDE w:val="0"/>
        <w:autoSpaceDN w:val="0"/>
        <w:adjustRightInd w:val="0"/>
        <w:spacing w:after="267" w:line="240" w:lineRule="auto"/>
        <w:ind w:right="305"/>
        <w:contextualSpacing/>
        <w:rPr>
          <w:rFonts w:ascii="Times New Roman" w:hAnsi="Times New Roman" w:cs="Times New Roman"/>
          <w:b/>
          <w:bCs/>
          <w:sz w:val="24"/>
          <w:szCs w:val="24"/>
          <w:u w:val="single"/>
        </w:rPr>
      </w:pPr>
      <w:r w:rsidRPr="00F3189A">
        <w:rPr>
          <w:rFonts w:ascii="Times New Roman" w:hAnsi="Times New Roman" w:cs="Times New Roman"/>
          <w:b/>
          <w:bCs/>
          <w:sz w:val="24"/>
          <w:szCs w:val="24"/>
        </w:rPr>
        <w:t xml:space="preserve">18. </w:t>
      </w:r>
      <w:r w:rsidRPr="004C6E57">
        <w:rPr>
          <w:rFonts w:ascii="Times New Roman" w:hAnsi="Times New Roman" w:cs="Times New Roman"/>
          <w:b/>
          <w:bCs/>
          <w:sz w:val="24"/>
          <w:szCs w:val="24"/>
          <w:u w:val="single"/>
        </w:rPr>
        <w:t>E</w:t>
      </w:r>
      <w:r w:rsidRPr="004C6E57" w:rsidR="004C6E57">
        <w:rPr>
          <w:rFonts w:ascii="Times New Roman" w:hAnsi="Times New Roman" w:cs="Times New Roman"/>
          <w:b/>
          <w:bCs/>
          <w:sz w:val="24"/>
          <w:szCs w:val="24"/>
          <w:u w:val="single"/>
        </w:rPr>
        <w:t xml:space="preserve">xceptions to </w:t>
      </w:r>
      <w:r w:rsidRPr="004C6E57">
        <w:rPr>
          <w:rFonts w:ascii="Times New Roman" w:hAnsi="Times New Roman" w:cs="Times New Roman"/>
          <w:b/>
          <w:bCs/>
          <w:sz w:val="24"/>
          <w:szCs w:val="24"/>
          <w:u w:val="single"/>
        </w:rPr>
        <w:t>Certification for Paperwork Reduction Act Submissions</w:t>
      </w:r>
    </w:p>
    <w:p w:rsidRPr="00F3189A" w:rsidR="0065450A" w:rsidP="00034381" w:rsidRDefault="00E33E8C" w14:paraId="11795DAF" w14:textId="755DDFC1">
      <w:pPr>
        <w:autoSpaceDE w:val="0"/>
        <w:autoSpaceDN w:val="0"/>
        <w:adjustRightInd w:val="0"/>
        <w:spacing w:after="267" w:line="240" w:lineRule="auto"/>
        <w:ind w:right="305"/>
        <w:contextualSpacing/>
        <w:rPr>
          <w:rFonts w:ascii="Times New Roman" w:hAnsi="Times New Roman" w:cs="Times New Roman"/>
          <w:sz w:val="24"/>
          <w:szCs w:val="24"/>
        </w:rPr>
      </w:pPr>
      <w:r w:rsidRPr="00F3189A">
        <w:rPr>
          <w:rFonts w:ascii="Times New Roman" w:hAnsi="Times New Roman" w:cs="Times New Roman"/>
          <w:sz w:val="24"/>
          <w:szCs w:val="24"/>
        </w:rPr>
        <w:lastRenderedPageBreak/>
        <w:t>There are no exceptions to the certification.</w:t>
      </w:r>
    </w:p>
    <w:p w:rsidRPr="00F3189A" w:rsidR="00D5691C" w:rsidP="00D5691C" w:rsidRDefault="00D5691C" w14:paraId="2AE8D83A" w14:textId="77777777">
      <w:pPr>
        <w:autoSpaceDE w:val="0"/>
        <w:autoSpaceDN w:val="0"/>
        <w:adjustRightInd w:val="0"/>
        <w:spacing w:after="234" w:line="240" w:lineRule="auto"/>
        <w:ind w:right="387"/>
        <w:contextualSpacing/>
        <w:rPr>
          <w:rFonts w:ascii="Times New Roman" w:hAnsi="Times New Roman" w:cs="Times New Roman"/>
          <w:b/>
          <w:bCs/>
          <w:sz w:val="24"/>
          <w:szCs w:val="24"/>
        </w:rPr>
      </w:pPr>
    </w:p>
    <w:sectPr w:rsidRPr="00F3189A" w:rsidR="00D569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32EAC" w14:textId="77777777" w:rsidR="00E366B6" w:rsidRDefault="00E366B6" w:rsidP="00DE3466">
      <w:pPr>
        <w:spacing w:after="0" w:line="240" w:lineRule="auto"/>
      </w:pPr>
      <w:r>
        <w:separator/>
      </w:r>
    </w:p>
  </w:endnote>
  <w:endnote w:type="continuationSeparator" w:id="0">
    <w:p w14:paraId="2F40D4E4" w14:textId="77777777" w:rsidR="00E366B6" w:rsidRDefault="00E366B6" w:rsidP="00DE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6FF7D" w14:textId="77777777" w:rsidR="00E366B6" w:rsidRDefault="00E366B6" w:rsidP="00DE3466">
      <w:pPr>
        <w:spacing w:after="0" w:line="240" w:lineRule="auto"/>
      </w:pPr>
      <w:r>
        <w:separator/>
      </w:r>
    </w:p>
  </w:footnote>
  <w:footnote w:type="continuationSeparator" w:id="0">
    <w:p w14:paraId="201917E3" w14:textId="77777777" w:rsidR="00E366B6" w:rsidRDefault="00E366B6" w:rsidP="00DE3466">
      <w:pPr>
        <w:spacing w:after="0" w:line="240" w:lineRule="auto"/>
      </w:pPr>
      <w:r>
        <w:continuationSeparator/>
      </w:r>
    </w:p>
  </w:footnote>
  <w:footnote w:id="1">
    <w:p w14:paraId="0CC32B8F" w14:textId="7846DBE1" w:rsidR="007C4951" w:rsidRDefault="007C4951">
      <w:pPr>
        <w:pStyle w:val="FootnoteText"/>
      </w:pPr>
      <w:r>
        <w:t xml:space="preserve">1. </w:t>
      </w:r>
      <w:r w:rsidR="00CB43D6">
        <w:rPr>
          <w:color w:val="2B579A"/>
          <w:shd w:val="clear" w:color="auto" w:fill="E6E6E6"/>
        </w:rPr>
        <w:fldChar w:fldCharType="begin" w:fldLock="1"/>
      </w:r>
      <w:r w:rsidR="00CB43D6">
        <w:instrText>ADDIN CSL_CITATION {"citationItems":[{"id":"ITEM-1","itemData":{"author":[{"dropping-particle":"","family":"Office of the National Coordinator for Health Information Technology","given":"","non-dropping-particle":"","parse-names":false,"suffix":""}],"id":"ITEM-1","issued":{"date-parts":[["0"]]},"number-of-pages":"1-2","publisher-place":"Washington D.C.","title":"Cures Act Final Rule: United States Core Data for Interoperability","type":"report"},"uris":["http://www.mendeley.com/documents/?uuid=c7b93543-7ac8-409a-9a1b-859fb90fedb3"]}],"mendeley":{"formattedCitation":"Office of the National Coordinator for Health Information Technology, “Cures Act Final Rule: United States Core Data for Interoperability” (Washington D.C., n.d.), https://www.healthit.gov/cures/sites/default/files/cures/2020-03/USCDI.pdf.","plainTextFormattedCitation":"Office of the National Coordinator for Health Information Technology, “Cures Act Final Rule: United States Core Data for Interoperability” (Washington D.C., n.d.), https://www.healthit.gov/cures/sites/default/files/cures/2020-03/USCDI.pdf.","previouslyFormattedCitation":"Office of the National Coordinator for Health Information Technology, “Cures Act Final Rule: United States Core Data for Interoperability” (Washington D.C., n.d.), https://www.healthit.gov/cures/sites/default/files/cures/2020-03/USCDI.pdf."},"properties":{"noteIndex":1},"schema":"https://github.com/citation-style-language/schema/raw/master/csl-citation.json"}</w:instrText>
      </w:r>
      <w:r w:rsidR="00CB43D6">
        <w:rPr>
          <w:color w:val="2B579A"/>
          <w:shd w:val="clear" w:color="auto" w:fill="E6E6E6"/>
        </w:rPr>
        <w:fldChar w:fldCharType="separate"/>
      </w:r>
      <w:r w:rsidR="00CB43D6" w:rsidRPr="00CB43D6">
        <w:rPr>
          <w:noProof/>
        </w:rPr>
        <w:t>Office of the National Coordinator for Health Information Technology, “Cures Act Final Rule: United States Core Data for Interoperability” (Washington D.C., n.d.), https://www.healthit.gov/cures/sites/default/files/cures/2020-03/USCDI.pdf.</w:t>
      </w:r>
      <w:r w:rsidR="00CB43D6">
        <w:rPr>
          <w:color w:val="2B579A"/>
          <w:shd w:val="clear" w:color="auto" w:fill="E6E6E6"/>
        </w:rPr>
        <w:fldChar w:fldCharType="end"/>
      </w:r>
    </w:p>
    <w:p w14:paraId="599E1C33" w14:textId="57C64C0A" w:rsidR="007C4951" w:rsidRDefault="007C4951">
      <w:pPr>
        <w:pStyle w:val="FootnoteText"/>
      </w:pPr>
      <w:r>
        <w:t>2. C</w:t>
      </w:r>
      <w:r w:rsidRPr="00CB43D6">
        <w:rPr>
          <w:noProof/>
        </w:rPr>
        <w:t xml:space="preserve">enters for Disease Control and Prevention, “About Social Determinants of Health (SDOH),” CDC.gov, 2020, https://www.cdc.gov/socialdeterminants/about.html; Erika K Cottrell et al., “Using Health Information Technology to Bring Social Determinants of Health into Primary Care: A Conceptual Framework to Guide Research,” </w:t>
      </w:r>
      <w:r w:rsidRPr="00CB43D6">
        <w:rPr>
          <w:i/>
          <w:noProof/>
        </w:rPr>
        <w:t>Journal of Health Care for the Poor and Underserved</w:t>
      </w:r>
      <w:r w:rsidRPr="00CB43D6">
        <w:rPr>
          <w:noProof/>
        </w:rPr>
        <w:t xml:space="preserve"> 29, no. 3 (2018): 949–63; National Association of Community Health Centers, “PRAPARE Implementation and Action Toolkit,” 2019</w:t>
      </w:r>
    </w:p>
    <w:p w14:paraId="38229121" w14:textId="77777777" w:rsidR="007C4951" w:rsidRPr="007C4951" w:rsidRDefault="007C4951">
      <w:pPr>
        <w:pStyle w:val="FootnoteText"/>
      </w:pPr>
    </w:p>
  </w:footnote>
  <w:footnote w:id="2">
    <w:p w14:paraId="0215C95F" w14:textId="7135DC72" w:rsidR="007B42E6" w:rsidRDefault="007B42E6">
      <w:pPr>
        <w:pStyle w:val="FootnoteText"/>
      </w:pPr>
      <w:r w:rsidRPr="007B42E6">
        <w:rPr>
          <w:rStyle w:val="FootnoteReference"/>
          <w:vertAlign w:val="baseline"/>
        </w:rPr>
        <w:footnoteRef/>
      </w:r>
      <w:r>
        <w:t>.</w:t>
      </w:r>
      <w:r w:rsidRPr="007B42E6">
        <w:t xml:space="preserve"> </w:t>
      </w:r>
      <w:r>
        <w:rPr>
          <w:color w:val="2B579A"/>
          <w:shd w:val="clear" w:color="auto" w:fill="E6E6E6"/>
        </w:rPr>
        <w:fldChar w:fldCharType="begin" w:fldLock="1"/>
      </w:r>
      <w:r>
        <w:instrText>ADDIN CSL_CITATION {"citationItems":[{"id":"ITEM-1","itemData":{"URL":"https://www.cdc.gov/socialdeterminants/about.html","accessed":{"date-parts":[["2020","8","24"]]},"author":[{"dropping-particle":"","family":"Centers for Disease Control and Prevention","given":"","non-dropping-particle":"","parse-names":false,"suffix":""}],"container-title":"CDC.gov","id":"ITEM-1","issued":{"date-parts":[["2020"]]},"title":"About Social Determinants of Health (SDOH)","type":"webpage"},"uris":["http://www.mendeley.com/documents/?uuid=03a1ddcf-292d-44e7-bf41-44c01ba87691"]},{"id":"ITEM-2","itemData":{"author":[{"dropping-particle":"","family":"Cottrell","given":"Erika K","non-dropping-particle":"","parse-names":false,"suffix":""},{"dropping-particle":"","family":"Gold","given":"Rachel","non-dropping-particle":"","parse-names":false,"suffix":""},{"dropping-particle":"","family":"Likumahuwa","given":"Sonja","non-dropping-particle":"","parse-names":false,"suffix":""},{"dropping-particle":"","family":"Angier","given":"Heather","non-dropping-particle":"","parse-names":false,"suffix":""},{"dropping-particle":"","family":"Cohen","given":"Deborah J","non-dropping-particle":"","parse-names":false,"suffix":""},{"dropping-particle":"","family":"Clark","given":"Khaya D","non-dropping-particle":"","parse-names":false,"suffix":""},{"dropping-particle":"","family":"Gottlieb","given":"Laura M","non-dropping-particle":"","parse-names":false,"suffix":""},{"dropping-particle":"","family":"Devoe","given":"Jennifer E","non-dropping-particle":"","parse-names":false,"suffix":""}],"container-title":"Journal of health care for the poor and underserved","id":"ITEM-2","issue":"3","issued":{"date-parts":[["2018"]]},"page":"949-963","title":"Using Health Information Technology to Bring Social Determinants of Health into Primary Care: A Conceptual Framework to Guide Research","type":"article-journal","volume":"29"},"uris":["http://www.mendeley.com/documents/?uuid=b849e803-afab-47dc-8d28-d19638f92cff"]},{"id":"ITEM-3","itemData":{"author":[{"dropping-particle":"","family":"National Association of Community Health Centers","given":"","non-dropping-particle":"","parse-names":false,"suffix":""}],"id":"ITEM-3","issue":"March","issued":{"date-parts":[["2019"]]},"title":"PRAPARE Implementation and Action Toolkit","type":"report"},"uris":["http://www.mendeley.com/documents/?uuid=c7d0f440-1203-4094-b4ab-0ad0e4b07a56"]}],"mendeley":{"formattedCitation":"Centers for Disease Control and Prevention, “About Social Determinants of Health (SDOH),” CDC.gov, 2020, https://www.cdc.gov/socialdeterminants/about.html; Erika K Cottrell et al., “Using Health Information Technology to Bring Social Determinants of Health into Primary Care: A Conceptual Framework to Guide Research,” &lt;i&gt;Journal of Health Care for the Poor and Underserved&lt;/i&gt; 29, no. 3 (2018): 949–63; National Association of Community Health Centers, “PRAPARE Implementation and Action Toolkit,” 2019.","plainTextFormattedCitation":"Centers for Disease Control and Prevention, “About Social Determinants of Health (SDOH),” CDC.gov, 2020, https://www.cdc.gov/socialdeterminants/about.html; Erika K Cottrell et al., “Using Health Information Technology to Bring Social Determinants of Health into Primary Care: A Conceptual Framework to Guide Research,” Journal of Health Care for the Poor and Underserved 29, no. 3 (2018): 949–63; National Association of Community Health Centers, “PRAPARE Implementation and Action Toolkit,” 2019.","previouslyFormattedCitation":"Centers for Disease Control and Prevention, “About Social Determinants of Health (SDOH),” CDC.gov, 2020, https://www.cdc.gov/socialdeterminants/about.html; Erika K Cottrell et al., “Using Health Information Technology to Bring Social Determinants of Health into Primary Care: A Conceptual Framework to Guide Research,” &lt;i&gt;Journal of Health Care for the Poor and Underserved&lt;/i&gt; 29, no. 3 (2018): 949–63; National Association of Community Health Centers, “PRAPARE Implementation and Action Toolkit,” 2019."},"properties":{"noteIndex":2},"schema":"https://github.com/citation-style-language/schema/raw/master/csl-citation.json"}</w:instrText>
      </w:r>
      <w:r>
        <w:rPr>
          <w:color w:val="2B579A"/>
          <w:shd w:val="clear" w:color="auto" w:fill="E6E6E6"/>
        </w:rPr>
        <w:fldChar w:fldCharType="separate"/>
      </w:r>
      <w:r w:rsidRPr="007B42E6">
        <w:rPr>
          <w:noProof/>
        </w:rPr>
        <w:t xml:space="preserve">Centers for Disease Control and Prevention, “About Social Determinants of Health (SDOH),” CDC.gov, 2020, https://www.cdc.gov/socialdeterminants/about.html; Erika K Cottrell et al., “Using Health Information Technology to Bring Social Determinants of Health into Primary Care: A Conceptual Framework to Guide Research,” </w:t>
      </w:r>
      <w:r w:rsidRPr="007B42E6">
        <w:rPr>
          <w:i/>
          <w:noProof/>
        </w:rPr>
        <w:t>Journal of Health Care for the Poor and Underserved</w:t>
      </w:r>
      <w:r w:rsidRPr="007B42E6">
        <w:rPr>
          <w:noProof/>
        </w:rPr>
        <w:t xml:space="preserve"> 29, no. 3 (2018): 949–63; National Association of Community Health Centers, “PRAPARE Implementation and Action Toolkit,” 2019.</w:t>
      </w:r>
      <w:r>
        <w:rPr>
          <w:color w:val="2B579A"/>
          <w:shd w:val="clear" w:color="auto" w:fill="E6E6E6"/>
        </w:rPr>
        <w:fldChar w:fldCharType="end"/>
      </w:r>
    </w:p>
  </w:footnote>
  <w:footnote w:id="3">
    <w:p w14:paraId="64B64D30" w14:textId="0810C03F" w:rsidR="007B42E6" w:rsidRDefault="007B42E6">
      <w:pPr>
        <w:pStyle w:val="FootnoteText"/>
      </w:pPr>
      <w:r w:rsidRPr="007B42E6">
        <w:rPr>
          <w:rStyle w:val="FootnoteReference"/>
          <w:vertAlign w:val="baseline"/>
        </w:rPr>
        <w:t>3</w:t>
      </w:r>
      <w:r w:rsidRPr="007B42E6">
        <w:t xml:space="preserve">. </w:t>
      </w:r>
      <w:r>
        <w:rPr>
          <w:color w:val="2B579A"/>
          <w:shd w:val="clear" w:color="auto" w:fill="E6E6E6"/>
        </w:rPr>
        <w:fldChar w:fldCharType="begin" w:fldLock="1"/>
      </w:r>
      <w:r>
        <w:instrText>ADDIN CSL_CITATION {"citationItems":[{"id":"ITEM-1","itemData":{"ISBN":"978-0-309-38711-8","author":[{"dropping-particle":"","family":"National Academy of Medicine","given":"","non-dropping-particle":"","parse-names":false,"suffix":""}],"container-title":"The National Academies Press","id":"ITEM-1","issued":{"date-parts":[["2014"]]},"number-of-pages":"1-374","publisher-place":"Washington D.C.","title":"Capturing Social and Behavioral Domains and Measures in Electronic Health Records: Phase 2","type":"report"},"uris":["http://www.mendeley.com/documents/?uuid=b8e6d4b6-3405-406c-b692-3ac079b02619"]},{"id":"ITEM-2","itemData":{"author":[{"dropping-particle":"","family":"Siren UCSF","given":"","non-dropping-particle":"","parse-names":false,"suffix":""},{"dropping-particle":"","family":"Robert Wood Johnson Foundation","given":"","non-dropping-particle":"","parse-names":false,"suffix":""},{"dropping-particle":"","family":"EMI Advisors","given":"","non-dropping-particle":"","parse-names":false,"suffix":""}],"id":"ITEM-2","issued":{"date-parts":[["2019"]]},"title":"The Gravity Project : A Social Determinants of Health Coding Collaborative","type":"report"},"uris":["http://www.mendeley.com/documents/?uuid=42341581-e2b7-4878-a1d0-7ab93b6c95bb"]},{"id":"ITEM-3","itemData":{"author":[{"dropping-particle":"","family":"Freij","given":"Maysoun","non-dropping-particle":"","parse-names":false,"suffix":""},{"dropping-particle":"","family":"Dullabh","given":"Prashila","non-dropping-particle":"","parse-names":false,"suffix":""},{"dropping-particle":"","family":"Lewis","given":"Sarah","non-dropping-particle":"","parse-names":false,"suffix":""},{"dropping-particle":"","family":"Smith","given":"Scott R.","non-dropping-particle":"","parse-names":false,"suffix":""},{"dropping-particle":"","family":"Hovey","given":"Lauren","non-dropping-particle":"","parse-names":false,"suffix":""},{"dropping-particle":"","family":"Dhopeshwarkar","given":"Rina","non-dropping-particle":"","parse-names":false,"suffix":""}],"container-title":"U.S. Department of Health and Human Services, Assistant Secretary for Planning and Evaluation, Office of Health Policy","id":"ITEM-3","issue":"November","issued":{"date-parts":[["2018"]]},"number-of-pages":"2-23","title":"Incorporating Social Determinants of Health in Electronic Health Records: A Qualitative Study of Perspectives on Current Practices among Top Vendors","type":"report"},"uris":["http://www.mendeley.com/documents/?uuid=42309669-ef0c-4e53-9975-10a2b7227913"]}],"mendeley":{"formattedCitation":"National Academy of Medicine, “Capturing Social and Behavioral Domains and Measures in Electronic Health Records: Phase 2,” &lt;i&gt;The National Academies Press&lt;/i&gt; (Washington D.C., 2014); Siren UCSF, Robert Wood Johnson Foundation, and EMI Advisors, “The Gravity Project : A Social Determinants of Health Coding Collaborative,” 2019; Maysoun Freij et al., “Incorporating Social Determinants of Health in Electronic Health Records: A Qualitative Study of Perspectives on Current Practices among Top Vendors,” &lt;i&gt;U.S. Department of Health and Human Services, Assistant Secretary for Planning and Evaluation, Office of Health Policy&lt;/i&gt;, 2018, https://aspe.hhs.gov/pdf-report/incorporating-social-determinants-health-electronic-health-records-qualitative-study-perspectives-current-practices-among-top-vendors.","plainTextFormattedCitation":"National Academy of Medicine, “Capturing Social and Behavioral Domains and Measures in Electronic Health Records: Phase 2,” The National Academies Press (Washington D.C., 2014); Siren UCSF, Robert Wood Johnson Foundation, and EMI Advisors, “The Gravity Project : A Social Determinants of Health Coding Collaborative,” 2019; Maysoun Freij et al., “Incorporating Social Determinants of Health in Electronic Health Records: A Qualitative Study of Perspectives on Current Practices among Top Vendors,” U.S. Department of Health and Human Services, Assistant Secretary for Planning and Evaluation, Office of Health Policy, 2018, https://aspe.hhs.gov/pdf-report/incorporating-social-determinants-health-electronic-health-records-qualitative-study-perspectives-current-practices-among-top-vendors.","previouslyFormattedCitation":"National Academy of Medicine, “Capturing Social and Behavioral Domains and Measures in Electronic Health Records: Phase 2,” &lt;i&gt;The National Academies Press&lt;/i&gt; (Washington D.C., 2014); Siren UCSF, Robert Wood Johnson Foundation, and EMI Advisors, “The Gravity Project : A Social Determinants of Health Coding Collaborative,” 2019; Maysoun Freij et al., “Incorporating Social Determinants of Health in Electronic Health Records: A Qualitative Study of Perspectives on Current Practices among Top Vendors,” &lt;i&gt;U.S. Department of Health and Human Services, Assistant Secretary for Planning and Evaluation, Office of Health Policy&lt;/i&gt;, 2018, https://aspe.hhs.gov/pdf-report/incorporating-social-determinants-health-electronic-health-records-qualitative-study-perspectives-current-practices-among-top-vendors."},"properties":{"noteIndex":3},"schema":"https://github.com/citation-style-language/schema/raw/master/csl-citation.json"}</w:instrText>
      </w:r>
      <w:r>
        <w:rPr>
          <w:color w:val="2B579A"/>
          <w:shd w:val="clear" w:color="auto" w:fill="E6E6E6"/>
        </w:rPr>
        <w:fldChar w:fldCharType="separate"/>
      </w:r>
      <w:r w:rsidRPr="007B42E6">
        <w:rPr>
          <w:noProof/>
        </w:rPr>
        <w:t xml:space="preserve">National Academy of Medicine, “Capturing Social and Behavioral Domains and Measures in Electronic Health Records: Phase 2,” </w:t>
      </w:r>
      <w:r w:rsidRPr="007B42E6">
        <w:rPr>
          <w:i/>
          <w:noProof/>
        </w:rPr>
        <w:t>The National Academies Press</w:t>
      </w:r>
      <w:r w:rsidRPr="007B42E6">
        <w:rPr>
          <w:noProof/>
        </w:rPr>
        <w:t xml:space="preserve"> (Washington D.C., 2014); Siren UCSF, Robert Wood Johnson Foundation, and EMI Advisors, “The Gravity Project : A Social Determinants of Health Coding Collaborative,” 2019; Maysoun Freij et al., “Incorporating Social Determinants of Health in Electronic Health Records: A Qualitative Study of Perspectives on Current Practices among Top Vendors,” </w:t>
      </w:r>
      <w:r w:rsidRPr="007B42E6">
        <w:rPr>
          <w:i/>
          <w:noProof/>
        </w:rPr>
        <w:t>U.S. Department of Health and Human Services, Assistant Secretary for Planning and Evaluation, Office of Health Policy</w:t>
      </w:r>
      <w:r w:rsidRPr="007B42E6">
        <w:rPr>
          <w:noProof/>
        </w:rPr>
        <w:t>, 2018, https://aspe.hhs.gov/pdf-report/incorporating-social-determinants-health-electronic-health-records-qualitative-study-perspectives-current-practices-among-top-vendors.</w:t>
      </w:r>
      <w:r>
        <w:rPr>
          <w:color w:val="2B579A"/>
          <w:shd w:val="clear" w:color="auto" w:fill="E6E6E6"/>
        </w:rPr>
        <w:fldChar w:fldCharType="end"/>
      </w:r>
    </w:p>
  </w:footnote>
  <w:footnote w:id="4">
    <w:p w14:paraId="13A283B4" w14:textId="48F487C2" w:rsidR="003C1DF3" w:rsidRDefault="007B42E6">
      <w:pPr>
        <w:pStyle w:val="FootnoteText"/>
      </w:pPr>
      <w:r>
        <w:t xml:space="preserve">4. </w:t>
      </w:r>
      <w:r w:rsidR="007C4951">
        <w:rPr>
          <w:color w:val="2B579A"/>
          <w:shd w:val="clear" w:color="auto" w:fill="E6E6E6"/>
        </w:rPr>
        <w:fldChar w:fldCharType="begin" w:fldLock="1"/>
      </w:r>
      <w:r>
        <w:instrText>ADDIN CSL_CITATION {"citationItems":[{"id":"ITEM-1","itemData":{"author":[{"dropping-particle":"","family":"Alex A. Azar II","given":"","non-dropping-particle":"","parse-names":false,"suffix":""}],"id":"ITEM-1","issued":{"date-parts":[["2018"]]},"publisher":"Hatch Foundation for Civilty and Solutions","title":"The Root of the Problem: America’s Social Determinants of Health","type":"article"},"uris":["http://www.mendeley.com/documents/?uuid=53a74d7b-9c47-4ac6-9cf9-5c2f7541aa17"]}],"mendeley":{"formattedCitation":"Alex A. Azar II, “The Root of the Problem: America’s Social Determinants of Health” (Hatch Foundation for Civilty and Solutions, 2018).","plainTextFormattedCitation":"Alex A. Azar II, “The Root of the Problem: America’s Social Determinants of Health” (Hatch Foundation for Civilty and Solutions, 2018).","previouslyFormattedCitation":"Alex A. Azar II, “The Root of the Problem: America’s Social Determinants of Health” (Hatch Foundation for Civilty and Solutions, 2018)."},"properties":{"noteIndex":4},"schema":"https://github.com/citation-style-language/schema/raw/master/csl-citation.json"}</w:instrText>
      </w:r>
      <w:r w:rsidR="007C4951">
        <w:rPr>
          <w:color w:val="2B579A"/>
          <w:shd w:val="clear" w:color="auto" w:fill="E6E6E6"/>
        </w:rPr>
        <w:fldChar w:fldCharType="separate"/>
      </w:r>
      <w:r w:rsidR="007C4951" w:rsidRPr="003C1DF3">
        <w:rPr>
          <w:noProof/>
        </w:rPr>
        <w:t>Alex A. Azar II, “The Root of the Problem: America’s Social Determinants of Health” (Hatch Foundation for Civilty and Solutions, 2018).</w:t>
      </w:r>
      <w:r w:rsidR="007C4951">
        <w:rPr>
          <w:color w:val="2B579A"/>
          <w:shd w:val="clear" w:color="auto" w:fill="E6E6E6"/>
        </w:rPr>
        <w:fldChar w:fldCharType="end"/>
      </w:r>
    </w:p>
  </w:footnote>
  <w:footnote w:id="5">
    <w:p w14:paraId="6A0DA1F5" w14:textId="4D6480B0" w:rsidR="007B42E6" w:rsidRDefault="005D6575">
      <w:pPr>
        <w:pStyle w:val="FootnoteText"/>
      </w:pPr>
      <w:r>
        <w:t xml:space="preserve">5. </w:t>
      </w:r>
      <w:r w:rsidR="007B42E6">
        <w:rPr>
          <w:color w:val="2B579A"/>
          <w:shd w:val="clear" w:color="auto" w:fill="E6E6E6"/>
        </w:rPr>
        <w:fldChar w:fldCharType="begin" w:fldLock="1"/>
      </w:r>
      <w:r w:rsidR="007B42E6">
        <w:instrText>ADDIN CSL_CITATION {"citationItems":[{"id":"ITEM-1","itemData":{"author":[{"dropping-particle":"","family":"Freij","given":"Maysoun","non-dropping-particle":"","parse-names":false,"suffix":""},{"dropping-particle":"","family":"Dullabh","given":"Prashila","non-dropping-particle":"","parse-names":false,"suffix":""},{"dropping-particle":"","family":"Lewis","given":"Sarah","non-dropping-particle":"","parse-names":false,"suffix":""},{"dropping-particle":"","family":"Smith","given":"Scott R.","non-dropping-particle":"","parse-names":false,"suffix":""},{"dropping-particle":"","family":"Hovey","given":"Lauren","non-dropping-particle":"","parse-names":false,"suffix":""},{"dropping-particle":"","family":"Dhopeshwarkar","given":"Rina","non-dropping-particle":"","parse-names":false,"suffix":""}],"container-title":"U.S. Department of Health and Human Services, Assistant Secretary for Planning and Evaluation, Office of Health Policy","id":"ITEM-1","issue":"November","issued":{"date-parts":[["2018"]]},"number-of-pages":"2-23","title":"Incorporating Social Determinants of Health in Electronic Health Records: A Qualitative Study of Perspectives on Current Practices among Top Vendors","type":"report"},"uris":["http://www.mendeley.com/documents/?uuid=42309669-ef0c-4e53-9975-10a2b7227913"]}],"mendeley":{"formattedCitation":"Freij et al., “Incorporating Social Determinants of Health in Electronic Health Records: A Qualitative Study of Perspectives on Current Practices among Top Vendors.”","plainTextFormattedCitation":"Freij et al., “Incorporating Social Determinants of Health in Electronic Health Records: A Qualitative Study of Perspectives on Current Practices among Top Vendors.”"},"properties":{"noteIndex":6},"schema":"https://github.com/citation-style-language/schema/raw/master/csl-citation.json"}</w:instrText>
      </w:r>
      <w:r w:rsidR="007B42E6">
        <w:rPr>
          <w:color w:val="2B579A"/>
          <w:shd w:val="clear" w:color="auto" w:fill="E6E6E6"/>
        </w:rPr>
        <w:fldChar w:fldCharType="separate"/>
      </w:r>
      <w:r w:rsidR="007B42E6" w:rsidRPr="007B42E6">
        <w:rPr>
          <w:noProof/>
        </w:rPr>
        <w:t>Freij et al., “Incorporating Social Determinants of Health in Electronic Health Records: A Qualitative Study of Perspectives on Current Practices among Top Vendors.”</w:t>
      </w:r>
      <w:r w:rsidR="007B42E6">
        <w:rPr>
          <w:color w:val="2B579A"/>
          <w:shd w:val="clear" w:color="auto" w:fill="E6E6E6"/>
        </w:rPr>
        <w:fldChar w:fldCharType="end"/>
      </w:r>
    </w:p>
  </w:footnote>
  <w:footnote w:id="6">
    <w:p w14:paraId="538BF73F" w14:textId="76B26AED" w:rsidR="0007781F" w:rsidRDefault="005D6575">
      <w:pPr>
        <w:pStyle w:val="FootnoteText"/>
      </w:pPr>
      <w:r>
        <w:t xml:space="preserve">6. </w:t>
      </w:r>
      <w:r w:rsidR="0007781F">
        <w:rPr>
          <w:color w:val="2B579A"/>
          <w:shd w:val="clear" w:color="auto" w:fill="E6E6E6"/>
        </w:rPr>
        <w:fldChar w:fldCharType="begin" w:fldLock="1"/>
      </w:r>
      <w:r w:rsidR="007B42E6">
        <w:instrText>ADDIN CSL_CITATION {"citationItems":[{"id":"ITEM-1","itemData":{"author":[{"dropping-particle":"","family":"The Pew Charitable Trusts","given":"","non-dropping-particle":"","parse-names":false,"suffix":""}],"id":"ITEM-1","issue":"March","issued":{"date-parts":[["2020"]]},"number-of-pages":"1-10","title":"Patients Seek Better Exchange of Health Data Among Their Care Providers","type":"report"},"uris":["http://www.mendeley.com/documents/?uuid=782d54ad-0926-4e0b-bada-cdbd6f898e90"]}],"mendeley":{"formattedCitation":"The Pew Charitable Trusts, “Patients Seek Better Exchange of Health Data Among Their Care Providers,” 2020, https://www.pewtrusts.org/en/research-and-analysis/issue-briefs/2020/03/patients-seek-better-exchange-of-health-data-among-their-care-providers.","plainTextFormattedCitation":"The Pew Charitable Trusts, “Patients Seek Better Exchange of Health Data Among Their Care Providers,” 2020, https://www.pewtrusts.org/en/research-and-analysis/issue-briefs/2020/03/patients-seek-better-exchange-of-health-data-among-their-care-providers.","previouslyFormattedCitation":"The Pew Charitable Trusts, “Patients Seek Better Exchange of Health Data Among Their Care Providers,” 2020, https://www.pewtrusts.org/en/research-and-analysis/issue-briefs/2020/03/patients-seek-better-exchange-of-health-data-among-their-care-providers."},"properties":{"noteIndex":7},"schema":"https://github.com/citation-style-language/schema/raw/master/csl-citation.json"}</w:instrText>
      </w:r>
      <w:r w:rsidR="0007781F">
        <w:rPr>
          <w:color w:val="2B579A"/>
          <w:shd w:val="clear" w:color="auto" w:fill="E6E6E6"/>
        </w:rPr>
        <w:fldChar w:fldCharType="separate"/>
      </w:r>
      <w:r>
        <w:rPr>
          <w:noProof/>
        </w:rPr>
        <w:t>T</w:t>
      </w:r>
      <w:r w:rsidR="0007781F" w:rsidRPr="0007781F">
        <w:rPr>
          <w:noProof/>
        </w:rPr>
        <w:t>he Pew Charitable Trusts, “Patients Seek Better Exchange of Health Data Among Their Care Providers,” 2020, https://www.pewtrusts.org/en/research-and-analysis/issue-briefs/2020/03/patients-seek-better-exchange-of-health-data-among-their-care-providers.</w:t>
      </w:r>
      <w:r w:rsidR="0007781F">
        <w:rPr>
          <w:color w:val="2B579A"/>
          <w:shd w:val="clear" w:color="auto" w:fill="E6E6E6"/>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997C79"/>
    <w:multiLevelType w:val="hybridMultilevel"/>
    <w:tmpl w:val="4E4547B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7542A"/>
    <w:multiLevelType w:val="hybridMultilevel"/>
    <w:tmpl w:val="32D2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7345C"/>
    <w:multiLevelType w:val="hybridMultilevel"/>
    <w:tmpl w:val="F0466F4A"/>
    <w:lvl w:ilvl="0" w:tplc="5E8C9D6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2E1C"/>
    <w:multiLevelType w:val="hybridMultilevel"/>
    <w:tmpl w:val="2F46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435AC"/>
    <w:multiLevelType w:val="hybridMultilevel"/>
    <w:tmpl w:val="73F280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E17FD5"/>
    <w:multiLevelType w:val="hybridMultilevel"/>
    <w:tmpl w:val="AB0E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A2D41"/>
    <w:multiLevelType w:val="hybridMultilevel"/>
    <w:tmpl w:val="A0E02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FB5517"/>
    <w:multiLevelType w:val="hybridMultilevel"/>
    <w:tmpl w:val="872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C1DF6"/>
    <w:multiLevelType w:val="hybridMultilevel"/>
    <w:tmpl w:val="4B48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976B7"/>
    <w:multiLevelType w:val="hybridMultilevel"/>
    <w:tmpl w:val="7F1CE716"/>
    <w:lvl w:ilvl="0" w:tplc="CFEACB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CE00F4"/>
    <w:multiLevelType w:val="hybridMultilevel"/>
    <w:tmpl w:val="6E08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3"/>
  </w:num>
  <w:num w:numId="5">
    <w:abstractNumId w:val="5"/>
  </w:num>
  <w:num w:numId="6">
    <w:abstractNumId w:val="1"/>
  </w:num>
  <w:num w:numId="7">
    <w:abstractNumId w:val="4"/>
  </w:num>
  <w:num w:numId="8">
    <w:abstractNumId w:val="2"/>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zMxMTI2MbSwNDRT0lEKTi0uzszPAykwrgUAWfXlaCwAAAA="/>
  </w:docVars>
  <w:rsids>
    <w:rsidRoot w:val="00CA74CD"/>
    <w:rsid w:val="00002D37"/>
    <w:rsid w:val="00004176"/>
    <w:rsid w:val="00010B91"/>
    <w:rsid w:val="0001184C"/>
    <w:rsid w:val="00012FEE"/>
    <w:rsid w:val="00022D44"/>
    <w:rsid w:val="00034381"/>
    <w:rsid w:val="0005180F"/>
    <w:rsid w:val="000532EB"/>
    <w:rsid w:val="00057B13"/>
    <w:rsid w:val="000711C3"/>
    <w:rsid w:val="0007781F"/>
    <w:rsid w:val="00082A3E"/>
    <w:rsid w:val="000A1B80"/>
    <w:rsid w:val="000B09B3"/>
    <w:rsid w:val="000E5061"/>
    <w:rsid w:val="00112CD4"/>
    <w:rsid w:val="00114A8F"/>
    <w:rsid w:val="001407FA"/>
    <w:rsid w:val="00142EC8"/>
    <w:rsid w:val="00160FE7"/>
    <w:rsid w:val="001629AE"/>
    <w:rsid w:val="001707B2"/>
    <w:rsid w:val="00172220"/>
    <w:rsid w:val="001865FD"/>
    <w:rsid w:val="00192457"/>
    <w:rsid w:val="00194D02"/>
    <w:rsid w:val="001A4C13"/>
    <w:rsid w:val="001B0402"/>
    <w:rsid w:val="001E1D7C"/>
    <w:rsid w:val="001E6FFE"/>
    <w:rsid w:val="001F566D"/>
    <w:rsid w:val="00202ECB"/>
    <w:rsid w:val="0021107A"/>
    <w:rsid w:val="00215E52"/>
    <w:rsid w:val="0021692E"/>
    <w:rsid w:val="00222DB2"/>
    <w:rsid w:val="00226DEC"/>
    <w:rsid w:val="0022702B"/>
    <w:rsid w:val="00231333"/>
    <w:rsid w:val="00232FB3"/>
    <w:rsid w:val="002453AA"/>
    <w:rsid w:val="002662E8"/>
    <w:rsid w:val="00267D82"/>
    <w:rsid w:val="002700ED"/>
    <w:rsid w:val="00274D7C"/>
    <w:rsid w:val="00283341"/>
    <w:rsid w:val="00291D89"/>
    <w:rsid w:val="00296C7F"/>
    <w:rsid w:val="002B0637"/>
    <w:rsid w:val="002B0C69"/>
    <w:rsid w:val="002C3A28"/>
    <w:rsid w:val="002D26B4"/>
    <w:rsid w:val="002D6B3B"/>
    <w:rsid w:val="002F8D1D"/>
    <w:rsid w:val="003015C1"/>
    <w:rsid w:val="00305537"/>
    <w:rsid w:val="0031766F"/>
    <w:rsid w:val="003239DF"/>
    <w:rsid w:val="00331187"/>
    <w:rsid w:val="00361A18"/>
    <w:rsid w:val="00362E43"/>
    <w:rsid w:val="00365A4D"/>
    <w:rsid w:val="00375FC6"/>
    <w:rsid w:val="00383F82"/>
    <w:rsid w:val="003A2569"/>
    <w:rsid w:val="003A335E"/>
    <w:rsid w:val="003B0803"/>
    <w:rsid w:val="003B2C36"/>
    <w:rsid w:val="003C1DF3"/>
    <w:rsid w:val="003C3651"/>
    <w:rsid w:val="003C6C38"/>
    <w:rsid w:val="003D3B16"/>
    <w:rsid w:val="003D41FB"/>
    <w:rsid w:val="003F06B5"/>
    <w:rsid w:val="004024DE"/>
    <w:rsid w:val="00427C64"/>
    <w:rsid w:val="0043657A"/>
    <w:rsid w:val="00447ECE"/>
    <w:rsid w:val="00480CE2"/>
    <w:rsid w:val="004A63E7"/>
    <w:rsid w:val="004B33B7"/>
    <w:rsid w:val="004C3CE0"/>
    <w:rsid w:val="004C6E57"/>
    <w:rsid w:val="004D2B33"/>
    <w:rsid w:val="004F0BC0"/>
    <w:rsid w:val="00501789"/>
    <w:rsid w:val="005144F0"/>
    <w:rsid w:val="00517EAA"/>
    <w:rsid w:val="00520C43"/>
    <w:rsid w:val="0052318B"/>
    <w:rsid w:val="005311BE"/>
    <w:rsid w:val="00531947"/>
    <w:rsid w:val="005335E7"/>
    <w:rsid w:val="00535BCC"/>
    <w:rsid w:val="005365C4"/>
    <w:rsid w:val="00555F50"/>
    <w:rsid w:val="00556DF5"/>
    <w:rsid w:val="00564472"/>
    <w:rsid w:val="00572ED3"/>
    <w:rsid w:val="005843A8"/>
    <w:rsid w:val="00591F02"/>
    <w:rsid w:val="00596F51"/>
    <w:rsid w:val="005D6575"/>
    <w:rsid w:val="005E2554"/>
    <w:rsid w:val="005F7F79"/>
    <w:rsid w:val="00616955"/>
    <w:rsid w:val="00635909"/>
    <w:rsid w:val="0063733D"/>
    <w:rsid w:val="00652816"/>
    <w:rsid w:val="0065450A"/>
    <w:rsid w:val="006560B7"/>
    <w:rsid w:val="00663C6B"/>
    <w:rsid w:val="006716C3"/>
    <w:rsid w:val="00673F2B"/>
    <w:rsid w:val="00680C4E"/>
    <w:rsid w:val="00694919"/>
    <w:rsid w:val="006A02BC"/>
    <w:rsid w:val="006B3A89"/>
    <w:rsid w:val="006B7244"/>
    <w:rsid w:val="006E59B2"/>
    <w:rsid w:val="006F29E1"/>
    <w:rsid w:val="006F324A"/>
    <w:rsid w:val="00706E70"/>
    <w:rsid w:val="00707E42"/>
    <w:rsid w:val="00712609"/>
    <w:rsid w:val="007176BF"/>
    <w:rsid w:val="00720C07"/>
    <w:rsid w:val="007221BD"/>
    <w:rsid w:val="00732530"/>
    <w:rsid w:val="007344B6"/>
    <w:rsid w:val="007407FA"/>
    <w:rsid w:val="0076771F"/>
    <w:rsid w:val="00786362"/>
    <w:rsid w:val="00795294"/>
    <w:rsid w:val="007A1406"/>
    <w:rsid w:val="007A45AF"/>
    <w:rsid w:val="007B1EEE"/>
    <w:rsid w:val="007B2839"/>
    <w:rsid w:val="007B42E6"/>
    <w:rsid w:val="007B7C63"/>
    <w:rsid w:val="007C4951"/>
    <w:rsid w:val="007D2D7B"/>
    <w:rsid w:val="007E0466"/>
    <w:rsid w:val="007E25BC"/>
    <w:rsid w:val="007E65D5"/>
    <w:rsid w:val="00816648"/>
    <w:rsid w:val="008331D5"/>
    <w:rsid w:val="008378DC"/>
    <w:rsid w:val="00841AB5"/>
    <w:rsid w:val="00845141"/>
    <w:rsid w:val="00855781"/>
    <w:rsid w:val="008572F2"/>
    <w:rsid w:val="00860714"/>
    <w:rsid w:val="00861207"/>
    <w:rsid w:val="00871499"/>
    <w:rsid w:val="00876B35"/>
    <w:rsid w:val="0087F25F"/>
    <w:rsid w:val="00886DA6"/>
    <w:rsid w:val="00892FA2"/>
    <w:rsid w:val="008A4B25"/>
    <w:rsid w:val="008B6EB7"/>
    <w:rsid w:val="008C2246"/>
    <w:rsid w:val="008E007B"/>
    <w:rsid w:val="0091008A"/>
    <w:rsid w:val="00910BCB"/>
    <w:rsid w:val="009131F2"/>
    <w:rsid w:val="00925E9D"/>
    <w:rsid w:val="00936A28"/>
    <w:rsid w:val="009518D2"/>
    <w:rsid w:val="00953BDE"/>
    <w:rsid w:val="00982F1F"/>
    <w:rsid w:val="00983A6A"/>
    <w:rsid w:val="00990E55"/>
    <w:rsid w:val="0099725C"/>
    <w:rsid w:val="009A43DB"/>
    <w:rsid w:val="009C2ED5"/>
    <w:rsid w:val="009F46D6"/>
    <w:rsid w:val="00A0357A"/>
    <w:rsid w:val="00A10573"/>
    <w:rsid w:val="00A21E2B"/>
    <w:rsid w:val="00A2518D"/>
    <w:rsid w:val="00A2550A"/>
    <w:rsid w:val="00A74F7D"/>
    <w:rsid w:val="00A95603"/>
    <w:rsid w:val="00AA172F"/>
    <w:rsid w:val="00AE24D9"/>
    <w:rsid w:val="00AE3774"/>
    <w:rsid w:val="00AE37AB"/>
    <w:rsid w:val="00B01524"/>
    <w:rsid w:val="00B161DA"/>
    <w:rsid w:val="00B167E3"/>
    <w:rsid w:val="00B37AC6"/>
    <w:rsid w:val="00B4228B"/>
    <w:rsid w:val="00B4539B"/>
    <w:rsid w:val="00B577D5"/>
    <w:rsid w:val="00B72E32"/>
    <w:rsid w:val="00B75C30"/>
    <w:rsid w:val="00B76638"/>
    <w:rsid w:val="00B85464"/>
    <w:rsid w:val="00BB55AF"/>
    <w:rsid w:val="00BD0628"/>
    <w:rsid w:val="00BD70F7"/>
    <w:rsid w:val="00C47569"/>
    <w:rsid w:val="00C612CA"/>
    <w:rsid w:val="00C80A6E"/>
    <w:rsid w:val="00C84DC3"/>
    <w:rsid w:val="00C8772A"/>
    <w:rsid w:val="00C91C35"/>
    <w:rsid w:val="00CA492C"/>
    <w:rsid w:val="00CA74CD"/>
    <w:rsid w:val="00CB03EB"/>
    <w:rsid w:val="00CB43D6"/>
    <w:rsid w:val="00CC148D"/>
    <w:rsid w:val="00D102A2"/>
    <w:rsid w:val="00D1281C"/>
    <w:rsid w:val="00D1508C"/>
    <w:rsid w:val="00D17400"/>
    <w:rsid w:val="00D30872"/>
    <w:rsid w:val="00D40D70"/>
    <w:rsid w:val="00D530F2"/>
    <w:rsid w:val="00D5691C"/>
    <w:rsid w:val="00D5694B"/>
    <w:rsid w:val="00D61689"/>
    <w:rsid w:val="00D725E3"/>
    <w:rsid w:val="00DB23E8"/>
    <w:rsid w:val="00DC5F12"/>
    <w:rsid w:val="00DD0358"/>
    <w:rsid w:val="00DD4909"/>
    <w:rsid w:val="00DD5063"/>
    <w:rsid w:val="00DD5666"/>
    <w:rsid w:val="00DE3466"/>
    <w:rsid w:val="00E004B8"/>
    <w:rsid w:val="00E24CBA"/>
    <w:rsid w:val="00E33E8C"/>
    <w:rsid w:val="00E35A5C"/>
    <w:rsid w:val="00E366B6"/>
    <w:rsid w:val="00E4440A"/>
    <w:rsid w:val="00E54567"/>
    <w:rsid w:val="00E65DCD"/>
    <w:rsid w:val="00E91965"/>
    <w:rsid w:val="00E95A57"/>
    <w:rsid w:val="00EA624F"/>
    <w:rsid w:val="00EB5135"/>
    <w:rsid w:val="00EC1E78"/>
    <w:rsid w:val="00EC75FC"/>
    <w:rsid w:val="00ED6EC2"/>
    <w:rsid w:val="00EE128B"/>
    <w:rsid w:val="00EE3225"/>
    <w:rsid w:val="00EE70B9"/>
    <w:rsid w:val="00F0557C"/>
    <w:rsid w:val="00F223BA"/>
    <w:rsid w:val="00F2525E"/>
    <w:rsid w:val="00F3189A"/>
    <w:rsid w:val="00F33C46"/>
    <w:rsid w:val="00F44700"/>
    <w:rsid w:val="00F5189C"/>
    <w:rsid w:val="00F569C4"/>
    <w:rsid w:val="00F83B1B"/>
    <w:rsid w:val="00F87B12"/>
    <w:rsid w:val="00FA5FEE"/>
    <w:rsid w:val="00FB30C4"/>
    <w:rsid w:val="00FE7F2A"/>
    <w:rsid w:val="0123E56D"/>
    <w:rsid w:val="017562A6"/>
    <w:rsid w:val="018A1E77"/>
    <w:rsid w:val="01DA9CC4"/>
    <w:rsid w:val="01E50B5E"/>
    <w:rsid w:val="01FBD7F1"/>
    <w:rsid w:val="020B4420"/>
    <w:rsid w:val="0222CDDA"/>
    <w:rsid w:val="02257392"/>
    <w:rsid w:val="02FE046B"/>
    <w:rsid w:val="030A00E5"/>
    <w:rsid w:val="030D01B5"/>
    <w:rsid w:val="032E35CE"/>
    <w:rsid w:val="038E3307"/>
    <w:rsid w:val="03D3613C"/>
    <w:rsid w:val="041EE629"/>
    <w:rsid w:val="0441D2C6"/>
    <w:rsid w:val="0479D3F5"/>
    <w:rsid w:val="0480AC6F"/>
    <w:rsid w:val="04CCF8F7"/>
    <w:rsid w:val="0530A763"/>
    <w:rsid w:val="055AC040"/>
    <w:rsid w:val="055DA56B"/>
    <w:rsid w:val="055DFF7A"/>
    <w:rsid w:val="055FF217"/>
    <w:rsid w:val="05906B5F"/>
    <w:rsid w:val="05C8AB19"/>
    <w:rsid w:val="05F172DD"/>
    <w:rsid w:val="0633656E"/>
    <w:rsid w:val="0643AE0C"/>
    <w:rsid w:val="0646532E"/>
    <w:rsid w:val="066FB0D7"/>
    <w:rsid w:val="06C524F5"/>
    <w:rsid w:val="06EC9D78"/>
    <w:rsid w:val="075BDAA4"/>
    <w:rsid w:val="07697168"/>
    <w:rsid w:val="07BD0106"/>
    <w:rsid w:val="07FBD1D2"/>
    <w:rsid w:val="0837EEDC"/>
    <w:rsid w:val="08544CE2"/>
    <w:rsid w:val="088C7744"/>
    <w:rsid w:val="08A8E586"/>
    <w:rsid w:val="092AD60C"/>
    <w:rsid w:val="0937E217"/>
    <w:rsid w:val="095C7C59"/>
    <w:rsid w:val="09850230"/>
    <w:rsid w:val="0A157B7D"/>
    <w:rsid w:val="0A1645AD"/>
    <w:rsid w:val="0AAD556A"/>
    <w:rsid w:val="0AE593AE"/>
    <w:rsid w:val="0B087100"/>
    <w:rsid w:val="0B337294"/>
    <w:rsid w:val="0B4FCCB7"/>
    <w:rsid w:val="0B633C85"/>
    <w:rsid w:val="0B72C547"/>
    <w:rsid w:val="0BF48685"/>
    <w:rsid w:val="0C2DFD44"/>
    <w:rsid w:val="0C326EBF"/>
    <w:rsid w:val="0C63A6A7"/>
    <w:rsid w:val="0C6F82D9"/>
    <w:rsid w:val="0C73235D"/>
    <w:rsid w:val="0C914E80"/>
    <w:rsid w:val="0CA6DA76"/>
    <w:rsid w:val="0D1AA9F0"/>
    <w:rsid w:val="0D477DF0"/>
    <w:rsid w:val="0DACFDFE"/>
    <w:rsid w:val="0DC5D6FB"/>
    <w:rsid w:val="0EA84CB1"/>
    <w:rsid w:val="0ED789A9"/>
    <w:rsid w:val="0EE80717"/>
    <w:rsid w:val="0EFF23CE"/>
    <w:rsid w:val="0F30D38C"/>
    <w:rsid w:val="0F5C0CA8"/>
    <w:rsid w:val="0F7B7450"/>
    <w:rsid w:val="0F89E0F0"/>
    <w:rsid w:val="0FB8C7EE"/>
    <w:rsid w:val="0FE7411D"/>
    <w:rsid w:val="10350B6D"/>
    <w:rsid w:val="10AA2176"/>
    <w:rsid w:val="1107AAF7"/>
    <w:rsid w:val="114050BC"/>
    <w:rsid w:val="11AD7C23"/>
    <w:rsid w:val="11E18660"/>
    <w:rsid w:val="12173383"/>
    <w:rsid w:val="123EFD2A"/>
    <w:rsid w:val="12435FDB"/>
    <w:rsid w:val="12A1CE31"/>
    <w:rsid w:val="12F073B5"/>
    <w:rsid w:val="131368EC"/>
    <w:rsid w:val="131F974C"/>
    <w:rsid w:val="1328CAA3"/>
    <w:rsid w:val="13350B82"/>
    <w:rsid w:val="13490280"/>
    <w:rsid w:val="1377A66A"/>
    <w:rsid w:val="138073F8"/>
    <w:rsid w:val="13A83B3D"/>
    <w:rsid w:val="13CE825B"/>
    <w:rsid w:val="13F0C0A5"/>
    <w:rsid w:val="14077BB7"/>
    <w:rsid w:val="14144950"/>
    <w:rsid w:val="142F1722"/>
    <w:rsid w:val="14380F65"/>
    <w:rsid w:val="148C7519"/>
    <w:rsid w:val="1492AD72"/>
    <w:rsid w:val="149802F1"/>
    <w:rsid w:val="149A14C8"/>
    <w:rsid w:val="14A8ADA6"/>
    <w:rsid w:val="14AA7701"/>
    <w:rsid w:val="14AC9F19"/>
    <w:rsid w:val="14D6F1BF"/>
    <w:rsid w:val="151174A4"/>
    <w:rsid w:val="15B198FB"/>
    <w:rsid w:val="15E007C3"/>
    <w:rsid w:val="15F6A936"/>
    <w:rsid w:val="1618E3DB"/>
    <w:rsid w:val="161FB87A"/>
    <w:rsid w:val="1628F83F"/>
    <w:rsid w:val="16AB702E"/>
    <w:rsid w:val="16D6D232"/>
    <w:rsid w:val="16FDB7B0"/>
    <w:rsid w:val="1710B7DA"/>
    <w:rsid w:val="175B7DD1"/>
    <w:rsid w:val="176566B5"/>
    <w:rsid w:val="17974A57"/>
    <w:rsid w:val="17BD3624"/>
    <w:rsid w:val="17E98D1D"/>
    <w:rsid w:val="183104A3"/>
    <w:rsid w:val="185FD655"/>
    <w:rsid w:val="191D60FD"/>
    <w:rsid w:val="191DD0AA"/>
    <w:rsid w:val="19AA74E8"/>
    <w:rsid w:val="19B0F7C3"/>
    <w:rsid w:val="19CED923"/>
    <w:rsid w:val="19D18D0C"/>
    <w:rsid w:val="1A344BC6"/>
    <w:rsid w:val="1AD7AF15"/>
    <w:rsid w:val="1ADD62CE"/>
    <w:rsid w:val="1AE51895"/>
    <w:rsid w:val="1AF8FAB9"/>
    <w:rsid w:val="1B01AE79"/>
    <w:rsid w:val="1B01C7B8"/>
    <w:rsid w:val="1B5956FC"/>
    <w:rsid w:val="1B61020E"/>
    <w:rsid w:val="1B6D77F0"/>
    <w:rsid w:val="1BB61964"/>
    <w:rsid w:val="1BB80076"/>
    <w:rsid w:val="1BBBF557"/>
    <w:rsid w:val="1BDF7FA3"/>
    <w:rsid w:val="1BE9BB83"/>
    <w:rsid w:val="1C34933A"/>
    <w:rsid w:val="1C3A5D31"/>
    <w:rsid w:val="1C3D8CC5"/>
    <w:rsid w:val="1C49FE00"/>
    <w:rsid w:val="1C5624E5"/>
    <w:rsid w:val="1C7DF605"/>
    <w:rsid w:val="1CA9B91D"/>
    <w:rsid w:val="1CBCD8D0"/>
    <w:rsid w:val="1CC47D8E"/>
    <w:rsid w:val="1CE89885"/>
    <w:rsid w:val="1D1845EC"/>
    <w:rsid w:val="1D3FA116"/>
    <w:rsid w:val="1D4C1774"/>
    <w:rsid w:val="1D66E4D7"/>
    <w:rsid w:val="1D79403D"/>
    <w:rsid w:val="1DB17E47"/>
    <w:rsid w:val="1DC39F80"/>
    <w:rsid w:val="1E00ABCB"/>
    <w:rsid w:val="1E63E013"/>
    <w:rsid w:val="1E8F5B3C"/>
    <w:rsid w:val="1EBD0A86"/>
    <w:rsid w:val="1F02B538"/>
    <w:rsid w:val="1F44A40E"/>
    <w:rsid w:val="1F77FB7F"/>
    <w:rsid w:val="1F819EC2"/>
    <w:rsid w:val="1FA4271D"/>
    <w:rsid w:val="1FB44CC6"/>
    <w:rsid w:val="1FC72110"/>
    <w:rsid w:val="1FF49F02"/>
    <w:rsid w:val="1FF4FB13"/>
    <w:rsid w:val="2025C52C"/>
    <w:rsid w:val="2025FE5A"/>
    <w:rsid w:val="20A04802"/>
    <w:rsid w:val="20DF2340"/>
    <w:rsid w:val="2113CC4D"/>
    <w:rsid w:val="213513E7"/>
    <w:rsid w:val="214DB35D"/>
    <w:rsid w:val="21734023"/>
    <w:rsid w:val="21757B61"/>
    <w:rsid w:val="219AE529"/>
    <w:rsid w:val="21C108C6"/>
    <w:rsid w:val="221D5A78"/>
    <w:rsid w:val="221D9693"/>
    <w:rsid w:val="2294429D"/>
    <w:rsid w:val="23028400"/>
    <w:rsid w:val="230D7C96"/>
    <w:rsid w:val="2331BD72"/>
    <w:rsid w:val="23524444"/>
    <w:rsid w:val="235ACC0D"/>
    <w:rsid w:val="2386E0FE"/>
    <w:rsid w:val="2394C9A0"/>
    <w:rsid w:val="239D6D6D"/>
    <w:rsid w:val="23AFB55D"/>
    <w:rsid w:val="2416C402"/>
    <w:rsid w:val="24A89026"/>
    <w:rsid w:val="24C82858"/>
    <w:rsid w:val="250F07BE"/>
    <w:rsid w:val="25266689"/>
    <w:rsid w:val="252E7DB3"/>
    <w:rsid w:val="2620180A"/>
    <w:rsid w:val="26CDAD05"/>
    <w:rsid w:val="26EDB434"/>
    <w:rsid w:val="26FE4936"/>
    <w:rsid w:val="270BFBCC"/>
    <w:rsid w:val="27186162"/>
    <w:rsid w:val="274C3D08"/>
    <w:rsid w:val="27F632E9"/>
    <w:rsid w:val="28303D3B"/>
    <w:rsid w:val="283A7376"/>
    <w:rsid w:val="2843264A"/>
    <w:rsid w:val="289480A5"/>
    <w:rsid w:val="28A362D8"/>
    <w:rsid w:val="28BE015D"/>
    <w:rsid w:val="28D5B05B"/>
    <w:rsid w:val="28E3C6CF"/>
    <w:rsid w:val="28E8251B"/>
    <w:rsid w:val="29127D9B"/>
    <w:rsid w:val="294350B0"/>
    <w:rsid w:val="2969AE65"/>
    <w:rsid w:val="2975ACB2"/>
    <w:rsid w:val="299642CB"/>
    <w:rsid w:val="29A76FD4"/>
    <w:rsid w:val="29A85D6B"/>
    <w:rsid w:val="29B2AEF0"/>
    <w:rsid w:val="29FCC8FD"/>
    <w:rsid w:val="2A03964B"/>
    <w:rsid w:val="2A86C7A1"/>
    <w:rsid w:val="2A924739"/>
    <w:rsid w:val="2ACC2A4E"/>
    <w:rsid w:val="2AD82CCA"/>
    <w:rsid w:val="2AF1D253"/>
    <w:rsid w:val="2AFAF4E8"/>
    <w:rsid w:val="2B0B2C16"/>
    <w:rsid w:val="2B36E841"/>
    <w:rsid w:val="2B3BE6A6"/>
    <w:rsid w:val="2B7BFE34"/>
    <w:rsid w:val="2B83CF61"/>
    <w:rsid w:val="2BA317FC"/>
    <w:rsid w:val="2BC4EE27"/>
    <w:rsid w:val="2C27A82D"/>
    <w:rsid w:val="2CD1D0DB"/>
    <w:rsid w:val="2E206747"/>
    <w:rsid w:val="2E5DB794"/>
    <w:rsid w:val="2E6DAADB"/>
    <w:rsid w:val="2E73DEED"/>
    <w:rsid w:val="2E809074"/>
    <w:rsid w:val="2EBF1718"/>
    <w:rsid w:val="2EF26F1E"/>
    <w:rsid w:val="2F1D27FA"/>
    <w:rsid w:val="2F92B9FE"/>
    <w:rsid w:val="2FA320F0"/>
    <w:rsid w:val="2FC627B1"/>
    <w:rsid w:val="2FF7B347"/>
    <w:rsid w:val="2FFE782B"/>
    <w:rsid w:val="305BFA05"/>
    <w:rsid w:val="306E111B"/>
    <w:rsid w:val="30A210CF"/>
    <w:rsid w:val="30AF2F44"/>
    <w:rsid w:val="30B6AA66"/>
    <w:rsid w:val="30CDA064"/>
    <w:rsid w:val="30E467AB"/>
    <w:rsid w:val="30EC9D02"/>
    <w:rsid w:val="312E8A5F"/>
    <w:rsid w:val="3140FEBE"/>
    <w:rsid w:val="31619AFD"/>
    <w:rsid w:val="3164B49E"/>
    <w:rsid w:val="31955856"/>
    <w:rsid w:val="321D3699"/>
    <w:rsid w:val="3221F4A8"/>
    <w:rsid w:val="323A23AD"/>
    <w:rsid w:val="3248D8E7"/>
    <w:rsid w:val="326DBEAA"/>
    <w:rsid w:val="32744B03"/>
    <w:rsid w:val="327DAF3C"/>
    <w:rsid w:val="32867A66"/>
    <w:rsid w:val="32BAD6FA"/>
    <w:rsid w:val="32BEB7F8"/>
    <w:rsid w:val="32D8465C"/>
    <w:rsid w:val="32F9A7C1"/>
    <w:rsid w:val="32FE90F0"/>
    <w:rsid w:val="334F13FA"/>
    <w:rsid w:val="33628832"/>
    <w:rsid w:val="339E9F0B"/>
    <w:rsid w:val="33A3190B"/>
    <w:rsid w:val="33B5B678"/>
    <w:rsid w:val="345EE6B7"/>
    <w:rsid w:val="34957822"/>
    <w:rsid w:val="34CCF918"/>
    <w:rsid w:val="34EF34E6"/>
    <w:rsid w:val="353A903D"/>
    <w:rsid w:val="356827C2"/>
    <w:rsid w:val="35767758"/>
    <w:rsid w:val="35A630EC"/>
    <w:rsid w:val="36498E24"/>
    <w:rsid w:val="368E6612"/>
    <w:rsid w:val="36D9B121"/>
    <w:rsid w:val="372D88B7"/>
    <w:rsid w:val="37549EE6"/>
    <w:rsid w:val="3756DE05"/>
    <w:rsid w:val="375B7029"/>
    <w:rsid w:val="37C39CD5"/>
    <w:rsid w:val="37D3E361"/>
    <w:rsid w:val="37F8D183"/>
    <w:rsid w:val="3806296B"/>
    <w:rsid w:val="38139F0A"/>
    <w:rsid w:val="3847FABB"/>
    <w:rsid w:val="38748AF0"/>
    <w:rsid w:val="38C10530"/>
    <w:rsid w:val="38DD5F53"/>
    <w:rsid w:val="39123AA3"/>
    <w:rsid w:val="3941BD48"/>
    <w:rsid w:val="39520C22"/>
    <w:rsid w:val="3969B8FD"/>
    <w:rsid w:val="39E728CE"/>
    <w:rsid w:val="3A0FE925"/>
    <w:rsid w:val="3A79110C"/>
    <w:rsid w:val="3A868625"/>
    <w:rsid w:val="3AA21281"/>
    <w:rsid w:val="3AECBA62"/>
    <w:rsid w:val="3AF6C8E9"/>
    <w:rsid w:val="3B087763"/>
    <w:rsid w:val="3B0DEE71"/>
    <w:rsid w:val="3B0FE3A3"/>
    <w:rsid w:val="3B2A0671"/>
    <w:rsid w:val="3B502E7F"/>
    <w:rsid w:val="3B67D4E1"/>
    <w:rsid w:val="3B755888"/>
    <w:rsid w:val="3BE7BDCD"/>
    <w:rsid w:val="3C006924"/>
    <w:rsid w:val="3C97B8C1"/>
    <w:rsid w:val="3CABB404"/>
    <w:rsid w:val="3CDDEE37"/>
    <w:rsid w:val="3D4163C4"/>
    <w:rsid w:val="3D4789E7"/>
    <w:rsid w:val="3D50EC28"/>
    <w:rsid w:val="3D60E65E"/>
    <w:rsid w:val="3D7349D7"/>
    <w:rsid w:val="3D838E2E"/>
    <w:rsid w:val="3D83FAAC"/>
    <w:rsid w:val="3D92DAF3"/>
    <w:rsid w:val="3DA9B698"/>
    <w:rsid w:val="3DC9F11A"/>
    <w:rsid w:val="3DF6B9FF"/>
    <w:rsid w:val="3E3799C7"/>
    <w:rsid w:val="3ED3F2E5"/>
    <w:rsid w:val="3EE74F53"/>
    <w:rsid w:val="3EEB6A8C"/>
    <w:rsid w:val="3F24C0A4"/>
    <w:rsid w:val="3F50B3C4"/>
    <w:rsid w:val="3F522098"/>
    <w:rsid w:val="3F5E5F9C"/>
    <w:rsid w:val="3F76DE73"/>
    <w:rsid w:val="4005DA42"/>
    <w:rsid w:val="404CF151"/>
    <w:rsid w:val="415A6EC5"/>
    <w:rsid w:val="4229EC92"/>
    <w:rsid w:val="4252E357"/>
    <w:rsid w:val="42715713"/>
    <w:rsid w:val="42A5BA40"/>
    <w:rsid w:val="42AE2433"/>
    <w:rsid w:val="43A73C15"/>
    <w:rsid w:val="43DD8181"/>
    <w:rsid w:val="4428BBF2"/>
    <w:rsid w:val="442CD8D5"/>
    <w:rsid w:val="44520000"/>
    <w:rsid w:val="4455A0C4"/>
    <w:rsid w:val="4461AECF"/>
    <w:rsid w:val="44A5278B"/>
    <w:rsid w:val="44C5206B"/>
    <w:rsid w:val="44CB85AD"/>
    <w:rsid w:val="45420A7B"/>
    <w:rsid w:val="457DDF44"/>
    <w:rsid w:val="458A911C"/>
    <w:rsid w:val="45ACC43C"/>
    <w:rsid w:val="4665BA4E"/>
    <w:rsid w:val="468A115C"/>
    <w:rsid w:val="46D77113"/>
    <w:rsid w:val="46EB3DFB"/>
    <w:rsid w:val="476ACF95"/>
    <w:rsid w:val="47772F6B"/>
    <w:rsid w:val="47AFAC78"/>
    <w:rsid w:val="47DCC84D"/>
    <w:rsid w:val="481D6A00"/>
    <w:rsid w:val="486B9D2D"/>
    <w:rsid w:val="486DFF11"/>
    <w:rsid w:val="488FABCD"/>
    <w:rsid w:val="48B6B751"/>
    <w:rsid w:val="48F2CCFD"/>
    <w:rsid w:val="48FF42FD"/>
    <w:rsid w:val="49115D69"/>
    <w:rsid w:val="49659930"/>
    <w:rsid w:val="49979261"/>
    <w:rsid w:val="49B06104"/>
    <w:rsid w:val="49E26B5F"/>
    <w:rsid w:val="4A0D1EB4"/>
    <w:rsid w:val="4A32A605"/>
    <w:rsid w:val="4A63B01C"/>
    <w:rsid w:val="4AE828AE"/>
    <w:rsid w:val="4AF60A81"/>
    <w:rsid w:val="4B036E9B"/>
    <w:rsid w:val="4B1E0AD3"/>
    <w:rsid w:val="4B33A91A"/>
    <w:rsid w:val="4B6DC06E"/>
    <w:rsid w:val="4B962665"/>
    <w:rsid w:val="4BA95F20"/>
    <w:rsid w:val="4C167B7F"/>
    <w:rsid w:val="4C310931"/>
    <w:rsid w:val="4C6A87EB"/>
    <w:rsid w:val="4C71BB9E"/>
    <w:rsid w:val="4C755055"/>
    <w:rsid w:val="4CE13A2D"/>
    <w:rsid w:val="4CE19D12"/>
    <w:rsid w:val="4D21B692"/>
    <w:rsid w:val="4DD56C88"/>
    <w:rsid w:val="4E11D68A"/>
    <w:rsid w:val="4E4E1A0A"/>
    <w:rsid w:val="4E6F4833"/>
    <w:rsid w:val="4EA7005A"/>
    <w:rsid w:val="4EDFC138"/>
    <w:rsid w:val="4F55BA40"/>
    <w:rsid w:val="4F573B71"/>
    <w:rsid w:val="4F8B82E3"/>
    <w:rsid w:val="501CACB1"/>
    <w:rsid w:val="50278305"/>
    <w:rsid w:val="5032ABAC"/>
    <w:rsid w:val="5039C1A8"/>
    <w:rsid w:val="504368F2"/>
    <w:rsid w:val="505C522C"/>
    <w:rsid w:val="507D8C8A"/>
    <w:rsid w:val="50A27DA4"/>
    <w:rsid w:val="50BCD643"/>
    <w:rsid w:val="50C8E929"/>
    <w:rsid w:val="50D3DF1E"/>
    <w:rsid w:val="50D8C707"/>
    <w:rsid w:val="51581140"/>
    <w:rsid w:val="516F3262"/>
    <w:rsid w:val="5174BD3F"/>
    <w:rsid w:val="51A9820F"/>
    <w:rsid w:val="5232D3E7"/>
    <w:rsid w:val="5274DFFE"/>
    <w:rsid w:val="5285F6E2"/>
    <w:rsid w:val="52B27CF2"/>
    <w:rsid w:val="533AA8C9"/>
    <w:rsid w:val="53B7C654"/>
    <w:rsid w:val="540326FC"/>
    <w:rsid w:val="54073E21"/>
    <w:rsid w:val="5424C5BE"/>
    <w:rsid w:val="5431F684"/>
    <w:rsid w:val="543EAC23"/>
    <w:rsid w:val="54B95182"/>
    <w:rsid w:val="54D26315"/>
    <w:rsid w:val="54EDFC8C"/>
    <w:rsid w:val="55550678"/>
    <w:rsid w:val="5576338A"/>
    <w:rsid w:val="559799AB"/>
    <w:rsid w:val="559C3E3F"/>
    <w:rsid w:val="55CDC6E5"/>
    <w:rsid w:val="55EFCD14"/>
    <w:rsid w:val="5609522F"/>
    <w:rsid w:val="56477AB6"/>
    <w:rsid w:val="5703BA90"/>
    <w:rsid w:val="57410124"/>
    <w:rsid w:val="5754B7A1"/>
    <w:rsid w:val="57D9B389"/>
    <w:rsid w:val="57E4872E"/>
    <w:rsid w:val="57FCC90D"/>
    <w:rsid w:val="581F798E"/>
    <w:rsid w:val="5824CFD2"/>
    <w:rsid w:val="582D1CFD"/>
    <w:rsid w:val="586040D4"/>
    <w:rsid w:val="58728641"/>
    <w:rsid w:val="58F08802"/>
    <w:rsid w:val="58F84D68"/>
    <w:rsid w:val="59339069"/>
    <w:rsid w:val="597C8105"/>
    <w:rsid w:val="598247FF"/>
    <w:rsid w:val="5982FFEA"/>
    <w:rsid w:val="5985F205"/>
    <w:rsid w:val="59F30C53"/>
    <w:rsid w:val="5A005951"/>
    <w:rsid w:val="5A4A902C"/>
    <w:rsid w:val="5AB3E234"/>
    <w:rsid w:val="5ADF368A"/>
    <w:rsid w:val="5B2A80AC"/>
    <w:rsid w:val="5B698536"/>
    <w:rsid w:val="5B714F86"/>
    <w:rsid w:val="5B7A21AE"/>
    <w:rsid w:val="5BA3F9DB"/>
    <w:rsid w:val="5BD1EC9D"/>
    <w:rsid w:val="5BDFD1FA"/>
    <w:rsid w:val="5BF62A29"/>
    <w:rsid w:val="5C13BED2"/>
    <w:rsid w:val="5C687826"/>
    <w:rsid w:val="5CF89EE0"/>
    <w:rsid w:val="5D48758E"/>
    <w:rsid w:val="5D686A2E"/>
    <w:rsid w:val="5D6FD0AA"/>
    <w:rsid w:val="5DCBBE8B"/>
    <w:rsid w:val="5E31BE5B"/>
    <w:rsid w:val="5E4B1D92"/>
    <w:rsid w:val="5E8866F3"/>
    <w:rsid w:val="5E9C32CD"/>
    <w:rsid w:val="5EADE320"/>
    <w:rsid w:val="5ECA1A7E"/>
    <w:rsid w:val="5EEFB5F6"/>
    <w:rsid w:val="5EF88DEB"/>
    <w:rsid w:val="5F1C3AEB"/>
    <w:rsid w:val="5F8C9F6E"/>
    <w:rsid w:val="5FCC573E"/>
    <w:rsid w:val="5FD913EC"/>
    <w:rsid w:val="5FF2B5D5"/>
    <w:rsid w:val="60182554"/>
    <w:rsid w:val="6025D5C3"/>
    <w:rsid w:val="6151ABF9"/>
    <w:rsid w:val="618AE23C"/>
    <w:rsid w:val="61A38C5D"/>
    <w:rsid w:val="627629D3"/>
    <w:rsid w:val="627D2640"/>
    <w:rsid w:val="62927C5A"/>
    <w:rsid w:val="62ABABF9"/>
    <w:rsid w:val="62D71B28"/>
    <w:rsid w:val="631EE47A"/>
    <w:rsid w:val="64117CDA"/>
    <w:rsid w:val="643CF3D4"/>
    <w:rsid w:val="64561C31"/>
    <w:rsid w:val="64E20391"/>
    <w:rsid w:val="64EC40E2"/>
    <w:rsid w:val="6505B436"/>
    <w:rsid w:val="6546AAF9"/>
    <w:rsid w:val="65BCA401"/>
    <w:rsid w:val="66710530"/>
    <w:rsid w:val="66F53305"/>
    <w:rsid w:val="66FDE86E"/>
    <w:rsid w:val="670DC69F"/>
    <w:rsid w:val="67224D14"/>
    <w:rsid w:val="6724B998"/>
    <w:rsid w:val="67521E49"/>
    <w:rsid w:val="67725CE7"/>
    <w:rsid w:val="678DBCF3"/>
    <w:rsid w:val="680599DB"/>
    <w:rsid w:val="680E4DF0"/>
    <w:rsid w:val="6851EB7B"/>
    <w:rsid w:val="69117C40"/>
    <w:rsid w:val="69298D54"/>
    <w:rsid w:val="699BE9C0"/>
    <w:rsid w:val="69E90BC8"/>
    <w:rsid w:val="6A084E7A"/>
    <w:rsid w:val="6A0CBEAE"/>
    <w:rsid w:val="6A1562C1"/>
    <w:rsid w:val="6A383349"/>
    <w:rsid w:val="6A3DAC7C"/>
    <w:rsid w:val="6A75B254"/>
    <w:rsid w:val="6ABBFE09"/>
    <w:rsid w:val="6AC2C6FB"/>
    <w:rsid w:val="6AD95198"/>
    <w:rsid w:val="6B3A7C95"/>
    <w:rsid w:val="6B5061E1"/>
    <w:rsid w:val="6B74FDA7"/>
    <w:rsid w:val="6BE4D793"/>
    <w:rsid w:val="6C2CE20A"/>
    <w:rsid w:val="6C4805B9"/>
    <w:rsid w:val="6C6C33D1"/>
    <w:rsid w:val="6CA54BA8"/>
    <w:rsid w:val="6CA8E542"/>
    <w:rsid w:val="6D0F0E2C"/>
    <w:rsid w:val="6D184993"/>
    <w:rsid w:val="6D646377"/>
    <w:rsid w:val="6DA90BB2"/>
    <w:rsid w:val="6DF0B232"/>
    <w:rsid w:val="6E357958"/>
    <w:rsid w:val="6E55C519"/>
    <w:rsid w:val="6E66A82C"/>
    <w:rsid w:val="6E70726C"/>
    <w:rsid w:val="6E9BB2BE"/>
    <w:rsid w:val="6EC6A787"/>
    <w:rsid w:val="6ECFAB87"/>
    <w:rsid w:val="6EE92478"/>
    <w:rsid w:val="6F00D1B1"/>
    <w:rsid w:val="6F1D764C"/>
    <w:rsid w:val="6F48EA36"/>
    <w:rsid w:val="6F603B68"/>
    <w:rsid w:val="6FB17D80"/>
    <w:rsid w:val="6FC1AC07"/>
    <w:rsid w:val="6FDFE537"/>
    <w:rsid w:val="702B29AC"/>
    <w:rsid w:val="70319149"/>
    <w:rsid w:val="70447838"/>
    <w:rsid w:val="70535337"/>
    <w:rsid w:val="70586BF4"/>
    <w:rsid w:val="70C7F49D"/>
    <w:rsid w:val="70C85EB0"/>
    <w:rsid w:val="70DFC824"/>
    <w:rsid w:val="70E2ED86"/>
    <w:rsid w:val="70E95F85"/>
    <w:rsid w:val="714C2CCC"/>
    <w:rsid w:val="715494C8"/>
    <w:rsid w:val="716804C0"/>
    <w:rsid w:val="7168BA2D"/>
    <w:rsid w:val="71783EFB"/>
    <w:rsid w:val="719F7A33"/>
    <w:rsid w:val="71A37621"/>
    <w:rsid w:val="71C2E23A"/>
    <w:rsid w:val="71FE6E49"/>
    <w:rsid w:val="720F7A64"/>
    <w:rsid w:val="7262C771"/>
    <w:rsid w:val="7281E8E2"/>
    <w:rsid w:val="728DDB80"/>
    <w:rsid w:val="72EDDAAC"/>
    <w:rsid w:val="73B08559"/>
    <w:rsid w:val="73B47E54"/>
    <w:rsid w:val="7430187E"/>
    <w:rsid w:val="744B910C"/>
    <w:rsid w:val="745544F9"/>
    <w:rsid w:val="74C200C1"/>
    <w:rsid w:val="74D7D402"/>
    <w:rsid w:val="74F2B11D"/>
    <w:rsid w:val="75578545"/>
    <w:rsid w:val="75988FFA"/>
    <w:rsid w:val="75F97C4B"/>
    <w:rsid w:val="761F8162"/>
    <w:rsid w:val="762850C7"/>
    <w:rsid w:val="7648F270"/>
    <w:rsid w:val="7663E037"/>
    <w:rsid w:val="76887487"/>
    <w:rsid w:val="76BFC96A"/>
    <w:rsid w:val="76D8D878"/>
    <w:rsid w:val="76D8E66A"/>
    <w:rsid w:val="770B56CF"/>
    <w:rsid w:val="770BE396"/>
    <w:rsid w:val="77C97717"/>
    <w:rsid w:val="77D60696"/>
    <w:rsid w:val="782972B0"/>
    <w:rsid w:val="7846FA5D"/>
    <w:rsid w:val="78B47E59"/>
    <w:rsid w:val="792CC975"/>
    <w:rsid w:val="7975FA4B"/>
    <w:rsid w:val="79A29B2D"/>
    <w:rsid w:val="79C073D1"/>
    <w:rsid w:val="7A0A150D"/>
    <w:rsid w:val="7A6473B5"/>
    <w:rsid w:val="7A93FD49"/>
    <w:rsid w:val="7A9549A5"/>
    <w:rsid w:val="7A9ACA6E"/>
    <w:rsid w:val="7A9F24BE"/>
    <w:rsid w:val="7AB4C0D1"/>
    <w:rsid w:val="7AB7775C"/>
    <w:rsid w:val="7AD0CEB0"/>
    <w:rsid w:val="7B08E8A7"/>
    <w:rsid w:val="7B30A646"/>
    <w:rsid w:val="7B6C7D8C"/>
    <w:rsid w:val="7B72B0CD"/>
    <w:rsid w:val="7B7FCA7C"/>
    <w:rsid w:val="7BFC53BA"/>
    <w:rsid w:val="7C065DEE"/>
    <w:rsid w:val="7C1810C5"/>
    <w:rsid w:val="7C8E03AF"/>
    <w:rsid w:val="7CCCA6A1"/>
    <w:rsid w:val="7CF3FFFB"/>
    <w:rsid w:val="7D1A6B80"/>
    <w:rsid w:val="7D71FB53"/>
    <w:rsid w:val="7D7B9F8F"/>
    <w:rsid w:val="7DA0EEA3"/>
    <w:rsid w:val="7DF86B4C"/>
    <w:rsid w:val="7E185D71"/>
    <w:rsid w:val="7E203902"/>
    <w:rsid w:val="7E286A53"/>
    <w:rsid w:val="7E454131"/>
    <w:rsid w:val="7EA74EB4"/>
    <w:rsid w:val="7EC76EE3"/>
    <w:rsid w:val="7F1F5227"/>
    <w:rsid w:val="7F85F53B"/>
    <w:rsid w:val="7F9876A1"/>
    <w:rsid w:val="7FABED62"/>
    <w:rsid w:val="7FDA7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8BEEA"/>
  <w15:chartTrackingRefBased/>
  <w15:docId w15:val="{CDFB1A78-9BC6-4A03-8650-CB6E06BD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74CD"/>
    <w:pPr>
      <w:autoSpaceDE w:val="0"/>
      <w:autoSpaceDN w:val="0"/>
      <w:adjustRightInd w:val="0"/>
      <w:spacing w:after="0" w:line="240" w:lineRule="auto"/>
    </w:pPr>
    <w:rPr>
      <w:rFonts w:ascii="Arial" w:hAnsi="Arial" w:cs="Arial"/>
      <w:color w:val="000000"/>
      <w:sz w:val="24"/>
      <w:szCs w:val="24"/>
    </w:rPr>
  </w:style>
  <w:style w:type="paragraph" w:customStyle="1" w:styleId="CM63">
    <w:name w:val="CM63"/>
    <w:basedOn w:val="Default"/>
    <w:next w:val="Default"/>
    <w:uiPriority w:val="99"/>
    <w:rsid w:val="00CA74CD"/>
    <w:rPr>
      <w:color w:val="auto"/>
    </w:rPr>
  </w:style>
  <w:style w:type="paragraph" w:customStyle="1" w:styleId="CM56">
    <w:name w:val="CM56"/>
    <w:basedOn w:val="Default"/>
    <w:next w:val="Default"/>
    <w:uiPriority w:val="99"/>
    <w:rsid w:val="00CA74CD"/>
    <w:rPr>
      <w:color w:val="auto"/>
    </w:rPr>
  </w:style>
  <w:style w:type="paragraph" w:customStyle="1" w:styleId="CM10">
    <w:name w:val="CM10"/>
    <w:basedOn w:val="Default"/>
    <w:next w:val="Default"/>
    <w:uiPriority w:val="99"/>
    <w:rsid w:val="00CA74CD"/>
    <w:pPr>
      <w:spacing w:line="276" w:lineRule="atLeast"/>
    </w:pPr>
    <w:rPr>
      <w:color w:val="auto"/>
    </w:rPr>
  </w:style>
  <w:style w:type="paragraph" w:customStyle="1" w:styleId="CM65">
    <w:name w:val="CM65"/>
    <w:basedOn w:val="Default"/>
    <w:next w:val="Default"/>
    <w:uiPriority w:val="99"/>
    <w:rsid w:val="00CA74CD"/>
    <w:rPr>
      <w:color w:val="auto"/>
    </w:rPr>
  </w:style>
  <w:style w:type="paragraph" w:customStyle="1" w:styleId="CM19">
    <w:name w:val="CM19"/>
    <w:basedOn w:val="Default"/>
    <w:next w:val="Default"/>
    <w:uiPriority w:val="99"/>
    <w:rsid w:val="00CA74CD"/>
    <w:pPr>
      <w:spacing w:line="280" w:lineRule="atLeast"/>
    </w:pPr>
    <w:rPr>
      <w:color w:val="auto"/>
    </w:rPr>
  </w:style>
  <w:style w:type="paragraph" w:customStyle="1" w:styleId="CM17">
    <w:name w:val="CM17"/>
    <w:basedOn w:val="Default"/>
    <w:next w:val="Default"/>
    <w:uiPriority w:val="99"/>
    <w:rsid w:val="00CA74CD"/>
    <w:pPr>
      <w:spacing w:line="278" w:lineRule="atLeast"/>
    </w:pPr>
    <w:rPr>
      <w:color w:val="auto"/>
    </w:rPr>
  </w:style>
  <w:style w:type="paragraph" w:customStyle="1" w:styleId="CM16">
    <w:name w:val="CM16"/>
    <w:basedOn w:val="Default"/>
    <w:next w:val="Default"/>
    <w:uiPriority w:val="99"/>
    <w:rsid w:val="00CA74CD"/>
    <w:pPr>
      <w:spacing w:line="276" w:lineRule="atLeast"/>
    </w:pPr>
    <w:rPr>
      <w:color w:val="auto"/>
    </w:rPr>
  </w:style>
  <w:style w:type="paragraph" w:customStyle="1" w:styleId="CM54">
    <w:name w:val="CM54"/>
    <w:basedOn w:val="Default"/>
    <w:next w:val="Default"/>
    <w:uiPriority w:val="99"/>
    <w:rsid w:val="00CA74CD"/>
    <w:pPr>
      <w:spacing w:line="276" w:lineRule="atLeast"/>
    </w:pPr>
    <w:rPr>
      <w:color w:val="auto"/>
    </w:rPr>
  </w:style>
  <w:style w:type="paragraph" w:customStyle="1" w:styleId="CM29">
    <w:name w:val="CM29"/>
    <w:basedOn w:val="Default"/>
    <w:next w:val="Default"/>
    <w:uiPriority w:val="99"/>
    <w:rsid w:val="00CA74CD"/>
    <w:pPr>
      <w:spacing w:line="286" w:lineRule="atLeast"/>
    </w:pPr>
    <w:rPr>
      <w:rFonts w:ascii="Times New Roman" w:hAnsi="Times New Roman" w:cs="Times New Roman"/>
      <w:color w:val="auto"/>
    </w:rPr>
  </w:style>
  <w:style w:type="paragraph" w:customStyle="1" w:styleId="CM12">
    <w:name w:val="CM12"/>
    <w:basedOn w:val="Default"/>
    <w:next w:val="Default"/>
    <w:uiPriority w:val="99"/>
    <w:rsid w:val="00CA74CD"/>
    <w:pPr>
      <w:spacing w:line="276" w:lineRule="atLeast"/>
    </w:pPr>
    <w:rPr>
      <w:rFonts w:ascii="Times New Roman" w:hAnsi="Times New Roman" w:cs="Times New Roman"/>
      <w:color w:val="auto"/>
    </w:rPr>
  </w:style>
  <w:style w:type="paragraph" w:customStyle="1" w:styleId="CM37">
    <w:name w:val="CM37"/>
    <w:basedOn w:val="Default"/>
    <w:next w:val="Default"/>
    <w:uiPriority w:val="99"/>
    <w:rsid w:val="00CA74CD"/>
    <w:pPr>
      <w:spacing w:line="278" w:lineRule="atLeast"/>
    </w:pPr>
    <w:rPr>
      <w:rFonts w:ascii="Times New Roman" w:hAnsi="Times New Roman" w:cs="Times New Roman"/>
      <w:color w:val="auto"/>
    </w:rPr>
  </w:style>
  <w:style w:type="paragraph" w:styleId="ListParagraph">
    <w:name w:val="List Paragraph"/>
    <w:aliases w:val="Bullet Level 2,CH Bullets (square),Question"/>
    <w:basedOn w:val="Normal"/>
    <w:link w:val="ListParagraphChar"/>
    <w:uiPriority w:val="34"/>
    <w:qFormat/>
    <w:rsid w:val="00D5691C"/>
    <w:pPr>
      <w:ind w:left="720"/>
      <w:contextualSpacing/>
    </w:pPr>
  </w:style>
  <w:style w:type="paragraph" w:styleId="BalloonText">
    <w:name w:val="Balloon Text"/>
    <w:basedOn w:val="Normal"/>
    <w:link w:val="BalloonTextChar"/>
    <w:uiPriority w:val="99"/>
    <w:semiHidden/>
    <w:unhideWhenUsed/>
    <w:rsid w:val="00DE346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3466"/>
    <w:rPr>
      <w:rFonts w:ascii="Times New Roman" w:hAnsi="Times New Roman" w:cs="Times New Roman"/>
      <w:sz w:val="18"/>
      <w:szCs w:val="18"/>
    </w:rPr>
  </w:style>
  <w:style w:type="character" w:customStyle="1" w:styleId="ListParagraphChar">
    <w:name w:val="List Paragraph Char"/>
    <w:aliases w:val="Bullet Level 2 Char,CH Bullets (square) Char,Question Char"/>
    <w:basedOn w:val="DefaultParagraphFont"/>
    <w:link w:val="ListParagraph"/>
    <w:uiPriority w:val="34"/>
    <w:rsid w:val="00DE3466"/>
  </w:style>
  <w:style w:type="character" w:styleId="Hyperlink">
    <w:name w:val="Hyperlink"/>
    <w:rsid w:val="00DE3466"/>
    <w:rPr>
      <w:color w:val="0000FF"/>
      <w:u w:val="single"/>
    </w:rPr>
  </w:style>
  <w:style w:type="paragraph" w:styleId="FootnoteText">
    <w:name w:val="footnote text"/>
    <w:basedOn w:val="Normal"/>
    <w:link w:val="FootnoteTextChar"/>
    <w:uiPriority w:val="99"/>
    <w:semiHidden/>
    <w:unhideWhenUsed/>
    <w:rsid w:val="00DE346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DE3466"/>
    <w:rPr>
      <w:rFonts w:ascii="Calibri" w:eastAsia="Calibri" w:hAnsi="Calibri" w:cs="Times New Roman"/>
      <w:sz w:val="20"/>
      <w:szCs w:val="20"/>
    </w:rPr>
  </w:style>
  <w:style w:type="character" w:styleId="FootnoteReference">
    <w:name w:val="footnote reference"/>
    <w:uiPriority w:val="99"/>
    <w:rsid w:val="00DE3466"/>
    <w:rPr>
      <w:vertAlign w:val="superscript"/>
    </w:rPr>
  </w:style>
  <w:style w:type="character" w:styleId="CommentReference">
    <w:name w:val="annotation reference"/>
    <w:basedOn w:val="DefaultParagraphFont"/>
    <w:unhideWhenUsed/>
    <w:rsid w:val="0021692E"/>
    <w:rPr>
      <w:sz w:val="16"/>
      <w:szCs w:val="16"/>
    </w:rPr>
  </w:style>
  <w:style w:type="paragraph" w:styleId="CommentText">
    <w:name w:val="annotation text"/>
    <w:basedOn w:val="Normal"/>
    <w:link w:val="CommentTextChar"/>
    <w:unhideWhenUsed/>
    <w:rsid w:val="0021692E"/>
    <w:pPr>
      <w:spacing w:line="240" w:lineRule="auto"/>
    </w:pPr>
    <w:rPr>
      <w:sz w:val="20"/>
      <w:szCs w:val="20"/>
    </w:rPr>
  </w:style>
  <w:style w:type="character" w:customStyle="1" w:styleId="CommentTextChar">
    <w:name w:val="Comment Text Char"/>
    <w:basedOn w:val="DefaultParagraphFont"/>
    <w:link w:val="CommentText"/>
    <w:rsid w:val="0021692E"/>
    <w:rPr>
      <w:sz w:val="20"/>
      <w:szCs w:val="20"/>
    </w:rPr>
  </w:style>
  <w:style w:type="paragraph" w:styleId="CommentSubject">
    <w:name w:val="annotation subject"/>
    <w:basedOn w:val="CommentText"/>
    <w:next w:val="CommentText"/>
    <w:link w:val="CommentSubjectChar"/>
    <w:uiPriority w:val="99"/>
    <w:semiHidden/>
    <w:unhideWhenUsed/>
    <w:rsid w:val="0021692E"/>
    <w:rPr>
      <w:b/>
      <w:bCs/>
    </w:rPr>
  </w:style>
  <w:style w:type="character" w:customStyle="1" w:styleId="CommentSubjectChar">
    <w:name w:val="Comment Subject Char"/>
    <w:basedOn w:val="CommentTextChar"/>
    <w:link w:val="CommentSubject"/>
    <w:uiPriority w:val="99"/>
    <w:semiHidden/>
    <w:rsid w:val="0021692E"/>
    <w:rPr>
      <w:b/>
      <w:bCs/>
      <w:sz w:val="20"/>
      <w:szCs w:val="20"/>
    </w:rPr>
  </w:style>
  <w:style w:type="paragraph" w:styleId="BodyText">
    <w:name w:val="Body Text"/>
    <w:basedOn w:val="Normal"/>
    <w:link w:val="BodyTextChar"/>
    <w:rsid w:val="00E33E8C"/>
    <w:pPr>
      <w:widowControl w:val="0"/>
      <w:autoSpaceDE w:val="0"/>
      <w:autoSpaceDN w:val="0"/>
      <w:adjustRightInd w:val="0"/>
      <w:spacing w:after="12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E33E8C"/>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E33E8C"/>
    <w:pPr>
      <w:spacing w:after="120"/>
      <w:ind w:left="360"/>
    </w:pPr>
  </w:style>
  <w:style w:type="character" w:customStyle="1" w:styleId="BodyTextIndentChar">
    <w:name w:val="Body Text Indent Char"/>
    <w:basedOn w:val="DefaultParagraphFont"/>
    <w:link w:val="BodyTextIndent"/>
    <w:uiPriority w:val="99"/>
    <w:semiHidden/>
    <w:rsid w:val="00E33E8C"/>
  </w:style>
  <w:style w:type="paragraph" w:styleId="Revision">
    <w:name w:val="Revision"/>
    <w:hidden/>
    <w:uiPriority w:val="99"/>
    <w:semiHidden/>
    <w:rsid w:val="00A0357A"/>
    <w:pPr>
      <w:spacing w:after="0" w:line="240" w:lineRule="auto"/>
    </w:pPr>
  </w:style>
  <w:style w:type="paragraph" w:customStyle="1" w:styleId="CharCharChar1CharCharCharChar">
    <w:name w:val="Char Char Char1 Char Char Char Char"/>
    <w:basedOn w:val="Normal"/>
    <w:semiHidden/>
    <w:rsid w:val="0063733D"/>
    <w:pPr>
      <w:spacing w:before="80" w:after="80" w:line="240" w:lineRule="auto"/>
      <w:ind w:left="4320"/>
      <w:jc w:val="both"/>
    </w:pPr>
    <w:rPr>
      <w:rFonts w:ascii="Arial" w:eastAsia="Times New Roman" w:hAnsi="Arial" w:cs="Times New Roman"/>
      <w:sz w:val="20"/>
      <w:szCs w:val="24"/>
    </w:rPr>
  </w:style>
  <w:style w:type="paragraph" w:customStyle="1" w:styleId="CharCharChar1CharCharCharChar0">
    <w:name w:val="Char Char Char1 Char Char Char Char0"/>
    <w:basedOn w:val="Normal"/>
    <w:semiHidden/>
    <w:rsid w:val="005335E7"/>
    <w:pPr>
      <w:spacing w:before="80" w:after="80" w:line="240" w:lineRule="auto"/>
      <w:ind w:left="4320"/>
      <w:jc w:val="both"/>
    </w:pPr>
    <w:rPr>
      <w:rFonts w:ascii="Arial" w:eastAsia="Times New Roman" w:hAnsi="Arial" w:cs="Times New Roman"/>
      <w:sz w:val="20"/>
      <w:szCs w:val="24"/>
    </w:rPr>
  </w:style>
  <w:style w:type="character" w:styleId="FollowedHyperlink">
    <w:name w:val="FollowedHyperlink"/>
    <w:basedOn w:val="DefaultParagraphFont"/>
    <w:uiPriority w:val="99"/>
    <w:semiHidden/>
    <w:unhideWhenUsed/>
    <w:rsid w:val="001E6FFE"/>
    <w:rPr>
      <w:color w:val="954F72" w:themeColor="followedHyperlink"/>
      <w:u w:val="single"/>
    </w:rPr>
  </w:style>
  <w:style w:type="character" w:customStyle="1" w:styleId="UnresolvedMention1">
    <w:name w:val="Unresolved Mention1"/>
    <w:basedOn w:val="DefaultParagraphFont"/>
    <w:uiPriority w:val="99"/>
    <w:semiHidden/>
    <w:unhideWhenUsed/>
    <w:rsid w:val="0053194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60205">
      <w:bodyDiv w:val="1"/>
      <w:marLeft w:val="0"/>
      <w:marRight w:val="0"/>
      <w:marTop w:val="0"/>
      <w:marBottom w:val="0"/>
      <w:divBdr>
        <w:top w:val="none" w:sz="0" w:space="0" w:color="auto"/>
        <w:left w:val="none" w:sz="0" w:space="0" w:color="auto"/>
        <w:bottom w:val="none" w:sz="0" w:space="0" w:color="auto"/>
        <w:right w:val="none" w:sz="0" w:space="0" w:color="auto"/>
      </w:divBdr>
    </w:div>
    <w:div w:id="260532445">
      <w:bodyDiv w:val="1"/>
      <w:marLeft w:val="0"/>
      <w:marRight w:val="0"/>
      <w:marTop w:val="0"/>
      <w:marBottom w:val="0"/>
      <w:divBdr>
        <w:top w:val="none" w:sz="0" w:space="0" w:color="auto"/>
        <w:left w:val="none" w:sz="0" w:space="0" w:color="auto"/>
        <w:bottom w:val="none" w:sz="0" w:space="0" w:color="auto"/>
        <w:right w:val="none" w:sz="0" w:space="0" w:color="auto"/>
      </w:divBdr>
    </w:div>
    <w:div w:id="412093462">
      <w:bodyDiv w:val="1"/>
      <w:marLeft w:val="0"/>
      <w:marRight w:val="0"/>
      <w:marTop w:val="0"/>
      <w:marBottom w:val="0"/>
      <w:divBdr>
        <w:top w:val="none" w:sz="0" w:space="0" w:color="auto"/>
        <w:left w:val="none" w:sz="0" w:space="0" w:color="auto"/>
        <w:bottom w:val="none" w:sz="0" w:space="0" w:color="auto"/>
        <w:right w:val="none" w:sz="0" w:space="0" w:color="auto"/>
      </w:divBdr>
    </w:div>
    <w:div w:id="1299260121">
      <w:bodyDiv w:val="1"/>
      <w:marLeft w:val="0"/>
      <w:marRight w:val="0"/>
      <w:marTop w:val="0"/>
      <w:marBottom w:val="0"/>
      <w:divBdr>
        <w:top w:val="none" w:sz="0" w:space="0" w:color="auto"/>
        <w:left w:val="none" w:sz="0" w:space="0" w:color="auto"/>
        <w:bottom w:val="none" w:sz="0" w:space="0" w:color="auto"/>
        <w:right w:val="none" w:sz="0" w:space="0" w:color="auto"/>
      </w:divBdr>
      <w:divsChild>
        <w:div w:id="197396862">
          <w:marLeft w:val="0"/>
          <w:marRight w:val="0"/>
          <w:marTop w:val="0"/>
          <w:marBottom w:val="0"/>
          <w:divBdr>
            <w:top w:val="none" w:sz="0" w:space="0" w:color="auto"/>
            <w:left w:val="none" w:sz="0" w:space="0" w:color="auto"/>
            <w:bottom w:val="none" w:sz="0" w:space="0" w:color="auto"/>
            <w:right w:val="none" w:sz="0" w:space="0" w:color="auto"/>
          </w:divBdr>
        </w:div>
        <w:div w:id="609434396">
          <w:marLeft w:val="0"/>
          <w:marRight w:val="0"/>
          <w:marTop w:val="0"/>
          <w:marBottom w:val="0"/>
          <w:divBdr>
            <w:top w:val="none" w:sz="0" w:space="0" w:color="auto"/>
            <w:left w:val="none" w:sz="0" w:space="0" w:color="auto"/>
            <w:bottom w:val="none" w:sz="0" w:space="0" w:color="auto"/>
            <w:right w:val="none" w:sz="0" w:space="0" w:color="auto"/>
          </w:divBdr>
        </w:div>
      </w:divsChild>
    </w:div>
    <w:div w:id="1453747402">
      <w:bodyDiv w:val="1"/>
      <w:marLeft w:val="0"/>
      <w:marRight w:val="0"/>
      <w:marTop w:val="0"/>
      <w:marBottom w:val="0"/>
      <w:divBdr>
        <w:top w:val="none" w:sz="0" w:space="0" w:color="auto"/>
        <w:left w:val="none" w:sz="0" w:space="0" w:color="auto"/>
        <w:bottom w:val="none" w:sz="0" w:space="0" w:color="auto"/>
        <w:right w:val="none" w:sz="0" w:space="0" w:color="auto"/>
      </w:divBdr>
    </w:div>
    <w:div w:id="1576548873">
      <w:bodyDiv w:val="1"/>
      <w:marLeft w:val="0"/>
      <w:marRight w:val="0"/>
      <w:marTop w:val="0"/>
      <w:marBottom w:val="0"/>
      <w:divBdr>
        <w:top w:val="none" w:sz="0" w:space="0" w:color="auto"/>
        <w:left w:val="none" w:sz="0" w:space="0" w:color="auto"/>
        <w:bottom w:val="none" w:sz="0" w:space="0" w:color="auto"/>
        <w:right w:val="none" w:sz="0" w:space="0" w:color="auto"/>
      </w:divBdr>
    </w:div>
    <w:div w:id="1884058481">
      <w:bodyDiv w:val="1"/>
      <w:marLeft w:val="0"/>
      <w:marRight w:val="0"/>
      <w:marTop w:val="0"/>
      <w:marBottom w:val="0"/>
      <w:divBdr>
        <w:top w:val="none" w:sz="0" w:space="0" w:color="auto"/>
        <w:left w:val="none" w:sz="0" w:space="0" w:color="auto"/>
        <w:bottom w:val="none" w:sz="0" w:space="0" w:color="auto"/>
        <w:right w:val="none" w:sz="0" w:space="0" w:color="auto"/>
      </w:divBdr>
    </w:div>
    <w:div w:id="2121026265">
      <w:bodyDiv w:val="1"/>
      <w:marLeft w:val="0"/>
      <w:marRight w:val="0"/>
      <w:marTop w:val="0"/>
      <w:marBottom w:val="0"/>
      <w:divBdr>
        <w:top w:val="none" w:sz="0" w:space="0" w:color="auto"/>
        <w:left w:val="none" w:sz="0" w:space="0" w:color="auto"/>
        <w:bottom w:val="none" w:sz="0" w:space="0" w:color="auto"/>
        <w:right w:val="none" w:sz="0" w:space="0" w:color="auto"/>
      </w:divBdr>
      <w:divsChild>
        <w:div w:id="69931014">
          <w:marLeft w:val="0"/>
          <w:marRight w:val="0"/>
          <w:marTop w:val="0"/>
          <w:marBottom w:val="0"/>
          <w:divBdr>
            <w:top w:val="none" w:sz="0" w:space="0" w:color="auto"/>
            <w:left w:val="none" w:sz="0" w:space="0" w:color="auto"/>
            <w:bottom w:val="none" w:sz="0" w:space="0" w:color="auto"/>
            <w:right w:val="none" w:sz="0" w:space="0" w:color="auto"/>
          </w:divBdr>
        </w:div>
      </w:divsChild>
    </w:div>
    <w:div w:id="2129153816">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9EDA7735-C8C5-464A-B282-A30323599D48}">
    <t:Anchor>
      <t:Comment id="609964672"/>
    </t:Anchor>
    <t:History>
      <t:Event id="{C4695705-E210-4401-A0E4-50228BC38A0C}" time="2021-06-04T16:06:35.376Z">
        <t:Attribution userId="S::carmelita.marshall@hhs.gov::99accf5e-a65c-4c56-a610-9e24f10b2891" userProvider="AD" userName="Marshall, Carmelita (OS/ONC)"/>
        <t:Anchor>
          <t:Comment id="1115427440"/>
        </t:Anchor>
        <t:Create/>
      </t:Event>
      <t:Event id="{0B2D7C8F-4CED-439C-B4BB-0951B5DD79C5}" time="2021-06-04T16:06:35.376Z">
        <t:Attribution userId="S::carmelita.marshall@hhs.gov::99accf5e-a65c-4c56-a610-9e24f10b2891" userProvider="AD" userName="Marshall, Carmelita (OS/ONC)"/>
        <t:Anchor>
          <t:Comment id="1115427440"/>
        </t:Anchor>
        <t:Assign userId="S::Talisha.Searcy@hhs.gov::8bdb94dc-6e2a-4961-ac8f-cdac5114b158" userProvider="AD" userName="Searcy, Talisha (OS/ONC)"/>
      </t:Event>
      <t:Event id="{3F278C15-F2B7-4FC9-9FBB-90963751563B}" time="2021-06-04T16:06:35.376Z">
        <t:Attribution userId="S::carmelita.marshall@hhs.gov::99accf5e-a65c-4c56-a610-9e24f10b2891" userProvider="AD" userName="Marshall, Carmelita (OS/ONC)"/>
        <t:Anchor>
          <t:Comment id="1115427440"/>
        </t:Anchor>
        <t:SetTitle title="@Searcy, Talisha (OS/ONC) @Henry, Jawanna (OS/ONC) thoughts?"/>
      </t:Event>
      <t:Event id="{E0247D6E-4B84-4E05-92E7-59B9203245BB}" time="2021-06-16T19:10:23.101Z">
        <t:Attribution userId="S::carmelita.marshall@hhs.gov::99accf5e-a65c-4c56-a610-9e24f10b2891" userProvider="AD" userName="Marshall, Carmelita (OS/ONC)"/>
        <t:Progress percentComplete="100"/>
      </t:Event>
      <t:Event id="{468F2981-3AD8-46F1-91AA-3274C47F5249}" time="2021-07-02T20:35:15.728Z">
        <t:Attribution userId="S::carmelita.marshall@hhs.gov::99accf5e-a65c-4c56-a610-9e24f10b2891" userProvider="AD" userName="Marshall, Carmelita (OS/ONC)"/>
        <t:Progress percentComplete="100"/>
      </t:Event>
    </t:History>
  </t:Task>
  <t:Task id="{43262346-4BC3-4136-85BB-64B746581BB1}">
    <t:Anchor>
      <t:Comment id="270004459"/>
    </t:Anchor>
    <t:History>
      <t:Event id="{241560E2-2DFB-4901-B1FA-49F754EB5D06}" time="2021-06-09T18:10:23.027Z">
        <t:Attribution userId="S::carmelita.marshall@hhs.gov::99accf5e-a65c-4c56-a610-9e24f10b2891" userProvider="AD" userName="Marshall, Carmelita (OS/ONC)"/>
        <t:Anchor>
          <t:Comment id="1087369892"/>
        </t:Anchor>
        <t:Create/>
      </t:Event>
      <t:Event id="{439D7F81-F346-4973-9E6E-895591D83AF3}" time="2021-06-09T18:10:23.027Z">
        <t:Attribution userId="S::carmelita.marshall@hhs.gov::99accf5e-a65c-4c56-a610-9e24f10b2891" userProvider="AD" userName="Marshall, Carmelita (OS/ONC)"/>
        <t:Anchor>
          <t:Comment id="1087369892"/>
        </t:Anchor>
        <t:Assign userId="S::Talisha.Searcy@hhs.gov::8bdb94dc-6e2a-4961-ac8f-cdac5114b158" userProvider="AD" userName="Searcy, Talisha (OS/ONC)"/>
      </t:Event>
      <t:Event id="{8D52EBB0-E3D4-48DE-A304-63CD1BC883DD}" time="2021-06-09T18:10:23.027Z">
        <t:Attribution userId="S::carmelita.marshall@hhs.gov::99accf5e-a65c-4c56-a610-9e24f10b2891" userProvider="AD" userName="Marshall, Carmelita (OS/ONC)"/>
        <t:Anchor>
          <t:Comment id="1087369892"/>
        </t:Anchor>
        <t:SetTitle title="@Searcy, Talisha (OS/ONC)"/>
      </t:Event>
      <t:Event id="{677EDDFF-9B8F-42F2-8F8D-B274847528D3}" time="2021-07-02T19:14:58.659Z">
        <t:Attribution userId="S::carmelita.marshall@hhs.gov::99accf5e-a65c-4c56-a610-9e24f10b2891" userProvider="AD" userName="Marshall, Carmelita (OS/ONC)"/>
        <t:Progress percentComplete="100"/>
      </t:Event>
    </t:History>
  </t:Task>
  <t:Task id="{7CE20969-47B1-4550-8AF5-AD7B14701C23}">
    <t:Anchor>
      <t:Comment id="613503160"/>
    </t:Anchor>
    <t:History>
      <t:Event id="{D86F2F3C-6A96-4C76-87D2-08623902A74B}" time="2021-07-09T18:57:42.462Z">
        <t:Attribution userId="S::carmelita.marshall@hhs.gov::99accf5e-a65c-4c56-a610-9e24f10b2891" userProvider="AD" userName="Marshall, Carmelita (OS/ONC)"/>
        <t:Anchor>
          <t:Comment id="1507563919"/>
        </t:Anchor>
        <t:Create/>
      </t:Event>
      <t:Event id="{ADFFD0E7-9D98-46FD-A614-2ABF404982D7}" time="2021-07-09T18:57:42.462Z">
        <t:Attribution userId="S::carmelita.marshall@hhs.gov::99accf5e-a65c-4c56-a610-9e24f10b2891" userProvider="AD" userName="Marshall, Carmelita (OS/ONC)"/>
        <t:Anchor>
          <t:Comment id="1507563919"/>
        </t:Anchor>
        <t:Assign userId="S::Alison.Kemp@hhs.gov::eeef37d3-2102-42f5-943f-4fc7f6045c6c" userProvider="AD" userName="Kemp, Alison (OS/ONC)"/>
      </t:Event>
      <t:Event id="{283FBF13-DF3D-4708-B48D-B6EB5EF32720}" time="2021-07-09T18:57:42.462Z">
        <t:Attribution userId="S::carmelita.marshall@hhs.gov::99accf5e-a65c-4c56-a610-9e24f10b2891" userProvider="AD" userName="Marshall, Carmelita (OS/ONC)"/>
        <t:Anchor>
          <t:Comment id="1507563919"/>
        </t:Anchor>
        <t:SetTitle title="@Kemp, Alison (OS/ONC) , is there a particular numbering system that should be used for the different collections? and supplemental documen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ed39aab-ca95-4dba-b522-9a0591c774e5">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ct:contentTypeSchema xmlns:ct="http://schemas.microsoft.com/office/2006/metadata/contentType" xmlns:ma="http://schemas.microsoft.com/office/2006/metadata/properties/metaAttributes" ct:_="" ma:_="" ma:contentTypeName="Document" ma:contentTypeID="0x010100DDB7BB15D9CEF241A0C9E1F1D6DADF4B" ma:contentTypeVersion="4" ma:contentTypeDescription="Create a new document." ma:contentTypeScope="" ma:versionID="5c77d8a34d7c4faced3a3b0a3790160d">
  <xsd:schema xmlns:xsd="http://www.w3.org/2001/XMLSchema" xmlns:xs="http://www.w3.org/2001/XMLSchema" xmlns:p="http://schemas.microsoft.com/office/2006/metadata/properties" xmlns:ns2="4e104a16-4178-4e2a-8fc6-7c2e89a7c66d" xmlns:ns3="2ed39aab-ca95-4dba-b522-9a0591c774e5" targetNamespace="http://schemas.microsoft.com/office/2006/metadata/properties" ma:root="true" ma:fieldsID="d874764cb0321f2ceacbe2c1aa42a4f2" ns2:_="" ns3:_="">
    <xsd:import namespace="4e104a16-4178-4e2a-8fc6-7c2e89a7c66d"/>
    <xsd:import namespace="2ed39aab-ca95-4dba-b522-9a0591c774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04a16-4178-4e2a-8fc6-7c2e89a7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39aab-ca95-4dba-b522-9a0591c774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5864B-CAA2-471B-B337-3D8A1CBF72EC}">
  <ds:schemaRefs>
    <ds:schemaRef ds:uri="http://schemas.microsoft.com/sharepoint/v3/contenttype/forms"/>
  </ds:schemaRefs>
</ds:datastoreItem>
</file>

<file path=customXml/itemProps2.xml><?xml version="1.0" encoding="utf-8"?>
<ds:datastoreItem xmlns:ds="http://schemas.openxmlformats.org/officeDocument/2006/customXml" ds:itemID="{1AF23493-11C0-476E-9A3A-0EE1375A7FB0}">
  <ds:schemaRefs>
    <ds:schemaRef ds:uri="http://schemas.microsoft.com/office/2006/metadata/properties"/>
    <ds:schemaRef ds:uri="http://schemas.microsoft.com/office/infopath/2007/PartnerControls"/>
    <ds:schemaRef ds:uri="2ed39aab-ca95-4dba-b522-9a0591c774e5"/>
  </ds:schemaRefs>
</ds:datastoreItem>
</file>

<file path=customXml/itemProps3.xml><?xml version="1.0" encoding="utf-8"?>
<ds:datastoreItem xmlns:ds="http://schemas.openxmlformats.org/officeDocument/2006/customXml" ds:itemID="{0A441831-50FD-47DE-B5D3-8936F8C94316}">
  <ds:schemaRefs>
    <ds:schemaRef ds:uri="http://schemas.openxmlformats.org/officeDocument/2006/bibliography"/>
  </ds:schemaRefs>
</ds:datastoreItem>
</file>

<file path=customXml/itemProps4.xml><?xml version="1.0" encoding="utf-8"?>
<ds:datastoreItem xmlns:ds="http://schemas.openxmlformats.org/officeDocument/2006/customXml" ds:itemID="{CCAB5EC5-FEB1-4E74-A669-02923D12A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04a16-4178-4e2a-8fc6-7c2e89a7c66d"/>
    <ds:schemaRef ds:uri="2ed39aab-ca95-4dba-b522-9a0591c77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3385</Words>
  <Characters>19300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Alison (OS/ONC)</dc:creator>
  <cp:keywords/>
  <dc:description/>
  <cp:lastModifiedBy>Marshall, Carmelita (OS/ONC)</cp:lastModifiedBy>
  <cp:revision>2</cp:revision>
  <dcterms:created xsi:type="dcterms:W3CDTF">2021-10-28T15:41:00Z</dcterms:created>
  <dcterms:modified xsi:type="dcterms:W3CDTF">2021-10-28T15:41:00Z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33d4ff75-08a0-3148-b80f-d4fa6ce552e8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ContentTypeId">
    <vt:lpwstr>0x010100DDB7BB15D9CEF241A0C9E1F1D6DADF4B</vt:lpwstr>
  </property>
  <property fmtid="{D5CDD505-2E9C-101B-9397-08002B2CF9AE}" pid="26" name="xd_ProgID">
    <vt:lpwstr/>
  </property>
  <property fmtid="{D5CDD505-2E9C-101B-9397-08002B2CF9AE}" pid="27" name="_SourceUrl">
    <vt:lpwstr/>
  </property>
  <property fmtid="{D5CDD505-2E9C-101B-9397-08002B2CF9AE}" pid="28" name="_SharedFileIndex">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xd_Signature">
    <vt:bool>false</vt:bool>
  </property>
</Properties>
</file>