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E25FA" w:rsidR="000E25FA" w:rsidP="000E25FA" w:rsidRDefault="000E25FA">
      <w:pPr>
        <w:pStyle w:val="Title"/>
        <w:rPr>
          <w:rFonts w:ascii="Times New Roman" w:hAnsi="Times New Roman"/>
        </w:rPr>
      </w:pPr>
      <w:r w:rsidRPr="000E25FA">
        <w:rPr>
          <w:rFonts w:ascii="Times New Roman" w:hAnsi="Times New Roman"/>
        </w:rPr>
        <w:t>Supporting Statement for SSA-8006-F4</w:t>
      </w:r>
    </w:p>
    <w:p w:rsidRPr="000E25FA" w:rsidR="000E25FA" w:rsidP="000E25FA" w:rsidRDefault="000E25FA">
      <w:pPr>
        <w:jc w:val="center"/>
        <w:rPr>
          <w:rFonts w:ascii="Times New Roman" w:hAnsi="Times New Roman"/>
          <w:b/>
        </w:rPr>
      </w:pPr>
      <w:r w:rsidRPr="000E25FA">
        <w:rPr>
          <w:rFonts w:ascii="Times New Roman" w:hAnsi="Times New Roman"/>
          <w:b/>
        </w:rPr>
        <w:t>Statement of Living Arrangements,</w:t>
      </w:r>
    </w:p>
    <w:p w:rsidRPr="000E25FA" w:rsidR="000E25FA" w:rsidP="000E25FA" w:rsidRDefault="000E25FA">
      <w:pPr>
        <w:jc w:val="center"/>
        <w:rPr>
          <w:rFonts w:ascii="Times New Roman" w:hAnsi="Times New Roman"/>
          <w:b/>
        </w:rPr>
      </w:pPr>
      <w:r w:rsidRPr="000E25FA">
        <w:rPr>
          <w:rFonts w:ascii="Times New Roman" w:hAnsi="Times New Roman"/>
          <w:b/>
        </w:rPr>
        <w:t>In-Kind Support and Maintenance</w:t>
      </w:r>
    </w:p>
    <w:p w:rsidRPr="00BC7F42" w:rsidR="00146275" w:rsidP="00F107B7" w:rsidRDefault="000E25FA">
      <w:pPr>
        <w:jc w:val="center"/>
        <w:rPr>
          <w:rFonts w:ascii="Times New Roman" w:hAnsi="Times New Roman"/>
          <w:b/>
          <w:color w:val="0000FF"/>
        </w:rPr>
      </w:pPr>
      <w:r w:rsidRPr="000E25FA">
        <w:rPr>
          <w:rFonts w:ascii="Times New Roman" w:hAnsi="Times New Roman"/>
          <w:b/>
        </w:rPr>
        <w:t>20 CFR 416.1130-416.1148</w:t>
      </w:r>
    </w:p>
    <w:p w:rsidRPr="00BC7F42" w:rsidR="00A45D82" w:rsidP="00A45D82" w:rsidRDefault="008B6774">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0E25FA">
        <w:rPr>
          <w:rFonts w:ascii="Times New Roman" w:hAnsi="Times New Roman" w:cs="Times New Roman"/>
        </w:rPr>
        <w:t>0174</w:t>
      </w:r>
    </w:p>
    <w:p w:rsidRPr="00BC7F42" w:rsidR="00A45D82" w:rsidP="00A45D82" w:rsidRDefault="00A45D82">
      <w:pPr>
        <w:pStyle w:val="Header"/>
        <w:tabs>
          <w:tab w:val="clear" w:pos="4320"/>
          <w:tab w:val="clear" w:pos="8640"/>
        </w:tabs>
        <w:rPr>
          <w:rFonts w:ascii="Times New Roman" w:hAnsi="Times New Roman"/>
        </w:rPr>
      </w:pPr>
    </w:p>
    <w:p w:rsidRPr="002321B0" w:rsidR="00A45D82" w:rsidP="00A45D82" w:rsidRDefault="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pPr>
        <w:pStyle w:val="Header"/>
        <w:tabs>
          <w:tab w:val="clear" w:pos="4320"/>
          <w:tab w:val="clear" w:pos="8640"/>
        </w:tabs>
        <w:rPr>
          <w:rFonts w:ascii="Times New Roman" w:hAnsi="Times New Roman"/>
        </w:rPr>
      </w:pPr>
    </w:p>
    <w:p w:rsidRPr="00CC79D1" w:rsidR="00CC79D1" w:rsidP="006D6DE5" w:rsidRDefault="002E18CF">
      <w:pPr>
        <w:numPr>
          <w:ilvl w:val="0"/>
          <w:numId w:val="34"/>
        </w:numPr>
        <w:rPr>
          <w:rFonts w:ascii="Times New Roman" w:hAnsi="Times New Roman"/>
          <w:b/>
        </w:rPr>
      </w:pPr>
      <w:r w:rsidRPr="00CC79D1">
        <w:rPr>
          <w:rFonts w:ascii="Times New Roman" w:hAnsi="Times New Roman"/>
          <w:b/>
        </w:rPr>
        <w:t>Introduction/</w:t>
      </w:r>
      <w:r w:rsidRPr="00CC79D1" w:rsidR="00A45D82">
        <w:rPr>
          <w:rFonts w:ascii="Times New Roman" w:hAnsi="Times New Roman"/>
          <w:b/>
        </w:rPr>
        <w:t>Authoring Laws and Regulations</w:t>
      </w:r>
    </w:p>
    <w:p w:rsidR="00CC79D1" w:rsidP="00CC79D1" w:rsidRDefault="00CC79D1">
      <w:pPr>
        <w:ind w:left="720"/>
        <w:rPr>
          <w:rFonts w:ascii="Times New Roman" w:hAnsi="Times New Roman"/>
        </w:rPr>
      </w:pPr>
      <w:r>
        <w:rPr>
          <w:rFonts w:ascii="Times New Roman" w:hAnsi="Times New Roman"/>
        </w:rPr>
        <w:t>The Social Security Administration (SSA) determines Supplemental Security Income (SSI) e</w:t>
      </w:r>
      <w:r w:rsidR="000021F4">
        <w:rPr>
          <w:rFonts w:ascii="Times New Roman" w:hAnsi="Times New Roman"/>
        </w:rPr>
        <w:t>ligibility based on a claimants’</w:t>
      </w:r>
      <w:r>
        <w:rPr>
          <w:rFonts w:ascii="Times New Roman" w:hAnsi="Times New Roman"/>
        </w:rPr>
        <w:t xml:space="preserve"> need.  Under SSI program eligibility rules, SSA measures need</w:t>
      </w:r>
      <w:r w:rsidRPr="001B06F7">
        <w:rPr>
          <w:rFonts w:ascii="Times New Roman" w:hAnsi="Times New Roman"/>
        </w:rPr>
        <w:t>, in part, by the amount of income an individual receives.  Income includes in-kind support and maintenance (ISM)</w:t>
      </w:r>
      <w:r w:rsidR="001277FD">
        <w:rPr>
          <w:rFonts w:ascii="Times New Roman" w:hAnsi="Times New Roman"/>
        </w:rPr>
        <w:t xml:space="preserve"> as provided by other people</w:t>
      </w:r>
      <w:r w:rsidRPr="001B06F7">
        <w:rPr>
          <w:rFonts w:ascii="Times New Roman" w:hAnsi="Times New Roman"/>
        </w:rPr>
        <w:t xml:space="preserve"> in the form of food and s</w:t>
      </w:r>
      <w:r>
        <w:rPr>
          <w:rFonts w:ascii="Times New Roman" w:hAnsi="Times New Roman"/>
        </w:rPr>
        <w:t>helter</w:t>
      </w:r>
      <w:r w:rsidRPr="001B06F7">
        <w:rPr>
          <w:rFonts w:ascii="Times New Roman" w:hAnsi="Times New Roman"/>
        </w:rPr>
        <w:t xml:space="preserve">.  </w:t>
      </w:r>
      <w:r w:rsidRPr="009D6130">
        <w:rPr>
          <w:rFonts w:ascii="Times New Roman" w:hAnsi="Times New Roman"/>
        </w:rPr>
        <w:t>Section</w:t>
      </w:r>
      <w:r w:rsidRPr="001B06F7">
        <w:rPr>
          <w:rFonts w:ascii="Times New Roman" w:hAnsi="Times New Roman"/>
        </w:rPr>
        <w:t xml:space="preserve"> </w:t>
      </w:r>
      <w:r w:rsidRPr="00592C5F">
        <w:rPr>
          <w:rFonts w:ascii="Times New Roman" w:hAnsi="Times New Roman"/>
          <w:i/>
        </w:rPr>
        <w:t>1612(a</w:t>
      </w:r>
      <w:proofErr w:type="gramStart"/>
      <w:r w:rsidRPr="00592C5F">
        <w:rPr>
          <w:rFonts w:ascii="Times New Roman" w:hAnsi="Times New Roman"/>
          <w:i/>
        </w:rPr>
        <w:t>)(</w:t>
      </w:r>
      <w:proofErr w:type="gramEnd"/>
      <w:r w:rsidRPr="00592C5F">
        <w:rPr>
          <w:rFonts w:ascii="Times New Roman" w:hAnsi="Times New Roman"/>
          <w:i/>
        </w:rPr>
        <w:t>2)(A)</w:t>
      </w:r>
      <w:r w:rsidRPr="001B06F7">
        <w:rPr>
          <w:rFonts w:ascii="Times New Roman" w:hAnsi="Times New Roman"/>
        </w:rPr>
        <w:t xml:space="preserve"> of the </w:t>
      </w:r>
      <w:r w:rsidRPr="00A52343">
        <w:rPr>
          <w:rFonts w:ascii="Times New Roman" w:hAnsi="Times New Roman"/>
          <w:i/>
        </w:rPr>
        <w:t>Social Security Act</w:t>
      </w:r>
      <w:r w:rsidRPr="001B06F7">
        <w:rPr>
          <w:rFonts w:ascii="Times New Roman" w:hAnsi="Times New Roman"/>
        </w:rPr>
        <w:t xml:space="preserve"> </w:t>
      </w:r>
      <w:r w:rsidRPr="001277FD">
        <w:rPr>
          <w:rFonts w:ascii="Times New Roman" w:hAnsi="Times New Roman"/>
          <w:i/>
        </w:rPr>
        <w:t>(Act)</w:t>
      </w:r>
      <w:r>
        <w:rPr>
          <w:rFonts w:ascii="Times New Roman" w:hAnsi="Times New Roman"/>
        </w:rPr>
        <w:t xml:space="preserve"> requires SSA </w:t>
      </w:r>
      <w:r w:rsidR="001277FD">
        <w:rPr>
          <w:rFonts w:ascii="Times New Roman" w:hAnsi="Times New Roman"/>
        </w:rPr>
        <w:t xml:space="preserve">to </w:t>
      </w:r>
      <w:r>
        <w:rPr>
          <w:rFonts w:ascii="Times New Roman" w:hAnsi="Times New Roman"/>
        </w:rPr>
        <w:t>reduce the payments</w:t>
      </w:r>
      <w:r w:rsidRPr="001B06F7">
        <w:rPr>
          <w:rFonts w:ascii="Times New Roman" w:hAnsi="Times New Roman"/>
        </w:rPr>
        <w:t xml:space="preserve"> of an SSI-eligible individ</w:t>
      </w:r>
      <w:r>
        <w:rPr>
          <w:rFonts w:ascii="Times New Roman" w:hAnsi="Times New Roman"/>
        </w:rPr>
        <w:t xml:space="preserve">ual who receives ISM </w:t>
      </w:r>
      <w:r w:rsidRPr="001B06F7">
        <w:rPr>
          <w:rFonts w:ascii="Times New Roman" w:hAnsi="Times New Roman"/>
        </w:rPr>
        <w:t xml:space="preserve">by 33 and 1/3 percent.  </w:t>
      </w:r>
      <w:r w:rsidRPr="009D6130">
        <w:rPr>
          <w:rFonts w:ascii="Times New Roman" w:hAnsi="Times New Roman"/>
        </w:rPr>
        <w:t xml:space="preserve">Section </w:t>
      </w:r>
      <w:r w:rsidRPr="00592C5F">
        <w:rPr>
          <w:rFonts w:ascii="Times New Roman" w:hAnsi="Times New Roman"/>
          <w:i/>
        </w:rPr>
        <w:t>1631(e</w:t>
      </w:r>
      <w:proofErr w:type="gramStart"/>
      <w:r w:rsidRPr="00592C5F">
        <w:rPr>
          <w:rFonts w:ascii="Times New Roman" w:hAnsi="Times New Roman"/>
          <w:i/>
        </w:rPr>
        <w:t>)(</w:t>
      </w:r>
      <w:proofErr w:type="gramEnd"/>
      <w:r w:rsidRPr="00592C5F">
        <w:rPr>
          <w:rFonts w:ascii="Times New Roman" w:hAnsi="Times New Roman"/>
          <w:i/>
        </w:rPr>
        <w:t>1)(B)(</w:t>
      </w:r>
      <w:proofErr w:type="spellStart"/>
      <w:r w:rsidRPr="00592C5F">
        <w:rPr>
          <w:rFonts w:ascii="Times New Roman" w:hAnsi="Times New Roman"/>
          <w:i/>
        </w:rPr>
        <w:t>i</w:t>
      </w:r>
      <w:proofErr w:type="spellEnd"/>
      <w:r w:rsidRPr="00592C5F">
        <w:rPr>
          <w:rFonts w:ascii="Times New Roman" w:hAnsi="Times New Roman"/>
          <w:i/>
        </w:rPr>
        <w:t>)</w:t>
      </w:r>
      <w:r>
        <w:rPr>
          <w:rFonts w:ascii="Times New Roman" w:hAnsi="Times New Roman"/>
        </w:rPr>
        <w:t xml:space="preserve"> of the </w:t>
      </w:r>
      <w:r w:rsidRPr="00AB0589">
        <w:rPr>
          <w:rFonts w:ascii="Times New Roman" w:hAnsi="Times New Roman"/>
          <w:i/>
        </w:rPr>
        <w:t>Act</w:t>
      </w:r>
      <w:r>
        <w:rPr>
          <w:rFonts w:ascii="Times New Roman" w:hAnsi="Times New Roman"/>
        </w:rPr>
        <w:t xml:space="preserve"> requires that </w:t>
      </w:r>
      <w:r w:rsidR="001277FD">
        <w:rPr>
          <w:rFonts w:ascii="Times New Roman" w:hAnsi="Times New Roman"/>
        </w:rPr>
        <w:t xml:space="preserve">SSA must verify the information with independent or collateral sources </w:t>
      </w:r>
      <w:r>
        <w:rPr>
          <w:rFonts w:ascii="Times New Roman" w:hAnsi="Times New Roman"/>
        </w:rPr>
        <w:t xml:space="preserve">when </w:t>
      </w:r>
      <w:r w:rsidR="001277FD">
        <w:rPr>
          <w:rFonts w:ascii="Times New Roman" w:hAnsi="Times New Roman"/>
        </w:rPr>
        <w:t>using it to determine</w:t>
      </w:r>
      <w:r>
        <w:rPr>
          <w:rFonts w:ascii="Times New Roman" w:hAnsi="Times New Roman"/>
        </w:rPr>
        <w:t xml:space="preserve"> </w:t>
      </w:r>
      <w:r w:rsidRPr="001B06F7">
        <w:rPr>
          <w:rFonts w:ascii="Times New Roman" w:hAnsi="Times New Roman"/>
        </w:rPr>
        <w:t xml:space="preserve">eligibility for </w:t>
      </w:r>
      <w:r>
        <w:rPr>
          <w:rFonts w:ascii="Times New Roman" w:hAnsi="Times New Roman"/>
        </w:rPr>
        <w:t>SSI</w:t>
      </w:r>
      <w:r w:rsidRPr="001B06F7">
        <w:rPr>
          <w:rFonts w:ascii="Times New Roman" w:hAnsi="Times New Roman"/>
        </w:rPr>
        <w:t xml:space="preserve">.  </w:t>
      </w:r>
      <w:r w:rsidRPr="00592C5F">
        <w:rPr>
          <w:rFonts w:ascii="Times New Roman" w:hAnsi="Times New Roman"/>
          <w:i/>
        </w:rPr>
        <w:t>20 CFR 416.1130- 416.1148</w:t>
      </w:r>
      <w:r w:rsidRPr="001B06F7">
        <w:rPr>
          <w:rFonts w:ascii="Times New Roman" w:hAnsi="Times New Roman"/>
        </w:rPr>
        <w:t xml:space="preserve"> of the </w:t>
      </w:r>
      <w:r w:rsidRPr="00A52343">
        <w:rPr>
          <w:rFonts w:ascii="Times New Roman" w:hAnsi="Times New Roman"/>
          <w:i/>
        </w:rPr>
        <w:t>Code of Federal Regulations</w:t>
      </w:r>
      <w:r w:rsidR="001277FD">
        <w:rPr>
          <w:rFonts w:ascii="Times New Roman" w:hAnsi="Times New Roman"/>
        </w:rPr>
        <w:t xml:space="preserve"> authorize</w:t>
      </w:r>
      <w:r w:rsidRPr="001B06F7">
        <w:rPr>
          <w:rFonts w:ascii="Times New Roman" w:hAnsi="Times New Roman"/>
        </w:rPr>
        <w:t xml:space="preserve"> the policies and procedures for implementing </w:t>
      </w:r>
      <w:r w:rsidRPr="00D529D3">
        <w:rPr>
          <w:rFonts w:ascii="Times New Roman" w:hAnsi="Times New Roman"/>
        </w:rPr>
        <w:t xml:space="preserve">Section </w:t>
      </w:r>
      <w:r w:rsidRPr="00592C5F">
        <w:rPr>
          <w:rFonts w:ascii="Times New Roman" w:hAnsi="Times New Roman"/>
          <w:i/>
        </w:rPr>
        <w:t>1612(a</w:t>
      </w:r>
      <w:proofErr w:type="gramStart"/>
      <w:r w:rsidRPr="00592C5F">
        <w:rPr>
          <w:rFonts w:ascii="Times New Roman" w:hAnsi="Times New Roman"/>
          <w:i/>
        </w:rPr>
        <w:t>)(</w:t>
      </w:r>
      <w:proofErr w:type="gramEnd"/>
      <w:r w:rsidRPr="00592C5F">
        <w:rPr>
          <w:rFonts w:ascii="Times New Roman" w:hAnsi="Times New Roman"/>
          <w:i/>
        </w:rPr>
        <w:t>2)(A)</w:t>
      </w:r>
      <w:r w:rsidRPr="001B06F7">
        <w:rPr>
          <w:rFonts w:ascii="Times New Roman" w:hAnsi="Times New Roman"/>
        </w:rPr>
        <w:t xml:space="preserve"> of the </w:t>
      </w:r>
      <w:r w:rsidRPr="00AB0589">
        <w:rPr>
          <w:rFonts w:ascii="Times New Roman" w:hAnsi="Times New Roman"/>
          <w:i/>
        </w:rPr>
        <w:t>Act</w:t>
      </w:r>
      <w:r w:rsidRPr="001B06F7">
        <w:rPr>
          <w:rFonts w:ascii="Times New Roman" w:hAnsi="Times New Roman"/>
        </w:rPr>
        <w:t>.</w:t>
      </w:r>
    </w:p>
    <w:p w:rsidR="00E753EF" w:rsidP="00CC79D1" w:rsidRDefault="00E753EF">
      <w:pPr>
        <w:ind w:left="720"/>
        <w:rPr>
          <w:rFonts w:ascii="Times New Roman" w:hAnsi="Times New Roman"/>
        </w:rPr>
      </w:pPr>
    </w:p>
    <w:p w:rsidRPr="002A2DB4" w:rsidR="002E18CF" w:rsidP="00F57AD9" w:rsidRDefault="00F56A74">
      <w:pPr>
        <w:numPr>
          <w:ilvl w:val="0"/>
          <w:numId w:val="20"/>
        </w:numPr>
        <w:rPr>
          <w:rFonts w:ascii="Times New Roman" w:hAnsi="Times New Roman"/>
        </w:rPr>
      </w:pPr>
      <w:r>
        <w:rPr>
          <w:rFonts w:ascii="Times New Roman" w:hAnsi="Times New Roman"/>
          <w:b/>
        </w:rPr>
        <w:t xml:space="preserve">Description of Collection </w:t>
      </w:r>
    </w:p>
    <w:p w:rsidR="002A2DB4" w:rsidP="002A2DB4" w:rsidRDefault="002A2DB4">
      <w:pPr>
        <w:ind w:left="720"/>
        <w:rPr>
          <w:rFonts w:ascii="Times New Roman" w:hAnsi="Times New Roman"/>
        </w:rPr>
      </w:pPr>
      <w:r>
        <w:rPr>
          <w:rFonts w:ascii="Times New Roman" w:hAnsi="Times New Roman"/>
        </w:rPr>
        <w:t>SSA determines SSI payment amounts bas</w:t>
      </w:r>
      <w:r w:rsidR="000021F4">
        <w:rPr>
          <w:rFonts w:ascii="Times New Roman" w:hAnsi="Times New Roman"/>
        </w:rPr>
        <w:t>ed on applicants’ and claimants</w:t>
      </w:r>
      <w:r>
        <w:rPr>
          <w:rFonts w:ascii="Times New Roman" w:hAnsi="Times New Roman"/>
        </w:rPr>
        <w:t>’ needs.</w:t>
      </w:r>
    </w:p>
    <w:p w:rsidRPr="00426ED2" w:rsidR="002A2DB4" w:rsidP="002A2DB4" w:rsidRDefault="002A2DB4">
      <w:pPr>
        <w:ind w:left="720"/>
        <w:rPr>
          <w:rFonts w:ascii="Times New Roman" w:hAnsi="Times New Roman"/>
        </w:rPr>
      </w:pPr>
      <w:r w:rsidRPr="00426ED2">
        <w:rPr>
          <w:rFonts w:ascii="Times New Roman" w:hAnsi="Times New Roman"/>
        </w:rPr>
        <w:t>We measure individuals’ needs, in part, by the amount of income they receive, including in-kind support and maintenance in the form of food and shelter</w:t>
      </w:r>
      <w:r w:rsidR="00F335F1">
        <w:rPr>
          <w:rFonts w:ascii="Times New Roman" w:hAnsi="Times New Roman"/>
        </w:rPr>
        <w:t xml:space="preserve"> which other people provide</w:t>
      </w:r>
      <w:r w:rsidRPr="00426ED2">
        <w:rPr>
          <w:rFonts w:ascii="Times New Roman" w:hAnsi="Times New Roman"/>
        </w:rPr>
        <w:t>.  SSA uses Form SSA-8006- F4 to determine if in-kind support and maintenance exists f</w:t>
      </w:r>
      <w:r w:rsidR="000021F4">
        <w:rPr>
          <w:rFonts w:ascii="Times New Roman" w:hAnsi="Times New Roman"/>
        </w:rPr>
        <w:t>or SSI applicants and claimants</w:t>
      </w:r>
      <w:r w:rsidRPr="00426ED2">
        <w:rPr>
          <w:rFonts w:ascii="Times New Roman" w:hAnsi="Times New Roman"/>
        </w:rPr>
        <w:t>.  This information also assists SSA in determining the income value of in-kind support and maintenan</w:t>
      </w:r>
      <w:r w:rsidR="000021F4">
        <w:rPr>
          <w:rFonts w:ascii="Times New Roman" w:hAnsi="Times New Roman"/>
        </w:rPr>
        <w:t>ce SSI applicants and claimants</w:t>
      </w:r>
      <w:r w:rsidRPr="00426ED2">
        <w:rPr>
          <w:rFonts w:ascii="Times New Roman" w:hAnsi="Times New Roman"/>
        </w:rPr>
        <w:t xml:space="preserve"> receive.</w:t>
      </w:r>
      <w:r w:rsidR="00962A5B">
        <w:rPr>
          <w:rFonts w:ascii="Times New Roman" w:hAnsi="Times New Roman"/>
        </w:rPr>
        <w:t xml:space="preserve"> </w:t>
      </w:r>
      <w:r w:rsidR="008C19D0">
        <w:rPr>
          <w:rFonts w:ascii="Times New Roman" w:hAnsi="Times New Roman"/>
        </w:rPr>
        <w:t xml:space="preserve"> </w:t>
      </w:r>
      <w:r w:rsidR="00962A5B">
        <w:rPr>
          <w:rFonts w:ascii="Times New Roman" w:hAnsi="Times New Roman"/>
        </w:rPr>
        <w:t xml:space="preserve">If individuals do not provide this information, we determine the income value at the highest amount.  </w:t>
      </w:r>
      <w:r w:rsidRPr="00426ED2">
        <w:rPr>
          <w:rFonts w:ascii="Times New Roman" w:hAnsi="Times New Roman"/>
        </w:rPr>
        <w:t xml:space="preserve">We obtain this information via interviews during initial claims, </w:t>
      </w:r>
      <w:r w:rsidR="00F335F1">
        <w:rPr>
          <w:rFonts w:ascii="Times New Roman" w:hAnsi="Times New Roman"/>
        </w:rPr>
        <w:t xml:space="preserve">as well as through interviews </w:t>
      </w:r>
      <w:r w:rsidRPr="00426ED2">
        <w:rPr>
          <w:rFonts w:ascii="Times New Roman" w:hAnsi="Times New Roman"/>
        </w:rPr>
        <w:t>when we conduct redeterminations, or post-eligibility determinations.</w:t>
      </w:r>
      <w:r>
        <w:rPr>
          <w:rFonts w:ascii="Times New Roman" w:hAnsi="Times New Roman"/>
        </w:rPr>
        <w:t xml:space="preserve">  </w:t>
      </w:r>
      <w:r w:rsidRPr="00426ED2">
        <w:rPr>
          <w:rFonts w:ascii="Times New Roman" w:hAnsi="Times New Roman"/>
        </w:rPr>
        <w:t xml:space="preserve">The respondents are individuals who apply for SSI payments, or who complete </w:t>
      </w:r>
      <w:r w:rsidR="007857E7">
        <w:rPr>
          <w:rFonts w:ascii="Times New Roman" w:hAnsi="Times New Roman"/>
        </w:rPr>
        <w:t xml:space="preserve">the </w:t>
      </w:r>
      <w:r w:rsidR="00AB1DD6">
        <w:rPr>
          <w:rFonts w:ascii="Times New Roman" w:hAnsi="Times New Roman"/>
        </w:rPr>
        <w:t>SSI eligibility redetermination</w:t>
      </w:r>
      <w:r w:rsidR="007857E7">
        <w:rPr>
          <w:rFonts w:ascii="Times New Roman" w:hAnsi="Times New Roman"/>
        </w:rPr>
        <w:t xml:space="preserve">. </w:t>
      </w:r>
    </w:p>
    <w:p w:rsidR="00A45D82" w:rsidP="00A45D82" w:rsidRDefault="00A45D82">
      <w:pPr>
        <w:rPr>
          <w:rFonts w:ascii="Times New Roman" w:hAnsi="Times New Roman"/>
        </w:rPr>
      </w:pPr>
    </w:p>
    <w:p w:rsidR="002B6EBF" w:rsidP="006D6DE5" w:rsidRDefault="00A45D82">
      <w:pPr>
        <w:numPr>
          <w:ilvl w:val="0"/>
          <w:numId w:val="20"/>
        </w:numPr>
        <w:rPr>
          <w:rFonts w:ascii="Times New Roman" w:hAnsi="Times New Roman"/>
        </w:rPr>
      </w:pPr>
      <w:r w:rsidRPr="002B6EBF">
        <w:rPr>
          <w:rFonts w:ascii="Times New Roman" w:hAnsi="Times New Roman"/>
          <w:b/>
        </w:rPr>
        <w:t>Use of Information Technology to Collect the Information</w:t>
      </w:r>
    </w:p>
    <w:p w:rsidRPr="00787AC9" w:rsidR="002B6EBF" w:rsidP="00F335F1" w:rsidRDefault="002B6EBF">
      <w:pPr>
        <w:ind w:left="720"/>
        <w:rPr>
          <w:rFonts w:ascii="Times New Roman" w:hAnsi="Times New Roman"/>
        </w:rPr>
      </w:pPr>
      <w:r w:rsidRPr="00787AC9">
        <w:rPr>
          <w:rFonts w:ascii="Times New Roman" w:hAnsi="Times New Roman"/>
        </w:rPr>
        <w:t xml:space="preserve">SSA </w:t>
      </w:r>
      <w:r w:rsidR="00F335F1">
        <w:rPr>
          <w:rFonts w:ascii="Times New Roman" w:hAnsi="Times New Roman"/>
        </w:rPr>
        <w:t xml:space="preserve">collects this information electronically </w:t>
      </w:r>
      <w:r w:rsidRPr="001D7BAA" w:rsidR="001D7BAA">
        <w:rPr>
          <w:rFonts w:ascii="Times New Roman" w:hAnsi="Times New Roman"/>
        </w:rPr>
        <w:t xml:space="preserve">through </w:t>
      </w:r>
      <w:r w:rsidR="00F335F1">
        <w:rPr>
          <w:rFonts w:ascii="Times New Roman" w:hAnsi="Times New Roman"/>
        </w:rPr>
        <w:t xml:space="preserve">a personal interview during which an SSA technician enters the information directly into </w:t>
      </w:r>
      <w:r w:rsidRPr="001D7BAA" w:rsidR="001D7BAA">
        <w:rPr>
          <w:rFonts w:ascii="Times New Roman" w:hAnsi="Times New Roman"/>
        </w:rPr>
        <w:t>our</w:t>
      </w:r>
      <w:r w:rsidR="001D7BAA">
        <w:rPr>
          <w:rFonts w:ascii="Times New Roman" w:hAnsi="Times New Roman"/>
        </w:rPr>
        <w:t xml:space="preserve"> </w:t>
      </w:r>
      <w:r w:rsidR="003B6BEB">
        <w:rPr>
          <w:rFonts w:ascii="Times New Roman" w:hAnsi="Times New Roman"/>
        </w:rPr>
        <w:t>SSI Claims System.  W</w:t>
      </w:r>
      <w:r w:rsidRPr="00787AC9">
        <w:rPr>
          <w:rFonts w:ascii="Times New Roman" w:hAnsi="Times New Roman"/>
        </w:rPr>
        <w:t xml:space="preserve">e estimate approximately 90% of respondents under this OMB number use the </w:t>
      </w:r>
      <w:r w:rsidR="00F335F1">
        <w:rPr>
          <w:rFonts w:ascii="Times New Roman" w:hAnsi="Times New Roman"/>
        </w:rPr>
        <w:t>SSI Claims System screens</w:t>
      </w:r>
      <w:r w:rsidRPr="00787AC9">
        <w:rPr>
          <w:rFonts w:ascii="Times New Roman" w:hAnsi="Times New Roman"/>
        </w:rPr>
        <w:t>.</w:t>
      </w:r>
      <w:r w:rsidR="00F335F1">
        <w:rPr>
          <w:rFonts w:ascii="Times New Roman" w:hAnsi="Times New Roman"/>
        </w:rPr>
        <w:t xml:space="preserve">  </w:t>
      </w:r>
      <w:r w:rsidRPr="007515BE" w:rsidR="00F335F1">
        <w:rPr>
          <w:rFonts w:ascii="Times New Roman" w:hAnsi="Times New Roman"/>
          <w:color w:val="000000" w:themeColor="text1"/>
        </w:rPr>
        <w:t xml:space="preserve">This collection does not currently have a fully public-facing Internet version, as </w:t>
      </w:r>
      <w:r w:rsidR="00F335F1">
        <w:rPr>
          <w:rFonts w:ascii="Times New Roman" w:hAnsi="Times New Roman"/>
          <w:color w:val="000000" w:themeColor="text1"/>
        </w:rPr>
        <w:t xml:space="preserve">we prioritized </w:t>
      </w:r>
      <w:r w:rsidRPr="007515BE" w:rsidR="00F335F1">
        <w:rPr>
          <w:rFonts w:ascii="Times New Roman" w:hAnsi="Times New Roman"/>
          <w:color w:val="000000" w:themeColor="text1"/>
        </w:rPr>
        <w:t>other information collections for full electronic conversions</w:t>
      </w:r>
      <w:r w:rsidR="00F335F1">
        <w:rPr>
          <w:rFonts w:ascii="Times New Roman" w:hAnsi="Times New Roman"/>
          <w:color w:val="000000" w:themeColor="text1"/>
        </w:rPr>
        <w:t xml:space="preserve"> under the Government Paperwork Elimination Act</w:t>
      </w:r>
      <w:r w:rsidRPr="007515BE" w:rsidR="00F335F1">
        <w:rPr>
          <w:rFonts w:ascii="Times New Roman" w:hAnsi="Times New Roman"/>
          <w:color w:val="000000" w:themeColor="text1"/>
        </w:rPr>
        <w:t>.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 unconnected to the PRA approval lifecycle</w:t>
      </w:r>
    </w:p>
    <w:p w:rsidRPr="00BC7F42" w:rsidR="00A45D82" w:rsidP="00A45D82" w:rsidRDefault="00A45D82">
      <w:pPr>
        <w:rPr>
          <w:rFonts w:ascii="Times New Roman" w:hAnsi="Times New Roman"/>
        </w:rPr>
      </w:pPr>
    </w:p>
    <w:p w:rsidR="000C1D18" w:rsidP="000C1D18" w:rsidRDefault="00A45D82">
      <w:pPr>
        <w:numPr>
          <w:ilvl w:val="0"/>
          <w:numId w:val="20"/>
        </w:numPr>
        <w:rPr>
          <w:rFonts w:ascii="Times New Roman" w:hAnsi="Times New Roman"/>
          <w:b/>
        </w:rPr>
      </w:pPr>
      <w:r w:rsidRPr="00BC7F42">
        <w:rPr>
          <w:rFonts w:ascii="Times New Roman" w:hAnsi="Times New Roman"/>
          <w:b/>
        </w:rPr>
        <w:lastRenderedPageBreak/>
        <w:t xml:space="preserve">Why </w:t>
      </w:r>
      <w:r w:rsidR="000C1D18">
        <w:rPr>
          <w:rFonts w:ascii="Times New Roman" w:hAnsi="Times New Roman"/>
          <w:b/>
        </w:rPr>
        <w:t>We Cannot Use Duplicate Information</w:t>
      </w:r>
    </w:p>
    <w:p w:rsidR="00F0774E" w:rsidP="00F0774E" w:rsidRDefault="00E96DB1">
      <w:pPr>
        <w:pStyle w:val="BodyTextIndent"/>
        <w:tabs>
          <w:tab w:val="left" w:pos="1440"/>
        </w:tabs>
        <w:spacing w:after="0"/>
        <w:ind w:left="720"/>
        <w:rPr>
          <w:rFonts w:ascii="Times New Roman" w:hAnsi="Times New Roman"/>
        </w:rPr>
      </w:pPr>
      <w:r w:rsidRPr="001B06F7">
        <w:rPr>
          <w:rFonts w:ascii="Times New Roman" w:hAnsi="Times New Roman"/>
        </w:rPr>
        <w:t xml:space="preserve">Some of the questions on this form duplicate questions asked on Form </w:t>
      </w:r>
      <w:r>
        <w:rPr>
          <w:rFonts w:ascii="Times New Roman" w:hAnsi="Times New Roman"/>
        </w:rPr>
        <w:t xml:space="preserve">SSA-8011-F3 (OMB No. </w:t>
      </w:r>
      <w:r w:rsidRPr="001B06F7">
        <w:rPr>
          <w:rFonts w:ascii="Times New Roman" w:hAnsi="Times New Roman"/>
        </w:rPr>
        <w:t xml:space="preserve">0960-0456).  However, the </w:t>
      </w:r>
      <w:r>
        <w:rPr>
          <w:rFonts w:ascii="Times New Roman" w:hAnsi="Times New Roman"/>
        </w:rPr>
        <w:t xml:space="preserve">householder answers the </w:t>
      </w:r>
      <w:r w:rsidRPr="001B06F7">
        <w:rPr>
          <w:rFonts w:ascii="Times New Roman" w:hAnsi="Times New Roman"/>
        </w:rPr>
        <w:t>questions on the</w:t>
      </w:r>
    </w:p>
    <w:p w:rsidR="00D12EDA" w:rsidP="00F0774E" w:rsidRDefault="00E96DB1">
      <w:pPr>
        <w:pStyle w:val="BodyTextIndent"/>
        <w:tabs>
          <w:tab w:val="left" w:pos="1440"/>
        </w:tabs>
        <w:spacing w:after="0"/>
        <w:ind w:left="720"/>
        <w:rPr>
          <w:rFonts w:ascii="Times New Roman" w:hAnsi="Times New Roman"/>
        </w:rPr>
      </w:pPr>
      <w:r w:rsidRPr="001B06F7">
        <w:rPr>
          <w:rFonts w:ascii="Times New Roman" w:hAnsi="Times New Roman"/>
        </w:rPr>
        <w:t xml:space="preserve"> SSA-8011-F3.  SSA needs the householder’s statement on the SSA-8011-F3 to corroborate the information provided by the</w:t>
      </w:r>
      <w:r>
        <w:rPr>
          <w:rFonts w:ascii="Times New Roman" w:hAnsi="Times New Roman"/>
        </w:rPr>
        <w:t xml:space="preserve"> SSI</w:t>
      </w:r>
      <w:r w:rsidR="000021F4">
        <w:rPr>
          <w:rFonts w:ascii="Times New Roman" w:hAnsi="Times New Roman"/>
        </w:rPr>
        <w:t xml:space="preserve"> applicant or claimant</w:t>
      </w:r>
      <w:r w:rsidRPr="001B06F7">
        <w:rPr>
          <w:rFonts w:ascii="Times New Roman" w:hAnsi="Times New Roman"/>
        </w:rPr>
        <w:t xml:space="preserve"> on the</w:t>
      </w:r>
    </w:p>
    <w:p w:rsidR="00F0774E" w:rsidP="00F0774E" w:rsidRDefault="00E96DB1">
      <w:pPr>
        <w:pStyle w:val="BodyTextIndent"/>
        <w:tabs>
          <w:tab w:val="left" w:pos="1440"/>
        </w:tabs>
        <w:spacing w:after="0"/>
        <w:ind w:left="720"/>
        <w:rPr>
          <w:rFonts w:ascii="Times New Roman" w:hAnsi="Times New Roman"/>
        </w:rPr>
      </w:pPr>
      <w:r w:rsidRPr="001B06F7">
        <w:rPr>
          <w:rFonts w:ascii="Times New Roman" w:hAnsi="Times New Roman"/>
        </w:rPr>
        <w:t>SSA-8006-F4.  In no case w</w:t>
      </w:r>
      <w:r>
        <w:rPr>
          <w:rFonts w:ascii="Times New Roman" w:hAnsi="Times New Roman"/>
        </w:rPr>
        <w:t>ould the same person complete</w:t>
      </w:r>
      <w:r w:rsidRPr="001B06F7">
        <w:rPr>
          <w:rFonts w:ascii="Times New Roman" w:hAnsi="Times New Roman"/>
        </w:rPr>
        <w:t xml:space="preserve"> both the SSA-8006-F4 and </w:t>
      </w:r>
    </w:p>
    <w:p w:rsidR="00E96DB1" w:rsidP="00F0774E" w:rsidRDefault="00E96DB1">
      <w:pPr>
        <w:pStyle w:val="BodyTextIndent"/>
        <w:tabs>
          <w:tab w:val="left" w:pos="1440"/>
        </w:tabs>
        <w:spacing w:after="0"/>
        <w:ind w:left="720"/>
        <w:rPr>
          <w:rFonts w:ascii="Times New Roman" w:hAnsi="Times New Roman"/>
        </w:rPr>
      </w:pPr>
      <w:r w:rsidRPr="001B06F7">
        <w:rPr>
          <w:rFonts w:ascii="Times New Roman" w:hAnsi="Times New Roman"/>
        </w:rPr>
        <w:t>SSA-8011-F3 forms.</w:t>
      </w:r>
    </w:p>
    <w:p w:rsidRPr="00F0774E" w:rsidR="00F0774E" w:rsidP="00F0774E" w:rsidRDefault="00F0774E">
      <w:pPr>
        <w:pStyle w:val="BodyTextIndent"/>
        <w:tabs>
          <w:tab w:val="left" w:pos="1440"/>
        </w:tabs>
        <w:spacing w:after="0"/>
        <w:ind w:left="720"/>
        <w:rPr>
          <w:rFonts w:ascii="Times New Roman" w:hAnsi="Times New Roman"/>
        </w:rPr>
      </w:pPr>
    </w:p>
    <w:p w:rsidRPr="00465DC8" w:rsidR="00077E0E" w:rsidP="00A45D82" w:rsidRDefault="00077E0E">
      <w:pPr>
        <w:numPr>
          <w:ilvl w:val="0"/>
          <w:numId w:val="28"/>
        </w:numPr>
        <w:tabs>
          <w:tab w:val="clear" w:pos="360"/>
        </w:tabs>
        <w:ind w:left="720" w:hanging="720"/>
        <w:rPr>
          <w:rFonts w:ascii="Times New Roman" w:hAnsi="Times New Roman"/>
        </w:rPr>
      </w:pPr>
      <w:r>
        <w:rPr>
          <w:rFonts w:ascii="Times New Roman" w:hAnsi="Times New Roman"/>
          <w:b/>
        </w:rPr>
        <w:t>Minimizing Burden on Small Respondents</w:t>
      </w:r>
    </w:p>
    <w:p w:rsidR="00E75DB0" w:rsidP="00077E0E" w:rsidRDefault="00465DC8">
      <w:pPr>
        <w:ind w:left="720"/>
        <w:rPr>
          <w:rFonts w:ascii="Times New Roman" w:hAnsi="Times New Roman"/>
          <w:b/>
          <w:u w:val="single"/>
        </w:rPr>
      </w:pPr>
      <w:r w:rsidRPr="001B06F7">
        <w:rPr>
          <w:rFonts w:ascii="Times New Roman" w:hAnsi="Times New Roman"/>
        </w:rPr>
        <w:t xml:space="preserve">This collection does not affect small businesses or other small entities. </w:t>
      </w:r>
    </w:p>
    <w:p w:rsidRPr="00077E0E" w:rsidR="00E75DB0" w:rsidP="00077E0E" w:rsidRDefault="00E75DB0">
      <w:pPr>
        <w:ind w:left="720"/>
        <w:rPr>
          <w:rFonts w:ascii="Times New Roman" w:hAnsi="Times New Roman"/>
          <w:b/>
          <w:u w:val="single"/>
        </w:rPr>
      </w:pPr>
    </w:p>
    <w:p w:rsidRPr="008A7476" w:rsidR="008A7476" w:rsidP="008A7476" w:rsidRDefault="00A45D82">
      <w:pPr>
        <w:numPr>
          <w:ilvl w:val="0"/>
          <w:numId w:val="28"/>
        </w:numPr>
        <w:tabs>
          <w:tab w:val="clear" w:pos="360"/>
          <w:tab w:val="num" w:pos="720"/>
        </w:tabs>
        <w:ind w:left="720" w:hanging="720"/>
        <w:rPr>
          <w:rFonts w:ascii="Times New Roman" w:hAnsi="Times New Roman"/>
        </w:rPr>
      </w:pPr>
      <w:r w:rsidRPr="00BC7F42">
        <w:rPr>
          <w:rFonts w:ascii="Times New Roman" w:hAnsi="Times New Roman"/>
          <w:b/>
        </w:rPr>
        <w:t>Consequence of Not Collecting Information or Collecting it Less Frequently</w:t>
      </w:r>
    </w:p>
    <w:p w:rsidR="00C56820" w:rsidP="008A7476" w:rsidRDefault="00C56820">
      <w:pPr>
        <w:ind w:left="720"/>
        <w:rPr>
          <w:rFonts w:ascii="Times New Roman" w:hAnsi="Times New Roman"/>
        </w:rPr>
      </w:pPr>
      <w:r w:rsidRPr="001B06F7">
        <w:rPr>
          <w:rFonts w:ascii="Times New Roman" w:hAnsi="Times New Roman"/>
        </w:rPr>
        <w:t xml:space="preserve">If SSA did not collect this information there would be a high risk of incorrect SSI eligibility and payment determinations.  </w:t>
      </w:r>
      <w:r>
        <w:rPr>
          <w:rFonts w:ascii="Times New Roman" w:hAnsi="Times New Roman"/>
        </w:rPr>
        <w:t xml:space="preserve">SSA </w:t>
      </w:r>
      <w:r w:rsidRPr="001B06F7">
        <w:rPr>
          <w:rFonts w:ascii="Times New Roman" w:hAnsi="Times New Roman"/>
        </w:rPr>
        <w:t>collect</w:t>
      </w:r>
      <w:r>
        <w:rPr>
          <w:rFonts w:ascii="Times New Roman" w:hAnsi="Times New Roman"/>
        </w:rPr>
        <w:t>s</w:t>
      </w:r>
      <w:r w:rsidRPr="001B06F7">
        <w:rPr>
          <w:rFonts w:ascii="Times New Roman" w:hAnsi="Times New Roman"/>
        </w:rPr>
        <w:t xml:space="preserve"> the information </w:t>
      </w:r>
      <w:r>
        <w:rPr>
          <w:rFonts w:ascii="Times New Roman" w:hAnsi="Times New Roman"/>
        </w:rPr>
        <w:t xml:space="preserve">on an as needed basis </w:t>
      </w:r>
      <w:r w:rsidRPr="001B06F7">
        <w:rPr>
          <w:rFonts w:ascii="Times New Roman" w:hAnsi="Times New Roman"/>
        </w:rPr>
        <w:t xml:space="preserve">to determine the correct SSI payments.  Collecting the information less frequently would increase the risk of making incorrect payments. </w:t>
      </w:r>
      <w:r>
        <w:rPr>
          <w:rFonts w:ascii="Times New Roman" w:hAnsi="Times New Roman"/>
        </w:rPr>
        <w:t xml:space="preserve"> </w:t>
      </w:r>
      <w:r w:rsidRPr="001B06F7">
        <w:rPr>
          <w:rFonts w:ascii="Times New Roman" w:hAnsi="Times New Roman"/>
        </w:rPr>
        <w:t>There are no technical or legal obstacles that prevent burden reduction.</w:t>
      </w:r>
    </w:p>
    <w:p w:rsidR="00C56820" w:rsidP="00C56820" w:rsidRDefault="00C56820">
      <w:pPr>
        <w:ind w:left="360"/>
        <w:rPr>
          <w:rFonts w:ascii="Times New Roman" w:hAnsi="Times New Roman"/>
        </w:rPr>
      </w:pPr>
    </w:p>
    <w:p w:rsidR="00127980" w:rsidP="00A45D82" w:rsidRDefault="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Pr="001B06F7" w:rsidR="0063361F" w:rsidP="0063361F" w:rsidRDefault="0063361F">
      <w:pPr>
        <w:ind w:left="720"/>
        <w:rPr>
          <w:rFonts w:ascii="Times New Roman" w:hAnsi="Times New Roman"/>
          <w:b/>
        </w:rPr>
      </w:pPr>
      <w:r w:rsidRPr="001B06F7">
        <w:rPr>
          <w:rFonts w:ascii="Times New Roman" w:hAnsi="Times New Roman"/>
        </w:rPr>
        <w:t xml:space="preserve">There are no special circumstances that would cause SSA to conduct this information collection in a manner inconsistent with </w:t>
      </w:r>
      <w:r w:rsidRPr="00AA478C">
        <w:rPr>
          <w:rFonts w:ascii="Times New Roman" w:hAnsi="Times New Roman"/>
          <w:i/>
        </w:rPr>
        <w:t>5 CFR 1320.5</w:t>
      </w:r>
      <w:r w:rsidRPr="001B06F7">
        <w:rPr>
          <w:rFonts w:ascii="Times New Roman" w:hAnsi="Times New Roman"/>
        </w:rPr>
        <w:t>.</w:t>
      </w:r>
    </w:p>
    <w:p w:rsidRPr="00BC7F42" w:rsidR="00A45D82" w:rsidP="00A45D82" w:rsidRDefault="00A45D82">
      <w:pPr>
        <w:rPr>
          <w:rFonts w:ascii="Times New Roman" w:hAnsi="Times New Roman"/>
          <w:b/>
          <w:i/>
        </w:rPr>
      </w:pPr>
    </w:p>
    <w:p w:rsidR="00A45D82" w:rsidP="00A45D82" w:rsidRDefault="00A45D82">
      <w:pPr>
        <w:numPr>
          <w:ilvl w:val="0"/>
          <w:numId w:val="14"/>
        </w:numPr>
        <w:tabs>
          <w:tab w:val="clear" w:pos="720"/>
        </w:tabs>
        <w:rPr>
          <w:rFonts w:ascii="Times New Roman" w:hAnsi="Times New Roman"/>
        </w:rPr>
      </w:pPr>
      <w:r w:rsidRPr="00BC7F42">
        <w:rPr>
          <w:rFonts w:ascii="Times New Roman" w:hAnsi="Times New Roman"/>
          <w:b/>
        </w:rPr>
        <w:t xml:space="preserve">Solicitation of Public Comment and Other Consultations with the Public </w:t>
      </w:r>
      <w:r w:rsidR="00F0774E">
        <w:rPr>
          <w:rFonts w:ascii="Times New Roman" w:hAnsi="Times New Roman"/>
        </w:rPr>
        <w:t xml:space="preserve"> </w:t>
      </w:r>
    </w:p>
    <w:p w:rsidR="003D7D4A" w:rsidP="00F0774E" w:rsidRDefault="00F0774E">
      <w:pPr>
        <w:ind w:left="720"/>
        <w:rPr>
          <w:rFonts w:ascii="Times New Roman" w:hAnsi="Times New Roman"/>
        </w:rPr>
      </w:pPr>
      <w:r w:rsidRPr="00F0774E">
        <w:rPr>
          <w:rFonts w:ascii="Times New Roman" w:hAnsi="Times New Roman"/>
        </w:rPr>
        <w:t xml:space="preserve">The 60-day advance Federal Register Notice published on </w:t>
      </w:r>
      <w:r>
        <w:rPr>
          <w:rFonts w:ascii="Times New Roman" w:hAnsi="Times New Roman"/>
        </w:rPr>
        <w:t>January 6, 2021</w:t>
      </w:r>
      <w:r w:rsidRPr="00F0774E">
        <w:rPr>
          <w:rFonts w:ascii="Times New Roman" w:hAnsi="Times New Roman"/>
        </w:rPr>
        <w:t xml:space="preserve">, at </w:t>
      </w:r>
      <w:r w:rsidR="00FD1035">
        <w:rPr>
          <w:rFonts w:ascii="Times New Roman" w:hAnsi="Times New Roman"/>
        </w:rPr>
        <w:t xml:space="preserve">86 </w:t>
      </w:r>
      <w:r w:rsidRPr="00F0774E">
        <w:rPr>
          <w:rFonts w:ascii="Times New Roman" w:hAnsi="Times New Roman"/>
        </w:rPr>
        <w:t xml:space="preserve">FR </w:t>
      </w:r>
      <w:r w:rsidR="00FD1035">
        <w:rPr>
          <w:rFonts w:ascii="Times New Roman" w:hAnsi="Times New Roman"/>
        </w:rPr>
        <w:t>667</w:t>
      </w:r>
      <w:r w:rsidRPr="00F0774E">
        <w:rPr>
          <w:rFonts w:ascii="Times New Roman" w:hAnsi="Times New Roman"/>
        </w:rPr>
        <w:t xml:space="preserve"> and we received no public comments.  The 30-day FRN published on</w:t>
      </w:r>
      <w:r w:rsidR="003D7D4A">
        <w:rPr>
          <w:rFonts w:ascii="Times New Roman" w:hAnsi="Times New Roman"/>
        </w:rPr>
        <w:t xml:space="preserve"> April 9, 2021</w:t>
      </w:r>
      <w:r w:rsidRPr="00F0774E">
        <w:rPr>
          <w:rFonts w:ascii="Times New Roman" w:hAnsi="Times New Roman"/>
        </w:rPr>
        <w:t xml:space="preserve"> at </w:t>
      </w:r>
    </w:p>
    <w:p w:rsidRPr="00F0774E" w:rsidR="00F0774E" w:rsidP="00F0774E" w:rsidRDefault="003D7D4A">
      <w:pPr>
        <w:ind w:left="720"/>
        <w:rPr>
          <w:rFonts w:ascii="Times New Roman" w:hAnsi="Times New Roman"/>
        </w:rPr>
      </w:pPr>
      <w:r>
        <w:rPr>
          <w:rFonts w:ascii="Times New Roman" w:hAnsi="Times New Roman"/>
        </w:rPr>
        <w:t>86 FR 18583</w:t>
      </w:r>
      <w:r w:rsidRPr="00F0774E" w:rsidR="00F0774E">
        <w:rPr>
          <w:rFonts w:ascii="Times New Roman" w:hAnsi="Times New Roman"/>
        </w:rPr>
        <w:t xml:space="preserve">.  If we receive any comments in response to this Notice, we will forward them to OMB.  </w:t>
      </w:r>
    </w:p>
    <w:p w:rsidR="00FB7B70" w:rsidP="00FB7B70" w:rsidRDefault="00FB7B70">
      <w:pPr>
        <w:ind w:left="720"/>
        <w:rPr>
          <w:rFonts w:ascii="Times New Roman" w:hAnsi="Times New Roman"/>
        </w:rPr>
      </w:pPr>
    </w:p>
    <w:p w:rsidR="00FB7B70" w:rsidP="00FB7B70" w:rsidRDefault="00FB7B70">
      <w:pPr>
        <w:numPr>
          <w:ilvl w:val="0"/>
          <w:numId w:val="14"/>
        </w:numPr>
        <w:rPr>
          <w:rFonts w:ascii="Times New Roman" w:hAnsi="Times New Roman"/>
          <w:b/>
        </w:rPr>
      </w:pPr>
      <w:r w:rsidRPr="004C588A">
        <w:rPr>
          <w:rFonts w:ascii="Times New Roman" w:hAnsi="Times New Roman"/>
          <w:b/>
        </w:rPr>
        <w:t>Payment or Gifts to Respondents</w:t>
      </w:r>
      <w:r>
        <w:rPr>
          <w:rFonts w:ascii="Times New Roman" w:hAnsi="Times New Roman"/>
          <w:b/>
        </w:rPr>
        <w:t xml:space="preserve"> </w:t>
      </w:r>
    </w:p>
    <w:p w:rsidRPr="00046A40" w:rsidR="00FB7B70" w:rsidP="00FB7B70" w:rsidRDefault="00FB7B70">
      <w:pPr>
        <w:ind w:left="720"/>
        <w:rPr>
          <w:rFonts w:ascii="Times New Roman" w:hAnsi="Times New Roman"/>
          <w:b/>
        </w:rPr>
      </w:pPr>
      <w:r w:rsidRPr="00046A40">
        <w:rPr>
          <w:rFonts w:ascii="Times New Roman" w:hAnsi="Times New Roman"/>
        </w:rPr>
        <w:t>SSA provides no payment or gifts to the respondents.</w:t>
      </w:r>
    </w:p>
    <w:p w:rsidR="00C67C8A" w:rsidP="00C67C8A" w:rsidRDefault="00C67C8A">
      <w:pPr>
        <w:rPr>
          <w:rFonts w:ascii="Times New Roman" w:hAnsi="Times New Roman"/>
          <w:b/>
        </w:rPr>
      </w:pPr>
    </w:p>
    <w:p w:rsidR="00795BAB" w:rsidP="00795BAB" w:rsidRDefault="00A45D82">
      <w:pPr>
        <w:numPr>
          <w:ilvl w:val="0"/>
          <w:numId w:val="14"/>
        </w:numPr>
        <w:rPr>
          <w:rFonts w:ascii="Times New Roman" w:hAnsi="Times New Roman"/>
          <w:b/>
        </w:rPr>
      </w:pPr>
      <w:r w:rsidRPr="00BC7F42">
        <w:rPr>
          <w:rFonts w:ascii="Times New Roman" w:hAnsi="Times New Roman"/>
          <w:b/>
        </w:rPr>
        <w:t>Assurances of Confidentiality</w:t>
      </w:r>
    </w:p>
    <w:p w:rsidR="00F749EB" w:rsidP="00F749EB" w:rsidRDefault="00F749EB">
      <w:pPr>
        <w:ind w:left="720"/>
        <w:rPr>
          <w:rFonts w:ascii="Times New Roman" w:hAnsi="Times New Roman"/>
          <w:color w:val="0000FF"/>
        </w:rPr>
      </w:pPr>
      <w:r>
        <w:rPr>
          <w:rFonts w:ascii="Times New Roman" w:hAnsi="Times New Roman"/>
        </w:rPr>
        <w:t xml:space="preserve"> </w:t>
      </w:r>
      <w:r w:rsidRPr="00046A40">
        <w:rPr>
          <w:rFonts w:ascii="Times New Roman" w:hAnsi="Times New Roman"/>
        </w:rPr>
        <w:t xml:space="preserve">SSA protects and holds confidential the information it is requesting in accordance with </w:t>
      </w:r>
      <w:r w:rsidRPr="00F335F1">
        <w:rPr>
          <w:rFonts w:ascii="Times New Roman" w:hAnsi="Times New Roman"/>
          <w:i/>
        </w:rPr>
        <w:t>42 U.S.C. 1306, 20 CFR 401</w:t>
      </w:r>
      <w:r w:rsidRPr="00046A40">
        <w:rPr>
          <w:rFonts w:ascii="Times New Roman" w:hAnsi="Times New Roman"/>
        </w:rPr>
        <w:t xml:space="preserve"> and </w:t>
      </w:r>
      <w:r w:rsidRPr="00F335F1">
        <w:rPr>
          <w:rFonts w:ascii="Times New Roman" w:hAnsi="Times New Roman"/>
          <w:i/>
        </w:rPr>
        <w:t>402, 5 U.S.C. 552</w:t>
      </w:r>
      <w:r w:rsidRPr="00046A40">
        <w:rPr>
          <w:rFonts w:ascii="Times New Roman" w:hAnsi="Times New Roman"/>
        </w:rPr>
        <w:t xml:space="preserve"> </w:t>
      </w:r>
      <w:r w:rsidR="00F335F1">
        <w:rPr>
          <w:rFonts w:ascii="Times New Roman" w:hAnsi="Times New Roman"/>
        </w:rPr>
        <w:t xml:space="preserve">(Freedom of Information Act), </w:t>
      </w:r>
      <w:r w:rsidRPr="00F335F1" w:rsidR="00F335F1">
        <w:rPr>
          <w:rFonts w:ascii="Times New Roman" w:hAnsi="Times New Roman"/>
          <w:i/>
        </w:rPr>
        <w:t>5 </w:t>
      </w:r>
      <w:r w:rsidRPr="00F335F1">
        <w:rPr>
          <w:rFonts w:ascii="Times New Roman" w:hAnsi="Times New Roman"/>
          <w:i/>
        </w:rPr>
        <w:t>U.S.C. 552a</w:t>
      </w:r>
      <w:r w:rsidRPr="00046A40">
        <w:rPr>
          <w:rFonts w:ascii="Times New Roman" w:hAnsi="Times New Roman"/>
        </w:rPr>
        <w:t xml:space="preserve"> (Privacy Act of 1974), and OMB Circular No. A-130</w:t>
      </w:r>
      <w:r>
        <w:rPr>
          <w:rFonts w:ascii="Times New Roman" w:hAnsi="Times New Roman"/>
          <w:color w:val="0000FF"/>
        </w:rPr>
        <w:t>.</w:t>
      </w:r>
    </w:p>
    <w:p w:rsidRPr="00BC7F42" w:rsidR="00A45D82" w:rsidP="00A45D82" w:rsidRDefault="00A45D82">
      <w:pPr>
        <w:pStyle w:val="Header"/>
        <w:tabs>
          <w:tab w:val="clear" w:pos="4320"/>
          <w:tab w:val="clear" w:pos="8640"/>
        </w:tabs>
        <w:rPr>
          <w:rFonts w:ascii="Times New Roman" w:hAnsi="Times New Roman"/>
        </w:rPr>
      </w:pPr>
    </w:p>
    <w:p w:rsidRPr="00244730" w:rsidR="00D0011E" w:rsidP="00D0011E" w:rsidRDefault="00A45D82">
      <w:pPr>
        <w:numPr>
          <w:ilvl w:val="0"/>
          <w:numId w:val="14"/>
        </w:numPr>
        <w:rPr>
          <w:rFonts w:ascii="Times New Roman" w:hAnsi="Times New Roman"/>
          <w:b/>
        </w:rPr>
      </w:pPr>
      <w:r w:rsidRPr="00244730">
        <w:rPr>
          <w:rFonts w:ascii="Times New Roman" w:hAnsi="Times New Roman"/>
          <w:b/>
        </w:rPr>
        <w:t>Justification for Sensitive Questions</w:t>
      </w:r>
    </w:p>
    <w:p w:rsidR="00A45D82" w:rsidP="004F01D0" w:rsidRDefault="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44730">
        <w:rPr>
          <w:rFonts w:ascii="Times New Roman" w:hAnsi="Times New Roman"/>
          <w:b w:val="0"/>
          <w:i w:val="0"/>
        </w:rPr>
        <w:t>The information collection does not contain any questions of a sensitive nature.</w:t>
      </w:r>
    </w:p>
    <w:p w:rsidRPr="00244730" w:rsidR="00F335F1" w:rsidP="004F01D0" w:rsidRDefault="00F335F1">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rPr>
      </w:pPr>
    </w:p>
    <w:p w:rsidR="003E145C" w:rsidP="003E145C" w:rsidRDefault="00A45D82">
      <w:pPr>
        <w:numPr>
          <w:ilvl w:val="0"/>
          <w:numId w:val="14"/>
        </w:numPr>
        <w:rPr>
          <w:rFonts w:ascii="Times New Roman" w:hAnsi="Times New Roman"/>
          <w:b/>
        </w:rPr>
      </w:pPr>
      <w:r w:rsidRPr="00244730">
        <w:rPr>
          <w:rFonts w:ascii="Times New Roman" w:hAnsi="Times New Roman"/>
          <w:b/>
        </w:rPr>
        <w:t>Estimates of Public Reporting Burden</w:t>
      </w:r>
    </w:p>
    <w:p w:rsidR="002B247B" w:rsidP="002B247B" w:rsidRDefault="002B247B">
      <w:pPr>
        <w:ind w:left="720"/>
        <w:rPr>
          <w:rFonts w:ascii="Times New Roman" w:hAnsi="Times New Roman"/>
          <w:b/>
        </w:rPr>
      </w:pPr>
    </w:p>
    <w:tbl>
      <w:tblPr>
        <w:tblW w:w="11015" w:type="dxa"/>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0"/>
        <w:gridCol w:w="1523"/>
        <w:gridCol w:w="1310"/>
        <w:gridCol w:w="1190"/>
        <w:gridCol w:w="1256"/>
        <w:gridCol w:w="1389"/>
        <w:gridCol w:w="1283"/>
        <w:gridCol w:w="1544"/>
      </w:tblGrid>
      <w:tr w:rsidRPr="00D04546" w:rsidR="00D04546" w:rsidTr="008C19D0">
        <w:trPr>
          <w:trHeight w:val="1842"/>
        </w:trPr>
        <w:tc>
          <w:tcPr>
            <w:tcW w:w="1732"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lastRenderedPageBreak/>
              <w:t>Modality of Completion</w:t>
            </w:r>
          </w:p>
        </w:tc>
        <w:tc>
          <w:tcPr>
            <w:tcW w:w="1485"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Number of Respondents</w:t>
            </w:r>
          </w:p>
        </w:tc>
        <w:tc>
          <w:tcPr>
            <w:tcW w:w="1278"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Frequency of Response</w:t>
            </w:r>
          </w:p>
        </w:tc>
        <w:tc>
          <w:tcPr>
            <w:tcW w:w="1160"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Average Burden per Response (minutes)</w:t>
            </w:r>
          </w:p>
        </w:tc>
        <w:tc>
          <w:tcPr>
            <w:tcW w:w="1225"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Estimated Total Annual Burden (hours)</w:t>
            </w:r>
          </w:p>
        </w:tc>
        <w:tc>
          <w:tcPr>
            <w:tcW w:w="1355"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Average Theoretical Hourly Cost Amount (dollars)*</w:t>
            </w:r>
          </w:p>
        </w:tc>
        <w:tc>
          <w:tcPr>
            <w:tcW w:w="1165" w:type="dxa"/>
          </w:tcPr>
          <w:p w:rsidRPr="00D04546" w:rsidR="00D04546" w:rsidP="00D04546" w:rsidRDefault="00D04546">
            <w:pPr>
              <w:widowControl/>
              <w:autoSpaceDE w:val="0"/>
              <w:autoSpaceDN w:val="0"/>
              <w:adjustRightInd w:val="0"/>
              <w:rPr>
                <w:rFonts w:ascii="Times New Roman" w:hAnsi="Times New Roman" w:eastAsia="SimSun"/>
                <w:b/>
                <w:snapToGrid/>
                <w:lang w:eastAsia="zh-CN"/>
              </w:rPr>
            </w:pPr>
            <w:r w:rsidRPr="00D04546">
              <w:rPr>
                <w:rFonts w:ascii="Times New Roman" w:hAnsi="Times New Roman" w:eastAsia="SimSun"/>
                <w:b/>
                <w:snapToGrid/>
                <w:lang w:eastAsia="zh-CN"/>
              </w:rPr>
              <w:t>Average Wait Time in Field Office</w:t>
            </w:r>
            <w:r w:rsidR="008D02FE">
              <w:rPr>
                <w:rFonts w:ascii="Times New Roman" w:hAnsi="Times New Roman" w:eastAsia="SimSun"/>
                <w:b/>
                <w:snapToGrid/>
                <w:lang w:eastAsia="zh-CN"/>
              </w:rPr>
              <w:t xml:space="preserve"> or Telephone Wait Time</w:t>
            </w:r>
            <w:r w:rsidRPr="00D04546">
              <w:rPr>
                <w:rFonts w:ascii="Times New Roman" w:hAnsi="Times New Roman" w:eastAsia="SimSun"/>
                <w:b/>
                <w:snapToGrid/>
                <w:lang w:eastAsia="zh-CN"/>
              </w:rPr>
              <w:t xml:space="preserve"> </w:t>
            </w:r>
          </w:p>
          <w:p w:rsidRPr="00D04546" w:rsidR="00D04546" w:rsidP="00D04546" w:rsidRDefault="00D04546">
            <w:pPr>
              <w:widowControl/>
              <w:tabs>
                <w:tab w:val="left" w:pos="1350"/>
              </w:tabs>
              <w:autoSpaceDE w:val="0"/>
              <w:autoSpaceDN w:val="0"/>
              <w:adjustRightInd w:val="0"/>
              <w:rPr>
                <w:rFonts w:ascii="Times New Roman" w:hAnsi="Times New Roman" w:eastAsia="SimSun"/>
                <w:b/>
                <w:snapToGrid/>
                <w:lang w:eastAsia="zh-CN"/>
              </w:rPr>
            </w:pPr>
            <w:r w:rsidRPr="00D04546">
              <w:rPr>
                <w:rFonts w:ascii="Times New Roman" w:hAnsi="Times New Roman" w:eastAsia="SimSun"/>
                <w:b/>
                <w:snapToGrid/>
                <w:lang w:eastAsia="zh-CN"/>
              </w:rPr>
              <w:t>(minutes) **</w:t>
            </w:r>
          </w:p>
        </w:tc>
        <w:tc>
          <w:tcPr>
            <w:tcW w:w="1615"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Total Annual Opportunity Cost (dollars)***</w:t>
            </w:r>
          </w:p>
        </w:tc>
      </w:tr>
      <w:tr w:rsidRPr="00D04546" w:rsidR="00D04546" w:rsidTr="008C19D0">
        <w:trPr>
          <w:trHeight w:val="789"/>
        </w:trPr>
        <w:tc>
          <w:tcPr>
            <w:tcW w:w="1732" w:type="dxa"/>
          </w:tcPr>
          <w:p w:rsidRPr="00D04546" w:rsidR="00D04546" w:rsidP="00D04546" w:rsidRDefault="00D04546">
            <w:pPr>
              <w:widowControl/>
              <w:rPr>
                <w:rFonts w:ascii="Times New Roman" w:hAnsi="Times New Roman" w:eastAsia="SimSun"/>
                <w:snapToGrid/>
                <w:lang w:eastAsia="zh-CN"/>
              </w:rPr>
            </w:pPr>
            <w:r w:rsidRPr="00D04546">
              <w:rPr>
                <w:rFonts w:ascii="Times New Roman" w:hAnsi="Times New Roman" w:eastAsia="SimSun"/>
                <w:snapToGrid/>
                <w:lang w:eastAsia="zh-CN"/>
              </w:rPr>
              <w:t>Intranet version (SSI Claims System)</w:t>
            </w:r>
          </w:p>
        </w:tc>
        <w:tc>
          <w:tcPr>
            <w:tcW w:w="148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109,436</w:t>
            </w:r>
          </w:p>
        </w:tc>
        <w:tc>
          <w:tcPr>
            <w:tcW w:w="1278" w:type="dxa"/>
          </w:tcPr>
          <w:p w:rsidRPr="00D04546" w:rsidR="00D04546" w:rsidP="00D04546" w:rsidRDefault="00D04546">
            <w:pPr>
              <w:widowControl/>
              <w:tabs>
                <w:tab w:val="left" w:pos="924"/>
              </w:tabs>
              <w:jc w:val="right"/>
              <w:rPr>
                <w:rFonts w:ascii="Times New Roman" w:hAnsi="Times New Roman" w:eastAsia="SimSun"/>
                <w:snapToGrid/>
                <w:lang w:eastAsia="zh-CN"/>
              </w:rPr>
            </w:pPr>
            <w:r w:rsidRPr="00D04546">
              <w:rPr>
                <w:rFonts w:ascii="Times New Roman" w:hAnsi="Times New Roman" w:eastAsia="SimSun"/>
                <w:snapToGrid/>
                <w:lang w:eastAsia="zh-CN"/>
              </w:rPr>
              <w:t>1</w:t>
            </w:r>
          </w:p>
        </w:tc>
        <w:tc>
          <w:tcPr>
            <w:tcW w:w="1160"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7</w:t>
            </w:r>
          </w:p>
        </w:tc>
        <w:tc>
          <w:tcPr>
            <w:tcW w:w="122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12,768</w:t>
            </w:r>
          </w:p>
        </w:tc>
        <w:tc>
          <w:tcPr>
            <w:tcW w:w="135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$10.73*</w:t>
            </w:r>
          </w:p>
        </w:tc>
        <w:tc>
          <w:tcPr>
            <w:tcW w:w="1165" w:type="dxa"/>
          </w:tcPr>
          <w:p w:rsidRPr="00D04546" w:rsidR="00D04546" w:rsidP="00D04546" w:rsidRDefault="008D02FE">
            <w:pPr>
              <w:widowControl/>
              <w:tabs>
                <w:tab w:val="left" w:pos="1350"/>
              </w:tabs>
              <w:autoSpaceDE w:val="0"/>
              <w:autoSpaceDN w:val="0"/>
              <w:adjustRightInd w:val="0"/>
              <w:jc w:val="right"/>
              <w:rPr>
                <w:rFonts w:ascii="Times New Roman" w:hAnsi="Times New Roman" w:eastAsia="SimSun"/>
                <w:snapToGrid/>
                <w:lang w:eastAsia="zh-CN"/>
              </w:rPr>
            </w:pPr>
            <w:r>
              <w:rPr>
                <w:rFonts w:ascii="Times New Roman" w:hAnsi="Times New Roman" w:eastAsia="SimSun"/>
                <w:snapToGrid/>
                <w:lang w:eastAsia="zh-CN"/>
              </w:rPr>
              <w:t>19**</w:t>
            </w:r>
          </w:p>
        </w:tc>
        <w:tc>
          <w:tcPr>
            <w:tcW w:w="1615" w:type="dxa"/>
          </w:tcPr>
          <w:p w:rsidRPr="00D04546" w:rsidR="00D04546" w:rsidP="00D04546" w:rsidRDefault="008D02FE">
            <w:pPr>
              <w:widowControl/>
              <w:jc w:val="right"/>
              <w:rPr>
                <w:rFonts w:ascii="Times New Roman" w:hAnsi="Times New Roman" w:eastAsia="SimSun"/>
                <w:snapToGrid/>
                <w:lang w:eastAsia="zh-CN"/>
              </w:rPr>
            </w:pPr>
            <w:r>
              <w:rPr>
                <w:rFonts w:ascii="Times New Roman" w:hAnsi="Times New Roman" w:eastAsia="SimSun"/>
                <w:snapToGrid/>
                <w:lang w:eastAsia="zh-CN"/>
              </w:rPr>
              <w:t>$508,849</w:t>
            </w:r>
            <w:r w:rsidRPr="00D04546" w:rsidR="00D04546">
              <w:rPr>
                <w:rFonts w:ascii="Times New Roman" w:hAnsi="Times New Roman" w:eastAsia="SimSun"/>
                <w:snapToGrid/>
                <w:lang w:eastAsia="zh-CN"/>
              </w:rPr>
              <w:t>***</w:t>
            </w:r>
          </w:p>
        </w:tc>
      </w:tr>
      <w:tr w:rsidRPr="00D04546" w:rsidR="00D04546" w:rsidTr="008C19D0">
        <w:trPr>
          <w:trHeight w:val="251"/>
        </w:trPr>
        <w:tc>
          <w:tcPr>
            <w:tcW w:w="1732" w:type="dxa"/>
          </w:tcPr>
          <w:p w:rsidRPr="00D04546" w:rsidR="00D04546" w:rsidP="00D04546" w:rsidRDefault="00D04546">
            <w:pPr>
              <w:widowControl/>
              <w:rPr>
                <w:rFonts w:ascii="Times New Roman" w:hAnsi="Times New Roman" w:eastAsia="SimSun"/>
                <w:snapToGrid/>
                <w:lang w:eastAsia="zh-CN"/>
              </w:rPr>
            </w:pPr>
            <w:r w:rsidRPr="00D04546">
              <w:rPr>
                <w:rFonts w:ascii="Times New Roman" w:hAnsi="Times New Roman" w:eastAsia="SimSun"/>
                <w:snapToGrid/>
                <w:lang w:eastAsia="zh-CN"/>
              </w:rPr>
              <w:t>Paper version</w:t>
            </w:r>
          </w:p>
        </w:tc>
        <w:tc>
          <w:tcPr>
            <w:tcW w:w="148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12,160</w:t>
            </w:r>
          </w:p>
        </w:tc>
        <w:tc>
          <w:tcPr>
            <w:tcW w:w="1278"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w:t>
            </w:r>
          </w:p>
        </w:tc>
        <w:tc>
          <w:tcPr>
            <w:tcW w:w="1160"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7</w:t>
            </w:r>
          </w:p>
        </w:tc>
        <w:tc>
          <w:tcPr>
            <w:tcW w:w="122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1,419</w:t>
            </w:r>
          </w:p>
        </w:tc>
        <w:tc>
          <w:tcPr>
            <w:tcW w:w="135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$10.73*</w:t>
            </w:r>
          </w:p>
        </w:tc>
        <w:tc>
          <w:tcPr>
            <w:tcW w:w="116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24**</w:t>
            </w:r>
          </w:p>
        </w:tc>
        <w:tc>
          <w:tcPr>
            <w:tcW w:w="1615" w:type="dxa"/>
          </w:tcPr>
          <w:p w:rsidRPr="00D04546" w:rsidR="00D04546" w:rsidP="00D04546" w:rsidRDefault="00D04546">
            <w:pPr>
              <w:widowControl/>
              <w:jc w:val="right"/>
              <w:rPr>
                <w:rFonts w:ascii="Times New Roman" w:hAnsi="Times New Roman" w:eastAsia="SimSun"/>
                <w:snapToGrid/>
                <w:lang w:eastAsia="zh-CN"/>
              </w:rPr>
            </w:pPr>
            <w:r w:rsidRPr="00D04546">
              <w:rPr>
                <w:rFonts w:ascii="Times New Roman" w:hAnsi="Times New Roman" w:eastAsia="SimSun"/>
                <w:snapToGrid/>
                <w:lang w:eastAsia="zh-CN"/>
              </w:rPr>
              <w:t>$67,417***</w:t>
            </w:r>
          </w:p>
        </w:tc>
      </w:tr>
      <w:tr w:rsidRPr="00D04546" w:rsidR="00D04546" w:rsidTr="008C19D0">
        <w:trPr>
          <w:trHeight w:val="263"/>
        </w:trPr>
        <w:tc>
          <w:tcPr>
            <w:tcW w:w="1732" w:type="dxa"/>
          </w:tcPr>
          <w:p w:rsidRPr="00D04546" w:rsidR="00D04546" w:rsidP="00D04546" w:rsidRDefault="00D04546">
            <w:pPr>
              <w:widowControl/>
              <w:rPr>
                <w:rFonts w:ascii="Times New Roman" w:hAnsi="Times New Roman" w:eastAsia="SimSun"/>
                <w:b/>
                <w:snapToGrid/>
                <w:lang w:eastAsia="zh-CN"/>
              </w:rPr>
            </w:pPr>
            <w:r w:rsidRPr="00D04546">
              <w:rPr>
                <w:rFonts w:ascii="Times New Roman" w:hAnsi="Times New Roman" w:eastAsia="SimSun"/>
                <w:b/>
                <w:snapToGrid/>
                <w:lang w:eastAsia="zh-CN"/>
              </w:rPr>
              <w:t>Totals</w:t>
            </w:r>
          </w:p>
        </w:tc>
        <w:tc>
          <w:tcPr>
            <w:tcW w:w="1485" w:type="dxa"/>
          </w:tcPr>
          <w:p w:rsidRPr="00D04546" w:rsidR="00D04546" w:rsidP="00D04546" w:rsidRDefault="00D04546">
            <w:pPr>
              <w:widowControl/>
              <w:jc w:val="right"/>
              <w:rPr>
                <w:rFonts w:ascii="Times New Roman" w:hAnsi="Times New Roman" w:eastAsia="SimSun"/>
                <w:b/>
                <w:snapToGrid/>
                <w:lang w:eastAsia="zh-CN"/>
              </w:rPr>
            </w:pPr>
            <w:r w:rsidRPr="00D04546">
              <w:rPr>
                <w:rFonts w:ascii="Times New Roman" w:hAnsi="Times New Roman" w:eastAsia="SimSun"/>
                <w:b/>
                <w:snapToGrid/>
                <w:lang w:eastAsia="zh-CN"/>
              </w:rPr>
              <w:t>121,595</w:t>
            </w:r>
          </w:p>
        </w:tc>
        <w:tc>
          <w:tcPr>
            <w:tcW w:w="1278" w:type="dxa"/>
          </w:tcPr>
          <w:p w:rsidRPr="00D04546" w:rsidR="00D04546" w:rsidP="00D04546" w:rsidRDefault="00D04546">
            <w:pPr>
              <w:widowControl/>
              <w:jc w:val="right"/>
              <w:rPr>
                <w:rFonts w:ascii="Times New Roman" w:hAnsi="Times New Roman" w:eastAsia="SimSun"/>
                <w:snapToGrid/>
                <w:lang w:eastAsia="zh-CN"/>
              </w:rPr>
            </w:pPr>
          </w:p>
        </w:tc>
        <w:tc>
          <w:tcPr>
            <w:tcW w:w="1160" w:type="dxa"/>
          </w:tcPr>
          <w:p w:rsidRPr="00D04546" w:rsidR="00D04546" w:rsidP="00D04546" w:rsidRDefault="00D04546">
            <w:pPr>
              <w:widowControl/>
              <w:jc w:val="right"/>
              <w:rPr>
                <w:rFonts w:ascii="Times New Roman" w:hAnsi="Times New Roman" w:eastAsia="SimSun"/>
                <w:snapToGrid/>
                <w:lang w:eastAsia="zh-CN"/>
              </w:rPr>
            </w:pPr>
          </w:p>
        </w:tc>
        <w:tc>
          <w:tcPr>
            <w:tcW w:w="1225" w:type="dxa"/>
          </w:tcPr>
          <w:p w:rsidRPr="00D04546" w:rsidR="00D04546" w:rsidP="00D04546" w:rsidRDefault="008D02FE">
            <w:pPr>
              <w:widowControl/>
              <w:jc w:val="right"/>
              <w:rPr>
                <w:rFonts w:ascii="Times New Roman" w:hAnsi="Times New Roman" w:eastAsia="SimSun"/>
                <w:b/>
                <w:snapToGrid/>
                <w:lang w:eastAsia="zh-CN"/>
              </w:rPr>
            </w:pPr>
            <w:r>
              <w:rPr>
                <w:rFonts w:ascii="Times New Roman" w:hAnsi="Times New Roman" w:eastAsia="SimSun"/>
                <w:b/>
                <w:snapToGrid/>
                <w:lang w:eastAsia="zh-CN"/>
              </w:rPr>
              <w:t>14,186</w:t>
            </w:r>
          </w:p>
        </w:tc>
        <w:tc>
          <w:tcPr>
            <w:tcW w:w="1355" w:type="dxa"/>
          </w:tcPr>
          <w:p w:rsidRPr="00D04546" w:rsidR="00D04546" w:rsidP="00D04546" w:rsidRDefault="00D04546">
            <w:pPr>
              <w:widowControl/>
              <w:jc w:val="right"/>
              <w:rPr>
                <w:rFonts w:ascii="Times New Roman" w:hAnsi="Times New Roman" w:eastAsia="SimSun"/>
                <w:b/>
                <w:snapToGrid/>
                <w:lang w:eastAsia="zh-CN"/>
              </w:rPr>
            </w:pPr>
            <w:r w:rsidRPr="00D04546">
              <w:rPr>
                <w:rFonts w:ascii="Times New Roman" w:hAnsi="Times New Roman" w:eastAsia="SimSun"/>
                <w:snapToGrid/>
                <w:lang w:eastAsia="zh-CN"/>
              </w:rPr>
              <w:t xml:space="preserve"> </w:t>
            </w:r>
          </w:p>
        </w:tc>
        <w:tc>
          <w:tcPr>
            <w:tcW w:w="1165" w:type="dxa"/>
          </w:tcPr>
          <w:p w:rsidRPr="00D04546" w:rsidR="00D04546" w:rsidP="00D04546" w:rsidRDefault="00D04546">
            <w:pPr>
              <w:widowControl/>
              <w:jc w:val="right"/>
              <w:rPr>
                <w:rFonts w:ascii="Times New Roman" w:hAnsi="Times New Roman" w:eastAsia="SimSun"/>
                <w:b/>
                <w:snapToGrid/>
                <w:lang w:eastAsia="zh-CN"/>
              </w:rPr>
            </w:pPr>
          </w:p>
        </w:tc>
        <w:tc>
          <w:tcPr>
            <w:tcW w:w="1615" w:type="dxa"/>
          </w:tcPr>
          <w:p w:rsidRPr="00D04546" w:rsidR="00D04546" w:rsidP="00D04546" w:rsidRDefault="008D02FE">
            <w:pPr>
              <w:widowControl/>
              <w:jc w:val="right"/>
              <w:rPr>
                <w:rFonts w:ascii="Times New Roman" w:hAnsi="Times New Roman" w:eastAsia="SimSun"/>
                <w:b/>
                <w:snapToGrid/>
                <w:lang w:eastAsia="zh-CN"/>
              </w:rPr>
            </w:pPr>
            <w:r>
              <w:rPr>
                <w:rFonts w:ascii="Times New Roman" w:hAnsi="Times New Roman" w:eastAsia="SimSun"/>
                <w:b/>
                <w:snapToGrid/>
                <w:lang w:eastAsia="zh-CN"/>
              </w:rPr>
              <w:t>$576,266</w:t>
            </w:r>
            <w:r w:rsidRPr="00D04546" w:rsidR="00D04546">
              <w:rPr>
                <w:rFonts w:ascii="Times New Roman" w:hAnsi="Times New Roman" w:eastAsia="SimSun"/>
                <w:b/>
                <w:snapToGrid/>
                <w:lang w:eastAsia="zh-CN"/>
              </w:rPr>
              <w:t>***</w:t>
            </w:r>
          </w:p>
        </w:tc>
      </w:tr>
    </w:tbl>
    <w:p w:rsidR="00D04546" w:rsidP="008D02FE" w:rsidRDefault="00D04546">
      <w:pPr>
        <w:tabs>
          <w:tab w:val="left" w:pos="1350"/>
        </w:tabs>
        <w:autoSpaceDE w:val="0"/>
        <w:autoSpaceDN w:val="0"/>
        <w:adjustRightInd w:val="0"/>
        <w:ind w:left="720"/>
        <w:contextualSpacing/>
        <w:rPr>
          <w:rFonts w:ascii="Times New Roman" w:hAnsi="Times New Roman"/>
        </w:rPr>
      </w:pPr>
      <w:r w:rsidRPr="00D04546">
        <w:rPr>
          <w:rFonts w:ascii="Times New Roman" w:hAnsi="Times New Roman"/>
        </w:rPr>
        <w:t>* We based this figure on average DI payments based on SSA's current FY 2020 data (</w:t>
      </w:r>
      <w:hyperlink w:history="1" r:id="rId8">
        <w:r w:rsidRPr="00D04546">
          <w:rPr>
            <w:rFonts w:ascii="Times New Roman" w:hAnsi="Times New Roman"/>
            <w:color w:val="0000FF"/>
            <w:u w:val="single"/>
          </w:rPr>
          <w:t>https://www.ssa.gov/legislation/2020Fact%20Sheet.pdf</w:t>
        </w:r>
      </w:hyperlink>
      <w:r>
        <w:rPr>
          <w:rFonts w:ascii="Times New Roman" w:hAnsi="Times New Roman"/>
        </w:rPr>
        <w:t>).</w:t>
      </w:r>
    </w:p>
    <w:p w:rsidR="00D04546" w:rsidP="00D04546" w:rsidRDefault="00D04546">
      <w:pPr>
        <w:tabs>
          <w:tab w:val="left" w:pos="1350"/>
        </w:tabs>
        <w:autoSpaceDE w:val="0"/>
        <w:autoSpaceDN w:val="0"/>
        <w:adjustRightInd w:val="0"/>
        <w:ind w:left="1440"/>
        <w:contextualSpacing/>
        <w:rPr>
          <w:rFonts w:ascii="Times New Roman" w:hAnsi="Times New Roman"/>
        </w:rPr>
      </w:pPr>
    </w:p>
    <w:p w:rsidR="00D04546" w:rsidP="008D02FE" w:rsidRDefault="00D04546">
      <w:pPr>
        <w:autoSpaceDE w:val="0"/>
        <w:autoSpaceDN w:val="0"/>
        <w:adjustRightInd w:val="0"/>
        <w:ind w:left="720"/>
        <w:rPr>
          <w:rFonts w:ascii="Times New Roman" w:hAnsi="Times New Roman"/>
        </w:rPr>
      </w:pPr>
      <w:r w:rsidRPr="00D04546">
        <w:rPr>
          <w:rFonts w:ascii="Times New Roman" w:hAnsi="Times New Roman"/>
        </w:rPr>
        <w:t>** We based th</w:t>
      </w:r>
      <w:r w:rsidR="008D02FE">
        <w:rPr>
          <w:rFonts w:ascii="Times New Roman" w:hAnsi="Times New Roman"/>
        </w:rPr>
        <w:t>is figure on the average FY 2021</w:t>
      </w:r>
      <w:r w:rsidRPr="00D04546">
        <w:rPr>
          <w:rFonts w:ascii="Times New Roman" w:hAnsi="Times New Roman"/>
        </w:rPr>
        <w:t xml:space="preserve"> wait times for field offices</w:t>
      </w:r>
      <w:r w:rsidR="008D02FE">
        <w:rPr>
          <w:rFonts w:ascii="Times New Roman" w:hAnsi="Times New Roman"/>
        </w:rPr>
        <w:t xml:space="preserve"> (24 minutes) or average wait times for our National 800 Number (19 minutes)</w:t>
      </w:r>
      <w:r w:rsidRPr="00D04546">
        <w:rPr>
          <w:rFonts w:ascii="Times New Roman" w:hAnsi="Times New Roman"/>
        </w:rPr>
        <w:t>, based on SSA’s current management information data.</w:t>
      </w:r>
    </w:p>
    <w:p w:rsidRPr="00D04546" w:rsidR="00D04546" w:rsidP="00D04546" w:rsidRDefault="00D04546">
      <w:pPr>
        <w:autoSpaceDE w:val="0"/>
        <w:autoSpaceDN w:val="0"/>
        <w:adjustRightInd w:val="0"/>
        <w:ind w:left="1354"/>
        <w:rPr>
          <w:rFonts w:ascii="Times New Roman" w:hAnsi="Times New Roman"/>
        </w:rPr>
      </w:pPr>
    </w:p>
    <w:p w:rsidRPr="00A22150" w:rsidR="00D04546" w:rsidP="008D02FE" w:rsidRDefault="00D04546">
      <w:pPr>
        <w:pStyle w:val="ListParagraph"/>
        <w:autoSpaceDE w:val="0"/>
        <w:autoSpaceDN w:val="0"/>
        <w:adjustRightInd w:val="0"/>
        <w:rPr>
          <w:rFonts w:ascii="Times New Roman" w:hAnsi="Times New Roman"/>
        </w:rPr>
      </w:pPr>
      <w:r w:rsidRPr="00A22150">
        <w:rPr>
          <w:rFonts w:ascii="Times New Roman" w:hAnsi="Times New Roman"/>
        </w:rPr>
        <w:t>**</w:t>
      </w:r>
      <w:r>
        <w:rPr>
          <w:rFonts w:ascii="Times New Roman" w:hAnsi="Times New Roman"/>
        </w:rPr>
        <w:t>*</w:t>
      </w:r>
      <w:r w:rsidRPr="00A22150">
        <w:rPr>
          <w:rFonts w:ascii="Times New Roman" w:hAnsi="Times New Roman"/>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A22150">
        <w:rPr>
          <w:rFonts w:ascii="Times New Roman" w:hAnsi="Times New Roman"/>
          <w:b/>
          <w:u w:val="single"/>
        </w:rPr>
        <w:t>There is no actual charge to respondents to complete the application</w:t>
      </w:r>
      <w:r w:rsidRPr="00A22150">
        <w:rPr>
          <w:rFonts w:ascii="Times New Roman" w:hAnsi="Times New Roman"/>
        </w:rPr>
        <w:t>.</w:t>
      </w:r>
    </w:p>
    <w:p w:rsidRPr="00D04546" w:rsidR="00D04546" w:rsidP="00D04546" w:rsidRDefault="00D04546">
      <w:pPr>
        <w:tabs>
          <w:tab w:val="left" w:pos="1350"/>
        </w:tabs>
        <w:autoSpaceDE w:val="0"/>
        <w:autoSpaceDN w:val="0"/>
        <w:adjustRightInd w:val="0"/>
        <w:ind w:left="1440"/>
        <w:contextualSpacing/>
        <w:rPr>
          <w:rFonts w:ascii="Times New Roman" w:hAnsi="Times New Roman"/>
        </w:rPr>
      </w:pPr>
    </w:p>
    <w:p w:rsidR="002B247B" w:rsidP="002B247B" w:rsidRDefault="002B247B">
      <w:pPr>
        <w:ind w:left="720"/>
        <w:rPr>
          <w:rFonts w:ascii="Times New Roman" w:hAnsi="Times New Roman"/>
        </w:rPr>
      </w:pPr>
      <w:r>
        <w:rPr>
          <w:rFonts w:ascii="Times New Roman" w:hAnsi="Times New Roman"/>
        </w:rP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13.97-mile driving distance for one-way travel.  We depict this on the chart below:</w:t>
      </w:r>
    </w:p>
    <w:p w:rsidR="002B247B" w:rsidP="002B247B" w:rsidRDefault="002B247B">
      <w:pPr>
        <w:ind w:left="1440"/>
        <w:rPr>
          <w:rFonts w:ascii="Times New Roman" w:hAnsi="Times New Roman"/>
        </w:rPr>
      </w:pPr>
    </w:p>
    <w:tbl>
      <w:tblPr>
        <w:tblW w:w="873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1"/>
        <w:gridCol w:w="1848"/>
        <w:gridCol w:w="1845"/>
        <w:gridCol w:w="1846"/>
        <w:gridCol w:w="1510"/>
      </w:tblGrid>
      <w:tr w:rsidR="002B247B" w:rsidTr="005B3328">
        <w:tc>
          <w:tcPr>
            <w:tcW w:w="1690" w:type="dxa"/>
            <w:shd w:val="clear" w:color="auto" w:fill="auto"/>
          </w:tcPr>
          <w:p w:rsidRPr="005B3328" w:rsidR="002B247B" w:rsidP="005B3328" w:rsidRDefault="002B247B">
            <w:pPr>
              <w:rPr>
                <w:rFonts w:ascii="Times New Roman" w:hAnsi="Times New Roman"/>
              </w:rPr>
            </w:pPr>
            <w:r w:rsidRPr="005B3328">
              <w:rPr>
                <w:rFonts w:ascii="Times New Roman" w:hAnsi="Times New Roman"/>
              </w:rPr>
              <w:t>Total Number of Respondents Who Visit a Field Office</w:t>
            </w:r>
          </w:p>
        </w:tc>
        <w:tc>
          <w:tcPr>
            <w:tcW w:w="1870" w:type="dxa"/>
            <w:shd w:val="clear" w:color="auto" w:fill="auto"/>
          </w:tcPr>
          <w:p w:rsidRPr="005B3328" w:rsidR="002B247B" w:rsidP="005B3328" w:rsidRDefault="002B247B">
            <w:pPr>
              <w:rPr>
                <w:rFonts w:ascii="Times New Roman" w:hAnsi="Times New Roman"/>
              </w:rPr>
            </w:pPr>
            <w:r w:rsidRPr="005B3328">
              <w:rPr>
                <w:rFonts w:ascii="Times New Roman" w:hAnsi="Times New Roman"/>
              </w:rPr>
              <w:t>Frequency of Response</w:t>
            </w:r>
          </w:p>
        </w:tc>
        <w:tc>
          <w:tcPr>
            <w:tcW w:w="1870" w:type="dxa"/>
            <w:shd w:val="clear" w:color="auto" w:fill="auto"/>
          </w:tcPr>
          <w:p w:rsidRPr="005B3328" w:rsidR="002B247B" w:rsidP="005B3328" w:rsidRDefault="002B247B">
            <w:pPr>
              <w:rPr>
                <w:rFonts w:ascii="Times New Roman" w:hAnsi="Times New Roman"/>
              </w:rPr>
            </w:pPr>
            <w:r w:rsidRPr="005B3328">
              <w:rPr>
                <w:rFonts w:ascii="Times New Roman" w:hAnsi="Times New Roman"/>
              </w:rPr>
              <w:t>Average One-Way Travel Time to a Field Office (minutes)</w:t>
            </w:r>
          </w:p>
        </w:tc>
        <w:tc>
          <w:tcPr>
            <w:tcW w:w="1870" w:type="dxa"/>
            <w:shd w:val="clear" w:color="auto" w:fill="auto"/>
          </w:tcPr>
          <w:p w:rsidRPr="005B3328" w:rsidR="002B247B" w:rsidP="005B3328" w:rsidRDefault="002B247B">
            <w:pPr>
              <w:rPr>
                <w:rFonts w:ascii="Times New Roman" w:hAnsi="Times New Roman"/>
              </w:rPr>
            </w:pPr>
            <w:r w:rsidRPr="005B3328">
              <w:rPr>
                <w:rFonts w:ascii="Times New Roman" w:hAnsi="Times New Roman"/>
              </w:rPr>
              <w:t>Estimated Total Travel Time to a Field Office (hours)</w:t>
            </w:r>
          </w:p>
        </w:tc>
        <w:tc>
          <w:tcPr>
            <w:tcW w:w="1430" w:type="dxa"/>
            <w:shd w:val="clear" w:color="auto" w:fill="auto"/>
          </w:tcPr>
          <w:p w:rsidRPr="005B3328" w:rsidR="002B247B" w:rsidP="005B3328" w:rsidRDefault="002B247B">
            <w:pPr>
              <w:rPr>
                <w:rFonts w:ascii="Times New Roman" w:hAnsi="Times New Roman"/>
              </w:rPr>
            </w:pPr>
            <w:r w:rsidRPr="005B3328">
              <w:rPr>
                <w:rFonts w:ascii="Times New Roman" w:hAnsi="Times New Roman"/>
              </w:rPr>
              <w:t>Total Annual Opportunity Cost for Travel Time (dollars)****</w:t>
            </w:r>
          </w:p>
        </w:tc>
      </w:tr>
      <w:tr w:rsidR="002B247B" w:rsidTr="005B3328">
        <w:tc>
          <w:tcPr>
            <w:tcW w:w="1690" w:type="dxa"/>
            <w:shd w:val="clear" w:color="auto" w:fill="auto"/>
          </w:tcPr>
          <w:p w:rsidRPr="005B3328" w:rsidR="002B247B" w:rsidP="005B3328" w:rsidRDefault="002B247B">
            <w:pPr>
              <w:jc w:val="right"/>
              <w:rPr>
                <w:rFonts w:ascii="Times New Roman" w:hAnsi="Times New Roman"/>
              </w:rPr>
            </w:pPr>
            <w:r w:rsidRPr="005B3328">
              <w:rPr>
                <w:rFonts w:ascii="Times New Roman" w:hAnsi="Times New Roman" w:eastAsia="SimSun"/>
              </w:rPr>
              <w:t>12,160</w:t>
            </w:r>
          </w:p>
        </w:tc>
        <w:tc>
          <w:tcPr>
            <w:tcW w:w="1870" w:type="dxa"/>
            <w:shd w:val="clear" w:color="auto" w:fill="auto"/>
          </w:tcPr>
          <w:p w:rsidRPr="005B3328" w:rsidR="002B247B" w:rsidP="005B3328" w:rsidRDefault="002B247B">
            <w:pPr>
              <w:jc w:val="right"/>
              <w:rPr>
                <w:rFonts w:ascii="Times New Roman" w:hAnsi="Times New Roman"/>
              </w:rPr>
            </w:pPr>
            <w:r w:rsidRPr="005B3328">
              <w:rPr>
                <w:rFonts w:ascii="Times New Roman" w:hAnsi="Times New Roman"/>
              </w:rPr>
              <w:t>1</w:t>
            </w:r>
          </w:p>
        </w:tc>
        <w:tc>
          <w:tcPr>
            <w:tcW w:w="1870" w:type="dxa"/>
            <w:shd w:val="clear" w:color="auto" w:fill="auto"/>
          </w:tcPr>
          <w:p w:rsidRPr="005B3328" w:rsidR="002B247B" w:rsidP="005B3328" w:rsidRDefault="002B247B">
            <w:pPr>
              <w:jc w:val="right"/>
              <w:rPr>
                <w:rFonts w:ascii="Times New Roman" w:hAnsi="Times New Roman"/>
              </w:rPr>
            </w:pPr>
            <w:r w:rsidRPr="005B3328">
              <w:rPr>
                <w:rFonts w:ascii="Times New Roman" w:hAnsi="Times New Roman"/>
              </w:rPr>
              <w:t>30</w:t>
            </w:r>
          </w:p>
        </w:tc>
        <w:tc>
          <w:tcPr>
            <w:tcW w:w="1870" w:type="dxa"/>
            <w:shd w:val="clear" w:color="auto" w:fill="auto"/>
          </w:tcPr>
          <w:p w:rsidRPr="005B3328" w:rsidR="002B247B" w:rsidP="005B3328" w:rsidRDefault="00F020D3">
            <w:pPr>
              <w:jc w:val="right"/>
              <w:rPr>
                <w:rFonts w:ascii="Times New Roman" w:hAnsi="Times New Roman"/>
              </w:rPr>
            </w:pPr>
            <w:r>
              <w:rPr>
                <w:rFonts w:ascii="Times New Roman" w:hAnsi="Times New Roman"/>
              </w:rPr>
              <w:t>2,837</w:t>
            </w:r>
          </w:p>
        </w:tc>
        <w:tc>
          <w:tcPr>
            <w:tcW w:w="1430" w:type="dxa"/>
            <w:shd w:val="clear" w:color="auto" w:fill="auto"/>
          </w:tcPr>
          <w:p w:rsidRPr="005B3328" w:rsidR="002B247B" w:rsidP="00F020D3" w:rsidRDefault="002B247B">
            <w:pPr>
              <w:jc w:val="right"/>
              <w:rPr>
                <w:rFonts w:ascii="Times New Roman" w:hAnsi="Times New Roman"/>
              </w:rPr>
            </w:pPr>
            <w:r w:rsidRPr="005B3328">
              <w:rPr>
                <w:rFonts w:ascii="Times New Roman" w:hAnsi="Times New Roman"/>
              </w:rPr>
              <w:t>$</w:t>
            </w:r>
            <w:r w:rsidR="00F020D3">
              <w:rPr>
                <w:rFonts w:ascii="Times New Roman" w:hAnsi="Times New Roman"/>
              </w:rPr>
              <w:t>30,441</w:t>
            </w:r>
          </w:p>
        </w:tc>
      </w:tr>
    </w:tbl>
    <w:p w:rsidR="002B247B" w:rsidP="008D02FE" w:rsidRDefault="002B247B">
      <w:pPr>
        <w:ind w:left="720"/>
        <w:rPr>
          <w:rFonts w:ascii="Times New Roman" w:hAnsi="Times New Roman"/>
        </w:rPr>
      </w:pPr>
      <w:r>
        <w:rPr>
          <w:rFonts w:ascii="Times New Roman" w:hAnsi="Times New Roman"/>
        </w:rPr>
        <w:t xml:space="preserve">****We based this dollar amount on the Average Theoretical Hourly Cost Amount in dollars shown on the burden chart above. </w:t>
      </w:r>
    </w:p>
    <w:p w:rsidR="002B247B" w:rsidP="002B247B" w:rsidRDefault="002B247B">
      <w:pPr>
        <w:rPr>
          <w:rFonts w:ascii="Times New Roman" w:hAnsi="Times New Roman"/>
        </w:rPr>
      </w:pPr>
      <w:r>
        <w:rPr>
          <w:rFonts w:ascii="Times New Roman" w:hAnsi="Times New Roman"/>
        </w:rPr>
        <w:t xml:space="preserve"> </w:t>
      </w:r>
    </w:p>
    <w:p w:rsidR="002B247B" w:rsidP="008D02FE" w:rsidRDefault="002B247B">
      <w:pPr>
        <w:ind w:left="720"/>
        <w:rPr>
          <w:rFonts w:ascii="Times New Roman" w:hAnsi="Times New Roman"/>
        </w:rPr>
      </w:pPr>
      <w:r>
        <w:rPr>
          <w:rFonts w:ascii="Times New Roman" w:hAnsi="Times New Roman"/>
        </w:rPr>
        <w:t xml:space="preserve">Per OIRA, we include this travel time burden estimate under the 5 CFR 1320.8(a)(4), </w:t>
      </w:r>
      <w:r>
        <w:rPr>
          <w:rFonts w:ascii="Times New Roman" w:hAnsi="Times New Roman"/>
        </w:rPr>
        <w:lastRenderedPageBreak/>
        <w:t>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2B247B" w:rsidP="002B247B" w:rsidRDefault="002B247B">
      <w:pPr>
        <w:rPr>
          <w:rFonts w:ascii="Times New Roman" w:hAnsi="Times New Roman"/>
        </w:rPr>
      </w:pPr>
    </w:p>
    <w:p w:rsidR="002B247B" w:rsidP="008D02FE" w:rsidRDefault="002B247B">
      <w:pPr>
        <w:ind w:left="720"/>
        <w:rPr>
          <w:rFonts w:ascii="Times New Roman" w:hAnsi="Times New Roman"/>
        </w:rPr>
      </w:pPr>
      <w:r>
        <w:rPr>
          <w:rFonts w:ascii="Times New Roman" w:hAnsi="Times New Roman"/>
        </w:rPr>
        <w:t>NOTE:  We included the total opportunity cost estimate from this chart in our calculations when showing the total opportunity cost estimates in the paragraph below.</w:t>
      </w:r>
    </w:p>
    <w:p w:rsidR="002B247B" w:rsidP="002B247B" w:rsidRDefault="002B247B">
      <w:pPr>
        <w:rPr>
          <w:rFonts w:ascii="Times New Roman" w:hAnsi="Times New Roman"/>
        </w:rPr>
      </w:pPr>
    </w:p>
    <w:p w:rsidRPr="005C21F0" w:rsidR="002B247B" w:rsidP="008D02FE" w:rsidRDefault="002B247B">
      <w:pPr>
        <w:tabs>
          <w:tab w:val="left" w:pos="360"/>
          <w:tab w:val="left" w:pos="1620"/>
          <w:tab w:val="right" w:pos="8640"/>
        </w:tabs>
        <w:ind w:left="720"/>
        <w:rPr>
          <w:rFonts w:ascii="Times New Roman" w:hAnsi="Times New Roman"/>
        </w:rPr>
      </w:pPr>
      <w:r w:rsidRPr="002B247B">
        <w:rPr>
          <w:rFonts w:ascii="Times New Roman" w:hAnsi="Times New Roman"/>
          <w:color w:val="000000"/>
        </w:rPr>
        <w:t xml:space="preserve">We base our burden estimates on current management information data, which includes data from actual interviews, as well as from years of conducting this information collection.  Per our management information data, we believe that 10 minutes accurately shows the average burden per response for reading the </w:t>
      </w:r>
      <w:r w:rsidRPr="00851336">
        <w:rPr>
          <w:rFonts w:ascii="Times New Roman" w:hAnsi="Times New Roman"/>
        </w:rPr>
        <w:t>instructions, gathering the facts, and answering the questions</w:t>
      </w:r>
      <w:r w:rsidRPr="002B247B">
        <w:rPr>
          <w:rFonts w:ascii="Times New Roman" w:hAnsi="Times New Roman"/>
          <w:color w:val="000000"/>
        </w:rPr>
        <w:t xml:space="preserve">.  Based on our current management information data, the current burden information we provided is accurate.  </w:t>
      </w:r>
      <w:r w:rsidRPr="00851336">
        <w:rPr>
          <w:rFonts w:ascii="Times New Roman" w:hAnsi="Times New Roman"/>
        </w:rPr>
        <w:t>The total burden</w:t>
      </w:r>
      <w:r>
        <w:rPr>
          <w:rFonts w:ascii="Times New Roman" w:hAnsi="Times New Roman"/>
        </w:rPr>
        <w:t xml:space="preserve"> for this collection instrument</w:t>
      </w:r>
      <w:r w:rsidRPr="004F4A01">
        <w:rPr>
          <w:rFonts w:ascii="Times New Roman" w:hAnsi="Times New Roman"/>
        </w:rPr>
        <w:t xml:space="preserve"> </w:t>
      </w:r>
      <w:r w:rsidRPr="000357B7">
        <w:rPr>
          <w:rFonts w:ascii="Times New Roman" w:hAnsi="Times New Roman"/>
        </w:rPr>
        <w:t xml:space="preserve">is </w:t>
      </w:r>
      <w:r w:rsidR="008D02FE">
        <w:rPr>
          <w:rFonts w:ascii="Times New Roman" w:hAnsi="Times New Roman" w:eastAsia="SimSun"/>
          <w:b/>
          <w:snapToGrid/>
          <w:lang w:eastAsia="zh-CN"/>
        </w:rPr>
        <w:t>14,186</w:t>
      </w:r>
      <w:r w:rsidR="00EE360E">
        <w:rPr>
          <w:rFonts w:ascii="Times New Roman" w:hAnsi="Times New Roman" w:eastAsia="SimSun"/>
          <w:b/>
          <w:snapToGrid/>
          <w:lang w:eastAsia="zh-CN"/>
        </w:rPr>
        <w:t xml:space="preserve"> </w:t>
      </w:r>
      <w:r w:rsidRPr="000357B7">
        <w:rPr>
          <w:rFonts w:ascii="Times New Roman" w:hAnsi="Times New Roman"/>
        </w:rPr>
        <w:t xml:space="preserve">burden hours (reflecting SSA management information data), which results in an associated theoretical (not actual) opportunity cost financial </w:t>
      </w:r>
      <w:r w:rsidRPr="00851336">
        <w:rPr>
          <w:rFonts w:ascii="Times New Roman" w:hAnsi="Times New Roman"/>
        </w:rPr>
        <w:t xml:space="preserve">burden of </w:t>
      </w:r>
      <w:r w:rsidRPr="00851336">
        <w:rPr>
          <w:rFonts w:ascii="Times New Roman" w:hAnsi="Times New Roman"/>
          <w:b/>
        </w:rPr>
        <w:t>$</w:t>
      </w:r>
      <w:r w:rsidR="008D02FE">
        <w:rPr>
          <w:rFonts w:ascii="Times New Roman" w:hAnsi="Times New Roman"/>
          <w:b/>
        </w:rPr>
        <w:t>606,707</w:t>
      </w:r>
      <w:r w:rsidRPr="00851336">
        <w:rPr>
          <w:rFonts w:ascii="Times New Roman" w:hAnsi="Times New Roman"/>
        </w:rPr>
        <w:t>.  SSA does not charge respondents to complete our applications.</w:t>
      </w:r>
    </w:p>
    <w:p w:rsidRPr="00C17300" w:rsidR="003B15EC" w:rsidP="00D04546" w:rsidRDefault="003B15EC">
      <w:pPr>
        <w:ind w:left="1440"/>
        <w:rPr>
          <w:rFonts w:ascii="Times New Roman" w:hAnsi="Times New Roman"/>
          <w:b/>
          <w:u w:val="single"/>
        </w:rPr>
      </w:pPr>
    </w:p>
    <w:p w:rsidRPr="00BC7F42" w:rsidR="00A45D82" w:rsidP="00A45D82" w:rsidRDefault="00A45D82">
      <w:pPr>
        <w:ind w:left="720" w:hanging="720"/>
        <w:rPr>
          <w:rFonts w:ascii="Times New Roman" w:hAnsi="Times New Roman"/>
        </w:rPr>
      </w:pPr>
      <w:r w:rsidRPr="002B247B">
        <w:rPr>
          <w:rFonts w:ascii="Times New Roman" w:hAnsi="Times New Roman"/>
        </w:rPr>
        <w:t>13</w:t>
      </w:r>
      <w:r w:rsidRPr="003B15EC">
        <w:rPr>
          <w:rFonts w:ascii="Times New Roman" w:hAnsi="Times New Roman"/>
          <w:b/>
        </w:rPr>
        <w:t>.</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FB7B70" w:rsidR="00A45D82" w:rsidP="00A45D82" w:rsidRDefault="00121032">
      <w:pPr>
        <w:ind w:firstLine="720"/>
        <w:rPr>
          <w:rFonts w:ascii="Times New Roman" w:hAnsi="Times New Roman"/>
        </w:rPr>
      </w:pPr>
      <w:r w:rsidRPr="00FB7B70">
        <w:rPr>
          <w:rFonts w:ascii="Times New Roman" w:hAnsi="Times New Roman"/>
        </w:rPr>
        <w:t xml:space="preserve">This collection does not impose a known cost burden </w:t>
      </w:r>
      <w:r w:rsidRPr="00FB7B70" w:rsidR="00AC39FD">
        <w:rPr>
          <w:rFonts w:ascii="Times New Roman" w:hAnsi="Times New Roman"/>
        </w:rPr>
        <w:t>on</w:t>
      </w:r>
      <w:r w:rsidRPr="00FB7B70">
        <w:rPr>
          <w:rFonts w:ascii="Times New Roman" w:hAnsi="Times New Roman"/>
        </w:rPr>
        <w:t xml:space="preserve"> the respondents. </w:t>
      </w:r>
      <w:r w:rsidRPr="00FB7B70" w:rsidR="00A45D82">
        <w:rPr>
          <w:rFonts w:ascii="Times New Roman" w:hAnsi="Times New Roman"/>
        </w:rPr>
        <w:t xml:space="preserve">  </w:t>
      </w:r>
    </w:p>
    <w:p w:rsidRPr="00BC7F42" w:rsidR="00A45D82" w:rsidP="00A45D82" w:rsidRDefault="00A45D82">
      <w:pPr>
        <w:rPr>
          <w:rFonts w:ascii="Times New Roman" w:hAnsi="Times New Roman"/>
        </w:rPr>
      </w:pPr>
    </w:p>
    <w:p w:rsidRPr="008C5D14" w:rsidR="00121032" w:rsidP="00A45D82" w:rsidRDefault="00A45D82">
      <w:pPr>
        <w:numPr>
          <w:ilvl w:val="0"/>
          <w:numId w:val="27"/>
        </w:numPr>
        <w:tabs>
          <w:tab w:val="clear" w:pos="360"/>
          <w:tab w:val="left" w:pos="720"/>
        </w:tabs>
        <w:ind w:left="720" w:hanging="720"/>
        <w:rPr>
          <w:rFonts w:ascii="Times New Roman" w:hAnsi="Times New Roman"/>
        </w:rPr>
      </w:pPr>
      <w:r w:rsidRPr="008C0803">
        <w:rPr>
          <w:rFonts w:ascii="Times New Roman" w:hAnsi="Times New Roman"/>
          <w:b/>
        </w:rPr>
        <w:t>Annual Cost To Federal Government</w:t>
      </w:r>
    </w:p>
    <w:p w:rsidRPr="008C5D14" w:rsidR="008C5D14" w:rsidP="008C5D14" w:rsidRDefault="008C5D14">
      <w:pPr>
        <w:ind w:left="720"/>
        <w:rPr>
          <w:rFonts w:ascii="Times New Roman" w:hAnsi="Times New Roman" w:eastAsia="Calibri"/>
          <w:snapToGrid/>
          <w:color w:val="000000"/>
        </w:rPr>
      </w:pPr>
      <w:r w:rsidRPr="008C5D14">
        <w:rPr>
          <w:rFonts w:ascii="Times New Roman" w:hAnsi="Times New Roman" w:eastAsia="Calibri"/>
          <w:color w:val="000000"/>
        </w:rPr>
        <w:t xml:space="preserve">The annual cost to the Federal Government is approximately </w:t>
      </w:r>
      <w:r w:rsidRPr="00A13156">
        <w:rPr>
          <w:rFonts w:ascii="Times New Roman" w:hAnsi="Times New Roman" w:eastAsia="Calibri"/>
          <w:b/>
          <w:color w:val="000000"/>
        </w:rPr>
        <w:t>$</w:t>
      </w:r>
      <w:r w:rsidRPr="00A13156" w:rsidR="00A13156">
        <w:rPr>
          <w:rFonts w:ascii="Times New Roman" w:hAnsi="Times New Roman" w:eastAsia="Calibri"/>
          <w:b/>
          <w:color w:val="000000"/>
        </w:rPr>
        <w:t>1,399,649</w:t>
      </w:r>
      <w:r w:rsidRPr="008C5D14">
        <w:rPr>
          <w:rFonts w:ascii="Times New Roman" w:hAnsi="Times New Roman" w:eastAsia="Calibri"/>
          <w:color w:val="000000"/>
        </w:rPr>
        <w:t xml:space="preserve">.  This estimate accounts for costs from the following areas:  </w:t>
      </w:r>
    </w:p>
    <w:p w:rsidRPr="008C5D14" w:rsidR="008C5D14" w:rsidP="008C5D14" w:rsidRDefault="008C5D14">
      <w:pPr>
        <w:spacing w:after="160" w:line="252" w:lineRule="auto"/>
        <w:ind w:left="360"/>
        <w:contextualSpacing/>
        <w:rPr>
          <w:rFonts w:ascii="Times New Roman" w:hAnsi="Times New Roman" w:eastAsia="Calibri"/>
          <w:color w:val="000000"/>
        </w:rPr>
      </w:pPr>
    </w:p>
    <w:tbl>
      <w:tblPr>
        <w:tblW w:w="8812" w:type="dxa"/>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539"/>
        <w:gridCol w:w="3087"/>
        <w:gridCol w:w="2186"/>
      </w:tblGrid>
      <w:tr w:rsidRPr="008C5D14" w:rsidR="008C5D14" w:rsidTr="008D02FE">
        <w:trPr>
          <w:trHeight w:val="251"/>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b/>
                <w:bCs/>
                <w:color w:val="000000"/>
              </w:rPr>
            </w:pPr>
            <w:r w:rsidRPr="008C5D14">
              <w:rPr>
                <w:rFonts w:ascii="Times New Roman" w:hAnsi="Times New Roman" w:eastAsia="Calibri"/>
                <w:b/>
                <w:bCs/>
                <w:color w:val="000000"/>
              </w:rPr>
              <w:t>Description of Cost Factor</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b/>
                <w:bCs/>
                <w:color w:val="000000"/>
              </w:rPr>
            </w:pPr>
            <w:r w:rsidRPr="008C5D14">
              <w:rPr>
                <w:rFonts w:ascii="Times New Roman" w:hAnsi="Times New Roman" w:eastAsia="Calibri"/>
                <w:b/>
                <w:bCs/>
                <w:color w:val="000000"/>
              </w:rPr>
              <w:t>Methodology for Estimating Cost</w:t>
            </w:r>
          </w:p>
        </w:tc>
        <w:tc>
          <w:tcPr>
            <w:tcW w:w="2186"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b/>
                <w:bCs/>
                <w:color w:val="000000"/>
              </w:rPr>
            </w:pPr>
            <w:r w:rsidRPr="008C5D14">
              <w:rPr>
                <w:rFonts w:ascii="Times New Roman" w:hAnsi="Times New Roman" w:eastAsia="Calibri"/>
                <w:b/>
                <w:bCs/>
                <w:color w:val="000000"/>
              </w:rPr>
              <w:t>Cost in Dollars*</w:t>
            </w:r>
          </w:p>
        </w:tc>
      </w:tr>
      <w:tr w:rsidRPr="008C5D14" w:rsidR="008C5D14" w:rsidTr="008D02FE">
        <w:trPr>
          <w:trHeight w:val="240"/>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Designing and Printing the Form</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Design Cost + Printing Cost</w:t>
            </w:r>
          </w:p>
        </w:tc>
        <w:tc>
          <w:tcPr>
            <w:tcW w:w="2186" w:type="dxa"/>
            <w:tcMar>
              <w:top w:w="0" w:type="dxa"/>
              <w:left w:w="108" w:type="dxa"/>
              <w:bottom w:w="0" w:type="dxa"/>
              <w:right w:w="108" w:type="dxa"/>
            </w:tcMar>
          </w:tcPr>
          <w:p w:rsidRPr="008C5D14" w:rsidR="008C5D14" w:rsidRDefault="008C5D14">
            <w:pPr>
              <w:spacing w:line="256" w:lineRule="auto"/>
              <w:rPr>
                <w:rFonts w:ascii="Times New Roman" w:hAnsi="Times New Roman" w:eastAsia="Calibri"/>
                <w:color w:val="000000"/>
              </w:rPr>
            </w:pPr>
            <w:r>
              <w:rPr>
                <w:rFonts w:ascii="Times New Roman" w:hAnsi="Times New Roman" w:eastAsia="Calibri"/>
                <w:color w:val="000000"/>
              </w:rPr>
              <w:t>$595</w:t>
            </w:r>
          </w:p>
        </w:tc>
      </w:tr>
      <w:tr w:rsidRPr="008C5D14" w:rsidR="008C5D14" w:rsidTr="008D02FE">
        <w:trPr>
          <w:trHeight w:val="503"/>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Distributing, Shipping, and Material Costs for the Form</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Distribution + Shipping + Material Cost</w:t>
            </w:r>
          </w:p>
        </w:tc>
        <w:tc>
          <w:tcPr>
            <w:tcW w:w="2186" w:type="dxa"/>
            <w:tcMar>
              <w:top w:w="0" w:type="dxa"/>
              <w:left w:w="108" w:type="dxa"/>
              <w:bottom w:w="0" w:type="dxa"/>
              <w:right w:w="108" w:type="dxa"/>
            </w:tcMar>
          </w:tcPr>
          <w:p w:rsidRPr="008C5D14" w:rsidR="008C5D14" w:rsidRDefault="008C5D14">
            <w:pPr>
              <w:spacing w:line="256" w:lineRule="auto"/>
              <w:rPr>
                <w:rFonts w:ascii="Times New Roman" w:hAnsi="Times New Roman" w:eastAsia="Calibri"/>
                <w:color w:val="000000"/>
              </w:rPr>
            </w:pPr>
            <w:r>
              <w:rPr>
                <w:rFonts w:ascii="Times New Roman" w:hAnsi="Times New Roman" w:eastAsia="Calibri"/>
                <w:color w:val="000000"/>
              </w:rPr>
              <w:t>$0</w:t>
            </w:r>
          </w:p>
        </w:tc>
      </w:tr>
      <w:tr w:rsidRPr="008C5D14" w:rsidR="008C5D14" w:rsidTr="008D02FE">
        <w:trPr>
          <w:trHeight w:val="754"/>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SSA Employee (e.g., field office, 800 number, DDS staff) Information Collection and Processing Time</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GS-9 employee x # of responses x processing time</w:t>
            </w:r>
          </w:p>
        </w:tc>
        <w:tc>
          <w:tcPr>
            <w:tcW w:w="2186" w:type="dxa"/>
            <w:tcMar>
              <w:top w:w="0" w:type="dxa"/>
              <w:left w:w="108" w:type="dxa"/>
              <w:bottom w:w="0" w:type="dxa"/>
              <w:right w:w="108" w:type="dxa"/>
            </w:tcMar>
          </w:tcPr>
          <w:p w:rsidRPr="008C5D14" w:rsidR="008C5D14" w:rsidP="008C5D14" w:rsidRDefault="008C5D14">
            <w:pPr>
              <w:spacing w:line="256" w:lineRule="auto"/>
              <w:rPr>
                <w:rFonts w:ascii="Times New Roman" w:hAnsi="Times New Roman" w:eastAsia="Calibri"/>
                <w:color w:val="000000"/>
              </w:rPr>
            </w:pPr>
            <w:r>
              <w:rPr>
                <w:rFonts w:ascii="Times New Roman" w:hAnsi="Times New Roman" w:eastAsia="Calibri"/>
                <w:color w:val="000000"/>
              </w:rPr>
              <w:t>$</w:t>
            </w:r>
            <w:r w:rsidR="00A13156">
              <w:rPr>
                <w:rFonts w:ascii="Times New Roman" w:hAnsi="Times New Roman" w:eastAsia="Calibri"/>
                <w:color w:val="000000"/>
              </w:rPr>
              <w:t>31</w:t>
            </w:r>
            <w:r>
              <w:rPr>
                <w:rFonts w:ascii="Times New Roman" w:hAnsi="Times New Roman" w:eastAsia="Calibri"/>
                <w:color w:val="000000"/>
              </w:rPr>
              <w:t>,</w:t>
            </w:r>
            <w:r w:rsidR="00A13156">
              <w:rPr>
                <w:rFonts w:ascii="Times New Roman" w:hAnsi="Times New Roman" w:eastAsia="Calibri"/>
                <w:color w:val="000000"/>
              </w:rPr>
              <w:t>054</w:t>
            </w:r>
          </w:p>
        </w:tc>
      </w:tr>
      <w:tr w:rsidRPr="008C5D14" w:rsidR="008C5D14" w:rsidTr="008D02FE">
        <w:trPr>
          <w:trHeight w:val="492"/>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Full-Time Equivalent Costs</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Out of pocket costs + Other expenses for providing this service</w:t>
            </w:r>
          </w:p>
        </w:tc>
        <w:tc>
          <w:tcPr>
            <w:tcW w:w="2186" w:type="dxa"/>
            <w:tcMar>
              <w:top w:w="0" w:type="dxa"/>
              <w:left w:w="108" w:type="dxa"/>
              <w:bottom w:w="0" w:type="dxa"/>
              <w:right w:w="108" w:type="dxa"/>
            </w:tcMar>
          </w:tcPr>
          <w:p w:rsidRPr="008C5D14" w:rsidR="008C5D14" w:rsidRDefault="00A13156">
            <w:pPr>
              <w:spacing w:line="256" w:lineRule="auto"/>
              <w:rPr>
                <w:rFonts w:ascii="Times New Roman" w:hAnsi="Times New Roman" w:eastAsia="Calibri"/>
                <w:color w:val="000000"/>
              </w:rPr>
            </w:pPr>
            <w:r>
              <w:rPr>
                <w:rFonts w:ascii="Times New Roman" w:hAnsi="Times New Roman" w:eastAsia="Calibri"/>
                <w:color w:val="000000"/>
              </w:rPr>
              <w:t>$0</w:t>
            </w:r>
          </w:p>
        </w:tc>
      </w:tr>
      <w:tr w:rsidRPr="008C5D14" w:rsidR="008C5D14" w:rsidTr="008D02FE">
        <w:trPr>
          <w:trHeight w:val="754"/>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Systems Development, Updating, and Maintenance</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GS-9 employee x man hours for development, updating, maintenance</w:t>
            </w:r>
          </w:p>
        </w:tc>
        <w:tc>
          <w:tcPr>
            <w:tcW w:w="2186" w:type="dxa"/>
            <w:tcMar>
              <w:top w:w="0" w:type="dxa"/>
              <w:left w:w="108" w:type="dxa"/>
              <w:bottom w:w="0" w:type="dxa"/>
              <w:right w:w="108" w:type="dxa"/>
            </w:tcMar>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w:t>
            </w:r>
            <w:r w:rsidRPr="008C5D14">
              <w:rPr>
                <w:rFonts w:ascii="Times New Roman" w:hAnsi="Times New Roman"/>
                <w:color w:val="000000"/>
              </w:rPr>
              <w:t>1,368,000</w:t>
            </w:r>
          </w:p>
        </w:tc>
      </w:tr>
      <w:tr w:rsidRPr="008C5D14" w:rsidR="008C5D14" w:rsidTr="008D02FE">
        <w:trPr>
          <w:trHeight w:val="251"/>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Quantifiable IT Costs</w:t>
            </w:r>
          </w:p>
        </w:tc>
        <w:tc>
          <w:tcPr>
            <w:tcW w:w="3087"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color w:val="000000"/>
              </w:rPr>
            </w:pPr>
            <w:r w:rsidRPr="008C5D14">
              <w:rPr>
                <w:rFonts w:ascii="Times New Roman" w:hAnsi="Times New Roman" w:eastAsia="Calibri"/>
                <w:color w:val="000000"/>
              </w:rPr>
              <w:t>Any additional IT costs</w:t>
            </w:r>
          </w:p>
        </w:tc>
        <w:tc>
          <w:tcPr>
            <w:tcW w:w="2186" w:type="dxa"/>
            <w:tcMar>
              <w:top w:w="0" w:type="dxa"/>
              <w:left w:w="108" w:type="dxa"/>
              <w:bottom w:w="0" w:type="dxa"/>
              <w:right w:w="108" w:type="dxa"/>
            </w:tcMar>
          </w:tcPr>
          <w:p w:rsidRPr="008C5D14" w:rsidR="008C5D14" w:rsidRDefault="008C5D14">
            <w:pPr>
              <w:spacing w:line="256" w:lineRule="auto"/>
              <w:rPr>
                <w:rFonts w:ascii="Times New Roman" w:hAnsi="Times New Roman" w:eastAsia="Calibri"/>
                <w:color w:val="000000"/>
              </w:rPr>
            </w:pPr>
            <w:r>
              <w:rPr>
                <w:rFonts w:ascii="Times New Roman" w:hAnsi="Times New Roman" w:eastAsia="Calibri"/>
                <w:color w:val="000000"/>
              </w:rPr>
              <w:t>$0</w:t>
            </w:r>
          </w:p>
        </w:tc>
      </w:tr>
      <w:tr w:rsidRPr="008C5D14" w:rsidR="008C5D14" w:rsidTr="008D02FE">
        <w:trPr>
          <w:trHeight w:val="251"/>
        </w:trPr>
        <w:tc>
          <w:tcPr>
            <w:tcW w:w="3539" w:type="dxa"/>
            <w:tcMar>
              <w:top w:w="0" w:type="dxa"/>
              <w:left w:w="108" w:type="dxa"/>
              <w:bottom w:w="0" w:type="dxa"/>
              <w:right w:w="108" w:type="dxa"/>
            </w:tcMar>
            <w:hideMark/>
          </w:tcPr>
          <w:p w:rsidRPr="008C5D14" w:rsidR="008C5D14" w:rsidRDefault="008C5D14">
            <w:pPr>
              <w:spacing w:line="256" w:lineRule="auto"/>
              <w:rPr>
                <w:rFonts w:ascii="Times New Roman" w:hAnsi="Times New Roman" w:eastAsia="Calibri"/>
                <w:b/>
                <w:color w:val="000000"/>
              </w:rPr>
            </w:pPr>
            <w:r w:rsidRPr="008C5D14">
              <w:rPr>
                <w:rFonts w:ascii="Times New Roman" w:hAnsi="Times New Roman" w:eastAsia="Calibri"/>
                <w:b/>
                <w:color w:val="000000"/>
              </w:rPr>
              <w:lastRenderedPageBreak/>
              <w:t>Total</w:t>
            </w:r>
          </w:p>
        </w:tc>
        <w:tc>
          <w:tcPr>
            <w:tcW w:w="3087" w:type="dxa"/>
            <w:tcMar>
              <w:top w:w="0" w:type="dxa"/>
              <w:left w:w="108" w:type="dxa"/>
              <w:bottom w:w="0" w:type="dxa"/>
              <w:right w:w="108" w:type="dxa"/>
            </w:tcMar>
          </w:tcPr>
          <w:p w:rsidRPr="008C5D14" w:rsidR="008C5D14" w:rsidRDefault="008C5D14">
            <w:pPr>
              <w:spacing w:line="256" w:lineRule="auto"/>
              <w:rPr>
                <w:rFonts w:ascii="Times New Roman" w:hAnsi="Times New Roman" w:eastAsia="Calibri"/>
                <w:color w:val="000000"/>
              </w:rPr>
            </w:pPr>
          </w:p>
        </w:tc>
        <w:tc>
          <w:tcPr>
            <w:tcW w:w="2186" w:type="dxa"/>
            <w:tcMar>
              <w:top w:w="0" w:type="dxa"/>
              <w:left w:w="108" w:type="dxa"/>
              <w:bottom w:w="0" w:type="dxa"/>
              <w:right w:w="108" w:type="dxa"/>
            </w:tcMar>
          </w:tcPr>
          <w:p w:rsidRPr="008C5D14" w:rsidR="008C5D14" w:rsidP="00A13156" w:rsidRDefault="008C5D14">
            <w:pPr>
              <w:spacing w:line="256" w:lineRule="auto"/>
              <w:rPr>
                <w:rFonts w:ascii="Times New Roman" w:hAnsi="Times New Roman" w:eastAsia="Calibri"/>
                <w:b/>
                <w:color w:val="000000"/>
              </w:rPr>
            </w:pPr>
            <w:r w:rsidRPr="008C5D14">
              <w:rPr>
                <w:rFonts w:ascii="Times New Roman" w:hAnsi="Times New Roman" w:eastAsia="Calibri"/>
                <w:b/>
                <w:color w:val="000000"/>
              </w:rPr>
              <w:t>$</w:t>
            </w:r>
            <w:r w:rsidR="00A13156">
              <w:rPr>
                <w:rFonts w:ascii="Times New Roman" w:hAnsi="Times New Roman" w:eastAsia="Calibri"/>
                <w:b/>
                <w:color w:val="000000"/>
              </w:rPr>
              <w:t>1,399,649</w:t>
            </w:r>
          </w:p>
        </w:tc>
      </w:tr>
    </w:tbl>
    <w:p w:rsidR="004F01D0" w:rsidP="00A13156" w:rsidRDefault="00A13156">
      <w:pPr>
        <w:ind w:left="720"/>
        <w:rPr>
          <w:rFonts w:ascii="Times New Roman" w:hAnsi="Times New Roman"/>
          <w:color w:val="000000"/>
        </w:rPr>
      </w:pPr>
      <w:r>
        <w:rPr>
          <w:rFonts w:ascii="Times New Roman" w:hAnsi="Times New Roman"/>
        </w:rPr>
        <w:t xml:space="preserve"> </w:t>
      </w:r>
      <w:r w:rsidR="008D02FE">
        <w:rPr>
          <w:rFonts w:ascii="Times New Roman" w:hAnsi="Times New Roman"/>
          <w:color w:val="000000"/>
        </w:rPr>
        <w:t>* We have inserted a $0 amount for cost factors that do not apply to this collection</w:t>
      </w:r>
      <w:r w:rsidR="008D02FE">
        <w:rPr>
          <w:rFonts w:ascii="Times New Roman" w:hAnsi="Times New Roman"/>
          <w:color w:val="000000"/>
        </w:rPr>
        <w:t>.</w:t>
      </w:r>
    </w:p>
    <w:p w:rsidR="008D02FE" w:rsidP="00A13156" w:rsidRDefault="008D02FE">
      <w:pPr>
        <w:ind w:left="720"/>
        <w:rPr>
          <w:rFonts w:ascii="Times New Roman" w:hAnsi="Times New Roman"/>
          <w:color w:val="000000"/>
        </w:rPr>
      </w:pPr>
    </w:p>
    <w:p w:rsidR="008D02FE" w:rsidP="00A13156" w:rsidRDefault="008D02FE">
      <w:pPr>
        <w:ind w:left="720"/>
        <w:rPr>
          <w:rFonts w:ascii="Times New Roman" w:hAnsi="Times New Roman"/>
          <w:color w:val="000000"/>
        </w:rPr>
      </w:pPr>
      <w:r>
        <w:rPr>
          <w:rFonts w:ascii="Times New Roman" w:hAnsi="Times New Roman"/>
          <w:color w:val="000000"/>
        </w:rPr>
        <w:t>SSA is unable to break down the costs to the Federal government furthe</w:t>
      </w:r>
      <w:r w:rsidR="000A6508">
        <w:rPr>
          <w:rFonts w:ascii="Times New Roman" w:hAnsi="Times New Roman"/>
          <w:color w:val="000000"/>
        </w:rPr>
        <w:t>r than we already have.  First</w:t>
      </w:r>
      <w:r>
        <w:rPr>
          <w:rFonts w:ascii="Times New Roman" w:hAnsi="Times New Roman"/>
          <w:color w:val="000000"/>
        </w:rPr>
        <w:t>,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r>
        <w:rPr>
          <w:rFonts w:ascii="Times New Roman" w:hAnsi="Times New Roman"/>
          <w:color w:val="000000"/>
        </w:rPr>
        <w:t>.</w:t>
      </w:r>
    </w:p>
    <w:p w:rsidRPr="00BC7F42" w:rsidR="008D02FE" w:rsidP="00A13156" w:rsidRDefault="008D02FE">
      <w:pPr>
        <w:ind w:left="720"/>
        <w:rPr>
          <w:rFonts w:ascii="Times New Roman" w:hAnsi="Times New Roman"/>
          <w:i/>
        </w:rPr>
      </w:pPr>
    </w:p>
    <w:p w:rsidR="00063A05" w:rsidP="00A45D82" w:rsidRDefault="00A45D82">
      <w:pPr>
        <w:ind w:left="720" w:hanging="720"/>
        <w:rPr>
          <w:rFonts w:ascii="Times New Roman" w:hAnsi="Times New Roman"/>
          <w:b/>
        </w:rPr>
      </w:pPr>
      <w:r w:rsidRPr="002B247B">
        <w:rPr>
          <w:rFonts w:ascii="Times New Roman" w:hAnsi="Times New Roman"/>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Pr="00F5489D" w:rsidR="00063A05" w:rsidP="001A5624" w:rsidRDefault="00CD74F3">
      <w:pPr>
        <w:ind w:left="720"/>
        <w:rPr>
          <w:rFonts w:ascii="Times New Roman" w:hAnsi="Times New Roman"/>
        </w:rPr>
      </w:pPr>
      <w:r w:rsidRPr="00CD74F3">
        <w:rPr>
          <w:rFonts w:ascii="Times New Roman" w:hAnsi="Times New Roman"/>
        </w:rPr>
        <w:t>When we last cleared this IC in 2018, the burden was 20,228.  However, we are currently reporting a burden of 14,186 hours.  This change stems from a decrease in the number of responses from 173,380 to 121,595.  There is no change to the burden time per response.  Although the number of responses changed, SSI did not take any actions to cause this change.  In addition, we updated the paper version of the form to include the required travel time estimate of 30 minutes, which changed the numbers.  Even so, there is no change to the current burden time per response for the paper version of the form.  These figures represent curr</w:t>
      </w:r>
      <w:r>
        <w:rPr>
          <w:rFonts w:ascii="Times New Roman" w:hAnsi="Times New Roman"/>
        </w:rPr>
        <w:t>ent Management Information data</w:t>
      </w:r>
      <w:bookmarkStart w:name="_GoBack" w:id="0"/>
      <w:bookmarkEnd w:id="0"/>
      <w:r w:rsidR="001A5624">
        <w:rPr>
          <w:rFonts w:ascii="Times New Roman" w:hAnsi="Times New Roman"/>
        </w:rPr>
        <w:t>.</w:t>
      </w:r>
    </w:p>
    <w:p w:rsidR="00F5489D" w:rsidP="00A45D82" w:rsidRDefault="00F5489D">
      <w:pPr>
        <w:ind w:left="720" w:hanging="720"/>
        <w:rPr>
          <w:rFonts w:ascii="Times New Roman" w:hAnsi="Times New Roman"/>
          <w:b/>
        </w:rPr>
      </w:pPr>
    </w:p>
    <w:p w:rsidR="00063A05" w:rsidP="00A45D82" w:rsidRDefault="00A45D82">
      <w:pPr>
        <w:ind w:left="720" w:hanging="720"/>
        <w:rPr>
          <w:rFonts w:ascii="Times New Roman" w:hAnsi="Times New Roman"/>
        </w:rPr>
      </w:pPr>
      <w:r w:rsidRPr="002B247B">
        <w:rPr>
          <w:rFonts w:ascii="Times New Roman" w:hAnsi="Times New Roman"/>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P="003B30B4" w:rsidRDefault="003B30B4">
      <w:pPr>
        <w:pStyle w:val="NoSpacing"/>
        <w:ind w:firstLine="720"/>
        <w:rPr>
          <w:bCs/>
          <w:iCs/>
        </w:rPr>
      </w:pPr>
      <w:r w:rsidRPr="00F5489D">
        <w:rPr>
          <w:bCs/>
          <w:iCs/>
        </w:rPr>
        <w:t>SSA will not publish the results of the information collection.</w:t>
      </w:r>
    </w:p>
    <w:p w:rsidRPr="00BC7F42" w:rsidR="005E30E5" w:rsidP="00A45D82" w:rsidRDefault="005E30E5">
      <w:pPr>
        <w:pStyle w:val="Header"/>
        <w:tabs>
          <w:tab w:val="clear" w:pos="4320"/>
          <w:tab w:val="clear" w:pos="8640"/>
        </w:tabs>
        <w:rPr>
          <w:rFonts w:ascii="Times New Roman" w:hAnsi="Times New Roman"/>
        </w:rPr>
      </w:pPr>
    </w:p>
    <w:p w:rsidR="003B30B4" w:rsidP="00A45D82" w:rsidRDefault="00A45D82">
      <w:pPr>
        <w:ind w:left="720" w:hanging="720"/>
        <w:rPr>
          <w:rFonts w:ascii="Times New Roman" w:hAnsi="Times New Roman"/>
        </w:rPr>
      </w:pPr>
      <w:r w:rsidRPr="002B247B">
        <w:rPr>
          <w:rFonts w:ascii="Times New Roman" w:hAnsi="Times New Roman"/>
        </w:rPr>
        <w:t>17.</w:t>
      </w:r>
      <w:r w:rsidRPr="00BC7F42">
        <w:rPr>
          <w:rFonts w:ascii="Times New Roman" w:hAnsi="Times New Roman"/>
        </w:rPr>
        <w:tab/>
      </w:r>
      <w:r w:rsidR="003B30B4">
        <w:rPr>
          <w:rFonts w:ascii="Times New Roman" w:hAnsi="Times New Roman"/>
          <w:b/>
        </w:rPr>
        <w:t>Displaying the OMB Approval Expiration Date</w:t>
      </w:r>
    </w:p>
    <w:p w:rsidRPr="00B64CC5" w:rsidR="003B30B4" w:rsidP="00737478" w:rsidRDefault="003B30B4">
      <w:pPr>
        <w:pStyle w:val="NoSpacing"/>
        <w:ind w:left="720"/>
        <w:rPr>
          <w:bCs/>
          <w:i/>
          <w:iCs/>
        </w:rPr>
      </w:pPr>
      <w:r w:rsidRPr="00FD5177">
        <w:rPr>
          <w:bCs/>
          <w:iCs/>
        </w:rPr>
        <w:t>OMB granted SSA an exemption from the requirement to print the OMB expiration date on its program forms</w:t>
      </w:r>
      <w:r w:rsidRPr="00FD5177" w:rsidR="00FA0FE2">
        <w:rPr>
          <w:bCs/>
          <w:iCs/>
        </w:rPr>
        <w:t xml:space="preserve">.  </w:t>
      </w:r>
      <w:r w:rsidRPr="00FD5177">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BC7F42" w:rsidR="00A45D82" w:rsidP="00A45D82" w:rsidRDefault="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3B30B4" w:rsidP="003B30B4" w:rsidRDefault="00A45D82">
      <w:pPr>
        <w:numPr>
          <w:ilvl w:val="0"/>
          <w:numId w:val="43"/>
        </w:numPr>
        <w:rPr>
          <w:rFonts w:ascii="Times New Roman" w:hAnsi="Times New Roman"/>
          <w:b/>
        </w:rPr>
      </w:pPr>
      <w:r w:rsidRPr="00BC7F42">
        <w:rPr>
          <w:rFonts w:ascii="Times New Roman" w:hAnsi="Times New Roman"/>
          <w:b/>
        </w:rPr>
        <w:t>Exceptions to Certification Statement</w:t>
      </w:r>
    </w:p>
    <w:p w:rsidRPr="00D214BB" w:rsidR="0041131C" w:rsidP="0041131C" w:rsidRDefault="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D214BB">
        <w:rPr>
          <w:rFonts w:ascii="Times New Roman" w:hAnsi="Times New Roman"/>
          <w:b w:val="0"/>
          <w:i w:val="0"/>
        </w:rPr>
        <w:t xml:space="preserve">SSA is not requesting an exception to the certification requirements at </w:t>
      </w:r>
      <w:r w:rsidRPr="002B247B">
        <w:rPr>
          <w:rFonts w:ascii="Times New Roman" w:hAnsi="Times New Roman"/>
          <w:b w:val="0"/>
        </w:rPr>
        <w:t>5 CFR 1320.9</w:t>
      </w:r>
      <w:r w:rsidRPr="00D214BB">
        <w:rPr>
          <w:rFonts w:ascii="Times New Roman" w:hAnsi="Times New Roman"/>
          <w:b w:val="0"/>
          <w:i w:val="0"/>
        </w:rPr>
        <w:t xml:space="preserve"> and related provisions at </w:t>
      </w:r>
      <w:r w:rsidRPr="002B247B">
        <w:rPr>
          <w:rFonts w:ascii="Times New Roman" w:hAnsi="Times New Roman"/>
          <w:b w:val="0"/>
        </w:rPr>
        <w:t>5 CFR 1320.8(b)(3).</w:t>
      </w:r>
      <w:r w:rsidRPr="00D214BB">
        <w:rPr>
          <w:rFonts w:ascii="Times New Roman" w:hAnsi="Times New Roman"/>
          <w:b w:val="0"/>
          <w:i w:val="0"/>
        </w:rPr>
        <w:t xml:space="preserve"> </w:t>
      </w:r>
    </w:p>
    <w:p w:rsidRPr="00BC7F42" w:rsidR="00A45D82" w:rsidP="00A45D82" w:rsidRDefault="00A45D82">
      <w:pPr>
        <w:rPr>
          <w:rFonts w:ascii="Times New Roman" w:hAnsi="Times New Roman"/>
        </w:rPr>
      </w:pPr>
    </w:p>
    <w:p w:rsidR="00A45D82" w:rsidP="00A45D82" w:rsidRDefault="00A45D82">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Pr="00A91493" w:rsidR="0041131C" w:rsidP="00A91493" w:rsidRDefault="0041131C">
      <w:pPr>
        <w:rPr>
          <w:rFonts w:ascii="Times New Roman" w:hAnsi="Times New Roman"/>
        </w:rPr>
      </w:pPr>
      <w:r>
        <w:rPr>
          <w:rFonts w:ascii="Times New Roman" w:hAnsi="Times New Roman"/>
        </w:rPr>
        <w:tab/>
      </w:r>
      <w:r w:rsidRPr="00A91493">
        <w:rPr>
          <w:rFonts w:ascii="Times New Roman" w:hAnsi="Times New Roman"/>
        </w:rPr>
        <w:t xml:space="preserve">SSA does not use statistical methods for this information collection. </w:t>
      </w:r>
    </w:p>
    <w:sectPr w:rsidRPr="00A91493" w:rsidR="0041131C" w:rsidSect="00F077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18" w:rsidRDefault="007E4E18">
      <w:r>
        <w:separator/>
      </w:r>
    </w:p>
  </w:endnote>
  <w:endnote w:type="continuationSeparator" w:id="0">
    <w:p w:rsidR="007E4E18" w:rsidRDefault="007E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53999"/>
      <w:docPartObj>
        <w:docPartGallery w:val="Page Numbers (Bottom of Page)"/>
        <w:docPartUnique/>
      </w:docPartObj>
    </w:sdtPr>
    <w:sdtEndPr>
      <w:rPr>
        <w:noProof/>
      </w:rPr>
    </w:sdtEndPr>
    <w:sdtContent>
      <w:p w:rsidR="008C19D0" w:rsidRDefault="008C19D0">
        <w:pPr>
          <w:pStyle w:val="Footer"/>
          <w:jc w:val="center"/>
        </w:pPr>
        <w:r>
          <w:fldChar w:fldCharType="begin"/>
        </w:r>
        <w:r>
          <w:instrText xml:space="preserve"> PAGE   \* MERGEFORMAT </w:instrText>
        </w:r>
        <w:r>
          <w:fldChar w:fldCharType="separate"/>
        </w:r>
        <w:r w:rsidR="00CD74F3">
          <w:rPr>
            <w:noProof/>
          </w:rPr>
          <w:t>5</w:t>
        </w:r>
        <w:r>
          <w:rPr>
            <w:noProof/>
          </w:rPr>
          <w:fldChar w:fldCharType="end"/>
        </w:r>
      </w:p>
    </w:sdtContent>
  </w:sdt>
  <w:p w:rsidR="008C19D0" w:rsidRDefault="008C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18" w:rsidRDefault="007E4E18">
      <w:r>
        <w:separator/>
      </w:r>
    </w:p>
  </w:footnote>
  <w:footnote w:type="continuationSeparator" w:id="0">
    <w:p w:rsidR="007E4E18" w:rsidRDefault="007E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3E8C121E"/>
    <w:lvl w:ilvl="0" w:tplc="8924AF52">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6"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7"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7"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F611E4"/>
    <w:multiLevelType w:val="hybridMultilevel"/>
    <w:tmpl w:val="9D2AD348"/>
    <w:lvl w:ilvl="0" w:tplc="28B87816">
      <w:start w:val="5"/>
      <w:numFmt w:val="decimal"/>
      <w:lvlText w:val="%1."/>
      <w:lvlJc w:val="left"/>
      <w:pPr>
        <w:tabs>
          <w:tab w:val="num" w:pos="1440"/>
        </w:tabs>
        <w:ind w:left="144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605A35"/>
    <w:multiLevelType w:val="singleLevel"/>
    <w:tmpl w:val="DCB6C7A2"/>
    <w:lvl w:ilvl="0">
      <w:start w:val="5"/>
      <w:numFmt w:val="decimal"/>
      <w:lvlText w:val="%1."/>
      <w:lvlJc w:val="left"/>
      <w:pPr>
        <w:tabs>
          <w:tab w:val="num" w:pos="360"/>
        </w:tabs>
        <w:ind w:left="360" w:hanging="360"/>
      </w:pPr>
      <w:rPr>
        <w:rFonts w:hint="default"/>
        <w:b w:val="0"/>
        <w:bCs/>
      </w:rPr>
    </w:lvl>
  </w:abstractNum>
  <w:abstractNum w:abstractNumId="32"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15:restartNumberingAfterBreak="0">
    <w:nsid w:val="616F329C"/>
    <w:multiLevelType w:val="hybridMultilevel"/>
    <w:tmpl w:val="745A22D6"/>
    <w:lvl w:ilvl="0" w:tplc="DDD49C6A">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14E50"/>
    <w:multiLevelType w:val="singleLevel"/>
    <w:tmpl w:val="B9BA9C56"/>
    <w:lvl w:ilvl="0">
      <w:start w:val="1"/>
      <w:numFmt w:val="decimal"/>
      <w:lvlText w:val="%1."/>
      <w:lvlJc w:val="left"/>
      <w:pPr>
        <w:tabs>
          <w:tab w:val="num" w:pos="1440"/>
        </w:tabs>
        <w:ind w:left="1440" w:hanging="720"/>
      </w:pPr>
      <w:rPr>
        <w:b/>
      </w:rPr>
    </w:lvl>
  </w:abstractNum>
  <w:abstractNum w:abstractNumId="39"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CC03B5"/>
    <w:multiLevelType w:val="singleLevel"/>
    <w:tmpl w:val="F530DC78"/>
    <w:lvl w:ilvl="0">
      <w:start w:val="14"/>
      <w:numFmt w:val="decimal"/>
      <w:lvlText w:val="%1."/>
      <w:lvlJc w:val="left"/>
      <w:pPr>
        <w:tabs>
          <w:tab w:val="num" w:pos="360"/>
        </w:tabs>
        <w:ind w:left="360" w:hanging="360"/>
      </w:pPr>
      <w:rPr>
        <w:rFonts w:hint="default"/>
        <w:b w:val="0"/>
        <w:bCs/>
      </w:rPr>
    </w:lvl>
  </w:abstractNum>
  <w:abstractNum w:abstractNumId="44"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66410B"/>
    <w:multiLevelType w:val="singleLevel"/>
    <w:tmpl w:val="15E41BAC"/>
    <w:lvl w:ilvl="0">
      <w:start w:val="2"/>
      <w:numFmt w:val="decimal"/>
      <w:lvlText w:val="%1."/>
      <w:lvlJc w:val="left"/>
      <w:pPr>
        <w:tabs>
          <w:tab w:val="num" w:pos="720"/>
        </w:tabs>
        <w:ind w:left="720" w:hanging="720"/>
      </w:pPr>
      <w:rPr>
        <w:rFonts w:hint="default"/>
        <w:b w:val="0"/>
      </w:rPr>
    </w:lvl>
  </w:abstractNum>
  <w:abstractNum w:abstractNumId="48" w15:restartNumberingAfterBreak="0">
    <w:nsid w:val="7A9B5E7D"/>
    <w:multiLevelType w:val="singleLevel"/>
    <w:tmpl w:val="4D5895F2"/>
    <w:lvl w:ilvl="0">
      <w:start w:val="8"/>
      <w:numFmt w:val="decimal"/>
      <w:lvlText w:val="%1."/>
      <w:lvlJc w:val="left"/>
      <w:pPr>
        <w:tabs>
          <w:tab w:val="num" w:pos="720"/>
        </w:tabs>
        <w:ind w:left="720" w:hanging="720"/>
      </w:pPr>
      <w:rPr>
        <w:rFonts w:hint="default"/>
        <w:b w:val="0"/>
      </w:rPr>
    </w:lvl>
  </w:abstractNum>
  <w:abstractNum w:abstractNumId="49"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27"/>
  </w:num>
  <w:num w:numId="3">
    <w:abstractNumId w:val="3"/>
  </w:num>
  <w:num w:numId="4">
    <w:abstractNumId w:val="20"/>
  </w:num>
  <w:num w:numId="5">
    <w:abstractNumId w:val="44"/>
  </w:num>
  <w:num w:numId="6">
    <w:abstractNumId w:val="7"/>
  </w:num>
  <w:num w:numId="7">
    <w:abstractNumId w:val="29"/>
  </w:num>
  <w:num w:numId="8">
    <w:abstractNumId w:val="35"/>
  </w:num>
  <w:num w:numId="9">
    <w:abstractNumId w:val="42"/>
  </w:num>
  <w:num w:numId="10">
    <w:abstractNumId w:val="4"/>
  </w:num>
  <w:num w:numId="11">
    <w:abstractNumId w:val="2"/>
  </w:num>
  <w:num w:numId="12">
    <w:abstractNumId w:val="15"/>
  </w:num>
  <w:num w:numId="13">
    <w:abstractNumId w:val="21"/>
  </w:num>
  <w:num w:numId="14">
    <w:abstractNumId w:val="48"/>
  </w:num>
  <w:num w:numId="15">
    <w:abstractNumId w:val="10"/>
  </w:num>
  <w:num w:numId="16">
    <w:abstractNumId w:val="13"/>
  </w:num>
  <w:num w:numId="17">
    <w:abstractNumId w:val="33"/>
  </w:num>
  <w:num w:numId="18">
    <w:abstractNumId w:val="6"/>
  </w:num>
  <w:num w:numId="19">
    <w:abstractNumId w:val="5"/>
  </w:num>
  <w:num w:numId="20">
    <w:abstractNumId w:val="47"/>
  </w:num>
  <w:num w:numId="21">
    <w:abstractNumId w:val="1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1"/>
  </w:num>
  <w:num w:numId="24">
    <w:abstractNumId w:val="39"/>
  </w:num>
  <w:num w:numId="25">
    <w:abstractNumId w:val="24"/>
  </w:num>
  <w:num w:numId="26">
    <w:abstractNumId w:val="22"/>
  </w:num>
  <w:num w:numId="27">
    <w:abstractNumId w:val="43"/>
  </w:num>
  <w:num w:numId="28">
    <w:abstractNumId w:val="31"/>
  </w:num>
  <w:num w:numId="29">
    <w:abstractNumId w:val="28"/>
  </w:num>
  <w:num w:numId="30">
    <w:abstractNumId w:val="40"/>
  </w:num>
  <w:num w:numId="31">
    <w:abstractNumId w:val="37"/>
  </w:num>
  <w:num w:numId="32">
    <w:abstractNumId w:val="12"/>
  </w:num>
  <w:num w:numId="33">
    <w:abstractNumId w:val="26"/>
  </w:num>
  <w:num w:numId="34">
    <w:abstractNumId w:val="34"/>
  </w:num>
  <w:num w:numId="35">
    <w:abstractNumId w:val="49"/>
  </w:num>
  <w:num w:numId="36">
    <w:abstractNumId w:val="45"/>
  </w:num>
  <w:num w:numId="37">
    <w:abstractNumId w:val="19"/>
  </w:num>
  <w:num w:numId="38">
    <w:abstractNumId w:val="36"/>
  </w:num>
  <w:num w:numId="39">
    <w:abstractNumId w:val="9"/>
  </w:num>
  <w:num w:numId="40">
    <w:abstractNumId w:val="30"/>
  </w:num>
  <w:num w:numId="41">
    <w:abstractNumId w:val="23"/>
  </w:num>
  <w:num w:numId="42">
    <w:abstractNumId w:val="8"/>
  </w:num>
  <w:num w:numId="43">
    <w:abstractNumId w:val="1"/>
  </w:num>
  <w:num w:numId="44">
    <w:abstractNumId w:val="11"/>
  </w:num>
  <w:num w:numId="45">
    <w:abstractNumId w:val="46"/>
  </w:num>
  <w:num w:numId="46">
    <w:abstractNumId w:val="25"/>
  </w:num>
  <w:num w:numId="47">
    <w:abstractNumId w:val="32"/>
  </w:num>
  <w:num w:numId="48">
    <w:abstractNumId w:val="17"/>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21F4"/>
    <w:rsid w:val="000222A7"/>
    <w:rsid w:val="00025216"/>
    <w:rsid w:val="00025D75"/>
    <w:rsid w:val="0002677F"/>
    <w:rsid w:val="00063A05"/>
    <w:rsid w:val="0006715D"/>
    <w:rsid w:val="0007189E"/>
    <w:rsid w:val="00077720"/>
    <w:rsid w:val="00077E0E"/>
    <w:rsid w:val="00083E2C"/>
    <w:rsid w:val="00086E84"/>
    <w:rsid w:val="000958AA"/>
    <w:rsid w:val="000A6508"/>
    <w:rsid w:val="000A6AE3"/>
    <w:rsid w:val="000B2B68"/>
    <w:rsid w:val="000B3B12"/>
    <w:rsid w:val="000C151C"/>
    <w:rsid w:val="000C1D18"/>
    <w:rsid w:val="000D5F5C"/>
    <w:rsid w:val="000E14B1"/>
    <w:rsid w:val="000E25FA"/>
    <w:rsid w:val="0010220F"/>
    <w:rsid w:val="00121032"/>
    <w:rsid w:val="00122EE2"/>
    <w:rsid w:val="001277FD"/>
    <w:rsid w:val="00127980"/>
    <w:rsid w:val="00130678"/>
    <w:rsid w:val="00145796"/>
    <w:rsid w:val="00146275"/>
    <w:rsid w:val="0015576E"/>
    <w:rsid w:val="00161F01"/>
    <w:rsid w:val="00185EC0"/>
    <w:rsid w:val="00192897"/>
    <w:rsid w:val="001A3317"/>
    <w:rsid w:val="001A5624"/>
    <w:rsid w:val="001A65F9"/>
    <w:rsid w:val="001B12FB"/>
    <w:rsid w:val="001B7CF4"/>
    <w:rsid w:val="001C6D3A"/>
    <w:rsid w:val="001D0B21"/>
    <w:rsid w:val="001D7BAA"/>
    <w:rsid w:val="001E1076"/>
    <w:rsid w:val="001E7636"/>
    <w:rsid w:val="00202C06"/>
    <w:rsid w:val="0023065D"/>
    <w:rsid w:val="002321B0"/>
    <w:rsid w:val="00244730"/>
    <w:rsid w:val="00246836"/>
    <w:rsid w:val="0026052B"/>
    <w:rsid w:val="00276AAF"/>
    <w:rsid w:val="002801F8"/>
    <w:rsid w:val="002A2DB4"/>
    <w:rsid w:val="002A4C30"/>
    <w:rsid w:val="002B0820"/>
    <w:rsid w:val="002B247B"/>
    <w:rsid w:val="002B5578"/>
    <w:rsid w:val="002B6EBF"/>
    <w:rsid w:val="002E18CF"/>
    <w:rsid w:val="002E335E"/>
    <w:rsid w:val="002F1C11"/>
    <w:rsid w:val="002F2E06"/>
    <w:rsid w:val="00302545"/>
    <w:rsid w:val="003176E1"/>
    <w:rsid w:val="003178BD"/>
    <w:rsid w:val="00331821"/>
    <w:rsid w:val="00333D3D"/>
    <w:rsid w:val="003465DC"/>
    <w:rsid w:val="003469CA"/>
    <w:rsid w:val="00346F53"/>
    <w:rsid w:val="0036696D"/>
    <w:rsid w:val="0038050B"/>
    <w:rsid w:val="003A71A9"/>
    <w:rsid w:val="003B15EC"/>
    <w:rsid w:val="003B30B4"/>
    <w:rsid w:val="003B6BEB"/>
    <w:rsid w:val="003C10BD"/>
    <w:rsid w:val="003D7D4A"/>
    <w:rsid w:val="003E145C"/>
    <w:rsid w:val="003E53DE"/>
    <w:rsid w:val="003F0A89"/>
    <w:rsid w:val="003F175C"/>
    <w:rsid w:val="00405548"/>
    <w:rsid w:val="0041131C"/>
    <w:rsid w:val="0042630F"/>
    <w:rsid w:val="004317CB"/>
    <w:rsid w:val="00442B39"/>
    <w:rsid w:val="00447EE9"/>
    <w:rsid w:val="0045065A"/>
    <w:rsid w:val="004509AD"/>
    <w:rsid w:val="00465DC8"/>
    <w:rsid w:val="00475350"/>
    <w:rsid w:val="00481B23"/>
    <w:rsid w:val="00481B44"/>
    <w:rsid w:val="00484662"/>
    <w:rsid w:val="004915B5"/>
    <w:rsid w:val="004A56AB"/>
    <w:rsid w:val="004C640A"/>
    <w:rsid w:val="004E146D"/>
    <w:rsid w:val="004F01D0"/>
    <w:rsid w:val="0050197F"/>
    <w:rsid w:val="005040EC"/>
    <w:rsid w:val="00506486"/>
    <w:rsid w:val="005201B6"/>
    <w:rsid w:val="005214F9"/>
    <w:rsid w:val="005604A1"/>
    <w:rsid w:val="0056163C"/>
    <w:rsid w:val="005721D4"/>
    <w:rsid w:val="00593A36"/>
    <w:rsid w:val="00594CB3"/>
    <w:rsid w:val="005971B3"/>
    <w:rsid w:val="005A1198"/>
    <w:rsid w:val="005B15E5"/>
    <w:rsid w:val="005B3328"/>
    <w:rsid w:val="005C2C39"/>
    <w:rsid w:val="005D4107"/>
    <w:rsid w:val="005D4828"/>
    <w:rsid w:val="005D5B33"/>
    <w:rsid w:val="005E30E5"/>
    <w:rsid w:val="005E481B"/>
    <w:rsid w:val="005F208A"/>
    <w:rsid w:val="006002DD"/>
    <w:rsid w:val="006013A3"/>
    <w:rsid w:val="006160ED"/>
    <w:rsid w:val="00626C22"/>
    <w:rsid w:val="0063155D"/>
    <w:rsid w:val="00631F1B"/>
    <w:rsid w:val="006328B1"/>
    <w:rsid w:val="0063304D"/>
    <w:rsid w:val="006335DD"/>
    <w:rsid w:val="0063361F"/>
    <w:rsid w:val="00637AF5"/>
    <w:rsid w:val="00640A26"/>
    <w:rsid w:val="00652A2C"/>
    <w:rsid w:val="00663881"/>
    <w:rsid w:val="00664553"/>
    <w:rsid w:val="00677C70"/>
    <w:rsid w:val="006806E1"/>
    <w:rsid w:val="0069667B"/>
    <w:rsid w:val="006B173F"/>
    <w:rsid w:val="006B17EF"/>
    <w:rsid w:val="006B297F"/>
    <w:rsid w:val="006D38DC"/>
    <w:rsid w:val="006D6DE5"/>
    <w:rsid w:val="006E4A51"/>
    <w:rsid w:val="006F2B8B"/>
    <w:rsid w:val="006F3398"/>
    <w:rsid w:val="006F4D0F"/>
    <w:rsid w:val="0070479A"/>
    <w:rsid w:val="00712F1B"/>
    <w:rsid w:val="0071437B"/>
    <w:rsid w:val="007245C9"/>
    <w:rsid w:val="007256B3"/>
    <w:rsid w:val="00730BF9"/>
    <w:rsid w:val="00737478"/>
    <w:rsid w:val="00742B56"/>
    <w:rsid w:val="00745462"/>
    <w:rsid w:val="007857E7"/>
    <w:rsid w:val="00795BAB"/>
    <w:rsid w:val="007A08D1"/>
    <w:rsid w:val="007A2DEE"/>
    <w:rsid w:val="007B007C"/>
    <w:rsid w:val="007D061D"/>
    <w:rsid w:val="007D22EB"/>
    <w:rsid w:val="007D55FC"/>
    <w:rsid w:val="007E17BD"/>
    <w:rsid w:val="007E4E18"/>
    <w:rsid w:val="00803D43"/>
    <w:rsid w:val="00806984"/>
    <w:rsid w:val="00810485"/>
    <w:rsid w:val="00814772"/>
    <w:rsid w:val="00824D72"/>
    <w:rsid w:val="00825B97"/>
    <w:rsid w:val="0084775D"/>
    <w:rsid w:val="008563E7"/>
    <w:rsid w:val="00860746"/>
    <w:rsid w:val="0086463A"/>
    <w:rsid w:val="00870B07"/>
    <w:rsid w:val="00874F11"/>
    <w:rsid w:val="008754ED"/>
    <w:rsid w:val="00876482"/>
    <w:rsid w:val="00891CA8"/>
    <w:rsid w:val="00892E12"/>
    <w:rsid w:val="008A7476"/>
    <w:rsid w:val="008B6774"/>
    <w:rsid w:val="008C0803"/>
    <w:rsid w:val="008C19D0"/>
    <w:rsid w:val="008C5D14"/>
    <w:rsid w:val="008D02FE"/>
    <w:rsid w:val="008D158E"/>
    <w:rsid w:val="008E3A3A"/>
    <w:rsid w:val="008E515D"/>
    <w:rsid w:val="008F01D6"/>
    <w:rsid w:val="0090283A"/>
    <w:rsid w:val="00906892"/>
    <w:rsid w:val="009252AB"/>
    <w:rsid w:val="00926DC8"/>
    <w:rsid w:val="00941642"/>
    <w:rsid w:val="0094362F"/>
    <w:rsid w:val="00951258"/>
    <w:rsid w:val="00952C5B"/>
    <w:rsid w:val="00955EC4"/>
    <w:rsid w:val="00962A5B"/>
    <w:rsid w:val="0097250A"/>
    <w:rsid w:val="009748B6"/>
    <w:rsid w:val="00975DD8"/>
    <w:rsid w:val="009A0B16"/>
    <w:rsid w:val="009E3C50"/>
    <w:rsid w:val="009F23D6"/>
    <w:rsid w:val="009F7BB3"/>
    <w:rsid w:val="00A06BE2"/>
    <w:rsid w:val="00A13156"/>
    <w:rsid w:val="00A337E4"/>
    <w:rsid w:val="00A33C65"/>
    <w:rsid w:val="00A34222"/>
    <w:rsid w:val="00A3428F"/>
    <w:rsid w:val="00A45D82"/>
    <w:rsid w:val="00A651A7"/>
    <w:rsid w:val="00A67D76"/>
    <w:rsid w:val="00A706B8"/>
    <w:rsid w:val="00A84FE2"/>
    <w:rsid w:val="00A91493"/>
    <w:rsid w:val="00AA06A4"/>
    <w:rsid w:val="00AA0858"/>
    <w:rsid w:val="00AA0C27"/>
    <w:rsid w:val="00AA478C"/>
    <w:rsid w:val="00AB0CA7"/>
    <w:rsid w:val="00AB1DD6"/>
    <w:rsid w:val="00AC39FD"/>
    <w:rsid w:val="00AD0977"/>
    <w:rsid w:val="00AE0527"/>
    <w:rsid w:val="00AE155D"/>
    <w:rsid w:val="00AF3BEA"/>
    <w:rsid w:val="00B007C5"/>
    <w:rsid w:val="00B01D57"/>
    <w:rsid w:val="00B05EDE"/>
    <w:rsid w:val="00B52619"/>
    <w:rsid w:val="00B741F6"/>
    <w:rsid w:val="00B84BC7"/>
    <w:rsid w:val="00B92550"/>
    <w:rsid w:val="00BA1653"/>
    <w:rsid w:val="00BA401A"/>
    <w:rsid w:val="00BC5531"/>
    <w:rsid w:val="00BC7F42"/>
    <w:rsid w:val="00BD0B22"/>
    <w:rsid w:val="00BE4ADB"/>
    <w:rsid w:val="00BF026F"/>
    <w:rsid w:val="00BF4955"/>
    <w:rsid w:val="00C0290B"/>
    <w:rsid w:val="00C17300"/>
    <w:rsid w:val="00C22097"/>
    <w:rsid w:val="00C25FDC"/>
    <w:rsid w:val="00C34A91"/>
    <w:rsid w:val="00C377BC"/>
    <w:rsid w:val="00C5104E"/>
    <w:rsid w:val="00C56820"/>
    <w:rsid w:val="00C60E61"/>
    <w:rsid w:val="00C67C8A"/>
    <w:rsid w:val="00C67F83"/>
    <w:rsid w:val="00C7237A"/>
    <w:rsid w:val="00C73D97"/>
    <w:rsid w:val="00C8223C"/>
    <w:rsid w:val="00C941E2"/>
    <w:rsid w:val="00CA0B15"/>
    <w:rsid w:val="00CA5F75"/>
    <w:rsid w:val="00CA6CAE"/>
    <w:rsid w:val="00CB7253"/>
    <w:rsid w:val="00CB7557"/>
    <w:rsid w:val="00CC79D1"/>
    <w:rsid w:val="00CD07B4"/>
    <w:rsid w:val="00CD667A"/>
    <w:rsid w:val="00CD74F3"/>
    <w:rsid w:val="00CE23C1"/>
    <w:rsid w:val="00CF2EE0"/>
    <w:rsid w:val="00D0011E"/>
    <w:rsid w:val="00D03E8A"/>
    <w:rsid w:val="00D04546"/>
    <w:rsid w:val="00D12EDA"/>
    <w:rsid w:val="00D214BB"/>
    <w:rsid w:val="00D33444"/>
    <w:rsid w:val="00D42EFE"/>
    <w:rsid w:val="00D44900"/>
    <w:rsid w:val="00D5531A"/>
    <w:rsid w:val="00D678F8"/>
    <w:rsid w:val="00DB1DB4"/>
    <w:rsid w:val="00DD494D"/>
    <w:rsid w:val="00DE6186"/>
    <w:rsid w:val="00DF22A1"/>
    <w:rsid w:val="00E0137B"/>
    <w:rsid w:val="00E065DA"/>
    <w:rsid w:val="00E3164F"/>
    <w:rsid w:val="00E437C5"/>
    <w:rsid w:val="00E4538C"/>
    <w:rsid w:val="00E753EF"/>
    <w:rsid w:val="00E75DB0"/>
    <w:rsid w:val="00E76819"/>
    <w:rsid w:val="00E80456"/>
    <w:rsid w:val="00E956F3"/>
    <w:rsid w:val="00E96485"/>
    <w:rsid w:val="00E96DB1"/>
    <w:rsid w:val="00EC7EFD"/>
    <w:rsid w:val="00ED36D8"/>
    <w:rsid w:val="00EE360E"/>
    <w:rsid w:val="00EE6086"/>
    <w:rsid w:val="00EF061F"/>
    <w:rsid w:val="00EF4071"/>
    <w:rsid w:val="00EF765F"/>
    <w:rsid w:val="00EF7B6A"/>
    <w:rsid w:val="00F020D3"/>
    <w:rsid w:val="00F028DE"/>
    <w:rsid w:val="00F0585C"/>
    <w:rsid w:val="00F0774E"/>
    <w:rsid w:val="00F107B7"/>
    <w:rsid w:val="00F11F57"/>
    <w:rsid w:val="00F13CD5"/>
    <w:rsid w:val="00F14BA8"/>
    <w:rsid w:val="00F15EF8"/>
    <w:rsid w:val="00F335F1"/>
    <w:rsid w:val="00F36E53"/>
    <w:rsid w:val="00F4316C"/>
    <w:rsid w:val="00F43579"/>
    <w:rsid w:val="00F46176"/>
    <w:rsid w:val="00F5149E"/>
    <w:rsid w:val="00F5489D"/>
    <w:rsid w:val="00F56A74"/>
    <w:rsid w:val="00F57AD9"/>
    <w:rsid w:val="00F749EB"/>
    <w:rsid w:val="00F832E5"/>
    <w:rsid w:val="00F84FE2"/>
    <w:rsid w:val="00F870A3"/>
    <w:rsid w:val="00F91762"/>
    <w:rsid w:val="00F9405B"/>
    <w:rsid w:val="00FA0FE2"/>
    <w:rsid w:val="00FA327B"/>
    <w:rsid w:val="00FA34E8"/>
    <w:rsid w:val="00FA7D4E"/>
    <w:rsid w:val="00FB7B70"/>
    <w:rsid w:val="00FD1035"/>
    <w:rsid w:val="00FD5177"/>
    <w:rsid w:val="00FD549D"/>
    <w:rsid w:val="00FD6374"/>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9868B"/>
  <w15:chartTrackingRefBased/>
  <w15:docId w15:val="{E394909C-6B95-4AC6-91B0-9D9A7B69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BodyTextIndent">
    <w:name w:val="Body Text Indent"/>
    <w:basedOn w:val="Normal"/>
    <w:link w:val="BodyTextIndentChar"/>
    <w:rsid w:val="00E96DB1"/>
    <w:pPr>
      <w:spacing w:after="120"/>
      <w:ind w:left="360"/>
    </w:pPr>
  </w:style>
  <w:style w:type="character" w:customStyle="1" w:styleId="BodyTextIndentChar">
    <w:name w:val="Body Text Indent Char"/>
    <w:link w:val="BodyTextIndent"/>
    <w:rsid w:val="00E96DB1"/>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8C19D0"/>
    <w:rPr>
      <w:rFonts w:ascii="Courier" w:eastAsia="Times New Roman"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5282">
      <w:bodyDiv w:val="1"/>
      <w:marLeft w:val="0"/>
      <w:marRight w:val="0"/>
      <w:marTop w:val="0"/>
      <w:marBottom w:val="0"/>
      <w:divBdr>
        <w:top w:val="none" w:sz="0" w:space="0" w:color="auto"/>
        <w:left w:val="none" w:sz="0" w:space="0" w:color="auto"/>
        <w:bottom w:val="none" w:sz="0" w:space="0" w:color="auto"/>
        <w:right w:val="none" w:sz="0" w:space="0" w:color="auto"/>
      </w:divBdr>
    </w:div>
    <w:div w:id="186988081">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8586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legislation/2020Fact%20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4E59-AD74-484F-B169-771A70B3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1872</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12272</CharactersWithSpaces>
  <SharedDoc>false</SharedDoc>
  <HLinks>
    <vt:vector size="6" baseType="variant">
      <vt:variant>
        <vt:i4>6291519</vt:i4>
      </vt:variant>
      <vt:variant>
        <vt:i4>0</vt:i4>
      </vt:variant>
      <vt:variant>
        <vt:i4>0</vt:i4>
      </vt:variant>
      <vt:variant>
        <vt:i4>5</vt:i4>
      </vt:variant>
      <vt:variant>
        <vt:lpwstr>https://www.ssa.gov/legislation/2020Fact 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Naomi Sipple</cp:lastModifiedBy>
  <cp:revision>3</cp:revision>
  <dcterms:created xsi:type="dcterms:W3CDTF">2021-04-12T19:15:00Z</dcterms:created>
  <dcterms:modified xsi:type="dcterms:W3CDTF">2021-04-12T19:23:00Z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242252646</vt:i4>
  </property>
  <property fmtid="{D5CDD505-2E9C-101B-9397-08002B2CF9AE}" pid="4" name="_EmailSubject">
    <vt:lpwstr>Response: Action Due 10/21: OMB Expiration Notice: 0960-0174 (SSA-8006)</vt:lpwstr>
  </property>
  <property fmtid="{D5CDD505-2E9C-101B-9397-08002B2CF9AE}" pid="5" name="_AuthorEmail">
    <vt:lpwstr>OISP.OSSIPIP.Controls@ssa.gov</vt:lpwstr>
  </property>
  <property fmtid="{D5CDD505-2E9C-101B-9397-08002B2CF9AE}" pid="6" name="_AuthorEmailDisplayName">
    <vt:lpwstr>^OISP OSSIPIP Controls</vt:lpwstr>
  </property>
  <property fmtid="{D5CDD505-2E9C-101B-9397-08002B2CF9AE}" pid="7" name="_PreviousAdHocReviewCycleID">
    <vt:i4>-1411184387</vt:i4>
  </property>
  <property fmtid="{D5CDD505-2E9C-101B-9397-08002B2CF9AE}" pid="8" name="_ReviewingToolsShownOnce">
    <vt:lpwstr/>
  </property>
</Properties>
</file>