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55CB" w:rsidR="00C655CB" w:rsidP="00E7101C" w:rsidRDefault="006E389A" w14:paraId="5AB9A92D" w14:textId="66159D60">
      <w:pPr>
        <w:pStyle w:val="H2Chapter"/>
        <w:tabs>
          <w:tab w:val="clear" w:pos="432"/>
        </w:tabs>
        <w:ind w:left="0" w:firstLine="0"/>
      </w:pPr>
      <w:bookmarkStart w:name="_Toc531183376" w:id="0"/>
      <w:bookmarkStart w:name="_Toc34223053" w:id="1"/>
      <w:r>
        <w:t>P</w:t>
      </w:r>
      <w:r w:rsidRPr="00C655CB" w:rsidR="00C655CB">
        <w:t>ART B. COLLECTION OF INFORMATION EMPLOYING STATISTICAL METHODS</w:t>
      </w:r>
      <w:bookmarkEnd w:id="0"/>
      <w:bookmarkEnd w:id="1"/>
    </w:p>
    <w:p w:rsidRPr="00C655CB" w:rsidR="00C655CB" w:rsidP="00775E88" w:rsidRDefault="00C655CB" w14:paraId="408052C3" w14:textId="6E39974B">
      <w:pPr>
        <w:pStyle w:val="H3Alpha"/>
      </w:pPr>
      <w:bookmarkStart w:name="_Toc531183377" w:id="2"/>
      <w:bookmarkStart w:name="_Toc34223054" w:id="3"/>
      <w:r w:rsidRPr="00C655CB">
        <w:t>1.</w:t>
      </w:r>
      <w:r w:rsidRPr="00C655CB">
        <w:tab/>
        <w:t>Respondent universe and sampling methods</w:t>
      </w:r>
      <w:bookmarkEnd w:id="2"/>
      <w:bookmarkEnd w:id="3"/>
    </w:p>
    <w:p w:rsidRPr="00F77700" w:rsidR="00606157" w:rsidP="0064585C" w:rsidRDefault="00606157" w14:paraId="356CF4E0" w14:textId="4BB12202">
      <w:pPr>
        <w:pStyle w:val="NormalSS"/>
        <w:ind w:left="450" w:firstLine="0"/>
      </w:pPr>
      <w:bookmarkStart w:name="_Toc531183378" w:id="4"/>
      <w:r w:rsidRPr="0092048F">
        <w:t>Below we describe</w:t>
      </w:r>
      <w:r>
        <w:t xml:space="preserve"> (1</w:t>
      </w:r>
      <w:r w:rsidRPr="0092048F">
        <w:t xml:space="preserve">) the selection of </w:t>
      </w:r>
      <w:r w:rsidR="00E05CA7">
        <w:t>staff for staff interviews;</w:t>
      </w:r>
      <w:r>
        <w:t xml:space="preserve"> (2) the selection of service users </w:t>
      </w:r>
      <w:r w:rsidR="00E05CA7">
        <w:t>for the service user interviews;</w:t>
      </w:r>
      <w:r>
        <w:t xml:space="preserve"> (3) </w:t>
      </w:r>
      <w:r w:rsidR="006A341A">
        <w:t>the selection of staff for the staff activity logs</w:t>
      </w:r>
      <w:r w:rsidR="00E05CA7">
        <w:t>; (4) </w:t>
      </w:r>
      <w:r>
        <w:t>the selection of en</w:t>
      </w:r>
      <w:r w:rsidR="00E05CA7">
        <w:t>rollees for the enrollee survey;</w:t>
      </w:r>
      <w:r>
        <w:t xml:space="preserve"> and (</w:t>
      </w:r>
      <w:r w:rsidR="006A341A">
        <w:t>5</w:t>
      </w:r>
      <w:r>
        <w:t xml:space="preserve">) the selection of providers for the provider survey. </w:t>
      </w:r>
    </w:p>
    <w:p w:rsidRPr="00C655CB" w:rsidR="00C655CB" w:rsidP="0064585C" w:rsidRDefault="0064585C" w14:paraId="47041548" w14:textId="261C77A9">
      <w:pPr>
        <w:pStyle w:val="H4Number"/>
        <w:tabs>
          <w:tab w:val="clear" w:pos="432"/>
          <w:tab w:val="left" w:pos="810"/>
        </w:tabs>
        <w:ind w:left="810" w:hanging="360"/>
      </w:pPr>
      <w:bookmarkStart w:name="_Toc34223055" w:id="5"/>
      <w:r>
        <w:t>a</w:t>
      </w:r>
      <w:r w:rsidRPr="00C655CB" w:rsidR="00C655CB">
        <w:t>.</w:t>
      </w:r>
      <w:r w:rsidRPr="00C655CB" w:rsidR="00C655CB">
        <w:tab/>
        <w:t>Staff interviews</w:t>
      </w:r>
      <w:bookmarkEnd w:id="4"/>
      <w:bookmarkEnd w:id="5"/>
    </w:p>
    <w:p w:rsidR="00D238A2" w:rsidP="0064585C" w:rsidRDefault="00D238A2" w14:paraId="3E2F38B8" w14:textId="096B8CFC">
      <w:pPr>
        <w:spacing w:after="240" w:line="240" w:lineRule="auto"/>
        <w:ind w:left="810" w:firstLine="0"/>
      </w:pPr>
      <w:r w:rsidRPr="00C655CB">
        <w:t xml:space="preserve">We will conduct interviews with staff members at four RETAIN program states during the first site visit and at the same four states during the second. </w:t>
      </w:r>
      <w:r w:rsidR="00302486">
        <w:t xml:space="preserve"> </w:t>
      </w:r>
      <w:r w:rsidRPr="00C655CB">
        <w:t>For each visit, the evaluation team will visit two regions of the state.</w:t>
      </w:r>
    </w:p>
    <w:p w:rsidRPr="00C655CB" w:rsidR="00C655CB" w:rsidP="0064585C" w:rsidRDefault="00C655CB" w14:paraId="02B13736" w14:textId="61EC488F">
      <w:pPr>
        <w:spacing w:after="240" w:line="240" w:lineRule="auto"/>
        <w:ind w:left="810" w:firstLine="0"/>
      </w:pPr>
      <w:r w:rsidRPr="00C655CB">
        <w:t xml:space="preserve">SSA and Mathematica will work with each state’s RETAIN program administrator to identify project staff to interview. </w:t>
      </w:r>
      <w:r w:rsidR="00302486">
        <w:t xml:space="preserve"> </w:t>
      </w:r>
      <w:r w:rsidRPr="00C655CB">
        <w:t xml:space="preserve">SSA and Mathematica will also identify key staff from partner organizations who can provide a range of perspectives on the implementation of the RETAIN program. </w:t>
      </w:r>
      <w:r w:rsidR="00302486">
        <w:t xml:space="preserve"> </w:t>
      </w:r>
      <w:r w:rsidRPr="00C655CB">
        <w:t xml:space="preserve">The RETAIN program administrators come from many different agencies, some of which focus on the areas of labor and employment. </w:t>
      </w:r>
      <w:r w:rsidR="00302486">
        <w:t xml:space="preserve"> </w:t>
      </w:r>
      <w:r w:rsidRPr="00C655CB">
        <w:t xml:space="preserve">Examples from RETAIN </w:t>
      </w:r>
      <w:r w:rsidR="00F124A2">
        <w:t>Phase 1 projects</w:t>
      </w:r>
      <w:r w:rsidRPr="00C655CB" w:rsidR="00F124A2">
        <w:t xml:space="preserve"> </w:t>
      </w:r>
      <w:r w:rsidRPr="00C655CB">
        <w:t>include the state employment development department; departments of labor, commerce, or workforce investment; employment and economic development department, job and family services department, and employment security department.</w:t>
      </w:r>
      <w:r w:rsidRPr="00C655CB">
        <w:rPr>
          <w:vertAlign w:val="superscript"/>
        </w:rPr>
        <w:footnoteReference w:id="2"/>
      </w:r>
      <w:r w:rsidRPr="00C655CB">
        <w:t xml:space="preserve"> </w:t>
      </w:r>
      <w:r w:rsidR="00302486">
        <w:t xml:space="preserve"> </w:t>
      </w:r>
      <w:r w:rsidRPr="00C655CB">
        <w:t xml:space="preserve">Line staff from partner agencies that will deliver RETAIN services could include social service agencies, rehabilitation counselors, employment specialists, and social workers based in health care systems. </w:t>
      </w:r>
      <w:r w:rsidR="007B24DA">
        <w:t xml:space="preserve"> </w:t>
      </w:r>
      <w:r w:rsidRPr="00C655CB">
        <w:t xml:space="preserve">To better understand the range of perspectives, in states where the program model is such that it is appropriate to do so, SSA and Mathematica will identify up to two different providers that differ on some key dimension (such as area of the state or typical delivery model). </w:t>
      </w:r>
      <w:r w:rsidR="007B24DA">
        <w:t xml:space="preserve"> </w:t>
      </w:r>
      <w:r w:rsidRPr="00C655CB">
        <w:t>Evaluators will return to the same two providers for each visit and seek to interview the same staff whenever possible to avoid repeating information and also to gather observations about changes over time.</w:t>
      </w:r>
      <w:r w:rsidR="007B24DA">
        <w:t xml:space="preserve"> </w:t>
      </w:r>
      <w:r w:rsidRPr="00C655CB">
        <w:t xml:space="preserve"> If staff attrition occurs from one site visit to the next, evaluators will work with RETAIN program leaders to identify new staff for the interviews.</w:t>
      </w:r>
    </w:p>
    <w:p w:rsidRPr="00C655CB" w:rsidR="00C655CB" w:rsidP="0064585C" w:rsidRDefault="00C655CB" w14:paraId="639FD41A" w14:textId="2E2EE692">
      <w:pPr>
        <w:spacing w:after="240" w:line="240" w:lineRule="auto"/>
        <w:ind w:left="810" w:firstLine="0"/>
      </w:pPr>
      <w:r w:rsidRPr="00C655CB">
        <w:t xml:space="preserve">A precise estimate of the number of staff involved in each state’s program is unavailable. </w:t>
      </w:r>
      <w:r w:rsidR="007B24DA">
        <w:t xml:space="preserve"> </w:t>
      </w:r>
      <w:r w:rsidRPr="00C655CB">
        <w:t xml:space="preserve">In developing the evaluation plan, SSA and Mathematica determined—based on past experience evaluating other demonstrations—that two five-day site visits are enough to collect the information necessary to inform the analyses. </w:t>
      </w:r>
      <w:r w:rsidR="007B24DA">
        <w:t xml:space="preserve"> </w:t>
      </w:r>
      <w:r w:rsidRPr="00C655CB">
        <w:t>We determined the number of staff to be interviewed at each RETAIN program (19) for each visit based on this time frame and the expected length of the interviews</w:t>
      </w:r>
      <w:r w:rsidR="00712916">
        <w:t xml:space="preserve">. </w:t>
      </w:r>
      <w:r w:rsidR="007B24DA">
        <w:t xml:space="preserve"> </w:t>
      </w:r>
      <w:r w:rsidR="00C91E97">
        <w:t>We will select a</w:t>
      </w:r>
      <w:r w:rsidRPr="00C655CB">
        <w:t xml:space="preserve">ll line staff </w:t>
      </w:r>
      <w:r w:rsidRPr="00C655CB">
        <w:lastRenderedPageBreak/>
        <w:t>will be</w:t>
      </w:r>
      <w:r w:rsidR="00F256C8">
        <w:t xml:space="preserve"> purposefully</w:t>
      </w:r>
      <w:r w:rsidRPr="00C655CB">
        <w:t xml:space="preserve"> for inclusion in the interviews so as to reflect a wide range of staff roles, perspectives, and experiences implementing the model.</w:t>
      </w:r>
    </w:p>
    <w:p w:rsidRPr="00C655CB" w:rsidR="00C655CB" w:rsidP="0064585C" w:rsidRDefault="0064585C" w14:paraId="0598E036" w14:textId="00F388FD">
      <w:pPr>
        <w:pStyle w:val="H4Number"/>
        <w:tabs>
          <w:tab w:val="clear" w:pos="432"/>
          <w:tab w:val="left" w:pos="810"/>
        </w:tabs>
        <w:ind w:left="810" w:hanging="360"/>
      </w:pPr>
      <w:bookmarkStart w:name="_Toc531183379" w:id="6"/>
      <w:bookmarkStart w:name="_Toc34223056" w:id="7"/>
      <w:r>
        <w:t>b</w:t>
      </w:r>
      <w:r w:rsidRPr="00C655CB" w:rsidR="00C655CB">
        <w:t>.</w:t>
      </w:r>
      <w:r w:rsidRPr="00C655CB" w:rsidR="00C655CB">
        <w:tab/>
        <w:t xml:space="preserve">RETAIN </w:t>
      </w:r>
      <w:r w:rsidR="00FF2297">
        <w:t>service user</w:t>
      </w:r>
      <w:r w:rsidR="00B63168">
        <w:t xml:space="preserve"> </w:t>
      </w:r>
      <w:r w:rsidRPr="00C655CB" w:rsidR="00C655CB">
        <w:t>interviews</w:t>
      </w:r>
      <w:bookmarkEnd w:id="6"/>
      <w:bookmarkEnd w:id="7"/>
    </w:p>
    <w:p w:rsidR="00C655CB" w:rsidP="0064585C" w:rsidRDefault="00C655CB" w14:paraId="54DE3E46" w14:textId="7ECD82F6">
      <w:pPr>
        <w:spacing w:after="240" w:line="240" w:lineRule="auto"/>
        <w:ind w:left="810" w:firstLine="0"/>
      </w:pPr>
      <w:r w:rsidRPr="00C655CB">
        <w:t xml:space="preserve">Mathematica will conduct the RETAIN </w:t>
      </w:r>
      <w:r w:rsidR="00FF2297">
        <w:t xml:space="preserve">service user </w:t>
      </w:r>
      <w:r w:rsidRPr="00C655CB">
        <w:t xml:space="preserve">interviews with a convenience sample of 60 </w:t>
      </w:r>
      <w:r w:rsidR="008A6CB1">
        <w:t xml:space="preserve">enrollees </w:t>
      </w:r>
      <w:r w:rsidRPr="00C655CB">
        <w:t xml:space="preserve">drawn from the universe of </w:t>
      </w:r>
      <w:r w:rsidR="00C91E97">
        <w:t xml:space="preserve">the </w:t>
      </w:r>
      <w:r w:rsidRPr="00C655CB">
        <w:t xml:space="preserve">RETAIN treatment group </w:t>
      </w:r>
      <w:r w:rsidR="008A6CB1">
        <w:t>(</w:t>
      </w:r>
      <w:r w:rsidR="0064585C">
        <w:t>Exhibit B</w:t>
      </w:r>
      <w:r w:rsidR="0072133E">
        <w:t>1).</w:t>
      </w:r>
      <w:r w:rsidRPr="00C655CB">
        <w:t xml:space="preserve"> </w:t>
      </w:r>
      <w:r w:rsidR="007B24DA">
        <w:t xml:space="preserve"> </w:t>
      </w:r>
      <w:r w:rsidRPr="00C655CB">
        <w:t xml:space="preserve">The interviews will take place during </w:t>
      </w:r>
      <w:r w:rsidR="00D14CB8">
        <w:t>August</w:t>
      </w:r>
      <w:r w:rsidR="00AB6FBA">
        <w:t xml:space="preserve"> 2022. </w:t>
      </w:r>
      <w:r w:rsidR="007B24DA">
        <w:t xml:space="preserve"> </w:t>
      </w:r>
      <w:r w:rsidRPr="00C655CB">
        <w:t xml:space="preserve">We will interview each </w:t>
      </w:r>
      <w:r w:rsidR="00FF2297">
        <w:t xml:space="preserve">service user </w:t>
      </w:r>
      <w:r w:rsidRPr="00C655CB">
        <w:t xml:space="preserve">separately. </w:t>
      </w:r>
      <w:r w:rsidR="007B24DA">
        <w:t xml:space="preserve"> </w:t>
      </w:r>
      <w:r w:rsidRPr="00C655CB">
        <w:t xml:space="preserve">To </w:t>
      </w:r>
      <w:r w:rsidR="008A6CB1">
        <w:t xml:space="preserve">complete </w:t>
      </w:r>
      <w:r w:rsidRPr="00C655CB">
        <w:t xml:space="preserve">60 </w:t>
      </w:r>
      <w:r w:rsidR="008A6CB1">
        <w:t xml:space="preserve">interviews, </w:t>
      </w:r>
      <w:r w:rsidRPr="00C655CB">
        <w:t xml:space="preserve">Mathematica will select up to 150 </w:t>
      </w:r>
      <w:r w:rsidR="000E54DD">
        <w:t xml:space="preserve">service users </w:t>
      </w:r>
      <w:r w:rsidRPr="00C655CB">
        <w:t xml:space="preserve">per state across the four states and invite each to participate in the interviews. </w:t>
      </w:r>
      <w:r w:rsidR="007B24DA">
        <w:t xml:space="preserve"> </w:t>
      </w:r>
      <w:r w:rsidRPr="00C655CB">
        <w:t xml:space="preserve">Mathematica will use administrative data to identify </w:t>
      </w:r>
      <w:r w:rsidR="001A6F2E">
        <w:t xml:space="preserve">RETAIN </w:t>
      </w:r>
      <w:r w:rsidR="000E54DD">
        <w:t xml:space="preserve">service users </w:t>
      </w:r>
      <w:r w:rsidR="008A6CB1">
        <w:t xml:space="preserve"> </w:t>
      </w:r>
      <w:r w:rsidR="00E00FF5">
        <w:t>based on their intensity of service use</w:t>
      </w:r>
      <w:r w:rsidR="0072133E">
        <w:t xml:space="preserve"> (high, moderate, and low)</w:t>
      </w:r>
      <w:r w:rsidR="00712916">
        <w:t xml:space="preserve">. </w:t>
      </w:r>
      <w:r w:rsidR="007B24DA">
        <w:t xml:space="preserve"> </w:t>
      </w:r>
      <w:r w:rsidR="00873F2D">
        <w:t>W</w:t>
      </w:r>
      <w:r w:rsidR="00E00FF5">
        <w:t>e plan to interview three subgroup</w:t>
      </w:r>
      <w:r w:rsidR="00BD022E">
        <w:t>s</w:t>
      </w:r>
      <w:r w:rsidR="00E00FF5">
        <w:t xml:space="preserve"> of five </w:t>
      </w:r>
      <w:r w:rsidR="00AE5A65">
        <w:t xml:space="preserve">service users </w:t>
      </w:r>
      <w:r w:rsidR="00C91E97">
        <w:t>a</w:t>
      </w:r>
      <w:r w:rsidR="00E00FF5">
        <w:t xml:space="preserve">t each </w:t>
      </w:r>
      <w:r w:rsidR="00C91E97">
        <w:t>site</w:t>
      </w:r>
      <w:r w:rsidR="00095143">
        <w:t xml:space="preserve"> </w:t>
      </w:r>
      <w:r w:rsidR="00E00FF5">
        <w:t xml:space="preserve">(i.e., 15 per </w:t>
      </w:r>
      <w:r w:rsidR="00095143">
        <w:t>state</w:t>
      </w:r>
      <w:r w:rsidR="00E00FF5">
        <w:t>)</w:t>
      </w:r>
      <w:r w:rsidR="00712916">
        <w:t xml:space="preserve">. </w:t>
      </w:r>
      <w:r w:rsidR="007B24DA">
        <w:t xml:space="preserve"> </w:t>
      </w:r>
      <w:r w:rsidRPr="00C655CB">
        <w:t xml:space="preserve">Mathematica will sample from among qualifying </w:t>
      </w:r>
      <w:r w:rsidR="00F912A8">
        <w:t>enrollee</w:t>
      </w:r>
      <w:r w:rsidRPr="00C655CB">
        <w:t>s who meet those criteria.</w:t>
      </w:r>
      <w:r w:rsidR="007B24DA">
        <w:t xml:space="preserve"> </w:t>
      </w:r>
      <w:r w:rsidRPr="00C655CB">
        <w:t xml:space="preserve"> Mathematica will send an invitation by mail to all of the potential interviewees in each state.</w:t>
      </w:r>
      <w:r w:rsidR="007B24DA">
        <w:t xml:space="preserve"> </w:t>
      </w:r>
      <w:r w:rsidRPr="00C655CB">
        <w:t xml:space="preserve"> The letter will introduce the evaluation, describe the purpose of the interview, and ask </w:t>
      </w:r>
      <w:r w:rsidR="00F912A8">
        <w:t>enrollee</w:t>
      </w:r>
      <w:r w:rsidRPr="00C655CB">
        <w:t xml:space="preserve">s to call a </w:t>
      </w:r>
      <w:r w:rsidRPr="00C655CB" w:rsidR="001F567E">
        <w:t>toll-free</w:t>
      </w:r>
      <w:r w:rsidRPr="00C655CB">
        <w:t xml:space="preserve"> number to schedule an appointment to complete an interview</w:t>
      </w:r>
      <w:r w:rsidRPr="00C655CB" w:rsidR="00EB724B">
        <w:t>.</w:t>
      </w:r>
      <w:r w:rsidRPr="00C655CB">
        <w:t xml:space="preserve"> </w:t>
      </w:r>
    </w:p>
    <w:p w:rsidRPr="00C655CB" w:rsidR="002E114B" w:rsidP="002E114B" w:rsidRDefault="002E114B" w14:paraId="40725E2E" w14:textId="70000812">
      <w:pPr>
        <w:pStyle w:val="MarkforExhibitTitle"/>
        <w:keepLines/>
      </w:pPr>
      <w:bookmarkStart w:name="_Toc34223096" w:id="8"/>
      <w:r>
        <w:t>Exhibit</w:t>
      </w:r>
      <w:r w:rsidR="0064585C">
        <w:t xml:space="preserve"> B</w:t>
      </w:r>
      <w:r w:rsidRPr="00C655CB">
        <w:t>1</w:t>
      </w:r>
      <w:r>
        <w:t>-1</w:t>
      </w:r>
      <w:r w:rsidRPr="00C655CB">
        <w:t>. S</w:t>
      </w:r>
      <w:r>
        <w:t>ite visit interviewee and service user s</w:t>
      </w:r>
      <w:r w:rsidRPr="00C655CB">
        <w:t xml:space="preserve">ample sizes, by RETAIN </w:t>
      </w:r>
      <w:r>
        <w:t>state</w:t>
      </w:r>
      <w:bookmarkEnd w:id="8"/>
    </w:p>
    <w:tbl>
      <w:tblPr>
        <w:tblStyle w:val="TableGrid2"/>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05"/>
        <w:gridCol w:w="989"/>
        <w:gridCol w:w="989"/>
        <w:gridCol w:w="989"/>
        <w:gridCol w:w="989"/>
        <w:gridCol w:w="989"/>
      </w:tblGrid>
      <w:tr w:rsidRPr="00C655CB" w:rsidR="002E114B" w:rsidTr="00874EE3" w14:paraId="42A8F1C9" w14:textId="77777777">
        <w:tc>
          <w:tcPr>
            <w:tcW w:w="4405" w:type="dxa"/>
            <w:shd w:val="clear" w:color="auto" w:fill="046B5C"/>
            <w:vAlign w:val="bottom"/>
          </w:tcPr>
          <w:p w:rsidRPr="00C655CB" w:rsidR="002E114B" w:rsidP="00874EE3" w:rsidRDefault="002E114B" w14:paraId="7E93DCFB" w14:textId="77777777">
            <w:pPr>
              <w:keepNext/>
              <w:keepLines/>
              <w:spacing w:before="120" w:after="60" w:line="240" w:lineRule="auto"/>
              <w:ind w:firstLine="0"/>
              <w:rPr>
                <w:rFonts w:ascii="Arial" w:hAnsi="Arial"/>
                <w:b/>
                <w:color w:val="FFFFFF" w:themeColor="background1"/>
                <w:sz w:val="18"/>
              </w:rPr>
            </w:pPr>
          </w:p>
        </w:tc>
        <w:tc>
          <w:tcPr>
            <w:tcW w:w="989" w:type="dxa"/>
            <w:shd w:val="clear" w:color="auto" w:fill="046B5C"/>
            <w:vAlign w:val="bottom"/>
          </w:tcPr>
          <w:p w:rsidRPr="00C655CB" w:rsidR="002E114B" w:rsidP="00874EE3" w:rsidRDefault="002E114B" w14:paraId="099173F6" w14:textId="77777777">
            <w:pPr>
              <w:keepNext/>
              <w:keepLines/>
              <w:spacing w:before="120" w:after="60" w:line="240" w:lineRule="auto"/>
              <w:ind w:firstLine="0"/>
              <w:jc w:val="center"/>
              <w:rPr>
                <w:rFonts w:ascii="Arial" w:hAnsi="Arial"/>
                <w:b/>
                <w:color w:val="FFFFFF" w:themeColor="background1"/>
                <w:sz w:val="18"/>
              </w:rPr>
            </w:pPr>
            <w:r w:rsidRPr="00C655CB">
              <w:rPr>
                <w:rFonts w:ascii="Arial" w:hAnsi="Arial"/>
                <w:b/>
                <w:color w:val="FFFFFF" w:themeColor="background1"/>
                <w:sz w:val="18"/>
              </w:rPr>
              <w:t>State 1</w:t>
            </w:r>
          </w:p>
        </w:tc>
        <w:tc>
          <w:tcPr>
            <w:tcW w:w="989" w:type="dxa"/>
            <w:shd w:val="clear" w:color="auto" w:fill="046B5C"/>
            <w:vAlign w:val="bottom"/>
          </w:tcPr>
          <w:p w:rsidRPr="00C655CB" w:rsidR="002E114B" w:rsidP="00874EE3" w:rsidRDefault="002E114B" w14:paraId="2C1A51B3" w14:textId="77777777">
            <w:pPr>
              <w:keepNext/>
              <w:keepLines/>
              <w:spacing w:before="120" w:after="60" w:line="240" w:lineRule="auto"/>
              <w:ind w:firstLine="0"/>
              <w:jc w:val="center"/>
              <w:rPr>
                <w:rFonts w:ascii="Arial" w:hAnsi="Arial"/>
                <w:b/>
                <w:color w:val="FFFFFF" w:themeColor="background1"/>
                <w:sz w:val="18"/>
              </w:rPr>
            </w:pPr>
            <w:r w:rsidRPr="00C655CB">
              <w:rPr>
                <w:rFonts w:ascii="Arial" w:hAnsi="Arial"/>
                <w:b/>
                <w:color w:val="FFFFFF" w:themeColor="background1"/>
                <w:sz w:val="18"/>
              </w:rPr>
              <w:t>State 2</w:t>
            </w:r>
          </w:p>
        </w:tc>
        <w:tc>
          <w:tcPr>
            <w:tcW w:w="989" w:type="dxa"/>
            <w:shd w:val="clear" w:color="auto" w:fill="046B5C"/>
            <w:vAlign w:val="bottom"/>
          </w:tcPr>
          <w:p w:rsidRPr="00C655CB" w:rsidR="002E114B" w:rsidP="00874EE3" w:rsidRDefault="002E114B" w14:paraId="08BD15C0" w14:textId="77777777">
            <w:pPr>
              <w:keepNext/>
              <w:keepLines/>
              <w:spacing w:before="120" w:after="60" w:line="240" w:lineRule="auto"/>
              <w:ind w:firstLine="0"/>
              <w:jc w:val="center"/>
              <w:rPr>
                <w:rFonts w:ascii="Arial" w:hAnsi="Arial"/>
                <w:b/>
                <w:color w:val="FFFFFF" w:themeColor="background1"/>
                <w:sz w:val="18"/>
              </w:rPr>
            </w:pPr>
            <w:r w:rsidRPr="00C655CB">
              <w:rPr>
                <w:rFonts w:ascii="Arial" w:hAnsi="Arial"/>
                <w:b/>
                <w:color w:val="FFFFFF" w:themeColor="background1"/>
                <w:sz w:val="18"/>
              </w:rPr>
              <w:t>State 3</w:t>
            </w:r>
          </w:p>
        </w:tc>
        <w:tc>
          <w:tcPr>
            <w:tcW w:w="989" w:type="dxa"/>
            <w:shd w:val="clear" w:color="auto" w:fill="046B5C"/>
            <w:vAlign w:val="bottom"/>
          </w:tcPr>
          <w:p w:rsidRPr="00C655CB" w:rsidR="002E114B" w:rsidP="00874EE3" w:rsidRDefault="002E114B" w14:paraId="58F8126F" w14:textId="77777777">
            <w:pPr>
              <w:keepNext/>
              <w:keepLines/>
              <w:spacing w:before="120" w:after="60" w:line="240" w:lineRule="auto"/>
              <w:ind w:firstLine="0"/>
              <w:jc w:val="center"/>
              <w:rPr>
                <w:rFonts w:ascii="Arial" w:hAnsi="Arial"/>
                <w:b/>
                <w:color w:val="FFFFFF" w:themeColor="background1"/>
                <w:sz w:val="18"/>
              </w:rPr>
            </w:pPr>
            <w:r w:rsidRPr="00C655CB">
              <w:rPr>
                <w:rFonts w:ascii="Arial" w:hAnsi="Arial"/>
                <w:b/>
                <w:color w:val="FFFFFF" w:themeColor="background1"/>
                <w:sz w:val="18"/>
              </w:rPr>
              <w:t>State 4</w:t>
            </w:r>
          </w:p>
        </w:tc>
        <w:tc>
          <w:tcPr>
            <w:tcW w:w="989" w:type="dxa"/>
            <w:shd w:val="clear" w:color="auto" w:fill="046B5C"/>
            <w:vAlign w:val="bottom"/>
          </w:tcPr>
          <w:p w:rsidRPr="00C655CB" w:rsidR="002E114B" w:rsidP="00874EE3" w:rsidRDefault="002E114B" w14:paraId="3FE80231" w14:textId="77777777">
            <w:pPr>
              <w:keepNext/>
              <w:keepLines/>
              <w:spacing w:before="120" w:after="60" w:line="240" w:lineRule="auto"/>
              <w:ind w:firstLine="0"/>
              <w:jc w:val="center"/>
              <w:rPr>
                <w:rFonts w:ascii="Arial" w:hAnsi="Arial"/>
                <w:b/>
                <w:color w:val="FFFFFF" w:themeColor="background1"/>
                <w:sz w:val="18"/>
              </w:rPr>
            </w:pPr>
            <w:r w:rsidRPr="00C655CB">
              <w:rPr>
                <w:rFonts w:ascii="Arial" w:hAnsi="Arial"/>
                <w:b/>
                <w:color w:val="FFFFFF" w:themeColor="background1"/>
                <w:sz w:val="18"/>
              </w:rPr>
              <w:t>Total</w:t>
            </w:r>
          </w:p>
        </w:tc>
      </w:tr>
      <w:tr w:rsidRPr="00C655CB" w:rsidR="002E114B" w:rsidTr="00874EE3" w14:paraId="1388818E" w14:textId="77777777">
        <w:tc>
          <w:tcPr>
            <w:tcW w:w="4405" w:type="dxa"/>
            <w:shd w:val="clear" w:color="auto" w:fill="E0D4B5"/>
          </w:tcPr>
          <w:p w:rsidRPr="00C655CB" w:rsidR="002E114B" w:rsidP="00874EE3" w:rsidRDefault="002E114B" w14:paraId="665079A5" w14:textId="77777777">
            <w:pPr>
              <w:keepNext/>
              <w:keepLines/>
              <w:spacing w:before="40" w:after="40" w:line="240" w:lineRule="auto"/>
              <w:ind w:firstLine="0"/>
              <w:rPr>
                <w:rFonts w:ascii="Arial" w:hAnsi="Arial"/>
                <w:b/>
                <w:sz w:val="18"/>
              </w:rPr>
            </w:pPr>
            <w:r w:rsidRPr="00C655CB">
              <w:rPr>
                <w:rFonts w:ascii="Arial" w:hAnsi="Arial"/>
                <w:b/>
                <w:sz w:val="18"/>
              </w:rPr>
              <w:t xml:space="preserve">Site </w:t>
            </w:r>
            <w:r>
              <w:rPr>
                <w:rFonts w:ascii="Arial" w:hAnsi="Arial"/>
                <w:b/>
                <w:sz w:val="18"/>
              </w:rPr>
              <w:t>v</w:t>
            </w:r>
            <w:r w:rsidRPr="00C655CB">
              <w:rPr>
                <w:rFonts w:ascii="Arial" w:hAnsi="Arial"/>
                <w:b/>
                <w:sz w:val="18"/>
              </w:rPr>
              <w:t>isit 1</w:t>
            </w:r>
          </w:p>
        </w:tc>
        <w:tc>
          <w:tcPr>
            <w:tcW w:w="989" w:type="dxa"/>
            <w:shd w:val="clear" w:color="auto" w:fill="E0D4B5"/>
          </w:tcPr>
          <w:p w:rsidRPr="00C655CB" w:rsidR="002E114B" w:rsidP="00874EE3" w:rsidRDefault="002E114B" w14:paraId="38578FAD" w14:textId="77777777">
            <w:pPr>
              <w:keepNext/>
              <w:keepLines/>
              <w:tabs>
                <w:tab w:val="decimal" w:pos="437"/>
              </w:tabs>
              <w:spacing w:before="40" w:after="40" w:line="240" w:lineRule="auto"/>
              <w:ind w:firstLine="0"/>
              <w:rPr>
                <w:rFonts w:ascii="Arial" w:hAnsi="Arial"/>
                <w:b/>
                <w:sz w:val="18"/>
              </w:rPr>
            </w:pPr>
          </w:p>
        </w:tc>
        <w:tc>
          <w:tcPr>
            <w:tcW w:w="989" w:type="dxa"/>
            <w:shd w:val="clear" w:color="auto" w:fill="E0D4B5"/>
          </w:tcPr>
          <w:p w:rsidRPr="00C655CB" w:rsidR="002E114B" w:rsidP="00874EE3" w:rsidRDefault="002E114B" w14:paraId="122FA66F" w14:textId="77777777">
            <w:pPr>
              <w:keepNext/>
              <w:keepLines/>
              <w:tabs>
                <w:tab w:val="decimal" w:pos="437"/>
              </w:tabs>
              <w:spacing w:before="40" w:after="40" w:line="240" w:lineRule="auto"/>
              <w:ind w:firstLine="0"/>
              <w:rPr>
                <w:rFonts w:ascii="Arial" w:hAnsi="Arial"/>
                <w:b/>
                <w:sz w:val="18"/>
              </w:rPr>
            </w:pPr>
          </w:p>
        </w:tc>
        <w:tc>
          <w:tcPr>
            <w:tcW w:w="989" w:type="dxa"/>
            <w:shd w:val="clear" w:color="auto" w:fill="E0D4B5"/>
          </w:tcPr>
          <w:p w:rsidRPr="00C655CB" w:rsidR="002E114B" w:rsidP="00874EE3" w:rsidRDefault="002E114B" w14:paraId="4910A7D9" w14:textId="77777777">
            <w:pPr>
              <w:keepNext/>
              <w:keepLines/>
              <w:tabs>
                <w:tab w:val="decimal" w:pos="437"/>
              </w:tabs>
              <w:spacing w:before="40" w:after="40" w:line="240" w:lineRule="auto"/>
              <w:ind w:firstLine="0"/>
              <w:rPr>
                <w:rFonts w:ascii="Arial" w:hAnsi="Arial"/>
                <w:b/>
                <w:sz w:val="18"/>
              </w:rPr>
            </w:pPr>
          </w:p>
        </w:tc>
        <w:tc>
          <w:tcPr>
            <w:tcW w:w="989" w:type="dxa"/>
            <w:shd w:val="clear" w:color="auto" w:fill="E0D4B5"/>
          </w:tcPr>
          <w:p w:rsidRPr="00C655CB" w:rsidR="002E114B" w:rsidP="00874EE3" w:rsidRDefault="002E114B" w14:paraId="1F03FA2A" w14:textId="77777777">
            <w:pPr>
              <w:keepNext/>
              <w:keepLines/>
              <w:tabs>
                <w:tab w:val="decimal" w:pos="437"/>
              </w:tabs>
              <w:spacing w:before="40" w:after="40" w:line="240" w:lineRule="auto"/>
              <w:ind w:firstLine="0"/>
              <w:rPr>
                <w:rFonts w:ascii="Arial" w:hAnsi="Arial"/>
                <w:b/>
                <w:sz w:val="18"/>
              </w:rPr>
            </w:pPr>
          </w:p>
        </w:tc>
        <w:tc>
          <w:tcPr>
            <w:tcW w:w="989" w:type="dxa"/>
            <w:shd w:val="clear" w:color="auto" w:fill="E0D4B5"/>
          </w:tcPr>
          <w:p w:rsidRPr="00C655CB" w:rsidR="002E114B" w:rsidP="00874EE3" w:rsidRDefault="002E114B" w14:paraId="76A0D7EC" w14:textId="77777777">
            <w:pPr>
              <w:keepNext/>
              <w:keepLines/>
              <w:tabs>
                <w:tab w:val="decimal" w:pos="437"/>
              </w:tabs>
              <w:spacing w:before="40" w:after="40" w:line="240" w:lineRule="auto"/>
              <w:ind w:firstLine="0"/>
              <w:rPr>
                <w:rFonts w:ascii="Arial" w:hAnsi="Arial"/>
                <w:b/>
                <w:sz w:val="18"/>
              </w:rPr>
            </w:pPr>
          </w:p>
        </w:tc>
      </w:tr>
      <w:tr w:rsidRPr="00C655CB" w:rsidR="002E114B" w:rsidTr="00874EE3" w14:paraId="34EA064C" w14:textId="77777777">
        <w:tc>
          <w:tcPr>
            <w:tcW w:w="4405" w:type="dxa"/>
            <w:shd w:val="clear" w:color="auto" w:fill="auto"/>
            <w:vAlign w:val="bottom"/>
          </w:tcPr>
          <w:p w:rsidRPr="00C655CB" w:rsidR="002E114B" w:rsidP="00874EE3" w:rsidRDefault="002E114B" w14:paraId="76DEF222" w14:textId="77777777">
            <w:pPr>
              <w:keepNext/>
              <w:keepLines/>
              <w:spacing w:before="40" w:after="40" w:line="240" w:lineRule="auto"/>
              <w:ind w:firstLine="0"/>
              <w:rPr>
                <w:rFonts w:ascii="Arial" w:hAnsi="Arial"/>
                <w:sz w:val="18"/>
              </w:rPr>
            </w:pPr>
            <w:r w:rsidRPr="00C655CB">
              <w:rPr>
                <w:rFonts w:ascii="Arial" w:hAnsi="Arial"/>
                <w:sz w:val="18"/>
              </w:rPr>
              <w:t>RETAIN administrators/directors</w:t>
            </w:r>
          </w:p>
        </w:tc>
        <w:tc>
          <w:tcPr>
            <w:tcW w:w="989" w:type="dxa"/>
          </w:tcPr>
          <w:p w:rsidRPr="00C655CB" w:rsidR="002E114B" w:rsidP="00874EE3" w:rsidRDefault="002E114B" w14:paraId="61FC027A" w14:textId="77777777">
            <w:pPr>
              <w:keepNext/>
              <w:keepLines/>
              <w:tabs>
                <w:tab w:val="decimal" w:pos="437"/>
              </w:tabs>
              <w:spacing w:before="40" w:after="40" w:line="240" w:lineRule="auto"/>
              <w:ind w:firstLine="0"/>
              <w:rPr>
                <w:rFonts w:ascii="Arial" w:hAnsi="Arial"/>
                <w:sz w:val="18"/>
              </w:rPr>
            </w:pPr>
            <w:r w:rsidRPr="00C655CB">
              <w:rPr>
                <w:rFonts w:ascii="Arial" w:hAnsi="Arial"/>
                <w:sz w:val="18"/>
              </w:rPr>
              <w:t>1</w:t>
            </w:r>
          </w:p>
        </w:tc>
        <w:tc>
          <w:tcPr>
            <w:tcW w:w="989" w:type="dxa"/>
          </w:tcPr>
          <w:p w:rsidRPr="00C655CB" w:rsidR="002E114B" w:rsidP="00874EE3" w:rsidRDefault="002E114B" w14:paraId="1BF7F38A" w14:textId="77777777">
            <w:pPr>
              <w:keepNext/>
              <w:keepLines/>
              <w:tabs>
                <w:tab w:val="decimal" w:pos="437"/>
              </w:tabs>
              <w:spacing w:before="40" w:after="40" w:line="240" w:lineRule="auto"/>
              <w:ind w:firstLine="0"/>
              <w:rPr>
                <w:rFonts w:ascii="Arial" w:hAnsi="Arial"/>
                <w:sz w:val="18"/>
              </w:rPr>
            </w:pPr>
            <w:r w:rsidRPr="00C655CB">
              <w:rPr>
                <w:rFonts w:ascii="Arial" w:hAnsi="Arial"/>
                <w:sz w:val="18"/>
              </w:rPr>
              <w:t>1</w:t>
            </w:r>
          </w:p>
        </w:tc>
        <w:tc>
          <w:tcPr>
            <w:tcW w:w="989" w:type="dxa"/>
          </w:tcPr>
          <w:p w:rsidRPr="00C655CB" w:rsidR="002E114B" w:rsidP="00874EE3" w:rsidRDefault="002E114B" w14:paraId="1246BA38" w14:textId="77777777">
            <w:pPr>
              <w:keepNext/>
              <w:keepLines/>
              <w:tabs>
                <w:tab w:val="decimal" w:pos="437"/>
              </w:tabs>
              <w:spacing w:before="40" w:after="40" w:line="240" w:lineRule="auto"/>
              <w:ind w:firstLine="0"/>
              <w:rPr>
                <w:rFonts w:ascii="Arial" w:hAnsi="Arial"/>
                <w:sz w:val="18"/>
              </w:rPr>
            </w:pPr>
            <w:r w:rsidRPr="00C655CB">
              <w:rPr>
                <w:rFonts w:ascii="Arial" w:hAnsi="Arial"/>
                <w:sz w:val="18"/>
              </w:rPr>
              <w:t>1</w:t>
            </w:r>
          </w:p>
        </w:tc>
        <w:tc>
          <w:tcPr>
            <w:tcW w:w="989" w:type="dxa"/>
          </w:tcPr>
          <w:p w:rsidRPr="00C655CB" w:rsidR="002E114B" w:rsidP="00874EE3" w:rsidRDefault="002E114B" w14:paraId="3E62BBF4" w14:textId="77777777">
            <w:pPr>
              <w:keepNext/>
              <w:keepLines/>
              <w:tabs>
                <w:tab w:val="decimal" w:pos="437"/>
              </w:tabs>
              <w:spacing w:before="40" w:after="40" w:line="240" w:lineRule="auto"/>
              <w:ind w:firstLine="0"/>
              <w:rPr>
                <w:rFonts w:ascii="Arial" w:hAnsi="Arial"/>
                <w:sz w:val="18"/>
              </w:rPr>
            </w:pPr>
            <w:r w:rsidRPr="00C655CB">
              <w:rPr>
                <w:rFonts w:ascii="Arial" w:hAnsi="Arial"/>
                <w:sz w:val="18"/>
              </w:rPr>
              <w:t>1</w:t>
            </w:r>
          </w:p>
        </w:tc>
        <w:tc>
          <w:tcPr>
            <w:tcW w:w="989" w:type="dxa"/>
          </w:tcPr>
          <w:p w:rsidRPr="00C655CB" w:rsidR="002E114B" w:rsidP="00874EE3" w:rsidRDefault="002E114B" w14:paraId="6CD14FA9" w14:textId="77777777">
            <w:pPr>
              <w:keepNext/>
              <w:keepLines/>
              <w:tabs>
                <w:tab w:val="decimal" w:pos="437"/>
              </w:tabs>
              <w:spacing w:before="40" w:after="40" w:line="240" w:lineRule="auto"/>
              <w:ind w:firstLine="0"/>
              <w:rPr>
                <w:rFonts w:ascii="Arial" w:hAnsi="Arial"/>
                <w:sz w:val="18"/>
              </w:rPr>
            </w:pPr>
            <w:r w:rsidRPr="00C655CB">
              <w:rPr>
                <w:rFonts w:ascii="Arial" w:hAnsi="Arial"/>
                <w:sz w:val="18"/>
              </w:rPr>
              <w:t>4</w:t>
            </w:r>
          </w:p>
        </w:tc>
      </w:tr>
      <w:tr w:rsidRPr="00C655CB" w:rsidR="002E114B" w:rsidTr="00874EE3" w14:paraId="0581FB93" w14:textId="77777777">
        <w:tc>
          <w:tcPr>
            <w:tcW w:w="4405" w:type="dxa"/>
            <w:shd w:val="clear" w:color="auto" w:fill="auto"/>
            <w:vAlign w:val="bottom"/>
          </w:tcPr>
          <w:p w:rsidRPr="00C655CB" w:rsidR="002E114B" w:rsidP="00874EE3" w:rsidRDefault="002E114B" w14:paraId="11006DD9" w14:textId="77777777">
            <w:pPr>
              <w:keepNext/>
              <w:keepLines/>
              <w:spacing w:before="40" w:after="40" w:line="240" w:lineRule="auto"/>
              <w:ind w:firstLine="0"/>
              <w:rPr>
                <w:rFonts w:ascii="Arial" w:hAnsi="Arial"/>
                <w:sz w:val="18"/>
              </w:rPr>
            </w:pPr>
            <w:r w:rsidRPr="00C655CB">
              <w:rPr>
                <w:rFonts w:ascii="Arial" w:hAnsi="Arial"/>
                <w:sz w:val="18"/>
              </w:rPr>
              <w:t>RETAIN program line staff</w:t>
            </w:r>
          </w:p>
        </w:tc>
        <w:tc>
          <w:tcPr>
            <w:tcW w:w="989" w:type="dxa"/>
          </w:tcPr>
          <w:p w:rsidRPr="00C655CB" w:rsidR="002E114B" w:rsidP="00874EE3" w:rsidRDefault="002E114B" w14:paraId="5882E84F" w14:textId="77777777">
            <w:pPr>
              <w:keepNext/>
              <w:keepLines/>
              <w:tabs>
                <w:tab w:val="decimal" w:pos="437"/>
              </w:tabs>
              <w:spacing w:before="40" w:after="40" w:line="240" w:lineRule="auto"/>
              <w:ind w:firstLine="0"/>
              <w:rPr>
                <w:rFonts w:ascii="Arial" w:hAnsi="Arial"/>
                <w:sz w:val="18"/>
              </w:rPr>
            </w:pPr>
            <w:r w:rsidRPr="00C655CB">
              <w:rPr>
                <w:rFonts w:ascii="Arial" w:hAnsi="Arial"/>
                <w:sz w:val="18"/>
              </w:rPr>
              <w:t>18</w:t>
            </w:r>
          </w:p>
        </w:tc>
        <w:tc>
          <w:tcPr>
            <w:tcW w:w="989" w:type="dxa"/>
          </w:tcPr>
          <w:p w:rsidRPr="00C655CB" w:rsidR="002E114B" w:rsidP="00874EE3" w:rsidRDefault="002E114B" w14:paraId="31170DAB" w14:textId="77777777">
            <w:pPr>
              <w:keepNext/>
              <w:keepLines/>
              <w:tabs>
                <w:tab w:val="decimal" w:pos="437"/>
              </w:tabs>
              <w:spacing w:before="40" w:after="40" w:line="240" w:lineRule="auto"/>
              <w:ind w:firstLine="0"/>
              <w:rPr>
                <w:rFonts w:ascii="Arial" w:hAnsi="Arial"/>
                <w:sz w:val="18"/>
              </w:rPr>
            </w:pPr>
            <w:r w:rsidRPr="00C655CB">
              <w:rPr>
                <w:rFonts w:ascii="Arial" w:hAnsi="Arial"/>
                <w:sz w:val="18"/>
              </w:rPr>
              <w:t>18</w:t>
            </w:r>
          </w:p>
        </w:tc>
        <w:tc>
          <w:tcPr>
            <w:tcW w:w="989" w:type="dxa"/>
          </w:tcPr>
          <w:p w:rsidRPr="00C655CB" w:rsidR="002E114B" w:rsidP="00874EE3" w:rsidRDefault="002E114B" w14:paraId="5C743355" w14:textId="77777777">
            <w:pPr>
              <w:keepNext/>
              <w:keepLines/>
              <w:tabs>
                <w:tab w:val="decimal" w:pos="437"/>
              </w:tabs>
              <w:spacing w:before="40" w:after="40" w:line="240" w:lineRule="auto"/>
              <w:ind w:firstLine="0"/>
              <w:rPr>
                <w:rFonts w:ascii="Arial" w:hAnsi="Arial"/>
                <w:sz w:val="18"/>
              </w:rPr>
            </w:pPr>
            <w:r w:rsidRPr="00C655CB">
              <w:rPr>
                <w:rFonts w:ascii="Arial" w:hAnsi="Arial"/>
                <w:sz w:val="18"/>
              </w:rPr>
              <w:t>18</w:t>
            </w:r>
          </w:p>
        </w:tc>
        <w:tc>
          <w:tcPr>
            <w:tcW w:w="989" w:type="dxa"/>
          </w:tcPr>
          <w:p w:rsidRPr="00C655CB" w:rsidR="002E114B" w:rsidP="00874EE3" w:rsidRDefault="002E114B" w14:paraId="70E23864" w14:textId="77777777">
            <w:pPr>
              <w:keepNext/>
              <w:keepLines/>
              <w:tabs>
                <w:tab w:val="decimal" w:pos="437"/>
              </w:tabs>
              <w:spacing w:before="40" w:after="40" w:line="240" w:lineRule="auto"/>
              <w:ind w:firstLine="0"/>
              <w:rPr>
                <w:rFonts w:ascii="Arial" w:hAnsi="Arial"/>
                <w:sz w:val="18"/>
              </w:rPr>
            </w:pPr>
            <w:r w:rsidRPr="00C655CB">
              <w:rPr>
                <w:rFonts w:ascii="Arial" w:hAnsi="Arial"/>
                <w:sz w:val="18"/>
              </w:rPr>
              <w:t>18</w:t>
            </w:r>
          </w:p>
        </w:tc>
        <w:tc>
          <w:tcPr>
            <w:tcW w:w="989" w:type="dxa"/>
          </w:tcPr>
          <w:p w:rsidRPr="00C655CB" w:rsidR="002E114B" w:rsidP="00874EE3" w:rsidRDefault="002E114B" w14:paraId="319A3F7A" w14:textId="77777777">
            <w:pPr>
              <w:keepNext/>
              <w:keepLines/>
              <w:tabs>
                <w:tab w:val="decimal" w:pos="437"/>
              </w:tabs>
              <w:spacing w:before="40" w:after="40" w:line="240" w:lineRule="auto"/>
              <w:ind w:firstLine="0"/>
              <w:rPr>
                <w:rFonts w:ascii="Arial" w:hAnsi="Arial"/>
                <w:sz w:val="18"/>
              </w:rPr>
            </w:pPr>
            <w:r w:rsidRPr="00C655CB">
              <w:rPr>
                <w:rFonts w:ascii="Arial" w:hAnsi="Arial"/>
                <w:sz w:val="18"/>
              </w:rPr>
              <w:t>72</w:t>
            </w:r>
          </w:p>
        </w:tc>
      </w:tr>
      <w:tr w:rsidRPr="00C655CB" w:rsidR="002E114B" w:rsidTr="00874EE3" w14:paraId="0ADBCA9E" w14:textId="77777777">
        <w:tc>
          <w:tcPr>
            <w:tcW w:w="4405" w:type="dxa"/>
            <w:shd w:val="clear" w:color="auto" w:fill="E0D4B5"/>
          </w:tcPr>
          <w:p w:rsidRPr="00C655CB" w:rsidR="002E114B" w:rsidP="00874EE3" w:rsidRDefault="002E114B" w14:paraId="669CD81E" w14:textId="77777777">
            <w:pPr>
              <w:keepNext/>
              <w:keepLines/>
              <w:spacing w:before="40" w:after="40" w:line="240" w:lineRule="auto"/>
              <w:ind w:firstLine="0"/>
              <w:rPr>
                <w:rFonts w:ascii="Arial" w:hAnsi="Arial"/>
                <w:b/>
                <w:sz w:val="18"/>
              </w:rPr>
            </w:pPr>
            <w:r>
              <w:rPr>
                <w:rFonts w:ascii="Arial" w:hAnsi="Arial"/>
                <w:b/>
                <w:sz w:val="18"/>
              </w:rPr>
              <w:t xml:space="preserve">RETAIN service user </w:t>
            </w:r>
            <w:r w:rsidRPr="00C655CB">
              <w:rPr>
                <w:rFonts w:ascii="Arial" w:hAnsi="Arial"/>
                <w:b/>
                <w:sz w:val="18"/>
              </w:rPr>
              <w:t>interviews</w:t>
            </w:r>
          </w:p>
        </w:tc>
        <w:tc>
          <w:tcPr>
            <w:tcW w:w="989" w:type="dxa"/>
            <w:shd w:val="clear" w:color="auto" w:fill="E0D4B5"/>
          </w:tcPr>
          <w:p w:rsidRPr="00C655CB" w:rsidR="002E114B" w:rsidP="00874EE3" w:rsidRDefault="002E114B" w14:paraId="2A1BED10" w14:textId="77777777">
            <w:pPr>
              <w:keepNext/>
              <w:keepLines/>
              <w:tabs>
                <w:tab w:val="decimal" w:pos="437"/>
              </w:tabs>
              <w:spacing w:before="40" w:after="40" w:line="240" w:lineRule="auto"/>
              <w:ind w:firstLine="0"/>
              <w:rPr>
                <w:rFonts w:ascii="Arial" w:hAnsi="Arial"/>
                <w:b/>
                <w:sz w:val="18"/>
              </w:rPr>
            </w:pPr>
          </w:p>
        </w:tc>
        <w:tc>
          <w:tcPr>
            <w:tcW w:w="989" w:type="dxa"/>
            <w:shd w:val="clear" w:color="auto" w:fill="E0D4B5"/>
          </w:tcPr>
          <w:p w:rsidRPr="00C655CB" w:rsidR="002E114B" w:rsidP="00874EE3" w:rsidRDefault="002E114B" w14:paraId="0C624373" w14:textId="77777777">
            <w:pPr>
              <w:keepNext/>
              <w:keepLines/>
              <w:tabs>
                <w:tab w:val="decimal" w:pos="437"/>
              </w:tabs>
              <w:spacing w:before="40" w:after="40" w:line="240" w:lineRule="auto"/>
              <w:ind w:firstLine="0"/>
              <w:rPr>
                <w:rFonts w:ascii="Arial" w:hAnsi="Arial"/>
                <w:b/>
                <w:sz w:val="18"/>
              </w:rPr>
            </w:pPr>
          </w:p>
        </w:tc>
        <w:tc>
          <w:tcPr>
            <w:tcW w:w="989" w:type="dxa"/>
            <w:shd w:val="clear" w:color="auto" w:fill="E0D4B5"/>
          </w:tcPr>
          <w:p w:rsidRPr="00C655CB" w:rsidR="002E114B" w:rsidP="00874EE3" w:rsidRDefault="002E114B" w14:paraId="30C254F1" w14:textId="77777777">
            <w:pPr>
              <w:keepNext/>
              <w:keepLines/>
              <w:tabs>
                <w:tab w:val="decimal" w:pos="437"/>
              </w:tabs>
              <w:spacing w:before="40" w:after="40" w:line="240" w:lineRule="auto"/>
              <w:ind w:firstLine="0"/>
              <w:rPr>
                <w:rFonts w:ascii="Arial" w:hAnsi="Arial"/>
                <w:b/>
                <w:sz w:val="18"/>
              </w:rPr>
            </w:pPr>
          </w:p>
        </w:tc>
        <w:tc>
          <w:tcPr>
            <w:tcW w:w="989" w:type="dxa"/>
            <w:shd w:val="clear" w:color="auto" w:fill="E0D4B5"/>
          </w:tcPr>
          <w:p w:rsidRPr="00C655CB" w:rsidR="002E114B" w:rsidP="00874EE3" w:rsidRDefault="002E114B" w14:paraId="2A4163F0" w14:textId="77777777">
            <w:pPr>
              <w:keepNext/>
              <w:keepLines/>
              <w:tabs>
                <w:tab w:val="decimal" w:pos="437"/>
              </w:tabs>
              <w:spacing w:before="40" w:after="40" w:line="240" w:lineRule="auto"/>
              <w:ind w:firstLine="0"/>
              <w:rPr>
                <w:rFonts w:ascii="Arial" w:hAnsi="Arial"/>
                <w:b/>
                <w:sz w:val="18"/>
              </w:rPr>
            </w:pPr>
          </w:p>
        </w:tc>
        <w:tc>
          <w:tcPr>
            <w:tcW w:w="989" w:type="dxa"/>
            <w:shd w:val="clear" w:color="auto" w:fill="E0D4B5"/>
          </w:tcPr>
          <w:p w:rsidRPr="00C655CB" w:rsidR="002E114B" w:rsidP="00874EE3" w:rsidRDefault="002E114B" w14:paraId="29A3C57B" w14:textId="77777777">
            <w:pPr>
              <w:keepNext/>
              <w:keepLines/>
              <w:tabs>
                <w:tab w:val="decimal" w:pos="437"/>
              </w:tabs>
              <w:spacing w:before="40" w:after="40" w:line="240" w:lineRule="auto"/>
              <w:ind w:firstLine="0"/>
              <w:rPr>
                <w:rFonts w:ascii="Arial" w:hAnsi="Arial"/>
                <w:b/>
                <w:sz w:val="18"/>
              </w:rPr>
            </w:pPr>
          </w:p>
        </w:tc>
      </w:tr>
      <w:tr w:rsidRPr="00C655CB" w:rsidR="002E114B" w:rsidTr="00874EE3" w14:paraId="75E9F3D9" w14:textId="77777777">
        <w:tc>
          <w:tcPr>
            <w:tcW w:w="4405" w:type="dxa"/>
          </w:tcPr>
          <w:p w:rsidRPr="00C655CB" w:rsidR="002E114B" w:rsidP="00874EE3" w:rsidRDefault="002E114B" w14:paraId="2CF8B517" w14:textId="77777777">
            <w:pPr>
              <w:keepNext/>
              <w:keepLines/>
              <w:spacing w:before="40" w:after="40" w:line="240" w:lineRule="auto"/>
              <w:ind w:firstLine="0"/>
              <w:rPr>
                <w:rFonts w:ascii="Arial" w:hAnsi="Arial"/>
                <w:sz w:val="18"/>
              </w:rPr>
            </w:pPr>
            <w:r w:rsidRPr="00C655CB">
              <w:rPr>
                <w:rFonts w:ascii="Arial" w:hAnsi="Arial"/>
                <w:sz w:val="18"/>
              </w:rPr>
              <w:t xml:space="preserve">RETAIN </w:t>
            </w:r>
            <w:r>
              <w:rPr>
                <w:rFonts w:ascii="Arial" w:hAnsi="Arial"/>
                <w:sz w:val="18"/>
              </w:rPr>
              <w:t>high service users</w:t>
            </w:r>
          </w:p>
        </w:tc>
        <w:tc>
          <w:tcPr>
            <w:tcW w:w="989" w:type="dxa"/>
          </w:tcPr>
          <w:p w:rsidRPr="00C655CB" w:rsidR="002E114B" w:rsidDel="00A72012" w:rsidP="00874EE3" w:rsidRDefault="002E114B" w14:paraId="5C47F4D7" w14:textId="77777777">
            <w:pPr>
              <w:keepNext/>
              <w:keepLines/>
              <w:tabs>
                <w:tab w:val="decimal" w:pos="437"/>
              </w:tabs>
              <w:spacing w:before="40" w:after="40" w:line="240" w:lineRule="auto"/>
              <w:ind w:firstLine="0"/>
              <w:rPr>
                <w:rFonts w:ascii="Arial" w:hAnsi="Arial"/>
                <w:sz w:val="18"/>
              </w:rPr>
            </w:pPr>
            <w:r>
              <w:rPr>
                <w:rFonts w:ascii="Arial" w:hAnsi="Arial"/>
                <w:sz w:val="18"/>
              </w:rPr>
              <w:t>5</w:t>
            </w:r>
          </w:p>
        </w:tc>
        <w:tc>
          <w:tcPr>
            <w:tcW w:w="989" w:type="dxa"/>
          </w:tcPr>
          <w:p w:rsidRPr="009754EF" w:rsidR="002E114B" w:rsidP="00874EE3" w:rsidRDefault="002E114B" w14:paraId="4F88D2DE" w14:textId="77777777">
            <w:pPr>
              <w:keepNext/>
              <w:keepLines/>
              <w:tabs>
                <w:tab w:val="decimal" w:pos="437"/>
              </w:tabs>
              <w:spacing w:before="40" w:after="40" w:line="240" w:lineRule="auto"/>
              <w:ind w:firstLine="0"/>
              <w:rPr>
                <w:rFonts w:ascii="Arial" w:hAnsi="Arial"/>
                <w:sz w:val="18"/>
              </w:rPr>
            </w:pPr>
            <w:r>
              <w:rPr>
                <w:rFonts w:ascii="Arial" w:hAnsi="Arial"/>
                <w:sz w:val="18"/>
              </w:rPr>
              <w:t>5</w:t>
            </w:r>
          </w:p>
        </w:tc>
        <w:tc>
          <w:tcPr>
            <w:tcW w:w="989" w:type="dxa"/>
          </w:tcPr>
          <w:p w:rsidRPr="009754EF" w:rsidR="002E114B" w:rsidP="00874EE3" w:rsidRDefault="002E114B" w14:paraId="4F0E64AA" w14:textId="77777777">
            <w:pPr>
              <w:keepNext/>
              <w:keepLines/>
              <w:tabs>
                <w:tab w:val="decimal" w:pos="437"/>
              </w:tabs>
              <w:spacing w:before="40" w:after="40" w:line="240" w:lineRule="auto"/>
              <w:ind w:firstLine="0"/>
              <w:rPr>
                <w:rFonts w:ascii="Arial" w:hAnsi="Arial"/>
                <w:sz w:val="18"/>
              </w:rPr>
            </w:pPr>
            <w:r>
              <w:rPr>
                <w:rFonts w:ascii="Arial" w:hAnsi="Arial"/>
                <w:sz w:val="18"/>
              </w:rPr>
              <w:t>5</w:t>
            </w:r>
          </w:p>
        </w:tc>
        <w:tc>
          <w:tcPr>
            <w:tcW w:w="989" w:type="dxa"/>
          </w:tcPr>
          <w:p w:rsidRPr="009754EF" w:rsidR="002E114B" w:rsidP="00874EE3" w:rsidRDefault="002E114B" w14:paraId="7638BBAD" w14:textId="77777777">
            <w:pPr>
              <w:keepNext/>
              <w:keepLines/>
              <w:tabs>
                <w:tab w:val="decimal" w:pos="437"/>
              </w:tabs>
              <w:spacing w:before="40" w:after="40" w:line="240" w:lineRule="auto"/>
              <w:ind w:firstLine="0"/>
              <w:rPr>
                <w:rFonts w:ascii="Arial" w:hAnsi="Arial"/>
                <w:sz w:val="18"/>
              </w:rPr>
            </w:pPr>
            <w:r>
              <w:rPr>
                <w:rFonts w:ascii="Arial" w:hAnsi="Arial"/>
                <w:sz w:val="18"/>
              </w:rPr>
              <w:t>5</w:t>
            </w:r>
          </w:p>
        </w:tc>
        <w:tc>
          <w:tcPr>
            <w:tcW w:w="989" w:type="dxa"/>
          </w:tcPr>
          <w:p w:rsidR="002E114B" w:rsidP="00874EE3" w:rsidRDefault="002E114B" w14:paraId="7984C797" w14:textId="77777777">
            <w:pPr>
              <w:keepNext/>
              <w:keepLines/>
              <w:tabs>
                <w:tab w:val="decimal" w:pos="437"/>
              </w:tabs>
              <w:spacing w:before="40" w:after="40" w:line="240" w:lineRule="auto"/>
              <w:ind w:firstLine="0"/>
              <w:rPr>
                <w:rFonts w:ascii="Arial" w:hAnsi="Arial"/>
                <w:sz w:val="18"/>
              </w:rPr>
            </w:pPr>
            <w:r>
              <w:rPr>
                <w:rFonts w:ascii="Arial" w:hAnsi="Arial"/>
                <w:sz w:val="18"/>
              </w:rPr>
              <w:t>20</w:t>
            </w:r>
          </w:p>
        </w:tc>
      </w:tr>
      <w:tr w:rsidRPr="00C655CB" w:rsidR="002E114B" w:rsidTr="00874EE3" w14:paraId="5498D897" w14:textId="77777777">
        <w:tc>
          <w:tcPr>
            <w:tcW w:w="4405" w:type="dxa"/>
          </w:tcPr>
          <w:p w:rsidRPr="00C655CB" w:rsidR="002E114B" w:rsidP="00874EE3" w:rsidRDefault="002E114B" w14:paraId="2B3CBFBF" w14:textId="77777777">
            <w:pPr>
              <w:keepNext/>
              <w:keepLines/>
              <w:spacing w:before="40" w:after="40" w:line="240" w:lineRule="auto"/>
              <w:ind w:firstLine="0"/>
              <w:rPr>
                <w:rFonts w:ascii="Arial" w:hAnsi="Arial"/>
                <w:sz w:val="18"/>
              </w:rPr>
            </w:pPr>
            <w:r w:rsidRPr="00C655CB">
              <w:rPr>
                <w:rFonts w:ascii="Arial" w:hAnsi="Arial"/>
                <w:sz w:val="18"/>
              </w:rPr>
              <w:t xml:space="preserve">RETAIN </w:t>
            </w:r>
            <w:r>
              <w:rPr>
                <w:rFonts w:ascii="Arial" w:hAnsi="Arial"/>
                <w:sz w:val="18"/>
              </w:rPr>
              <w:t xml:space="preserve">moderate service users </w:t>
            </w:r>
          </w:p>
        </w:tc>
        <w:tc>
          <w:tcPr>
            <w:tcW w:w="989" w:type="dxa"/>
          </w:tcPr>
          <w:p w:rsidRPr="00C655CB" w:rsidR="002E114B" w:rsidP="00874EE3" w:rsidRDefault="002E114B" w14:paraId="5494DC3A" w14:textId="77777777">
            <w:pPr>
              <w:keepNext/>
              <w:keepLines/>
              <w:tabs>
                <w:tab w:val="decimal" w:pos="437"/>
              </w:tabs>
              <w:spacing w:before="40" w:after="40" w:line="240" w:lineRule="auto"/>
              <w:ind w:firstLine="0"/>
              <w:rPr>
                <w:rFonts w:ascii="Arial" w:hAnsi="Arial"/>
                <w:sz w:val="18"/>
              </w:rPr>
            </w:pPr>
            <w:r>
              <w:rPr>
                <w:rFonts w:ascii="Arial" w:hAnsi="Arial"/>
                <w:sz w:val="18"/>
              </w:rPr>
              <w:t>5</w:t>
            </w:r>
          </w:p>
        </w:tc>
        <w:tc>
          <w:tcPr>
            <w:tcW w:w="989" w:type="dxa"/>
          </w:tcPr>
          <w:p w:rsidRPr="00C655CB" w:rsidR="002E114B" w:rsidP="00874EE3" w:rsidRDefault="002E114B" w14:paraId="6DD16EBD" w14:textId="77777777">
            <w:pPr>
              <w:keepNext/>
              <w:keepLines/>
              <w:tabs>
                <w:tab w:val="decimal" w:pos="437"/>
              </w:tabs>
              <w:spacing w:before="40" w:after="40" w:line="240" w:lineRule="auto"/>
              <w:ind w:firstLine="0"/>
              <w:rPr>
                <w:rFonts w:ascii="Arial" w:hAnsi="Arial"/>
                <w:sz w:val="18"/>
              </w:rPr>
            </w:pPr>
            <w:r>
              <w:rPr>
                <w:rFonts w:ascii="Arial" w:hAnsi="Arial"/>
                <w:sz w:val="18"/>
              </w:rPr>
              <w:t>5</w:t>
            </w:r>
          </w:p>
        </w:tc>
        <w:tc>
          <w:tcPr>
            <w:tcW w:w="989" w:type="dxa"/>
          </w:tcPr>
          <w:p w:rsidRPr="00C655CB" w:rsidR="002E114B" w:rsidP="00874EE3" w:rsidRDefault="002E114B" w14:paraId="1692486A" w14:textId="77777777">
            <w:pPr>
              <w:keepNext/>
              <w:keepLines/>
              <w:tabs>
                <w:tab w:val="decimal" w:pos="437"/>
              </w:tabs>
              <w:spacing w:before="40" w:after="40" w:line="240" w:lineRule="auto"/>
              <w:ind w:firstLine="0"/>
              <w:rPr>
                <w:rFonts w:ascii="Arial" w:hAnsi="Arial"/>
                <w:sz w:val="18"/>
              </w:rPr>
            </w:pPr>
            <w:r>
              <w:rPr>
                <w:rFonts w:ascii="Arial" w:hAnsi="Arial"/>
                <w:sz w:val="18"/>
              </w:rPr>
              <w:t>5</w:t>
            </w:r>
          </w:p>
        </w:tc>
        <w:tc>
          <w:tcPr>
            <w:tcW w:w="989" w:type="dxa"/>
          </w:tcPr>
          <w:p w:rsidRPr="00C655CB" w:rsidR="002E114B" w:rsidP="00874EE3" w:rsidRDefault="002E114B" w14:paraId="04F0D8D0" w14:textId="77777777">
            <w:pPr>
              <w:keepNext/>
              <w:keepLines/>
              <w:tabs>
                <w:tab w:val="decimal" w:pos="437"/>
              </w:tabs>
              <w:spacing w:before="40" w:after="40" w:line="240" w:lineRule="auto"/>
              <w:ind w:firstLine="0"/>
              <w:rPr>
                <w:rFonts w:ascii="Arial" w:hAnsi="Arial"/>
                <w:sz w:val="18"/>
              </w:rPr>
            </w:pPr>
            <w:r>
              <w:rPr>
                <w:rFonts w:ascii="Arial" w:hAnsi="Arial"/>
                <w:sz w:val="18"/>
              </w:rPr>
              <w:t>5</w:t>
            </w:r>
          </w:p>
        </w:tc>
        <w:tc>
          <w:tcPr>
            <w:tcW w:w="989" w:type="dxa"/>
          </w:tcPr>
          <w:p w:rsidRPr="00C655CB" w:rsidR="002E114B" w:rsidP="00874EE3" w:rsidRDefault="002E114B" w14:paraId="26BA4FEC" w14:textId="77777777">
            <w:pPr>
              <w:keepNext/>
              <w:keepLines/>
              <w:tabs>
                <w:tab w:val="decimal" w:pos="437"/>
              </w:tabs>
              <w:spacing w:before="40" w:after="40" w:line="240" w:lineRule="auto"/>
              <w:ind w:firstLine="0"/>
              <w:rPr>
                <w:rFonts w:ascii="Arial" w:hAnsi="Arial"/>
                <w:sz w:val="18"/>
              </w:rPr>
            </w:pPr>
            <w:r>
              <w:rPr>
                <w:rFonts w:ascii="Arial" w:hAnsi="Arial"/>
                <w:sz w:val="18"/>
              </w:rPr>
              <w:t>20</w:t>
            </w:r>
          </w:p>
        </w:tc>
      </w:tr>
      <w:tr w:rsidRPr="00C655CB" w:rsidR="002E114B" w:rsidTr="00874EE3" w14:paraId="70ACAAEB" w14:textId="77777777">
        <w:tc>
          <w:tcPr>
            <w:tcW w:w="4405" w:type="dxa"/>
          </w:tcPr>
          <w:p w:rsidRPr="00C655CB" w:rsidR="002E114B" w:rsidP="00874EE3" w:rsidRDefault="002E114B" w14:paraId="06B9FA1E" w14:textId="77777777">
            <w:pPr>
              <w:spacing w:before="40" w:after="40" w:line="240" w:lineRule="auto"/>
              <w:ind w:firstLine="0"/>
              <w:rPr>
                <w:rFonts w:ascii="Arial" w:hAnsi="Arial"/>
                <w:sz w:val="18"/>
              </w:rPr>
            </w:pPr>
            <w:r w:rsidRPr="00C655CB">
              <w:rPr>
                <w:rFonts w:ascii="Arial" w:hAnsi="Arial"/>
                <w:sz w:val="18"/>
              </w:rPr>
              <w:t xml:space="preserve">RETAIN </w:t>
            </w:r>
            <w:r>
              <w:rPr>
                <w:rFonts w:ascii="Arial" w:hAnsi="Arial"/>
                <w:sz w:val="18"/>
              </w:rPr>
              <w:t>low/withdrawals</w:t>
            </w:r>
          </w:p>
        </w:tc>
        <w:tc>
          <w:tcPr>
            <w:tcW w:w="989" w:type="dxa"/>
          </w:tcPr>
          <w:p w:rsidRPr="00C655CB" w:rsidR="002E114B" w:rsidP="00874EE3" w:rsidRDefault="002E114B" w14:paraId="27BCFB89" w14:textId="77777777">
            <w:pPr>
              <w:tabs>
                <w:tab w:val="decimal" w:pos="437"/>
              </w:tabs>
              <w:spacing w:before="40" w:after="40" w:line="240" w:lineRule="auto"/>
              <w:ind w:firstLine="0"/>
              <w:rPr>
                <w:rFonts w:ascii="Arial" w:hAnsi="Arial"/>
                <w:sz w:val="18"/>
              </w:rPr>
            </w:pPr>
            <w:r>
              <w:rPr>
                <w:rFonts w:ascii="Arial" w:hAnsi="Arial"/>
                <w:sz w:val="18"/>
              </w:rPr>
              <w:t>5</w:t>
            </w:r>
          </w:p>
        </w:tc>
        <w:tc>
          <w:tcPr>
            <w:tcW w:w="989" w:type="dxa"/>
          </w:tcPr>
          <w:p w:rsidRPr="00C655CB" w:rsidR="002E114B" w:rsidP="00874EE3" w:rsidRDefault="002E114B" w14:paraId="180A77CF" w14:textId="77777777">
            <w:pPr>
              <w:tabs>
                <w:tab w:val="decimal" w:pos="437"/>
              </w:tabs>
              <w:spacing w:before="40" w:after="40" w:line="240" w:lineRule="auto"/>
              <w:ind w:firstLine="0"/>
              <w:rPr>
                <w:rFonts w:ascii="Arial" w:hAnsi="Arial"/>
                <w:sz w:val="18"/>
              </w:rPr>
            </w:pPr>
            <w:r>
              <w:rPr>
                <w:rFonts w:ascii="Arial" w:hAnsi="Arial"/>
                <w:sz w:val="18"/>
              </w:rPr>
              <w:t>5</w:t>
            </w:r>
          </w:p>
        </w:tc>
        <w:tc>
          <w:tcPr>
            <w:tcW w:w="989" w:type="dxa"/>
          </w:tcPr>
          <w:p w:rsidRPr="00C655CB" w:rsidR="002E114B" w:rsidP="00874EE3" w:rsidRDefault="002E114B" w14:paraId="64A30D26" w14:textId="77777777">
            <w:pPr>
              <w:tabs>
                <w:tab w:val="decimal" w:pos="437"/>
              </w:tabs>
              <w:spacing w:before="40" w:after="40" w:line="240" w:lineRule="auto"/>
              <w:ind w:firstLine="0"/>
              <w:rPr>
                <w:rFonts w:ascii="Arial" w:hAnsi="Arial"/>
                <w:sz w:val="18"/>
              </w:rPr>
            </w:pPr>
            <w:r>
              <w:rPr>
                <w:rFonts w:ascii="Arial" w:hAnsi="Arial"/>
                <w:sz w:val="18"/>
              </w:rPr>
              <w:t>5</w:t>
            </w:r>
          </w:p>
        </w:tc>
        <w:tc>
          <w:tcPr>
            <w:tcW w:w="989" w:type="dxa"/>
          </w:tcPr>
          <w:p w:rsidRPr="00C655CB" w:rsidR="002E114B" w:rsidP="00874EE3" w:rsidRDefault="002E114B" w14:paraId="5E3C598C" w14:textId="77777777">
            <w:pPr>
              <w:tabs>
                <w:tab w:val="decimal" w:pos="437"/>
              </w:tabs>
              <w:spacing w:before="40" w:after="40" w:line="240" w:lineRule="auto"/>
              <w:ind w:firstLine="0"/>
              <w:rPr>
                <w:rFonts w:ascii="Arial" w:hAnsi="Arial"/>
                <w:sz w:val="18"/>
              </w:rPr>
            </w:pPr>
            <w:r>
              <w:rPr>
                <w:rFonts w:ascii="Arial" w:hAnsi="Arial"/>
                <w:sz w:val="18"/>
              </w:rPr>
              <w:t>5</w:t>
            </w:r>
          </w:p>
        </w:tc>
        <w:tc>
          <w:tcPr>
            <w:tcW w:w="989" w:type="dxa"/>
          </w:tcPr>
          <w:p w:rsidRPr="00C655CB" w:rsidR="002E114B" w:rsidP="00874EE3" w:rsidRDefault="002E114B" w14:paraId="4C443B88" w14:textId="77777777">
            <w:pPr>
              <w:tabs>
                <w:tab w:val="decimal" w:pos="437"/>
              </w:tabs>
              <w:spacing w:before="40" w:after="40" w:line="240" w:lineRule="auto"/>
              <w:ind w:firstLine="0"/>
              <w:rPr>
                <w:rFonts w:ascii="Arial" w:hAnsi="Arial"/>
                <w:sz w:val="18"/>
              </w:rPr>
            </w:pPr>
            <w:r>
              <w:rPr>
                <w:rFonts w:ascii="Arial" w:hAnsi="Arial"/>
                <w:sz w:val="18"/>
              </w:rPr>
              <w:t>20</w:t>
            </w:r>
          </w:p>
        </w:tc>
      </w:tr>
      <w:tr w:rsidRPr="00C655CB" w:rsidR="002E114B" w:rsidTr="00874EE3" w14:paraId="0316ECCB" w14:textId="77777777">
        <w:tc>
          <w:tcPr>
            <w:tcW w:w="4405" w:type="dxa"/>
            <w:shd w:val="clear" w:color="auto" w:fill="E0D4B5" w:themeFill="background2"/>
          </w:tcPr>
          <w:p w:rsidRPr="00C655CB" w:rsidR="002E114B" w:rsidP="00874EE3" w:rsidRDefault="002E114B" w14:paraId="2B25E365" w14:textId="77777777">
            <w:pPr>
              <w:spacing w:before="40" w:after="40" w:line="240" w:lineRule="auto"/>
              <w:ind w:firstLine="0"/>
              <w:rPr>
                <w:rFonts w:ascii="Arial" w:hAnsi="Arial"/>
                <w:b/>
                <w:sz w:val="18"/>
              </w:rPr>
            </w:pPr>
            <w:r>
              <w:rPr>
                <w:rFonts w:ascii="Arial" w:hAnsi="Arial"/>
                <w:b/>
                <w:sz w:val="18"/>
              </w:rPr>
              <w:t>Staff activity logs</w:t>
            </w:r>
          </w:p>
        </w:tc>
        <w:tc>
          <w:tcPr>
            <w:tcW w:w="989" w:type="dxa"/>
            <w:shd w:val="clear" w:color="auto" w:fill="E0D4B5" w:themeFill="background2"/>
          </w:tcPr>
          <w:p w:rsidRPr="00C655CB" w:rsidR="002E114B" w:rsidP="00874EE3" w:rsidRDefault="002E114B" w14:paraId="6791746D" w14:textId="77777777">
            <w:pPr>
              <w:tabs>
                <w:tab w:val="decimal" w:pos="437"/>
              </w:tabs>
              <w:spacing w:before="40" w:after="40" w:line="240" w:lineRule="auto"/>
              <w:ind w:firstLine="0"/>
              <w:rPr>
                <w:rFonts w:ascii="Arial" w:hAnsi="Arial"/>
                <w:b/>
                <w:sz w:val="18"/>
              </w:rPr>
            </w:pPr>
          </w:p>
        </w:tc>
        <w:tc>
          <w:tcPr>
            <w:tcW w:w="989" w:type="dxa"/>
            <w:shd w:val="clear" w:color="auto" w:fill="E0D4B5" w:themeFill="background2"/>
          </w:tcPr>
          <w:p w:rsidRPr="00C655CB" w:rsidR="002E114B" w:rsidP="00874EE3" w:rsidRDefault="002E114B" w14:paraId="522C7887" w14:textId="77777777">
            <w:pPr>
              <w:tabs>
                <w:tab w:val="decimal" w:pos="437"/>
              </w:tabs>
              <w:spacing w:before="40" w:after="40" w:line="240" w:lineRule="auto"/>
              <w:ind w:firstLine="0"/>
              <w:rPr>
                <w:rFonts w:ascii="Arial" w:hAnsi="Arial"/>
                <w:b/>
                <w:sz w:val="18"/>
              </w:rPr>
            </w:pPr>
          </w:p>
        </w:tc>
        <w:tc>
          <w:tcPr>
            <w:tcW w:w="989" w:type="dxa"/>
            <w:shd w:val="clear" w:color="auto" w:fill="E0D4B5" w:themeFill="background2"/>
          </w:tcPr>
          <w:p w:rsidRPr="00C655CB" w:rsidR="002E114B" w:rsidP="00874EE3" w:rsidRDefault="002E114B" w14:paraId="0F18A159" w14:textId="77777777">
            <w:pPr>
              <w:tabs>
                <w:tab w:val="decimal" w:pos="437"/>
              </w:tabs>
              <w:spacing w:before="40" w:after="40" w:line="240" w:lineRule="auto"/>
              <w:ind w:firstLine="0"/>
              <w:rPr>
                <w:rFonts w:ascii="Arial" w:hAnsi="Arial"/>
                <w:b/>
                <w:sz w:val="18"/>
              </w:rPr>
            </w:pPr>
          </w:p>
        </w:tc>
        <w:tc>
          <w:tcPr>
            <w:tcW w:w="989" w:type="dxa"/>
            <w:shd w:val="clear" w:color="auto" w:fill="E0D4B5" w:themeFill="background2"/>
          </w:tcPr>
          <w:p w:rsidRPr="00C655CB" w:rsidR="002E114B" w:rsidP="00874EE3" w:rsidRDefault="002E114B" w14:paraId="3EF27FB1" w14:textId="77777777">
            <w:pPr>
              <w:tabs>
                <w:tab w:val="decimal" w:pos="437"/>
              </w:tabs>
              <w:spacing w:before="40" w:after="40" w:line="240" w:lineRule="auto"/>
              <w:ind w:firstLine="0"/>
              <w:rPr>
                <w:rFonts w:ascii="Arial" w:hAnsi="Arial"/>
                <w:b/>
                <w:sz w:val="18"/>
              </w:rPr>
            </w:pPr>
          </w:p>
        </w:tc>
        <w:tc>
          <w:tcPr>
            <w:tcW w:w="989" w:type="dxa"/>
            <w:shd w:val="clear" w:color="auto" w:fill="E0D4B5" w:themeFill="background2"/>
          </w:tcPr>
          <w:p w:rsidRPr="00C655CB" w:rsidR="002E114B" w:rsidP="00874EE3" w:rsidRDefault="002E114B" w14:paraId="78197127" w14:textId="77777777">
            <w:pPr>
              <w:tabs>
                <w:tab w:val="decimal" w:pos="437"/>
              </w:tabs>
              <w:spacing w:before="40" w:after="40" w:line="240" w:lineRule="auto"/>
              <w:ind w:firstLine="0"/>
              <w:rPr>
                <w:rFonts w:ascii="Arial" w:hAnsi="Arial"/>
                <w:b/>
                <w:sz w:val="18"/>
              </w:rPr>
            </w:pPr>
          </w:p>
        </w:tc>
      </w:tr>
      <w:tr w:rsidRPr="00C655CB" w:rsidR="002E114B" w:rsidTr="00053482" w14:paraId="707B5F11" w14:textId="77777777">
        <w:tc>
          <w:tcPr>
            <w:tcW w:w="4405" w:type="dxa"/>
            <w:shd w:val="clear" w:color="auto" w:fill="auto"/>
            <w:vAlign w:val="bottom"/>
          </w:tcPr>
          <w:p w:rsidRPr="00C655CB" w:rsidR="002E114B" w:rsidP="00874EE3" w:rsidRDefault="002E114B" w14:paraId="2186D288" w14:textId="77777777">
            <w:pPr>
              <w:spacing w:before="40" w:after="40" w:line="240" w:lineRule="auto"/>
              <w:ind w:firstLine="0"/>
              <w:rPr>
                <w:rFonts w:ascii="Arial" w:hAnsi="Arial"/>
                <w:b/>
                <w:sz w:val="18"/>
              </w:rPr>
            </w:pPr>
            <w:r w:rsidRPr="00C655CB">
              <w:rPr>
                <w:rFonts w:ascii="Arial" w:hAnsi="Arial"/>
                <w:sz w:val="18"/>
              </w:rPr>
              <w:t>RETAIN administrators/directors</w:t>
            </w:r>
          </w:p>
        </w:tc>
        <w:tc>
          <w:tcPr>
            <w:tcW w:w="989" w:type="dxa"/>
            <w:shd w:val="clear" w:color="auto" w:fill="auto"/>
          </w:tcPr>
          <w:p w:rsidRPr="00053482" w:rsidR="002E114B" w:rsidP="00874EE3" w:rsidRDefault="002E114B" w14:paraId="4C477A62" w14:textId="77777777">
            <w:pPr>
              <w:tabs>
                <w:tab w:val="decimal" w:pos="437"/>
              </w:tabs>
              <w:spacing w:before="40" w:after="40" w:line="240" w:lineRule="auto"/>
              <w:ind w:firstLine="0"/>
              <w:rPr>
                <w:rFonts w:ascii="Arial" w:hAnsi="Arial"/>
                <w:bCs/>
                <w:sz w:val="18"/>
              </w:rPr>
            </w:pPr>
            <w:r w:rsidRPr="00053482">
              <w:rPr>
                <w:rFonts w:ascii="Arial" w:hAnsi="Arial"/>
                <w:bCs/>
                <w:sz w:val="18"/>
              </w:rPr>
              <w:t>1</w:t>
            </w:r>
          </w:p>
        </w:tc>
        <w:tc>
          <w:tcPr>
            <w:tcW w:w="989" w:type="dxa"/>
            <w:shd w:val="clear" w:color="auto" w:fill="auto"/>
          </w:tcPr>
          <w:p w:rsidRPr="00053482" w:rsidR="002E114B" w:rsidP="00874EE3" w:rsidRDefault="002E114B" w14:paraId="6D2EDD50" w14:textId="77777777">
            <w:pPr>
              <w:tabs>
                <w:tab w:val="decimal" w:pos="437"/>
              </w:tabs>
              <w:spacing w:before="40" w:after="40" w:line="240" w:lineRule="auto"/>
              <w:ind w:firstLine="0"/>
              <w:rPr>
                <w:rFonts w:ascii="Arial" w:hAnsi="Arial"/>
                <w:bCs/>
                <w:sz w:val="18"/>
              </w:rPr>
            </w:pPr>
            <w:r w:rsidRPr="00053482">
              <w:rPr>
                <w:rFonts w:ascii="Arial" w:hAnsi="Arial"/>
                <w:bCs/>
                <w:sz w:val="18"/>
              </w:rPr>
              <w:t>1</w:t>
            </w:r>
          </w:p>
        </w:tc>
        <w:tc>
          <w:tcPr>
            <w:tcW w:w="989" w:type="dxa"/>
            <w:shd w:val="clear" w:color="auto" w:fill="auto"/>
          </w:tcPr>
          <w:p w:rsidRPr="00053482" w:rsidR="002E114B" w:rsidP="00874EE3" w:rsidRDefault="002E114B" w14:paraId="39ED2C7D" w14:textId="77777777">
            <w:pPr>
              <w:tabs>
                <w:tab w:val="decimal" w:pos="437"/>
              </w:tabs>
              <w:spacing w:before="40" w:after="40" w:line="240" w:lineRule="auto"/>
              <w:ind w:firstLine="0"/>
              <w:rPr>
                <w:rFonts w:ascii="Arial" w:hAnsi="Arial"/>
                <w:bCs/>
                <w:sz w:val="18"/>
              </w:rPr>
            </w:pPr>
            <w:r w:rsidRPr="00053482">
              <w:rPr>
                <w:rFonts w:ascii="Arial" w:hAnsi="Arial"/>
                <w:bCs/>
                <w:sz w:val="18"/>
              </w:rPr>
              <w:t>1</w:t>
            </w:r>
          </w:p>
        </w:tc>
        <w:tc>
          <w:tcPr>
            <w:tcW w:w="989" w:type="dxa"/>
            <w:shd w:val="clear" w:color="auto" w:fill="auto"/>
          </w:tcPr>
          <w:p w:rsidRPr="00053482" w:rsidR="002E114B" w:rsidP="00874EE3" w:rsidRDefault="002E114B" w14:paraId="5AD09CF0" w14:textId="77777777">
            <w:pPr>
              <w:tabs>
                <w:tab w:val="decimal" w:pos="437"/>
              </w:tabs>
              <w:spacing w:before="40" w:after="40" w:line="240" w:lineRule="auto"/>
              <w:ind w:firstLine="0"/>
              <w:rPr>
                <w:rFonts w:ascii="Arial" w:hAnsi="Arial"/>
                <w:bCs/>
                <w:sz w:val="18"/>
              </w:rPr>
            </w:pPr>
            <w:r w:rsidRPr="00053482">
              <w:rPr>
                <w:rFonts w:ascii="Arial" w:hAnsi="Arial"/>
                <w:bCs/>
                <w:sz w:val="18"/>
              </w:rPr>
              <w:t>1</w:t>
            </w:r>
          </w:p>
        </w:tc>
        <w:tc>
          <w:tcPr>
            <w:tcW w:w="989" w:type="dxa"/>
            <w:shd w:val="clear" w:color="auto" w:fill="auto"/>
          </w:tcPr>
          <w:p w:rsidRPr="00053482" w:rsidR="002E114B" w:rsidP="00874EE3" w:rsidRDefault="002E114B" w14:paraId="102181C0" w14:textId="77777777">
            <w:pPr>
              <w:tabs>
                <w:tab w:val="decimal" w:pos="437"/>
              </w:tabs>
              <w:spacing w:before="40" w:after="40" w:line="240" w:lineRule="auto"/>
              <w:ind w:firstLine="0"/>
              <w:rPr>
                <w:rFonts w:ascii="Arial" w:hAnsi="Arial"/>
                <w:bCs/>
                <w:sz w:val="18"/>
              </w:rPr>
            </w:pPr>
            <w:r w:rsidRPr="00053482">
              <w:rPr>
                <w:rFonts w:ascii="Arial" w:hAnsi="Arial"/>
                <w:bCs/>
                <w:sz w:val="18"/>
              </w:rPr>
              <w:t>4</w:t>
            </w:r>
          </w:p>
        </w:tc>
      </w:tr>
      <w:tr w:rsidRPr="00C655CB" w:rsidR="002E114B" w:rsidTr="00053482" w14:paraId="431DC93E" w14:textId="77777777">
        <w:tc>
          <w:tcPr>
            <w:tcW w:w="4405" w:type="dxa"/>
            <w:shd w:val="clear" w:color="auto" w:fill="auto"/>
            <w:vAlign w:val="bottom"/>
          </w:tcPr>
          <w:p w:rsidRPr="00C655CB" w:rsidR="002E114B" w:rsidP="00874EE3" w:rsidRDefault="002E114B" w14:paraId="47FAF17B" w14:textId="77777777">
            <w:pPr>
              <w:spacing w:before="40" w:after="40" w:line="240" w:lineRule="auto"/>
              <w:ind w:firstLine="0"/>
              <w:rPr>
                <w:rFonts w:ascii="Arial" w:hAnsi="Arial"/>
                <w:b/>
                <w:sz w:val="18"/>
              </w:rPr>
            </w:pPr>
            <w:r w:rsidRPr="00C655CB">
              <w:rPr>
                <w:rFonts w:ascii="Arial" w:hAnsi="Arial"/>
                <w:sz w:val="18"/>
              </w:rPr>
              <w:t>RETAIN program line staff</w:t>
            </w:r>
          </w:p>
        </w:tc>
        <w:tc>
          <w:tcPr>
            <w:tcW w:w="989" w:type="dxa"/>
            <w:shd w:val="clear" w:color="auto" w:fill="auto"/>
          </w:tcPr>
          <w:p w:rsidRPr="00053482" w:rsidR="002E114B" w:rsidP="00874EE3" w:rsidRDefault="002E114B" w14:paraId="010EE184" w14:textId="77777777">
            <w:pPr>
              <w:tabs>
                <w:tab w:val="decimal" w:pos="437"/>
              </w:tabs>
              <w:spacing w:before="40" w:after="40" w:line="240" w:lineRule="auto"/>
              <w:ind w:firstLine="0"/>
              <w:rPr>
                <w:rFonts w:ascii="Arial" w:hAnsi="Arial"/>
                <w:bCs/>
                <w:sz w:val="18"/>
              </w:rPr>
            </w:pPr>
            <w:r w:rsidRPr="00053482">
              <w:rPr>
                <w:rFonts w:ascii="Arial" w:hAnsi="Arial"/>
                <w:bCs/>
                <w:sz w:val="18"/>
              </w:rPr>
              <w:t>12</w:t>
            </w:r>
          </w:p>
        </w:tc>
        <w:tc>
          <w:tcPr>
            <w:tcW w:w="989" w:type="dxa"/>
            <w:shd w:val="clear" w:color="auto" w:fill="auto"/>
          </w:tcPr>
          <w:p w:rsidRPr="00053482" w:rsidR="002E114B" w:rsidP="00874EE3" w:rsidRDefault="002E114B" w14:paraId="32EE32A9" w14:textId="77777777">
            <w:pPr>
              <w:tabs>
                <w:tab w:val="decimal" w:pos="437"/>
              </w:tabs>
              <w:spacing w:before="40" w:after="40" w:line="240" w:lineRule="auto"/>
              <w:ind w:firstLine="0"/>
              <w:rPr>
                <w:rFonts w:ascii="Arial" w:hAnsi="Arial"/>
                <w:bCs/>
                <w:sz w:val="18"/>
              </w:rPr>
            </w:pPr>
            <w:r w:rsidRPr="00053482">
              <w:rPr>
                <w:rFonts w:ascii="Arial" w:hAnsi="Arial"/>
                <w:bCs/>
                <w:sz w:val="18"/>
              </w:rPr>
              <w:t>12</w:t>
            </w:r>
          </w:p>
        </w:tc>
        <w:tc>
          <w:tcPr>
            <w:tcW w:w="989" w:type="dxa"/>
            <w:shd w:val="clear" w:color="auto" w:fill="auto"/>
          </w:tcPr>
          <w:p w:rsidRPr="00053482" w:rsidR="002E114B" w:rsidP="00874EE3" w:rsidRDefault="002E114B" w14:paraId="771A4F97" w14:textId="77777777">
            <w:pPr>
              <w:tabs>
                <w:tab w:val="decimal" w:pos="437"/>
              </w:tabs>
              <w:spacing w:before="40" w:after="40" w:line="240" w:lineRule="auto"/>
              <w:ind w:firstLine="0"/>
              <w:rPr>
                <w:rFonts w:ascii="Arial" w:hAnsi="Arial"/>
                <w:bCs/>
                <w:sz w:val="18"/>
              </w:rPr>
            </w:pPr>
            <w:r w:rsidRPr="00053482">
              <w:rPr>
                <w:rFonts w:ascii="Arial" w:hAnsi="Arial"/>
                <w:bCs/>
                <w:sz w:val="18"/>
              </w:rPr>
              <w:t>12</w:t>
            </w:r>
          </w:p>
        </w:tc>
        <w:tc>
          <w:tcPr>
            <w:tcW w:w="989" w:type="dxa"/>
            <w:shd w:val="clear" w:color="auto" w:fill="auto"/>
          </w:tcPr>
          <w:p w:rsidRPr="00053482" w:rsidR="002E114B" w:rsidP="00874EE3" w:rsidRDefault="002E114B" w14:paraId="476C4329" w14:textId="77777777">
            <w:pPr>
              <w:tabs>
                <w:tab w:val="decimal" w:pos="437"/>
              </w:tabs>
              <w:spacing w:before="40" w:after="40" w:line="240" w:lineRule="auto"/>
              <w:ind w:firstLine="0"/>
              <w:rPr>
                <w:rFonts w:ascii="Arial" w:hAnsi="Arial"/>
                <w:bCs/>
                <w:sz w:val="18"/>
              </w:rPr>
            </w:pPr>
            <w:r w:rsidRPr="00053482">
              <w:rPr>
                <w:rFonts w:ascii="Arial" w:hAnsi="Arial"/>
                <w:bCs/>
                <w:sz w:val="18"/>
              </w:rPr>
              <w:t>12</w:t>
            </w:r>
          </w:p>
        </w:tc>
        <w:tc>
          <w:tcPr>
            <w:tcW w:w="989" w:type="dxa"/>
            <w:shd w:val="clear" w:color="auto" w:fill="auto"/>
          </w:tcPr>
          <w:p w:rsidRPr="00053482" w:rsidR="002E114B" w:rsidP="00874EE3" w:rsidRDefault="002E114B" w14:paraId="1F596253" w14:textId="77777777">
            <w:pPr>
              <w:tabs>
                <w:tab w:val="decimal" w:pos="437"/>
              </w:tabs>
              <w:spacing w:before="40" w:after="40" w:line="240" w:lineRule="auto"/>
              <w:ind w:firstLine="0"/>
              <w:rPr>
                <w:rFonts w:ascii="Arial" w:hAnsi="Arial"/>
                <w:bCs/>
                <w:sz w:val="18"/>
              </w:rPr>
            </w:pPr>
            <w:r w:rsidRPr="00053482">
              <w:rPr>
                <w:rFonts w:ascii="Arial" w:hAnsi="Arial"/>
                <w:bCs/>
                <w:sz w:val="18"/>
              </w:rPr>
              <w:t>48</w:t>
            </w:r>
          </w:p>
        </w:tc>
      </w:tr>
      <w:tr w:rsidRPr="00C655CB" w:rsidR="002E114B" w:rsidTr="00874EE3" w14:paraId="14E334C6" w14:textId="77777777">
        <w:tc>
          <w:tcPr>
            <w:tcW w:w="4405" w:type="dxa"/>
            <w:shd w:val="clear" w:color="auto" w:fill="E0D4B5"/>
          </w:tcPr>
          <w:p w:rsidRPr="00C655CB" w:rsidR="002E114B" w:rsidP="00874EE3" w:rsidRDefault="002E114B" w14:paraId="68BE271D" w14:textId="77777777">
            <w:pPr>
              <w:spacing w:before="40" w:after="40" w:line="240" w:lineRule="auto"/>
              <w:ind w:firstLine="0"/>
              <w:rPr>
                <w:rFonts w:ascii="Arial" w:hAnsi="Arial"/>
                <w:b/>
                <w:sz w:val="18"/>
              </w:rPr>
            </w:pPr>
            <w:r w:rsidRPr="00C655CB">
              <w:rPr>
                <w:rFonts w:ascii="Arial" w:hAnsi="Arial"/>
                <w:b/>
                <w:sz w:val="18"/>
              </w:rPr>
              <w:t xml:space="preserve">Site </w:t>
            </w:r>
            <w:r>
              <w:rPr>
                <w:rFonts w:ascii="Arial" w:hAnsi="Arial"/>
                <w:b/>
                <w:sz w:val="18"/>
              </w:rPr>
              <w:t>v</w:t>
            </w:r>
            <w:r w:rsidRPr="00C655CB">
              <w:rPr>
                <w:rFonts w:ascii="Arial" w:hAnsi="Arial"/>
                <w:b/>
                <w:sz w:val="18"/>
              </w:rPr>
              <w:t>isit 2</w:t>
            </w:r>
          </w:p>
        </w:tc>
        <w:tc>
          <w:tcPr>
            <w:tcW w:w="989" w:type="dxa"/>
            <w:shd w:val="clear" w:color="auto" w:fill="E0D4B5"/>
          </w:tcPr>
          <w:p w:rsidRPr="00C655CB" w:rsidR="002E114B" w:rsidP="00874EE3" w:rsidRDefault="002E114B" w14:paraId="61EF6A56" w14:textId="77777777">
            <w:pPr>
              <w:tabs>
                <w:tab w:val="decimal" w:pos="437"/>
              </w:tabs>
              <w:spacing w:before="40" w:after="40" w:line="240" w:lineRule="auto"/>
              <w:ind w:firstLine="0"/>
              <w:rPr>
                <w:rFonts w:ascii="Arial" w:hAnsi="Arial"/>
                <w:b/>
                <w:sz w:val="18"/>
              </w:rPr>
            </w:pPr>
          </w:p>
        </w:tc>
        <w:tc>
          <w:tcPr>
            <w:tcW w:w="989" w:type="dxa"/>
            <w:shd w:val="clear" w:color="auto" w:fill="E0D4B5"/>
          </w:tcPr>
          <w:p w:rsidRPr="00C655CB" w:rsidR="002E114B" w:rsidP="00874EE3" w:rsidRDefault="002E114B" w14:paraId="38CF472D" w14:textId="77777777">
            <w:pPr>
              <w:tabs>
                <w:tab w:val="decimal" w:pos="437"/>
              </w:tabs>
              <w:spacing w:before="40" w:after="40" w:line="240" w:lineRule="auto"/>
              <w:ind w:firstLine="0"/>
              <w:rPr>
                <w:rFonts w:ascii="Arial" w:hAnsi="Arial"/>
                <w:b/>
                <w:sz w:val="18"/>
              </w:rPr>
            </w:pPr>
          </w:p>
        </w:tc>
        <w:tc>
          <w:tcPr>
            <w:tcW w:w="989" w:type="dxa"/>
            <w:shd w:val="clear" w:color="auto" w:fill="E0D4B5"/>
          </w:tcPr>
          <w:p w:rsidRPr="00C655CB" w:rsidR="002E114B" w:rsidP="00874EE3" w:rsidRDefault="002E114B" w14:paraId="02EA4C56" w14:textId="77777777">
            <w:pPr>
              <w:tabs>
                <w:tab w:val="decimal" w:pos="437"/>
              </w:tabs>
              <w:spacing w:before="40" w:after="40" w:line="240" w:lineRule="auto"/>
              <w:ind w:firstLine="0"/>
              <w:rPr>
                <w:rFonts w:ascii="Arial" w:hAnsi="Arial"/>
                <w:b/>
                <w:sz w:val="18"/>
              </w:rPr>
            </w:pPr>
          </w:p>
        </w:tc>
        <w:tc>
          <w:tcPr>
            <w:tcW w:w="989" w:type="dxa"/>
            <w:shd w:val="clear" w:color="auto" w:fill="E0D4B5"/>
          </w:tcPr>
          <w:p w:rsidRPr="00C655CB" w:rsidR="002E114B" w:rsidP="00874EE3" w:rsidRDefault="002E114B" w14:paraId="717F418D" w14:textId="77777777">
            <w:pPr>
              <w:tabs>
                <w:tab w:val="decimal" w:pos="437"/>
              </w:tabs>
              <w:spacing w:before="40" w:after="40" w:line="240" w:lineRule="auto"/>
              <w:ind w:firstLine="0"/>
              <w:rPr>
                <w:rFonts w:ascii="Arial" w:hAnsi="Arial"/>
                <w:b/>
                <w:sz w:val="18"/>
              </w:rPr>
            </w:pPr>
          </w:p>
        </w:tc>
        <w:tc>
          <w:tcPr>
            <w:tcW w:w="989" w:type="dxa"/>
            <w:shd w:val="clear" w:color="auto" w:fill="E0D4B5"/>
          </w:tcPr>
          <w:p w:rsidRPr="00C655CB" w:rsidR="002E114B" w:rsidP="00874EE3" w:rsidRDefault="002E114B" w14:paraId="3A02B4E9" w14:textId="77777777">
            <w:pPr>
              <w:tabs>
                <w:tab w:val="decimal" w:pos="437"/>
              </w:tabs>
              <w:spacing w:before="40" w:after="40" w:line="240" w:lineRule="auto"/>
              <w:ind w:firstLine="0"/>
              <w:rPr>
                <w:rFonts w:ascii="Arial" w:hAnsi="Arial"/>
                <w:b/>
                <w:sz w:val="18"/>
              </w:rPr>
            </w:pPr>
          </w:p>
        </w:tc>
      </w:tr>
      <w:tr w:rsidRPr="00C655CB" w:rsidR="002E114B" w:rsidTr="00874EE3" w14:paraId="62742E8C" w14:textId="77777777">
        <w:tc>
          <w:tcPr>
            <w:tcW w:w="4405" w:type="dxa"/>
            <w:shd w:val="clear" w:color="auto" w:fill="auto"/>
            <w:vAlign w:val="bottom"/>
          </w:tcPr>
          <w:p w:rsidRPr="00C655CB" w:rsidR="002E114B" w:rsidP="00874EE3" w:rsidRDefault="002E114B" w14:paraId="6B6C5982" w14:textId="77777777">
            <w:pPr>
              <w:spacing w:before="40" w:after="40" w:line="240" w:lineRule="auto"/>
              <w:ind w:firstLine="0"/>
              <w:rPr>
                <w:rFonts w:ascii="Arial" w:hAnsi="Arial"/>
                <w:sz w:val="18"/>
              </w:rPr>
            </w:pPr>
            <w:r w:rsidRPr="00C655CB">
              <w:rPr>
                <w:rFonts w:ascii="Arial" w:hAnsi="Arial"/>
                <w:sz w:val="18"/>
              </w:rPr>
              <w:t>RETAIN administrators/directors</w:t>
            </w:r>
          </w:p>
        </w:tc>
        <w:tc>
          <w:tcPr>
            <w:tcW w:w="989" w:type="dxa"/>
          </w:tcPr>
          <w:p w:rsidRPr="00C655CB" w:rsidR="002E114B" w:rsidP="00874EE3" w:rsidRDefault="002E114B" w14:paraId="36B2B84E" w14:textId="77777777">
            <w:pPr>
              <w:tabs>
                <w:tab w:val="decimal" w:pos="437"/>
              </w:tabs>
              <w:spacing w:before="40" w:after="40" w:line="240" w:lineRule="auto"/>
              <w:ind w:firstLine="0"/>
              <w:rPr>
                <w:rFonts w:ascii="Arial" w:hAnsi="Arial"/>
                <w:sz w:val="18"/>
              </w:rPr>
            </w:pPr>
            <w:r w:rsidRPr="00C655CB">
              <w:rPr>
                <w:rFonts w:ascii="Arial" w:hAnsi="Arial"/>
                <w:sz w:val="18"/>
              </w:rPr>
              <w:t>1</w:t>
            </w:r>
          </w:p>
        </w:tc>
        <w:tc>
          <w:tcPr>
            <w:tcW w:w="989" w:type="dxa"/>
          </w:tcPr>
          <w:p w:rsidRPr="00C655CB" w:rsidR="002E114B" w:rsidP="00874EE3" w:rsidRDefault="002E114B" w14:paraId="0155475B" w14:textId="77777777">
            <w:pPr>
              <w:tabs>
                <w:tab w:val="decimal" w:pos="437"/>
              </w:tabs>
              <w:spacing w:before="40" w:after="40" w:line="240" w:lineRule="auto"/>
              <w:ind w:firstLine="0"/>
              <w:rPr>
                <w:rFonts w:ascii="Arial" w:hAnsi="Arial"/>
                <w:sz w:val="18"/>
              </w:rPr>
            </w:pPr>
            <w:r w:rsidRPr="00C655CB">
              <w:rPr>
                <w:rFonts w:ascii="Arial" w:hAnsi="Arial"/>
                <w:sz w:val="18"/>
              </w:rPr>
              <w:t>1</w:t>
            </w:r>
          </w:p>
        </w:tc>
        <w:tc>
          <w:tcPr>
            <w:tcW w:w="989" w:type="dxa"/>
          </w:tcPr>
          <w:p w:rsidRPr="00C655CB" w:rsidR="002E114B" w:rsidP="00874EE3" w:rsidRDefault="002E114B" w14:paraId="3F9F1852" w14:textId="77777777">
            <w:pPr>
              <w:tabs>
                <w:tab w:val="decimal" w:pos="437"/>
              </w:tabs>
              <w:spacing w:before="40" w:after="40" w:line="240" w:lineRule="auto"/>
              <w:ind w:firstLine="0"/>
              <w:rPr>
                <w:rFonts w:ascii="Arial" w:hAnsi="Arial"/>
                <w:sz w:val="18"/>
              </w:rPr>
            </w:pPr>
            <w:r w:rsidRPr="00C655CB">
              <w:rPr>
                <w:rFonts w:ascii="Arial" w:hAnsi="Arial"/>
                <w:sz w:val="18"/>
              </w:rPr>
              <w:t>1</w:t>
            </w:r>
          </w:p>
        </w:tc>
        <w:tc>
          <w:tcPr>
            <w:tcW w:w="989" w:type="dxa"/>
          </w:tcPr>
          <w:p w:rsidRPr="00C655CB" w:rsidR="002E114B" w:rsidP="00874EE3" w:rsidRDefault="002E114B" w14:paraId="5574C659" w14:textId="77777777">
            <w:pPr>
              <w:tabs>
                <w:tab w:val="decimal" w:pos="437"/>
              </w:tabs>
              <w:spacing w:before="40" w:after="40" w:line="240" w:lineRule="auto"/>
              <w:ind w:firstLine="0"/>
              <w:rPr>
                <w:rFonts w:ascii="Arial" w:hAnsi="Arial"/>
                <w:sz w:val="18"/>
              </w:rPr>
            </w:pPr>
            <w:r w:rsidRPr="00C655CB">
              <w:rPr>
                <w:rFonts w:ascii="Arial" w:hAnsi="Arial"/>
                <w:sz w:val="18"/>
              </w:rPr>
              <w:t>1</w:t>
            </w:r>
          </w:p>
        </w:tc>
        <w:tc>
          <w:tcPr>
            <w:tcW w:w="989" w:type="dxa"/>
          </w:tcPr>
          <w:p w:rsidRPr="00C655CB" w:rsidR="002E114B" w:rsidP="00874EE3" w:rsidRDefault="002E114B" w14:paraId="7BEA3159" w14:textId="77777777">
            <w:pPr>
              <w:tabs>
                <w:tab w:val="decimal" w:pos="437"/>
              </w:tabs>
              <w:spacing w:before="40" w:after="40" w:line="240" w:lineRule="auto"/>
              <w:ind w:firstLine="0"/>
              <w:rPr>
                <w:rFonts w:ascii="Arial" w:hAnsi="Arial"/>
                <w:sz w:val="18"/>
              </w:rPr>
            </w:pPr>
            <w:r w:rsidRPr="00C655CB">
              <w:rPr>
                <w:rFonts w:ascii="Arial" w:hAnsi="Arial"/>
                <w:sz w:val="18"/>
              </w:rPr>
              <w:t>4</w:t>
            </w:r>
          </w:p>
        </w:tc>
      </w:tr>
      <w:tr w:rsidRPr="00C655CB" w:rsidR="002E114B" w:rsidTr="00874EE3" w14:paraId="0A182AA7" w14:textId="77777777">
        <w:tc>
          <w:tcPr>
            <w:tcW w:w="4405" w:type="dxa"/>
            <w:shd w:val="clear" w:color="auto" w:fill="auto"/>
            <w:vAlign w:val="bottom"/>
          </w:tcPr>
          <w:p w:rsidRPr="00C655CB" w:rsidR="002E114B" w:rsidP="00874EE3" w:rsidRDefault="002E114B" w14:paraId="1E2A9D95" w14:textId="77777777">
            <w:pPr>
              <w:spacing w:before="40" w:after="40" w:line="240" w:lineRule="auto"/>
              <w:ind w:firstLine="0"/>
              <w:rPr>
                <w:rFonts w:ascii="Arial" w:hAnsi="Arial"/>
                <w:sz w:val="18"/>
              </w:rPr>
            </w:pPr>
            <w:r w:rsidRPr="00C655CB">
              <w:rPr>
                <w:rFonts w:ascii="Arial" w:hAnsi="Arial"/>
                <w:sz w:val="18"/>
              </w:rPr>
              <w:t>RETAIN program line staff</w:t>
            </w:r>
          </w:p>
        </w:tc>
        <w:tc>
          <w:tcPr>
            <w:tcW w:w="989" w:type="dxa"/>
          </w:tcPr>
          <w:p w:rsidRPr="00C655CB" w:rsidR="002E114B" w:rsidP="00874EE3" w:rsidRDefault="002E114B" w14:paraId="63EC261B" w14:textId="77777777">
            <w:pPr>
              <w:tabs>
                <w:tab w:val="decimal" w:pos="437"/>
              </w:tabs>
              <w:spacing w:before="40" w:after="40" w:line="240" w:lineRule="auto"/>
              <w:ind w:firstLine="0"/>
              <w:rPr>
                <w:rFonts w:ascii="Arial" w:hAnsi="Arial"/>
                <w:sz w:val="18"/>
              </w:rPr>
            </w:pPr>
            <w:r w:rsidRPr="00C655CB">
              <w:rPr>
                <w:rFonts w:ascii="Arial" w:hAnsi="Arial"/>
                <w:sz w:val="18"/>
              </w:rPr>
              <w:t>18</w:t>
            </w:r>
          </w:p>
        </w:tc>
        <w:tc>
          <w:tcPr>
            <w:tcW w:w="989" w:type="dxa"/>
          </w:tcPr>
          <w:p w:rsidRPr="00C655CB" w:rsidR="002E114B" w:rsidP="00874EE3" w:rsidRDefault="002E114B" w14:paraId="757ED6DC" w14:textId="77777777">
            <w:pPr>
              <w:tabs>
                <w:tab w:val="decimal" w:pos="437"/>
              </w:tabs>
              <w:spacing w:before="40" w:after="40" w:line="240" w:lineRule="auto"/>
              <w:ind w:firstLine="0"/>
              <w:rPr>
                <w:rFonts w:ascii="Arial" w:hAnsi="Arial"/>
                <w:sz w:val="18"/>
              </w:rPr>
            </w:pPr>
            <w:r w:rsidRPr="00C655CB">
              <w:rPr>
                <w:rFonts w:ascii="Arial" w:hAnsi="Arial"/>
                <w:sz w:val="18"/>
              </w:rPr>
              <w:t>18</w:t>
            </w:r>
          </w:p>
        </w:tc>
        <w:tc>
          <w:tcPr>
            <w:tcW w:w="989" w:type="dxa"/>
          </w:tcPr>
          <w:p w:rsidRPr="00C655CB" w:rsidR="002E114B" w:rsidP="00874EE3" w:rsidRDefault="002E114B" w14:paraId="1E05BC32" w14:textId="77777777">
            <w:pPr>
              <w:tabs>
                <w:tab w:val="decimal" w:pos="437"/>
              </w:tabs>
              <w:spacing w:before="40" w:after="40" w:line="240" w:lineRule="auto"/>
              <w:ind w:firstLine="0"/>
              <w:rPr>
                <w:rFonts w:ascii="Arial" w:hAnsi="Arial"/>
                <w:sz w:val="18"/>
              </w:rPr>
            </w:pPr>
            <w:r w:rsidRPr="00C655CB">
              <w:rPr>
                <w:rFonts w:ascii="Arial" w:hAnsi="Arial"/>
                <w:sz w:val="18"/>
              </w:rPr>
              <w:t>18</w:t>
            </w:r>
          </w:p>
        </w:tc>
        <w:tc>
          <w:tcPr>
            <w:tcW w:w="989" w:type="dxa"/>
          </w:tcPr>
          <w:p w:rsidRPr="00C655CB" w:rsidR="002E114B" w:rsidP="00874EE3" w:rsidRDefault="002E114B" w14:paraId="5D1190D2" w14:textId="77777777">
            <w:pPr>
              <w:tabs>
                <w:tab w:val="decimal" w:pos="437"/>
              </w:tabs>
              <w:spacing w:before="40" w:after="40" w:line="240" w:lineRule="auto"/>
              <w:ind w:firstLine="0"/>
              <w:rPr>
                <w:rFonts w:ascii="Arial" w:hAnsi="Arial"/>
                <w:sz w:val="18"/>
              </w:rPr>
            </w:pPr>
            <w:r w:rsidRPr="00C655CB">
              <w:rPr>
                <w:rFonts w:ascii="Arial" w:hAnsi="Arial"/>
                <w:sz w:val="18"/>
              </w:rPr>
              <w:t>18</w:t>
            </w:r>
          </w:p>
        </w:tc>
        <w:tc>
          <w:tcPr>
            <w:tcW w:w="989" w:type="dxa"/>
          </w:tcPr>
          <w:p w:rsidRPr="00C655CB" w:rsidR="002E114B" w:rsidP="00874EE3" w:rsidRDefault="002E114B" w14:paraId="05EDAD25" w14:textId="77777777">
            <w:pPr>
              <w:tabs>
                <w:tab w:val="decimal" w:pos="437"/>
              </w:tabs>
              <w:spacing w:before="40" w:after="40" w:line="240" w:lineRule="auto"/>
              <w:ind w:firstLine="0"/>
              <w:rPr>
                <w:rFonts w:ascii="Arial" w:hAnsi="Arial"/>
                <w:sz w:val="18"/>
              </w:rPr>
            </w:pPr>
            <w:r w:rsidRPr="00C655CB">
              <w:rPr>
                <w:rFonts w:ascii="Arial" w:hAnsi="Arial"/>
                <w:sz w:val="18"/>
              </w:rPr>
              <w:t>72</w:t>
            </w:r>
          </w:p>
        </w:tc>
      </w:tr>
    </w:tbl>
    <w:p w:rsidR="002E114B" w:rsidP="002E114B" w:rsidRDefault="002E114B" w14:paraId="5C2903B6" w14:textId="77777777">
      <w:pPr>
        <w:tabs>
          <w:tab w:val="left" w:pos="1080"/>
        </w:tabs>
        <w:spacing w:before="60" w:after="240" w:line="240" w:lineRule="auto"/>
        <w:ind w:firstLine="0"/>
        <w:rPr>
          <w:rFonts w:ascii="Arial" w:hAnsi="Arial"/>
          <w:sz w:val="18"/>
        </w:rPr>
      </w:pPr>
      <w:r w:rsidRPr="00C655CB">
        <w:rPr>
          <w:rFonts w:ascii="Arial" w:hAnsi="Arial"/>
          <w:sz w:val="18"/>
          <w:vertAlign w:val="superscript"/>
        </w:rPr>
        <w:t>a</w:t>
      </w:r>
      <w:r w:rsidRPr="00C655CB">
        <w:rPr>
          <w:rFonts w:ascii="Arial" w:hAnsi="Arial"/>
          <w:sz w:val="18"/>
        </w:rPr>
        <w:t xml:space="preserve"> At the time of this submission, </w:t>
      </w:r>
      <w:r>
        <w:rPr>
          <w:rFonts w:ascii="Arial" w:hAnsi="Arial"/>
          <w:sz w:val="18"/>
        </w:rPr>
        <w:t>specific states have not been selected for Phase 2</w:t>
      </w:r>
      <w:r w:rsidRPr="00C655CB">
        <w:rPr>
          <w:rFonts w:ascii="Arial" w:hAnsi="Arial"/>
          <w:sz w:val="18"/>
        </w:rPr>
        <w:t xml:space="preserve">. </w:t>
      </w:r>
      <w:r>
        <w:rPr>
          <w:rFonts w:ascii="Arial" w:hAnsi="Arial"/>
          <w:sz w:val="18"/>
        </w:rPr>
        <w:t>W</w:t>
      </w:r>
      <w:r w:rsidRPr="00C655CB">
        <w:rPr>
          <w:rFonts w:ascii="Arial" w:hAnsi="Arial"/>
          <w:sz w:val="18"/>
        </w:rPr>
        <w:t xml:space="preserve">e </w:t>
      </w:r>
      <w:r>
        <w:rPr>
          <w:rFonts w:ascii="Arial" w:hAnsi="Arial"/>
          <w:sz w:val="18"/>
        </w:rPr>
        <w:t xml:space="preserve">therefore </w:t>
      </w:r>
      <w:r w:rsidRPr="00C655CB">
        <w:rPr>
          <w:rFonts w:ascii="Arial" w:hAnsi="Arial"/>
          <w:sz w:val="18"/>
        </w:rPr>
        <w:t>list</w:t>
      </w:r>
      <w:r>
        <w:rPr>
          <w:rFonts w:ascii="Arial" w:hAnsi="Arial"/>
          <w:sz w:val="18"/>
        </w:rPr>
        <w:t xml:space="preserve"> states generically in this table.</w:t>
      </w:r>
    </w:p>
    <w:p w:rsidR="00A72012" w:rsidP="0064585C" w:rsidRDefault="00E00FF5" w14:paraId="6D07E848" w14:textId="7CE722FF">
      <w:pPr>
        <w:tabs>
          <w:tab w:val="left" w:pos="810"/>
        </w:tabs>
        <w:spacing w:after="240" w:line="240" w:lineRule="auto"/>
        <w:ind w:left="810" w:firstLine="0"/>
      </w:pPr>
      <w:r>
        <w:t xml:space="preserve">The main intent of the interviews is to provide qualitative information on the experiences of </w:t>
      </w:r>
      <w:r w:rsidR="000E54DD">
        <w:t>service users</w:t>
      </w:r>
      <w:r w:rsidR="00712916">
        <w:t xml:space="preserve">. </w:t>
      </w:r>
      <w:r w:rsidR="007B24DA">
        <w:t xml:space="preserve"> </w:t>
      </w:r>
      <w:r w:rsidR="00A72012">
        <w:t>G</w:t>
      </w:r>
      <w:r>
        <w:t xml:space="preserve">iven the relatively small sample sizes, </w:t>
      </w:r>
      <w:r w:rsidRPr="00C655CB" w:rsidR="00C655CB">
        <w:t xml:space="preserve">the </w:t>
      </w:r>
      <w:r>
        <w:t xml:space="preserve">resulting sample will not be representative of </w:t>
      </w:r>
      <w:r w:rsidR="000E54DD">
        <w:t xml:space="preserve">all </w:t>
      </w:r>
      <w:r>
        <w:t xml:space="preserve">RETAIN </w:t>
      </w:r>
      <w:r w:rsidR="000E54DD">
        <w:t>service users</w:t>
      </w:r>
      <w:r>
        <w:t xml:space="preserve">. </w:t>
      </w:r>
      <w:r w:rsidR="007B24DA">
        <w:t xml:space="preserve"> </w:t>
      </w:r>
      <w:r w:rsidRPr="00C655CB" w:rsidR="00C655CB">
        <w:t xml:space="preserve">Resource constraints and the study design prevent SSA from conducting additional interviews. </w:t>
      </w:r>
      <w:r w:rsidR="007B24DA">
        <w:t xml:space="preserve"> </w:t>
      </w:r>
      <w:r w:rsidR="00BC7AE3">
        <w:t xml:space="preserve">Nonetheless, the qualitative information </w:t>
      </w:r>
      <w:r w:rsidR="004742F7">
        <w:t xml:space="preserve">is </w:t>
      </w:r>
      <w:r w:rsidR="00BC7AE3">
        <w:t xml:space="preserve">important in providing </w:t>
      </w:r>
      <w:r w:rsidRPr="00C655CB" w:rsidR="00A72012">
        <w:t>in-depth information about key issues</w:t>
      </w:r>
      <w:r w:rsidR="00BC7AE3">
        <w:t xml:space="preserve"> </w:t>
      </w:r>
      <w:r w:rsidR="00AE5A65">
        <w:t xml:space="preserve">regarding </w:t>
      </w:r>
      <w:r w:rsidR="00BC7AE3">
        <w:t>RETAIN service usage that is unavailable in any other planned data source available for RETAIN.</w:t>
      </w:r>
      <w:r w:rsidRPr="00C655CB" w:rsidR="00A72012">
        <w:t xml:space="preserve"> </w:t>
      </w:r>
    </w:p>
    <w:p w:rsidRPr="000776F0" w:rsidR="00695A9B" w:rsidP="0064585C" w:rsidRDefault="0064585C" w14:paraId="235EA3E0" w14:textId="4311DA66">
      <w:pPr>
        <w:pStyle w:val="H4Number"/>
        <w:tabs>
          <w:tab w:val="clear" w:pos="432"/>
          <w:tab w:val="left" w:pos="810"/>
        </w:tabs>
        <w:ind w:left="810" w:hanging="360"/>
      </w:pPr>
      <w:bookmarkStart w:name="_Toc34223057" w:id="9"/>
      <w:r>
        <w:lastRenderedPageBreak/>
        <w:t>c</w:t>
      </w:r>
      <w:r w:rsidRPr="000776F0" w:rsidR="00695A9B">
        <w:t>.</w:t>
      </w:r>
      <w:r w:rsidRPr="000776F0" w:rsidR="00695A9B">
        <w:tab/>
        <w:t>Staff activity logs</w:t>
      </w:r>
      <w:bookmarkEnd w:id="9"/>
    </w:p>
    <w:p w:rsidRPr="00694557" w:rsidR="00695A9B" w:rsidP="0064585C" w:rsidRDefault="00695A9B" w14:paraId="29E1E8E0" w14:textId="37811385">
      <w:pPr>
        <w:pStyle w:val="NormalSS"/>
        <w:ind w:left="810" w:firstLine="0"/>
      </w:pPr>
      <w:r w:rsidRPr="000776F0">
        <w:t xml:space="preserve">Manage and line staff </w:t>
      </w:r>
      <w:r w:rsidR="000776F0">
        <w:t xml:space="preserve">who are </w:t>
      </w:r>
      <w:r w:rsidRPr="000776F0">
        <w:t xml:space="preserve">substantively involved </w:t>
      </w:r>
      <w:r w:rsidR="000776F0">
        <w:t>in</w:t>
      </w:r>
      <w:r w:rsidRPr="000776F0">
        <w:t xml:space="preserve"> each RETAIN program represent the population of interest for the activity collection logs. </w:t>
      </w:r>
      <w:r w:rsidR="007B24DA">
        <w:t xml:space="preserve"> </w:t>
      </w:r>
      <w:r w:rsidRPr="000776F0">
        <w:t>Each program uses a different staffing</w:t>
      </w:r>
      <w:r w:rsidRPr="00694557">
        <w:t xml:space="preserve"> approach </w:t>
      </w:r>
      <w:r w:rsidR="000776F0">
        <w:t>to</w:t>
      </w:r>
      <w:r w:rsidRPr="00694557">
        <w:t xml:space="preserve"> provide services. </w:t>
      </w:r>
      <w:r w:rsidR="007B24DA">
        <w:t xml:space="preserve"> </w:t>
      </w:r>
      <w:r w:rsidRPr="00694557">
        <w:t xml:space="preserve">We will conduct telephone meetings with </w:t>
      </w:r>
      <w:r w:rsidR="00240752">
        <w:t>each state’s</w:t>
      </w:r>
      <w:r w:rsidRPr="00694557">
        <w:t xml:space="preserve"> </w:t>
      </w:r>
      <w:r>
        <w:t>RETAIN</w:t>
      </w:r>
      <w:r w:rsidR="00240752">
        <w:t xml:space="preserve"> program</w:t>
      </w:r>
      <w:r>
        <w:t xml:space="preserve"> administrator</w:t>
      </w:r>
      <w:r w:rsidRPr="00694557">
        <w:t xml:space="preserve"> to describe data collection </w:t>
      </w:r>
      <w:r w:rsidR="000776F0">
        <w:t>for the logs</w:t>
      </w:r>
      <w:r w:rsidRPr="00694557">
        <w:t xml:space="preserve">, discuss the staff positions involved in </w:t>
      </w:r>
      <w:r w:rsidR="000776F0">
        <w:t xml:space="preserve">providing </w:t>
      </w:r>
      <w:r w:rsidRPr="00694557">
        <w:t>program service</w:t>
      </w:r>
      <w:r w:rsidR="000776F0">
        <w:t>s</w:t>
      </w:r>
      <w:r w:rsidRPr="00694557">
        <w:t xml:space="preserve">, and identify which positions to include in </w:t>
      </w:r>
      <w:r w:rsidR="000776F0">
        <w:t xml:space="preserve">the </w:t>
      </w:r>
      <w:r w:rsidRPr="00694557">
        <w:t>data collection</w:t>
      </w:r>
      <w:r w:rsidR="000776F0">
        <w:t xml:space="preserve"> effort</w:t>
      </w:r>
      <w:r w:rsidRPr="00694557">
        <w:t xml:space="preserve">. </w:t>
      </w:r>
      <w:r w:rsidR="007B24DA">
        <w:t xml:space="preserve"> </w:t>
      </w:r>
      <w:r w:rsidRPr="00694557">
        <w:t>We will collect activity logs from members of all staff positions (such as administrators</w:t>
      </w:r>
      <w:r>
        <w:t xml:space="preserve"> and return</w:t>
      </w:r>
      <w:r w:rsidR="000776F0">
        <w:t>-</w:t>
      </w:r>
      <w:r>
        <w:t>to</w:t>
      </w:r>
      <w:r w:rsidR="000776F0">
        <w:t>-</w:t>
      </w:r>
      <w:r>
        <w:t>work coordinators</w:t>
      </w:r>
      <w:r w:rsidRPr="00694557">
        <w:t xml:space="preserve">) in which </w:t>
      </w:r>
      <w:r>
        <w:t>RETAIN</w:t>
      </w:r>
      <w:r w:rsidRPr="00694557">
        <w:t xml:space="preserve"> activities represent a primary part of their duties. </w:t>
      </w:r>
      <w:r w:rsidR="007B24DA">
        <w:t xml:space="preserve"> </w:t>
      </w:r>
      <w:r w:rsidR="00BD3617">
        <w:t>If a</w:t>
      </w:r>
      <w:r w:rsidRPr="00694557">
        <w:t xml:space="preserve"> program has many </w:t>
      </w:r>
      <w:r w:rsidR="000776F0">
        <w:t>people (4</w:t>
      </w:r>
      <w:r w:rsidRPr="00694557">
        <w:t xml:space="preserve"> or more) in a staff category, we</w:t>
      </w:r>
      <w:r>
        <w:t xml:space="preserve"> will consult with the program manager on whether to </w:t>
      </w:r>
      <w:r w:rsidRPr="00694557">
        <w:t xml:space="preserve">select a sample of staff (2 to 10 </w:t>
      </w:r>
      <w:r w:rsidR="000776F0">
        <w:t>people</w:t>
      </w:r>
      <w:r w:rsidRPr="00694557">
        <w:t xml:space="preserve">, depending on the number of staff in that category) to complete the log. </w:t>
      </w:r>
      <w:r w:rsidR="007B24DA">
        <w:t xml:space="preserve"> </w:t>
      </w:r>
      <w:r w:rsidR="000776F0">
        <w:t>If</w:t>
      </w:r>
      <w:r w:rsidRPr="00694557">
        <w:t xml:space="preserve"> a program has 3 or fewer </w:t>
      </w:r>
      <w:r w:rsidR="00BD3617">
        <w:t>staff</w:t>
      </w:r>
      <w:r w:rsidRPr="00694557">
        <w:t xml:space="preserve"> in a position, we will ask </w:t>
      </w:r>
      <w:r w:rsidR="000776F0">
        <w:t>everyone</w:t>
      </w:r>
      <w:r w:rsidRPr="00694557">
        <w:t xml:space="preserve"> in that category to complete the log. </w:t>
      </w:r>
      <w:r w:rsidR="007B24DA">
        <w:t xml:space="preserve"> </w:t>
      </w:r>
      <w:r w:rsidRPr="00694557">
        <w:t xml:space="preserve">We will work with the program manager to identify the </w:t>
      </w:r>
      <w:r w:rsidR="000776F0">
        <w:t>staff</w:t>
      </w:r>
      <w:r w:rsidRPr="00694557">
        <w:t xml:space="preserve"> from each category to include</w:t>
      </w:r>
      <w:r w:rsidR="00BD3617">
        <w:t xml:space="preserve"> in data collection</w:t>
      </w:r>
      <w:r w:rsidRPr="00694557">
        <w:t>.</w:t>
      </w:r>
      <w:r>
        <w:t xml:space="preserve"> </w:t>
      </w:r>
      <w:r w:rsidR="007B24DA">
        <w:t xml:space="preserve"> </w:t>
      </w:r>
      <w:r>
        <w:t>We will also ask the program manager to provide additional instructions and activity descriptions to include in the log instructions.</w:t>
      </w:r>
    </w:p>
    <w:p w:rsidRPr="00B1346F" w:rsidR="00185828" w:rsidP="0064585C" w:rsidRDefault="0064585C" w14:paraId="27582F08" w14:textId="1255935A">
      <w:pPr>
        <w:pStyle w:val="H4Number"/>
        <w:tabs>
          <w:tab w:val="clear" w:pos="432"/>
          <w:tab w:val="left" w:pos="810"/>
        </w:tabs>
        <w:ind w:left="810" w:hanging="360"/>
      </w:pPr>
      <w:bookmarkStart w:name="_Toc34223058" w:id="10"/>
      <w:bookmarkStart w:name="_Toc25057016" w:id="11"/>
      <w:bookmarkStart w:name="_Toc531183380" w:id="12"/>
      <w:r>
        <w:t>d</w:t>
      </w:r>
      <w:r w:rsidRPr="00DA0D20" w:rsidR="00185828">
        <w:rPr>
          <w:rFonts w:ascii="Arial" w:hAnsi="Arial"/>
          <w:sz w:val="18"/>
        </w:rPr>
        <w:t>.</w:t>
      </w:r>
      <w:r w:rsidRPr="00DA0D20" w:rsidR="00185828">
        <w:rPr>
          <w:rFonts w:ascii="Arial" w:hAnsi="Arial"/>
          <w:sz w:val="18"/>
        </w:rPr>
        <w:tab/>
      </w:r>
      <w:r w:rsidRPr="00B1346F" w:rsidR="00185828">
        <w:t>Surveys of RETAIN enrollees</w:t>
      </w:r>
      <w:bookmarkEnd w:id="10"/>
      <w:r w:rsidRPr="00B1346F" w:rsidR="00185828">
        <w:t xml:space="preserve"> </w:t>
      </w:r>
      <w:bookmarkEnd w:id="11"/>
    </w:p>
    <w:p w:rsidR="00185828" w:rsidP="0064585C" w:rsidRDefault="00185828" w14:paraId="7D1108E4" w14:textId="7EF5EA6B">
      <w:pPr>
        <w:spacing w:after="240" w:line="240" w:lineRule="auto"/>
        <w:ind w:left="810" w:firstLine="0"/>
      </w:pPr>
      <w:r>
        <w:t>The respondent universe for the enrollee survey is all individuals who enrolled in RETAIN during Phase 2.</w:t>
      </w:r>
      <w:r w:rsidR="007B24DA">
        <w:t xml:space="preserve"> </w:t>
      </w:r>
      <w:r>
        <w:t xml:space="preserve"> </w:t>
      </w:r>
      <w:r w:rsidRPr="001108EE">
        <w:t>Mathematica wil</w:t>
      </w:r>
      <w:r>
        <w:t>l</w:t>
      </w:r>
      <w:r w:rsidRPr="001108EE">
        <w:t xml:space="preserve"> conduct the survey with a sample of 12,000 enrollees, equally distributed across the four state</w:t>
      </w:r>
      <w:r>
        <w:t xml:space="preserve"> program</w:t>
      </w:r>
      <w:r w:rsidRPr="001108EE">
        <w:t>s (3,000 per state)</w:t>
      </w:r>
      <w:r>
        <w:t xml:space="preserve"> (</w:t>
      </w:r>
      <w:r w:rsidR="00F5600F">
        <w:t>Exhibit B</w:t>
      </w:r>
      <w:r w:rsidRPr="001108EE">
        <w:t>1</w:t>
      </w:r>
      <w:r w:rsidR="001F5F38">
        <w:t>-2</w:t>
      </w:r>
      <w:r>
        <w:t>)</w:t>
      </w:r>
      <w:r w:rsidRPr="001108EE">
        <w:t xml:space="preserve">. </w:t>
      </w:r>
      <w:r w:rsidR="007B24DA">
        <w:t xml:space="preserve"> </w:t>
      </w:r>
      <w:r>
        <w:t>If a state plans to enroll more than 3,000 individuals, Mathematica will select a representative subsample of enrollees.</w:t>
      </w:r>
      <w:r>
        <w:rPr>
          <w:rStyle w:val="FootnoteReference"/>
        </w:rPr>
        <w:footnoteReference w:id="3"/>
      </w:r>
      <w:r>
        <w:t xml:space="preserve"> </w:t>
      </w:r>
      <w:r w:rsidR="007B24DA">
        <w:t xml:space="preserve"> </w:t>
      </w:r>
      <w:r w:rsidRPr="0062306C">
        <w:t>There are two rounds of survey interviews</w:t>
      </w:r>
      <w:r>
        <w:t>:</w:t>
      </w:r>
      <w:r w:rsidRPr="0062306C">
        <w:t xml:space="preserve"> the first </w:t>
      </w:r>
      <w:r>
        <w:t>will</w:t>
      </w:r>
      <w:r w:rsidRPr="0062306C">
        <w:t xml:space="preserve"> occur 2 months after enrollment and the second </w:t>
      </w:r>
      <w:r>
        <w:t>will</w:t>
      </w:r>
      <w:r w:rsidRPr="0062306C">
        <w:t xml:space="preserve"> take pl</w:t>
      </w:r>
      <w:r>
        <w:t xml:space="preserve">ace 12 months after enrollment. </w:t>
      </w:r>
      <w:r w:rsidR="007B24DA">
        <w:t xml:space="preserve"> </w:t>
      </w:r>
      <w:r>
        <w:t xml:space="preserve">The same samples will be used for both surveys; Mathematica will recontact all eligible R1 sample members in R2. </w:t>
      </w:r>
      <w:r w:rsidR="007B24DA">
        <w:t xml:space="preserve"> </w:t>
      </w:r>
      <w:r w:rsidRPr="006E3C70">
        <w:t>The RETAIN evaluation design assumes a 24</w:t>
      </w:r>
      <w:r w:rsidR="00F5600F">
        <w:noBreakHyphen/>
      </w:r>
      <w:r w:rsidRPr="006E3C70">
        <w:t xml:space="preserve">month </w:t>
      </w:r>
      <w:r>
        <w:t xml:space="preserve">enrollment </w:t>
      </w:r>
      <w:r w:rsidRPr="006E3C70">
        <w:t xml:space="preserve">period. </w:t>
      </w:r>
    </w:p>
    <w:p w:rsidR="00185828" w:rsidP="0064585C" w:rsidRDefault="00C91E97" w14:paraId="118EFB82" w14:textId="398657B9">
      <w:pPr>
        <w:spacing w:after="240" w:line="240" w:lineRule="auto"/>
        <w:ind w:left="810" w:firstLine="0"/>
      </w:pPr>
      <w:r>
        <w:t>We will finalilze t</w:t>
      </w:r>
      <w:r w:rsidR="00185828">
        <w:t xml:space="preserve">he sampling strategy when the states are selected for Phase 2 and </w:t>
      </w:r>
      <w:r>
        <w:t xml:space="preserve">we have finalized </w:t>
      </w:r>
      <w:r w:rsidR="00185828">
        <w:t xml:space="preserve">the enrollment targets. </w:t>
      </w:r>
      <w:r w:rsidR="007B24DA">
        <w:t xml:space="preserve"> </w:t>
      </w:r>
      <w:r>
        <w:t>We will stratisfy t</w:t>
      </w:r>
      <w:r w:rsidRPr="006E3C70" w:rsidR="00185828">
        <w:t xml:space="preserve">he enrollee survey sample proportionally </w:t>
      </w:r>
      <w:r w:rsidR="00185828">
        <w:t xml:space="preserve">by enrollment month, state program, and study assignment group (treatment or control). </w:t>
      </w:r>
      <w:r w:rsidR="007B24DA">
        <w:t xml:space="preserve"> </w:t>
      </w:r>
      <w:r>
        <w:t>We may consider o</w:t>
      </w:r>
      <w:r w:rsidR="00185828">
        <w:t>ther strata, including age and employment status, after</w:t>
      </w:r>
      <w:r>
        <w:t xml:space="preserve"> we know</w:t>
      </w:r>
      <w:r w:rsidR="00185828">
        <w:t xml:space="preserve"> the Phase 2 programs. </w:t>
      </w:r>
      <w:r w:rsidR="007B24DA">
        <w:t xml:space="preserve"> </w:t>
      </w:r>
      <w:r w:rsidR="00185828">
        <w:t xml:space="preserve">The sampling strategy for the enrollee survey seeks to ensure that individuals </w:t>
      </w:r>
      <w:r>
        <w:t>we select</w:t>
      </w:r>
      <w:r w:rsidR="00185828">
        <w:t xml:space="preserve"> for the survey reflect the state’s overall RETAIN enrollee population.  </w:t>
      </w:r>
    </w:p>
    <w:p w:rsidRPr="00B1346F" w:rsidR="00185828" w:rsidP="0064585C" w:rsidRDefault="0064585C" w14:paraId="35535443" w14:textId="192E5376">
      <w:pPr>
        <w:pStyle w:val="H4Number"/>
        <w:tabs>
          <w:tab w:val="clear" w:pos="432"/>
          <w:tab w:val="left" w:pos="810"/>
        </w:tabs>
        <w:ind w:left="810" w:hanging="360"/>
      </w:pPr>
      <w:bookmarkStart w:name="_Toc34223059" w:id="13"/>
      <w:r>
        <w:t>e</w:t>
      </w:r>
      <w:r w:rsidRPr="00DA0D20" w:rsidR="00185828">
        <w:rPr>
          <w:rFonts w:ascii="Arial" w:hAnsi="Arial"/>
          <w:sz w:val="18"/>
        </w:rPr>
        <w:t>.</w:t>
      </w:r>
      <w:r w:rsidRPr="00DA0D20" w:rsidR="00185828">
        <w:rPr>
          <w:rFonts w:ascii="Arial" w:hAnsi="Arial"/>
          <w:sz w:val="18"/>
        </w:rPr>
        <w:tab/>
      </w:r>
      <w:r w:rsidRPr="00B1346F" w:rsidR="00185828">
        <w:t>Surveys of RETAIN providers</w:t>
      </w:r>
      <w:bookmarkEnd w:id="13"/>
    </w:p>
    <w:p w:rsidR="00185828" w:rsidP="0064585C" w:rsidRDefault="00185828" w14:paraId="58D4645B" w14:textId="36DBEA71">
      <w:pPr>
        <w:spacing w:after="240" w:line="240" w:lineRule="auto"/>
        <w:ind w:left="810" w:firstLine="0"/>
      </w:pPr>
      <w:r>
        <w:t xml:space="preserve">The respondent universe for the provider survey is all RETAIN medical providers offering services. </w:t>
      </w:r>
      <w:r w:rsidR="007B24DA">
        <w:t xml:space="preserve"> </w:t>
      </w:r>
      <w:r w:rsidRPr="0062306C">
        <w:t>Mathematica wil</w:t>
      </w:r>
      <w:r>
        <w:t>l</w:t>
      </w:r>
      <w:r w:rsidRPr="0062306C">
        <w:t xml:space="preserve"> conduct the </w:t>
      </w:r>
      <w:r>
        <w:t>provider survey with 400 RETAIN providers</w:t>
      </w:r>
      <w:r w:rsidRPr="0062306C">
        <w:t>, equally distributed across the four program states (</w:t>
      </w:r>
      <w:r>
        <w:t xml:space="preserve">100 </w:t>
      </w:r>
      <w:r w:rsidRPr="0062306C">
        <w:t>per state)</w:t>
      </w:r>
      <w:r>
        <w:t xml:space="preserve"> (</w:t>
      </w:r>
      <w:r w:rsidR="00F5600F">
        <w:t>Exhibit B</w:t>
      </w:r>
      <w:r w:rsidRPr="0062306C">
        <w:t>1</w:t>
      </w:r>
      <w:r w:rsidR="00F5600F">
        <w:noBreakHyphen/>
      </w:r>
      <w:r w:rsidRPr="0062306C">
        <w:t>2</w:t>
      </w:r>
      <w:r>
        <w:t>)</w:t>
      </w:r>
      <w:r w:rsidRPr="0062306C">
        <w:t xml:space="preserve">. </w:t>
      </w:r>
      <w:r w:rsidR="007B24DA">
        <w:t xml:space="preserve"> </w:t>
      </w:r>
      <w:r>
        <w:t xml:space="preserve">We anticipate that these providers will reflect a range of medical fields, including primary care physicians, physical therapists, occupational therapists, nurse practitioners, and mental health providers. </w:t>
      </w:r>
      <w:r w:rsidR="007B24DA">
        <w:t xml:space="preserve"> </w:t>
      </w:r>
      <w:r>
        <w:t>If a state has more than 100 providers, Mathematica will selec</w:t>
      </w:r>
      <w:r w:rsidR="00C91E97">
        <w:t>t a representative subsample.  We will administer t</w:t>
      </w:r>
      <w:r w:rsidRPr="0018775B">
        <w:t xml:space="preserve">he provider survey twice. </w:t>
      </w:r>
      <w:r w:rsidR="007B24DA">
        <w:t xml:space="preserve"> </w:t>
      </w:r>
      <w:r w:rsidRPr="0018775B">
        <w:t xml:space="preserve">The first round will take place </w:t>
      </w:r>
      <w:r>
        <w:t>4</w:t>
      </w:r>
      <w:r w:rsidRPr="0018775B">
        <w:t xml:space="preserve"> months after the launch of Phase 2</w:t>
      </w:r>
      <w:r>
        <w:t>,</w:t>
      </w:r>
      <w:r w:rsidRPr="0018775B">
        <w:t xml:space="preserve"> and the second round will take place 16 months after the launch of Phase 2. </w:t>
      </w:r>
    </w:p>
    <w:p w:rsidR="00185828" w:rsidP="0064585C" w:rsidRDefault="00185828" w14:paraId="671AE4FA" w14:textId="6C68583A">
      <w:pPr>
        <w:spacing w:after="240" w:line="240" w:lineRule="auto"/>
        <w:ind w:left="810" w:firstLine="0"/>
      </w:pPr>
      <w:r>
        <w:t xml:space="preserve">At this time, </w:t>
      </w:r>
      <w:r w:rsidR="00C91E97">
        <w:t xml:space="preserve">we do not yet know </w:t>
      </w:r>
      <w:r>
        <w:t xml:space="preserve">the </w:t>
      </w:r>
      <w:r w:rsidRPr="003959DB">
        <w:t xml:space="preserve">universe of providers. </w:t>
      </w:r>
      <w:r w:rsidR="007B24DA">
        <w:t xml:space="preserve"> </w:t>
      </w:r>
      <w:r w:rsidR="00C91E97">
        <w:t>We will finalize d</w:t>
      </w:r>
      <w:r w:rsidRPr="003959DB">
        <w:t xml:space="preserve">ecisions that affect the sampling strategy for this survey when </w:t>
      </w:r>
      <w:r w:rsidR="00C91E97">
        <w:t xml:space="preserve">we select </w:t>
      </w:r>
      <w:r w:rsidRPr="003959DB">
        <w:t>the states for Phase 2</w:t>
      </w:r>
      <w:r w:rsidR="00C91E97">
        <w:t>,</w:t>
      </w:r>
      <w:r w:rsidRPr="003959DB">
        <w:t xml:space="preserve"> and </w:t>
      </w:r>
      <w:r w:rsidR="00C91E97">
        <w:t xml:space="preserve">we know </w:t>
      </w:r>
      <w:r w:rsidRPr="003959DB">
        <w:t xml:space="preserve">the number of providers in each state. </w:t>
      </w:r>
      <w:r w:rsidR="007B24DA">
        <w:t xml:space="preserve"> </w:t>
      </w:r>
      <w:r w:rsidRPr="003959DB" w:rsidR="00635410">
        <w:t xml:space="preserve">In RETAIN states </w:t>
      </w:r>
      <w:r w:rsidRPr="00D41F55" w:rsidR="000619E6">
        <w:t xml:space="preserve">that are </w:t>
      </w:r>
      <w:r w:rsidRPr="003959DB" w:rsidR="00635410">
        <w:t xml:space="preserve">using clustered random assignment, we anticipate that the full provider list </w:t>
      </w:r>
      <w:r w:rsidRPr="00D41F55" w:rsidR="000619E6">
        <w:t>will</w:t>
      </w:r>
      <w:r w:rsidRPr="003959DB" w:rsidR="00635410">
        <w:t xml:space="preserve"> be available at the start of Phase 2.</w:t>
      </w:r>
      <w:r w:rsidR="007B24DA">
        <w:t xml:space="preserve"> </w:t>
      </w:r>
      <w:r w:rsidRPr="003959DB" w:rsidR="00635410">
        <w:t xml:space="preserve"> In the </w:t>
      </w:r>
      <w:r w:rsidRPr="00D41F55" w:rsidR="000619E6">
        <w:t xml:space="preserve">states that are using </w:t>
      </w:r>
      <w:r w:rsidRPr="003959DB" w:rsidR="00635410">
        <w:t xml:space="preserve">individual random assignment, </w:t>
      </w:r>
      <w:r w:rsidR="00C91E97">
        <w:t xml:space="preserve">we will identify </w:t>
      </w:r>
      <w:r w:rsidRPr="003959DB" w:rsidR="00635410">
        <w:t>providers as individuals enroll</w:t>
      </w:r>
      <w:r w:rsidRPr="00D41F55" w:rsidR="000619E6">
        <w:t>ed</w:t>
      </w:r>
      <w:r w:rsidRPr="003959DB" w:rsidR="00635410">
        <w:t xml:space="preserve"> in the demonstration</w:t>
      </w:r>
      <w:r w:rsidR="00CD2C99">
        <w:t>,</w:t>
      </w:r>
      <w:r w:rsidRPr="003959DB" w:rsidR="00635410">
        <w:t xml:space="preserve"> so the universe of providers will change between survey rounds. </w:t>
      </w:r>
      <w:r w:rsidR="007B24DA">
        <w:t xml:space="preserve"> </w:t>
      </w:r>
      <w:r w:rsidRPr="003959DB">
        <w:t>Mathematica plans to draw a sample</w:t>
      </w:r>
      <w:r w:rsidRPr="00595008">
        <w:t xml:space="preserve"> of providers for any state where the universe of providers is greater than 100. </w:t>
      </w:r>
      <w:r w:rsidR="007B24DA">
        <w:t xml:space="preserve"> </w:t>
      </w:r>
      <w:r w:rsidRPr="00595008">
        <w:t xml:space="preserve">The survey sample will include the universe of all providers if a given state program has 100 or fewer providers. </w:t>
      </w:r>
      <w:r w:rsidR="007B24DA">
        <w:t xml:space="preserve"> </w:t>
      </w:r>
      <w:r w:rsidRPr="00595008">
        <w:t xml:space="preserve">Mathematica’s </w:t>
      </w:r>
      <w:r w:rsidR="00C91E97">
        <w:t xml:space="preserve">will finalize </w:t>
      </w:r>
      <w:r w:rsidRPr="00595008">
        <w:t xml:space="preserve">plans for stratifying the provider survey sample when </w:t>
      </w:r>
      <w:r w:rsidR="00C91E97">
        <w:t xml:space="preserve">we select </w:t>
      </w:r>
      <w:r w:rsidRPr="00595008">
        <w:t xml:space="preserve">the program states. </w:t>
      </w:r>
      <w:r w:rsidR="007B24DA">
        <w:t xml:space="preserve"> </w:t>
      </w:r>
      <w:r w:rsidRPr="00595008">
        <w:t xml:space="preserve">Potential strata for the provider survey strata include geographic region, practice </w:t>
      </w:r>
      <w:r w:rsidRPr="003959DB">
        <w:t xml:space="preserve">size, and provider type. </w:t>
      </w:r>
      <w:r w:rsidR="007B24DA">
        <w:t xml:space="preserve"> </w:t>
      </w:r>
      <w:r w:rsidRPr="003959DB">
        <w:t xml:space="preserve">Eligibility for the second round of the provider survey is not contingent upon participation in the first round. </w:t>
      </w:r>
      <w:r w:rsidR="007B24DA">
        <w:t xml:space="preserve"> </w:t>
      </w:r>
      <w:r w:rsidR="0022625C">
        <w:t>We will refresh t</w:t>
      </w:r>
      <w:r w:rsidRPr="003959DB" w:rsidR="00E757E2">
        <w:t xml:space="preserve">he sample R2 survey to account for providers who have joined RETAIN since the R1 survey. </w:t>
      </w:r>
      <w:r w:rsidR="007B24DA">
        <w:t xml:space="preserve"> </w:t>
      </w:r>
      <w:r w:rsidR="0022625C">
        <w:t>We will consider p</w:t>
      </w:r>
      <w:r w:rsidRPr="003959DB">
        <w:t>roviders ineligible for the survey</w:t>
      </w:r>
      <w:r>
        <w:t xml:space="preserve"> if they are either no longer providing services at the practice organization or if they are deceased. </w:t>
      </w:r>
      <w:r w:rsidR="007B24DA">
        <w:t xml:space="preserve"> </w:t>
      </w:r>
      <w:r w:rsidR="0022625C">
        <w:t>We will include p</w:t>
      </w:r>
      <w:r>
        <w:t xml:space="preserve">roviders who report that they have no knowledge of RETAIN or their participation in the demonstration in the survey sample, as this provides important evidence for the impact analysis. </w:t>
      </w:r>
    </w:p>
    <w:p w:rsidRPr="00C655CB" w:rsidR="00185828" w:rsidP="00185828" w:rsidRDefault="00185828" w14:paraId="0DCF3692" w14:textId="682B186B">
      <w:pPr>
        <w:pStyle w:val="MarkforExhibitTitle"/>
      </w:pPr>
      <w:bookmarkStart w:name="_Toc25057056" w:id="14"/>
      <w:bookmarkStart w:name="_Toc34223097" w:id="15"/>
      <w:r>
        <w:t>Exhibit</w:t>
      </w:r>
      <w:r w:rsidRPr="00C655CB">
        <w:t xml:space="preserve"> </w:t>
      </w:r>
      <w:r w:rsidR="00F5600F">
        <w:t>B</w:t>
      </w:r>
      <w:r>
        <w:t>1-2</w:t>
      </w:r>
      <w:r w:rsidRPr="00C655CB">
        <w:t xml:space="preserve">. Sample sizes, by RETAIN </w:t>
      </w:r>
      <w:r>
        <w:t>state</w:t>
      </w:r>
      <w:bookmarkEnd w:id="14"/>
      <w:bookmarkEnd w:id="15"/>
    </w:p>
    <w:tbl>
      <w:tblPr>
        <w:tblStyle w:val="TableGrid2"/>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05"/>
        <w:gridCol w:w="989"/>
        <w:gridCol w:w="989"/>
        <w:gridCol w:w="989"/>
        <w:gridCol w:w="989"/>
        <w:gridCol w:w="989"/>
      </w:tblGrid>
      <w:tr w:rsidRPr="00C655CB" w:rsidR="00185828" w:rsidTr="00381D09" w14:paraId="6160C6E4" w14:textId="77777777">
        <w:tc>
          <w:tcPr>
            <w:tcW w:w="4405" w:type="dxa"/>
            <w:shd w:val="clear" w:color="auto" w:fill="046B5C"/>
            <w:vAlign w:val="bottom"/>
          </w:tcPr>
          <w:p w:rsidRPr="00C655CB" w:rsidR="00185828" w:rsidP="00047004" w:rsidRDefault="00185828" w14:paraId="616D3A28" w14:textId="77777777">
            <w:pPr>
              <w:spacing w:before="120" w:after="60" w:line="240" w:lineRule="auto"/>
              <w:ind w:firstLine="0"/>
              <w:rPr>
                <w:rFonts w:ascii="Arial" w:hAnsi="Arial"/>
                <w:b/>
                <w:color w:val="FFFFFF" w:themeColor="background1"/>
                <w:sz w:val="18"/>
              </w:rPr>
            </w:pPr>
          </w:p>
        </w:tc>
        <w:tc>
          <w:tcPr>
            <w:tcW w:w="989" w:type="dxa"/>
            <w:shd w:val="clear" w:color="auto" w:fill="046B5C"/>
            <w:vAlign w:val="bottom"/>
          </w:tcPr>
          <w:p w:rsidRPr="00C655CB" w:rsidR="00185828" w:rsidP="00047004" w:rsidRDefault="00185828" w14:paraId="365CF66F" w14:textId="77777777">
            <w:pPr>
              <w:spacing w:before="120" w:after="60" w:line="240" w:lineRule="auto"/>
              <w:ind w:firstLine="0"/>
              <w:jc w:val="center"/>
              <w:rPr>
                <w:rFonts w:ascii="Arial" w:hAnsi="Arial"/>
                <w:b/>
                <w:color w:val="FFFFFF" w:themeColor="background1"/>
                <w:sz w:val="18"/>
              </w:rPr>
            </w:pPr>
            <w:r w:rsidRPr="00C655CB">
              <w:rPr>
                <w:rFonts w:ascii="Arial" w:hAnsi="Arial"/>
                <w:b/>
                <w:color w:val="FFFFFF" w:themeColor="background1"/>
                <w:sz w:val="18"/>
              </w:rPr>
              <w:t>State 1</w:t>
            </w:r>
          </w:p>
        </w:tc>
        <w:tc>
          <w:tcPr>
            <w:tcW w:w="989" w:type="dxa"/>
            <w:shd w:val="clear" w:color="auto" w:fill="046B5C"/>
            <w:vAlign w:val="bottom"/>
          </w:tcPr>
          <w:p w:rsidRPr="00C655CB" w:rsidR="00185828" w:rsidP="00047004" w:rsidRDefault="00185828" w14:paraId="2766DB5D" w14:textId="77777777">
            <w:pPr>
              <w:spacing w:before="120" w:after="60" w:line="240" w:lineRule="auto"/>
              <w:ind w:firstLine="0"/>
              <w:jc w:val="center"/>
              <w:rPr>
                <w:rFonts w:ascii="Arial" w:hAnsi="Arial"/>
                <w:b/>
                <w:color w:val="FFFFFF" w:themeColor="background1"/>
                <w:sz w:val="18"/>
              </w:rPr>
            </w:pPr>
            <w:r w:rsidRPr="00C655CB">
              <w:rPr>
                <w:rFonts w:ascii="Arial" w:hAnsi="Arial"/>
                <w:b/>
                <w:color w:val="FFFFFF" w:themeColor="background1"/>
                <w:sz w:val="18"/>
              </w:rPr>
              <w:t>State 2</w:t>
            </w:r>
          </w:p>
        </w:tc>
        <w:tc>
          <w:tcPr>
            <w:tcW w:w="989" w:type="dxa"/>
            <w:shd w:val="clear" w:color="auto" w:fill="046B5C"/>
            <w:vAlign w:val="bottom"/>
          </w:tcPr>
          <w:p w:rsidRPr="00C655CB" w:rsidR="00185828" w:rsidP="00047004" w:rsidRDefault="00185828" w14:paraId="2FFA4CDD" w14:textId="77777777">
            <w:pPr>
              <w:spacing w:before="120" w:after="60" w:line="240" w:lineRule="auto"/>
              <w:ind w:firstLine="0"/>
              <w:jc w:val="center"/>
              <w:rPr>
                <w:rFonts w:ascii="Arial" w:hAnsi="Arial"/>
                <w:b/>
                <w:color w:val="FFFFFF" w:themeColor="background1"/>
                <w:sz w:val="18"/>
              </w:rPr>
            </w:pPr>
            <w:r w:rsidRPr="00C655CB">
              <w:rPr>
                <w:rFonts w:ascii="Arial" w:hAnsi="Arial"/>
                <w:b/>
                <w:color w:val="FFFFFF" w:themeColor="background1"/>
                <w:sz w:val="18"/>
              </w:rPr>
              <w:t>State 3</w:t>
            </w:r>
          </w:p>
        </w:tc>
        <w:tc>
          <w:tcPr>
            <w:tcW w:w="989" w:type="dxa"/>
            <w:shd w:val="clear" w:color="auto" w:fill="046B5C"/>
            <w:vAlign w:val="bottom"/>
          </w:tcPr>
          <w:p w:rsidRPr="00C655CB" w:rsidR="00185828" w:rsidP="00047004" w:rsidRDefault="00185828" w14:paraId="3063781A" w14:textId="77777777">
            <w:pPr>
              <w:spacing w:before="120" w:after="60" w:line="240" w:lineRule="auto"/>
              <w:ind w:firstLine="0"/>
              <w:jc w:val="center"/>
              <w:rPr>
                <w:rFonts w:ascii="Arial" w:hAnsi="Arial"/>
                <w:b/>
                <w:color w:val="FFFFFF" w:themeColor="background1"/>
                <w:sz w:val="18"/>
              </w:rPr>
            </w:pPr>
            <w:r w:rsidRPr="00C655CB">
              <w:rPr>
                <w:rFonts w:ascii="Arial" w:hAnsi="Arial"/>
                <w:b/>
                <w:color w:val="FFFFFF" w:themeColor="background1"/>
                <w:sz w:val="18"/>
              </w:rPr>
              <w:t>State 4</w:t>
            </w:r>
          </w:p>
        </w:tc>
        <w:tc>
          <w:tcPr>
            <w:tcW w:w="989" w:type="dxa"/>
            <w:shd w:val="clear" w:color="auto" w:fill="046B5C"/>
            <w:vAlign w:val="bottom"/>
          </w:tcPr>
          <w:p w:rsidRPr="00C655CB" w:rsidR="00185828" w:rsidP="00047004" w:rsidRDefault="00185828" w14:paraId="730351A9" w14:textId="77777777">
            <w:pPr>
              <w:spacing w:before="120" w:after="60" w:line="240" w:lineRule="auto"/>
              <w:ind w:firstLine="0"/>
              <w:jc w:val="center"/>
              <w:rPr>
                <w:rFonts w:ascii="Arial" w:hAnsi="Arial"/>
                <w:b/>
                <w:color w:val="FFFFFF" w:themeColor="background1"/>
                <w:sz w:val="18"/>
              </w:rPr>
            </w:pPr>
            <w:r w:rsidRPr="00C655CB">
              <w:rPr>
                <w:rFonts w:ascii="Arial" w:hAnsi="Arial"/>
                <w:b/>
                <w:color w:val="FFFFFF" w:themeColor="background1"/>
                <w:sz w:val="18"/>
              </w:rPr>
              <w:t>Total</w:t>
            </w:r>
          </w:p>
        </w:tc>
      </w:tr>
      <w:tr w:rsidRPr="00C655CB" w:rsidR="00185828" w:rsidTr="00381D09" w14:paraId="1C0B8E86" w14:textId="77777777">
        <w:tc>
          <w:tcPr>
            <w:tcW w:w="4405" w:type="dxa"/>
          </w:tcPr>
          <w:p w:rsidRPr="009E3A25" w:rsidR="00185828" w:rsidP="00381D09" w:rsidRDefault="00185828" w14:paraId="58BAF477" w14:textId="77777777">
            <w:pPr>
              <w:spacing w:before="40" w:after="40" w:line="240" w:lineRule="auto"/>
              <w:ind w:firstLine="0"/>
              <w:rPr>
                <w:rFonts w:ascii="Arial" w:hAnsi="Arial"/>
                <w:sz w:val="18"/>
              </w:rPr>
            </w:pPr>
            <w:r>
              <w:rPr>
                <w:rFonts w:ascii="Arial" w:hAnsi="Arial"/>
                <w:sz w:val="18"/>
              </w:rPr>
              <w:t xml:space="preserve">Survey of </w:t>
            </w:r>
            <w:r w:rsidRPr="003B2602">
              <w:rPr>
                <w:rFonts w:ascii="Arial" w:hAnsi="Arial"/>
                <w:sz w:val="18"/>
              </w:rPr>
              <w:t xml:space="preserve">RETAIN </w:t>
            </w:r>
            <w:r>
              <w:rPr>
                <w:rFonts w:ascii="Arial" w:hAnsi="Arial"/>
                <w:sz w:val="18"/>
              </w:rPr>
              <w:t>e</w:t>
            </w:r>
            <w:r w:rsidRPr="009E3A25">
              <w:rPr>
                <w:rFonts w:ascii="Arial" w:hAnsi="Arial"/>
                <w:sz w:val="18"/>
              </w:rPr>
              <w:t>nrollee</w:t>
            </w:r>
            <w:r>
              <w:rPr>
                <w:rFonts w:ascii="Arial" w:hAnsi="Arial"/>
                <w:sz w:val="18"/>
              </w:rPr>
              <w:t>s</w:t>
            </w:r>
            <w:r w:rsidRPr="009E3A25">
              <w:rPr>
                <w:rFonts w:ascii="Arial" w:hAnsi="Arial"/>
                <w:sz w:val="18"/>
              </w:rPr>
              <w:t xml:space="preserve"> R1</w:t>
            </w:r>
          </w:p>
        </w:tc>
        <w:tc>
          <w:tcPr>
            <w:tcW w:w="989" w:type="dxa"/>
          </w:tcPr>
          <w:p w:rsidRPr="009E3A25" w:rsidR="00185828" w:rsidP="00381D09" w:rsidRDefault="00185828" w14:paraId="174158B1" w14:textId="77777777">
            <w:pPr>
              <w:tabs>
                <w:tab w:val="decimal" w:pos="525"/>
              </w:tabs>
              <w:spacing w:before="40" w:after="40" w:line="240" w:lineRule="auto"/>
              <w:ind w:firstLine="0"/>
              <w:rPr>
                <w:rFonts w:ascii="Arial" w:hAnsi="Arial"/>
                <w:sz w:val="18"/>
              </w:rPr>
            </w:pPr>
            <w:r w:rsidRPr="009E3A25">
              <w:rPr>
                <w:rFonts w:ascii="Arial" w:hAnsi="Arial"/>
                <w:sz w:val="18"/>
              </w:rPr>
              <w:t>3,000</w:t>
            </w:r>
          </w:p>
        </w:tc>
        <w:tc>
          <w:tcPr>
            <w:tcW w:w="989" w:type="dxa"/>
          </w:tcPr>
          <w:p w:rsidRPr="009E3A25" w:rsidR="00185828" w:rsidP="00381D09" w:rsidRDefault="00185828" w14:paraId="40F44183" w14:textId="77777777">
            <w:pPr>
              <w:tabs>
                <w:tab w:val="decimal" w:pos="525"/>
              </w:tabs>
              <w:spacing w:before="40" w:after="40" w:line="240" w:lineRule="auto"/>
              <w:ind w:firstLine="0"/>
              <w:rPr>
                <w:rFonts w:ascii="Arial" w:hAnsi="Arial"/>
                <w:sz w:val="18"/>
              </w:rPr>
            </w:pPr>
            <w:r w:rsidRPr="009E3A25">
              <w:rPr>
                <w:rFonts w:ascii="Arial" w:hAnsi="Arial"/>
                <w:sz w:val="18"/>
              </w:rPr>
              <w:t>3,000</w:t>
            </w:r>
          </w:p>
        </w:tc>
        <w:tc>
          <w:tcPr>
            <w:tcW w:w="989" w:type="dxa"/>
          </w:tcPr>
          <w:p w:rsidRPr="009E3A25" w:rsidR="00185828" w:rsidP="00381D09" w:rsidRDefault="00185828" w14:paraId="758215CE" w14:textId="77777777">
            <w:pPr>
              <w:tabs>
                <w:tab w:val="decimal" w:pos="525"/>
              </w:tabs>
              <w:spacing w:before="40" w:after="40" w:line="240" w:lineRule="auto"/>
              <w:ind w:firstLine="0"/>
              <w:rPr>
                <w:rFonts w:ascii="Arial" w:hAnsi="Arial"/>
                <w:sz w:val="18"/>
              </w:rPr>
            </w:pPr>
            <w:r w:rsidRPr="009E3A25">
              <w:rPr>
                <w:rFonts w:ascii="Arial" w:hAnsi="Arial"/>
                <w:sz w:val="18"/>
              </w:rPr>
              <w:t>3,000</w:t>
            </w:r>
          </w:p>
        </w:tc>
        <w:tc>
          <w:tcPr>
            <w:tcW w:w="989" w:type="dxa"/>
          </w:tcPr>
          <w:p w:rsidRPr="009E3A25" w:rsidR="00185828" w:rsidP="00381D09" w:rsidRDefault="00185828" w14:paraId="1A8B6A29" w14:textId="77777777">
            <w:pPr>
              <w:tabs>
                <w:tab w:val="decimal" w:pos="525"/>
              </w:tabs>
              <w:spacing w:before="40" w:after="40" w:line="240" w:lineRule="auto"/>
              <w:ind w:firstLine="0"/>
              <w:rPr>
                <w:rFonts w:ascii="Arial" w:hAnsi="Arial"/>
                <w:sz w:val="18"/>
              </w:rPr>
            </w:pPr>
            <w:r w:rsidRPr="009E3A25">
              <w:rPr>
                <w:rFonts w:ascii="Arial" w:hAnsi="Arial"/>
                <w:sz w:val="18"/>
              </w:rPr>
              <w:t>3,000</w:t>
            </w:r>
          </w:p>
        </w:tc>
        <w:tc>
          <w:tcPr>
            <w:tcW w:w="989" w:type="dxa"/>
          </w:tcPr>
          <w:p w:rsidRPr="009E3A25" w:rsidR="00185828" w:rsidP="00381D09" w:rsidRDefault="00185828" w14:paraId="71747724" w14:textId="77777777">
            <w:pPr>
              <w:tabs>
                <w:tab w:val="decimal" w:pos="525"/>
              </w:tabs>
              <w:spacing w:before="40" w:after="40" w:line="240" w:lineRule="auto"/>
              <w:ind w:firstLine="0"/>
              <w:rPr>
                <w:rFonts w:ascii="Arial" w:hAnsi="Arial"/>
                <w:sz w:val="18"/>
              </w:rPr>
            </w:pPr>
            <w:r w:rsidRPr="009E3A25">
              <w:rPr>
                <w:rFonts w:ascii="Arial" w:hAnsi="Arial"/>
                <w:sz w:val="18"/>
              </w:rPr>
              <w:t>12,000</w:t>
            </w:r>
          </w:p>
        </w:tc>
      </w:tr>
      <w:tr w:rsidRPr="00C655CB" w:rsidR="00185828" w:rsidTr="00381D09" w14:paraId="56852318" w14:textId="77777777">
        <w:tc>
          <w:tcPr>
            <w:tcW w:w="4405" w:type="dxa"/>
            <w:shd w:val="clear" w:color="auto" w:fill="auto"/>
            <w:vAlign w:val="bottom"/>
          </w:tcPr>
          <w:p w:rsidRPr="00C655CB" w:rsidR="00185828" w:rsidP="00381D09" w:rsidRDefault="00185828" w14:paraId="02677AA2" w14:textId="77777777">
            <w:pPr>
              <w:spacing w:before="40" w:after="40" w:line="240" w:lineRule="auto"/>
              <w:ind w:firstLine="0"/>
              <w:rPr>
                <w:rFonts w:ascii="Arial" w:hAnsi="Arial"/>
                <w:sz w:val="18"/>
              </w:rPr>
            </w:pPr>
            <w:r>
              <w:rPr>
                <w:rFonts w:ascii="Arial" w:hAnsi="Arial"/>
                <w:sz w:val="18"/>
              </w:rPr>
              <w:t xml:space="preserve">Survey of </w:t>
            </w:r>
            <w:r w:rsidRPr="003B2602">
              <w:rPr>
                <w:rFonts w:ascii="Arial" w:hAnsi="Arial"/>
                <w:sz w:val="18"/>
              </w:rPr>
              <w:t xml:space="preserve">RETAIN </w:t>
            </w:r>
            <w:r>
              <w:rPr>
                <w:rFonts w:ascii="Arial" w:hAnsi="Arial"/>
                <w:sz w:val="18"/>
              </w:rPr>
              <w:t>e</w:t>
            </w:r>
            <w:r w:rsidRPr="00C43560">
              <w:rPr>
                <w:rFonts w:ascii="Arial" w:hAnsi="Arial"/>
                <w:sz w:val="18"/>
              </w:rPr>
              <w:t>nrollee</w:t>
            </w:r>
            <w:r>
              <w:rPr>
                <w:rFonts w:ascii="Arial" w:hAnsi="Arial"/>
                <w:sz w:val="18"/>
              </w:rPr>
              <w:t>s</w:t>
            </w:r>
            <w:r w:rsidRPr="00C43560">
              <w:rPr>
                <w:rFonts w:ascii="Arial" w:hAnsi="Arial"/>
                <w:sz w:val="18"/>
              </w:rPr>
              <w:t xml:space="preserve"> </w:t>
            </w:r>
            <w:r>
              <w:rPr>
                <w:rFonts w:ascii="Arial" w:hAnsi="Arial"/>
                <w:sz w:val="18"/>
              </w:rPr>
              <w:t>R2</w:t>
            </w:r>
          </w:p>
        </w:tc>
        <w:tc>
          <w:tcPr>
            <w:tcW w:w="989" w:type="dxa"/>
          </w:tcPr>
          <w:p w:rsidRPr="003B2602" w:rsidR="00185828" w:rsidP="00381D09" w:rsidRDefault="00185828" w14:paraId="56D8450F" w14:textId="77777777">
            <w:pPr>
              <w:tabs>
                <w:tab w:val="decimal" w:pos="525"/>
              </w:tabs>
              <w:spacing w:before="40" w:after="40" w:line="240" w:lineRule="auto"/>
              <w:ind w:firstLine="0"/>
              <w:rPr>
                <w:rFonts w:ascii="Arial" w:hAnsi="Arial"/>
                <w:sz w:val="18"/>
              </w:rPr>
            </w:pPr>
            <w:r w:rsidRPr="009E3A25">
              <w:rPr>
                <w:rFonts w:ascii="Arial" w:hAnsi="Arial"/>
                <w:sz w:val="18"/>
              </w:rPr>
              <w:t>3,000</w:t>
            </w:r>
          </w:p>
        </w:tc>
        <w:tc>
          <w:tcPr>
            <w:tcW w:w="989" w:type="dxa"/>
          </w:tcPr>
          <w:p w:rsidRPr="003B2602" w:rsidR="00185828" w:rsidP="00381D09" w:rsidRDefault="00185828" w14:paraId="41DE30BC" w14:textId="77777777">
            <w:pPr>
              <w:tabs>
                <w:tab w:val="decimal" w:pos="525"/>
              </w:tabs>
              <w:spacing w:before="40" w:after="40" w:line="240" w:lineRule="auto"/>
              <w:ind w:firstLine="0"/>
              <w:rPr>
                <w:rFonts w:ascii="Arial" w:hAnsi="Arial"/>
                <w:sz w:val="18"/>
              </w:rPr>
            </w:pPr>
            <w:r w:rsidRPr="009E3A25">
              <w:rPr>
                <w:rFonts w:ascii="Arial" w:hAnsi="Arial"/>
                <w:sz w:val="18"/>
              </w:rPr>
              <w:t>3,000</w:t>
            </w:r>
          </w:p>
        </w:tc>
        <w:tc>
          <w:tcPr>
            <w:tcW w:w="989" w:type="dxa"/>
          </w:tcPr>
          <w:p w:rsidRPr="003B2602" w:rsidR="00185828" w:rsidP="00381D09" w:rsidRDefault="00185828" w14:paraId="04007671" w14:textId="77777777">
            <w:pPr>
              <w:tabs>
                <w:tab w:val="decimal" w:pos="525"/>
              </w:tabs>
              <w:spacing w:before="40" w:after="40" w:line="240" w:lineRule="auto"/>
              <w:ind w:firstLine="0"/>
              <w:rPr>
                <w:rFonts w:ascii="Arial" w:hAnsi="Arial"/>
                <w:sz w:val="18"/>
              </w:rPr>
            </w:pPr>
            <w:r w:rsidRPr="009E3A25">
              <w:rPr>
                <w:rFonts w:ascii="Arial" w:hAnsi="Arial"/>
                <w:sz w:val="18"/>
              </w:rPr>
              <w:t>3,000</w:t>
            </w:r>
          </w:p>
        </w:tc>
        <w:tc>
          <w:tcPr>
            <w:tcW w:w="989" w:type="dxa"/>
          </w:tcPr>
          <w:p w:rsidRPr="003B2602" w:rsidR="00185828" w:rsidP="00381D09" w:rsidRDefault="00185828" w14:paraId="20CC6DDF" w14:textId="77777777">
            <w:pPr>
              <w:tabs>
                <w:tab w:val="decimal" w:pos="525"/>
              </w:tabs>
              <w:spacing w:before="40" w:after="40" w:line="240" w:lineRule="auto"/>
              <w:ind w:firstLine="0"/>
              <w:rPr>
                <w:rFonts w:ascii="Arial" w:hAnsi="Arial"/>
                <w:sz w:val="18"/>
              </w:rPr>
            </w:pPr>
            <w:r w:rsidRPr="009E3A25">
              <w:rPr>
                <w:rFonts w:ascii="Arial" w:hAnsi="Arial"/>
                <w:sz w:val="18"/>
              </w:rPr>
              <w:t>3,000</w:t>
            </w:r>
          </w:p>
        </w:tc>
        <w:tc>
          <w:tcPr>
            <w:tcW w:w="989" w:type="dxa"/>
          </w:tcPr>
          <w:p w:rsidRPr="003B2602" w:rsidR="00185828" w:rsidP="00381D09" w:rsidRDefault="00185828" w14:paraId="5D9FCCEA" w14:textId="77777777">
            <w:pPr>
              <w:tabs>
                <w:tab w:val="decimal" w:pos="525"/>
              </w:tabs>
              <w:spacing w:before="40" w:after="40" w:line="240" w:lineRule="auto"/>
              <w:ind w:firstLine="0"/>
              <w:rPr>
                <w:rFonts w:ascii="Arial" w:hAnsi="Arial"/>
                <w:sz w:val="18"/>
              </w:rPr>
            </w:pPr>
            <w:r w:rsidRPr="009E3A25">
              <w:rPr>
                <w:rFonts w:ascii="Arial" w:hAnsi="Arial"/>
                <w:sz w:val="18"/>
              </w:rPr>
              <w:t>12,000</w:t>
            </w:r>
          </w:p>
        </w:tc>
      </w:tr>
      <w:tr w:rsidRPr="00C655CB" w:rsidR="00185828" w:rsidTr="00381D09" w14:paraId="378C5C38" w14:textId="77777777">
        <w:tc>
          <w:tcPr>
            <w:tcW w:w="4405" w:type="dxa"/>
            <w:shd w:val="clear" w:color="auto" w:fill="auto"/>
          </w:tcPr>
          <w:p w:rsidRPr="00C655CB" w:rsidR="00185828" w:rsidP="00381D09" w:rsidRDefault="00185828" w14:paraId="4CA033BF" w14:textId="77777777">
            <w:pPr>
              <w:spacing w:before="40" w:after="40" w:line="240" w:lineRule="auto"/>
              <w:ind w:firstLine="0"/>
              <w:rPr>
                <w:rFonts w:ascii="Arial" w:hAnsi="Arial"/>
                <w:sz w:val="18"/>
              </w:rPr>
            </w:pPr>
            <w:r>
              <w:rPr>
                <w:rFonts w:ascii="Arial" w:hAnsi="Arial"/>
                <w:sz w:val="18"/>
              </w:rPr>
              <w:t xml:space="preserve">Survey of </w:t>
            </w:r>
            <w:r w:rsidRPr="003B2602">
              <w:rPr>
                <w:rFonts w:ascii="Arial" w:hAnsi="Arial"/>
                <w:sz w:val="18"/>
              </w:rPr>
              <w:t xml:space="preserve">RETAIN </w:t>
            </w:r>
            <w:r>
              <w:rPr>
                <w:rFonts w:ascii="Arial" w:hAnsi="Arial"/>
                <w:sz w:val="18"/>
              </w:rPr>
              <w:t>s</w:t>
            </w:r>
            <w:r w:rsidRPr="003B2602">
              <w:rPr>
                <w:rFonts w:ascii="Arial" w:hAnsi="Arial"/>
                <w:sz w:val="18"/>
              </w:rPr>
              <w:t xml:space="preserve">ervice </w:t>
            </w:r>
            <w:r>
              <w:rPr>
                <w:rFonts w:ascii="Arial" w:hAnsi="Arial"/>
                <w:sz w:val="18"/>
              </w:rPr>
              <w:t>p</w:t>
            </w:r>
            <w:r w:rsidRPr="003B2602">
              <w:rPr>
                <w:rFonts w:ascii="Arial" w:hAnsi="Arial"/>
                <w:sz w:val="18"/>
              </w:rPr>
              <w:t>rovider</w:t>
            </w:r>
            <w:r>
              <w:rPr>
                <w:rFonts w:ascii="Arial" w:hAnsi="Arial"/>
                <w:sz w:val="18"/>
              </w:rPr>
              <w:t>s</w:t>
            </w:r>
            <w:r w:rsidRPr="003B2602">
              <w:rPr>
                <w:rFonts w:ascii="Arial" w:hAnsi="Arial"/>
                <w:sz w:val="18"/>
              </w:rPr>
              <w:t xml:space="preserve"> </w:t>
            </w:r>
            <w:r w:rsidRPr="00C43560">
              <w:rPr>
                <w:rFonts w:ascii="Arial" w:hAnsi="Arial"/>
                <w:sz w:val="18"/>
              </w:rPr>
              <w:t>R1</w:t>
            </w:r>
          </w:p>
        </w:tc>
        <w:tc>
          <w:tcPr>
            <w:tcW w:w="989" w:type="dxa"/>
          </w:tcPr>
          <w:p w:rsidRPr="00C655CB" w:rsidR="00185828" w:rsidP="00381D09" w:rsidRDefault="00185828" w14:paraId="38EE1309" w14:textId="77777777">
            <w:pPr>
              <w:tabs>
                <w:tab w:val="decimal" w:pos="525"/>
              </w:tabs>
              <w:spacing w:before="40" w:after="40" w:line="240" w:lineRule="auto"/>
              <w:ind w:firstLine="0"/>
              <w:rPr>
                <w:rFonts w:ascii="Arial" w:hAnsi="Arial"/>
                <w:sz w:val="18"/>
              </w:rPr>
            </w:pPr>
            <w:r w:rsidRPr="00967BE6">
              <w:rPr>
                <w:rFonts w:ascii="Arial" w:hAnsi="Arial"/>
                <w:sz w:val="18"/>
              </w:rPr>
              <w:t>100</w:t>
            </w:r>
          </w:p>
        </w:tc>
        <w:tc>
          <w:tcPr>
            <w:tcW w:w="989" w:type="dxa"/>
          </w:tcPr>
          <w:p w:rsidRPr="00C655CB" w:rsidR="00185828" w:rsidP="00381D09" w:rsidRDefault="00185828" w14:paraId="205D0249" w14:textId="77777777">
            <w:pPr>
              <w:tabs>
                <w:tab w:val="decimal" w:pos="525"/>
              </w:tabs>
              <w:spacing w:before="40" w:after="40" w:line="240" w:lineRule="auto"/>
              <w:ind w:firstLine="0"/>
              <w:rPr>
                <w:rFonts w:ascii="Arial" w:hAnsi="Arial"/>
                <w:sz w:val="18"/>
              </w:rPr>
            </w:pPr>
            <w:r w:rsidRPr="00967BE6">
              <w:rPr>
                <w:rFonts w:ascii="Arial" w:hAnsi="Arial"/>
                <w:sz w:val="18"/>
              </w:rPr>
              <w:t>100</w:t>
            </w:r>
          </w:p>
        </w:tc>
        <w:tc>
          <w:tcPr>
            <w:tcW w:w="989" w:type="dxa"/>
          </w:tcPr>
          <w:p w:rsidRPr="00C655CB" w:rsidR="00185828" w:rsidP="00381D09" w:rsidRDefault="00185828" w14:paraId="2B2D5EF9" w14:textId="77777777">
            <w:pPr>
              <w:tabs>
                <w:tab w:val="decimal" w:pos="525"/>
              </w:tabs>
              <w:spacing w:before="40" w:after="40" w:line="240" w:lineRule="auto"/>
              <w:ind w:firstLine="0"/>
              <w:rPr>
                <w:rFonts w:ascii="Arial" w:hAnsi="Arial"/>
                <w:sz w:val="18"/>
              </w:rPr>
            </w:pPr>
            <w:r w:rsidRPr="00967BE6">
              <w:rPr>
                <w:rFonts w:ascii="Arial" w:hAnsi="Arial"/>
                <w:sz w:val="18"/>
              </w:rPr>
              <w:t>100</w:t>
            </w:r>
          </w:p>
        </w:tc>
        <w:tc>
          <w:tcPr>
            <w:tcW w:w="989" w:type="dxa"/>
          </w:tcPr>
          <w:p w:rsidRPr="00C655CB" w:rsidR="00185828" w:rsidP="00381D09" w:rsidRDefault="00185828" w14:paraId="06A12FA2" w14:textId="77777777">
            <w:pPr>
              <w:tabs>
                <w:tab w:val="decimal" w:pos="525"/>
              </w:tabs>
              <w:spacing w:before="40" w:after="40" w:line="240" w:lineRule="auto"/>
              <w:ind w:firstLine="0"/>
              <w:rPr>
                <w:rFonts w:ascii="Arial" w:hAnsi="Arial"/>
                <w:sz w:val="18"/>
              </w:rPr>
            </w:pPr>
            <w:r w:rsidRPr="00967BE6">
              <w:rPr>
                <w:rFonts w:ascii="Arial" w:hAnsi="Arial"/>
                <w:sz w:val="18"/>
              </w:rPr>
              <w:t>100</w:t>
            </w:r>
          </w:p>
        </w:tc>
        <w:tc>
          <w:tcPr>
            <w:tcW w:w="989" w:type="dxa"/>
          </w:tcPr>
          <w:p w:rsidRPr="00C655CB" w:rsidR="00185828" w:rsidP="00381D09" w:rsidRDefault="00185828" w14:paraId="70ACFDAA" w14:textId="77777777">
            <w:pPr>
              <w:tabs>
                <w:tab w:val="decimal" w:pos="525"/>
              </w:tabs>
              <w:spacing w:before="40" w:after="40" w:line="240" w:lineRule="auto"/>
              <w:ind w:firstLine="0"/>
              <w:rPr>
                <w:rFonts w:ascii="Arial" w:hAnsi="Arial"/>
                <w:sz w:val="18"/>
              </w:rPr>
            </w:pPr>
            <w:r>
              <w:rPr>
                <w:rFonts w:ascii="Arial" w:hAnsi="Arial"/>
                <w:sz w:val="18"/>
              </w:rPr>
              <w:t>400</w:t>
            </w:r>
          </w:p>
        </w:tc>
      </w:tr>
      <w:tr w:rsidRPr="00C655CB" w:rsidR="00185828" w:rsidTr="00381D09" w14:paraId="2522E4C2" w14:textId="77777777">
        <w:tc>
          <w:tcPr>
            <w:tcW w:w="4405" w:type="dxa"/>
            <w:shd w:val="clear" w:color="auto" w:fill="auto"/>
            <w:vAlign w:val="bottom"/>
          </w:tcPr>
          <w:p w:rsidRPr="00C655CB" w:rsidR="00185828" w:rsidP="00381D09" w:rsidRDefault="00185828" w14:paraId="1EBA94C1" w14:textId="77777777">
            <w:pPr>
              <w:spacing w:before="40" w:after="40" w:line="240" w:lineRule="auto"/>
              <w:ind w:firstLine="0"/>
              <w:rPr>
                <w:rFonts w:ascii="Arial" w:hAnsi="Arial"/>
                <w:b/>
                <w:sz w:val="18"/>
              </w:rPr>
            </w:pPr>
            <w:r>
              <w:rPr>
                <w:rFonts w:ascii="Arial" w:hAnsi="Arial"/>
                <w:sz w:val="18"/>
              </w:rPr>
              <w:t xml:space="preserve">Survey of </w:t>
            </w:r>
            <w:r w:rsidRPr="003B2602">
              <w:rPr>
                <w:rFonts w:ascii="Arial" w:hAnsi="Arial"/>
                <w:sz w:val="18"/>
              </w:rPr>
              <w:t xml:space="preserve">RETAIN </w:t>
            </w:r>
            <w:r>
              <w:rPr>
                <w:rFonts w:ascii="Arial" w:hAnsi="Arial"/>
                <w:sz w:val="18"/>
              </w:rPr>
              <w:t>s</w:t>
            </w:r>
            <w:r w:rsidRPr="003B2602">
              <w:rPr>
                <w:rFonts w:ascii="Arial" w:hAnsi="Arial"/>
                <w:sz w:val="18"/>
              </w:rPr>
              <w:t xml:space="preserve">ervice </w:t>
            </w:r>
            <w:r>
              <w:rPr>
                <w:rFonts w:ascii="Arial" w:hAnsi="Arial"/>
                <w:sz w:val="18"/>
              </w:rPr>
              <w:t>p</w:t>
            </w:r>
            <w:r w:rsidRPr="003B2602">
              <w:rPr>
                <w:rFonts w:ascii="Arial" w:hAnsi="Arial"/>
                <w:sz w:val="18"/>
              </w:rPr>
              <w:t>rovider</w:t>
            </w:r>
            <w:r>
              <w:rPr>
                <w:rFonts w:ascii="Arial" w:hAnsi="Arial"/>
                <w:sz w:val="18"/>
              </w:rPr>
              <w:t>s</w:t>
            </w:r>
            <w:r w:rsidRPr="003B2602">
              <w:rPr>
                <w:rFonts w:ascii="Arial" w:hAnsi="Arial"/>
                <w:sz w:val="18"/>
              </w:rPr>
              <w:t xml:space="preserve"> </w:t>
            </w:r>
            <w:r>
              <w:rPr>
                <w:rFonts w:ascii="Arial" w:hAnsi="Arial"/>
                <w:sz w:val="18"/>
              </w:rPr>
              <w:t>R2</w:t>
            </w:r>
          </w:p>
        </w:tc>
        <w:tc>
          <w:tcPr>
            <w:tcW w:w="989" w:type="dxa"/>
          </w:tcPr>
          <w:p w:rsidRPr="00C655CB" w:rsidR="00185828" w:rsidP="00381D09" w:rsidRDefault="00185828" w14:paraId="76E983BB" w14:textId="77777777">
            <w:pPr>
              <w:tabs>
                <w:tab w:val="decimal" w:pos="525"/>
              </w:tabs>
              <w:spacing w:before="40" w:after="40" w:line="240" w:lineRule="auto"/>
              <w:ind w:firstLine="0"/>
              <w:rPr>
                <w:rFonts w:ascii="Arial" w:hAnsi="Arial"/>
                <w:b/>
                <w:sz w:val="18"/>
              </w:rPr>
            </w:pPr>
            <w:r w:rsidRPr="00967BE6">
              <w:rPr>
                <w:rFonts w:ascii="Arial" w:hAnsi="Arial"/>
                <w:sz w:val="18"/>
              </w:rPr>
              <w:t>100</w:t>
            </w:r>
          </w:p>
        </w:tc>
        <w:tc>
          <w:tcPr>
            <w:tcW w:w="989" w:type="dxa"/>
          </w:tcPr>
          <w:p w:rsidRPr="00C655CB" w:rsidR="00185828" w:rsidP="00381D09" w:rsidRDefault="00185828" w14:paraId="776F920B" w14:textId="77777777">
            <w:pPr>
              <w:tabs>
                <w:tab w:val="decimal" w:pos="525"/>
              </w:tabs>
              <w:spacing w:before="40" w:after="40" w:line="240" w:lineRule="auto"/>
              <w:ind w:firstLine="0"/>
              <w:rPr>
                <w:rFonts w:ascii="Arial" w:hAnsi="Arial"/>
                <w:b/>
                <w:sz w:val="18"/>
              </w:rPr>
            </w:pPr>
            <w:r w:rsidRPr="00967BE6">
              <w:rPr>
                <w:rFonts w:ascii="Arial" w:hAnsi="Arial"/>
                <w:sz w:val="18"/>
              </w:rPr>
              <w:t>100</w:t>
            </w:r>
          </w:p>
        </w:tc>
        <w:tc>
          <w:tcPr>
            <w:tcW w:w="989" w:type="dxa"/>
          </w:tcPr>
          <w:p w:rsidRPr="00C655CB" w:rsidR="00185828" w:rsidP="00381D09" w:rsidRDefault="00185828" w14:paraId="0E42AC9B" w14:textId="77777777">
            <w:pPr>
              <w:tabs>
                <w:tab w:val="decimal" w:pos="525"/>
              </w:tabs>
              <w:spacing w:before="40" w:after="40" w:line="240" w:lineRule="auto"/>
              <w:ind w:firstLine="0"/>
              <w:rPr>
                <w:rFonts w:ascii="Arial" w:hAnsi="Arial"/>
                <w:b/>
                <w:sz w:val="18"/>
              </w:rPr>
            </w:pPr>
            <w:r w:rsidRPr="00967BE6">
              <w:rPr>
                <w:rFonts w:ascii="Arial" w:hAnsi="Arial"/>
                <w:sz w:val="18"/>
              </w:rPr>
              <w:t>100</w:t>
            </w:r>
          </w:p>
        </w:tc>
        <w:tc>
          <w:tcPr>
            <w:tcW w:w="989" w:type="dxa"/>
          </w:tcPr>
          <w:p w:rsidRPr="00C655CB" w:rsidR="00185828" w:rsidP="00381D09" w:rsidRDefault="00185828" w14:paraId="2EE46C7C" w14:textId="77777777">
            <w:pPr>
              <w:tabs>
                <w:tab w:val="decimal" w:pos="525"/>
              </w:tabs>
              <w:spacing w:before="40" w:after="40" w:line="240" w:lineRule="auto"/>
              <w:ind w:firstLine="0"/>
              <w:rPr>
                <w:rFonts w:ascii="Arial" w:hAnsi="Arial"/>
                <w:b/>
                <w:sz w:val="18"/>
              </w:rPr>
            </w:pPr>
            <w:r w:rsidRPr="00967BE6">
              <w:rPr>
                <w:rFonts w:ascii="Arial" w:hAnsi="Arial"/>
                <w:sz w:val="18"/>
              </w:rPr>
              <w:t>100</w:t>
            </w:r>
          </w:p>
        </w:tc>
        <w:tc>
          <w:tcPr>
            <w:tcW w:w="989" w:type="dxa"/>
          </w:tcPr>
          <w:p w:rsidRPr="009E3A25" w:rsidR="00185828" w:rsidP="00381D09" w:rsidRDefault="00185828" w14:paraId="0C22910A" w14:textId="77777777">
            <w:pPr>
              <w:tabs>
                <w:tab w:val="decimal" w:pos="525"/>
              </w:tabs>
              <w:spacing w:before="40" w:after="40" w:line="240" w:lineRule="auto"/>
              <w:ind w:firstLine="0"/>
              <w:rPr>
                <w:rFonts w:ascii="Arial" w:hAnsi="Arial"/>
                <w:sz w:val="18"/>
              </w:rPr>
            </w:pPr>
            <w:r w:rsidRPr="009E3A25">
              <w:rPr>
                <w:rFonts w:ascii="Arial" w:hAnsi="Arial"/>
                <w:sz w:val="18"/>
              </w:rPr>
              <w:t>400</w:t>
            </w:r>
          </w:p>
        </w:tc>
      </w:tr>
    </w:tbl>
    <w:p w:rsidRPr="00143374" w:rsidR="0018775B" w:rsidP="00143374" w:rsidRDefault="00185828" w14:paraId="56AA0F2A" w14:textId="29A3E38B">
      <w:pPr>
        <w:tabs>
          <w:tab w:val="left" w:pos="1080"/>
        </w:tabs>
        <w:spacing w:before="60" w:after="240" w:line="240" w:lineRule="auto"/>
        <w:ind w:firstLine="0"/>
        <w:rPr>
          <w:rFonts w:ascii="Arial" w:hAnsi="Arial"/>
          <w:sz w:val="18"/>
        </w:rPr>
      </w:pPr>
      <w:r w:rsidRPr="00C655CB">
        <w:rPr>
          <w:rFonts w:ascii="Arial" w:hAnsi="Arial"/>
          <w:sz w:val="18"/>
          <w:vertAlign w:val="superscript"/>
        </w:rPr>
        <w:t>a</w:t>
      </w:r>
      <w:r w:rsidRPr="00C655CB">
        <w:rPr>
          <w:rFonts w:ascii="Arial" w:hAnsi="Arial"/>
          <w:sz w:val="18"/>
        </w:rPr>
        <w:t xml:space="preserve"> At the time of this submission, </w:t>
      </w:r>
      <w:r>
        <w:rPr>
          <w:rFonts w:ascii="Arial" w:hAnsi="Arial"/>
          <w:sz w:val="18"/>
        </w:rPr>
        <w:t>specific states had not been selected for Phase 2</w:t>
      </w:r>
      <w:r w:rsidRPr="00C655CB">
        <w:rPr>
          <w:rFonts w:ascii="Arial" w:hAnsi="Arial"/>
          <w:sz w:val="18"/>
        </w:rPr>
        <w:t xml:space="preserve">. </w:t>
      </w:r>
      <w:r>
        <w:rPr>
          <w:rFonts w:ascii="Arial" w:hAnsi="Arial"/>
          <w:sz w:val="18"/>
        </w:rPr>
        <w:t>W</w:t>
      </w:r>
      <w:r w:rsidRPr="00C655CB">
        <w:rPr>
          <w:rFonts w:ascii="Arial" w:hAnsi="Arial"/>
          <w:sz w:val="18"/>
        </w:rPr>
        <w:t xml:space="preserve">e </w:t>
      </w:r>
      <w:r>
        <w:rPr>
          <w:rFonts w:ascii="Arial" w:hAnsi="Arial"/>
          <w:sz w:val="18"/>
        </w:rPr>
        <w:t xml:space="preserve">therefore </w:t>
      </w:r>
      <w:r w:rsidRPr="00C655CB">
        <w:rPr>
          <w:rFonts w:ascii="Arial" w:hAnsi="Arial"/>
          <w:sz w:val="18"/>
        </w:rPr>
        <w:t>list</w:t>
      </w:r>
      <w:r>
        <w:rPr>
          <w:rFonts w:ascii="Arial" w:hAnsi="Arial"/>
          <w:sz w:val="18"/>
        </w:rPr>
        <w:t xml:space="preserve"> them generically in this table.</w:t>
      </w:r>
    </w:p>
    <w:p w:rsidRPr="00C655CB" w:rsidR="00C655CB" w:rsidP="00775E88" w:rsidRDefault="00C655CB" w14:paraId="34666D7F" w14:textId="0AE1DB35">
      <w:pPr>
        <w:pStyle w:val="H3Alpha"/>
      </w:pPr>
      <w:bookmarkStart w:name="_Toc34223060" w:id="16"/>
      <w:r w:rsidRPr="00C655CB">
        <w:t>2.</w:t>
      </w:r>
      <w:r w:rsidRPr="00C655CB">
        <w:tab/>
        <w:t>Procedures for collecting information</w:t>
      </w:r>
      <w:bookmarkEnd w:id="12"/>
      <w:bookmarkEnd w:id="16"/>
    </w:p>
    <w:p w:rsidRPr="00C655CB" w:rsidR="00C655CB" w:rsidP="00F5600F" w:rsidRDefault="00F5600F" w14:paraId="588383E4" w14:textId="081EA63B">
      <w:pPr>
        <w:pStyle w:val="H4Number"/>
        <w:tabs>
          <w:tab w:val="clear" w:pos="432"/>
          <w:tab w:val="left" w:pos="810"/>
        </w:tabs>
        <w:ind w:left="810" w:hanging="360"/>
      </w:pPr>
      <w:bookmarkStart w:name="_Toc531183381" w:id="17"/>
      <w:bookmarkStart w:name="_Toc34223062" w:id="18"/>
      <w:r>
        <w:t>a</w:t>
      </w:r>
      <w:r w:rsidRPr="00C655CB" w:rsidR="00C655CB">
        <w:t>.</w:t>
      </w:r>
      <w:r w:rsidRPr="00C655CB" w:rsidR="00C655CB">
        <w:tab/>
        <w:t>Staff interviews</w:t>
      </w:r>
      <w:bookmarkEnd w:id="17"/>
      <w:bookmarkEnd w:id="18"/>
    </w:p>
    <w:p w:rsidRPr="00C655CB" w:rsidR="00C655CB" w:rsidP="00F5600F" w:rsidRDefault="00C655CB" w14:paraId="4867AB1A" w14:textId="07273994">
      <w:pPr>
        <w:spacing w:after="240" w:line="240" w:lineRule="auto"/>
        <w:ind w:left="810" w:firstLine="0"/>
      </w:pPr>
      <w:r w:rsidRPr="00C655CB">
        <w:t xml:space="preserve">The first step in this data collection process will be to send an email to each RETAIN state liaison to seek his or her cooperation before each site visit. </w:t>
      </w:r>
      <w:r w:rsidR="007B24DA">
        <w:t xml:space="preserve"> </w:t>
      </w:r>
      <w:r w:rsidRPr="00C655CB" w:rsidR="00E33400">
        <w:t xml:space="preserve">Jackson Costa, SSA project manager for the RETAIN evaluation </w:t>
      </w:r>
      <w:r w:rsidR="00E33400">
        <w:t>will send t</w:t>
      </w:r>
      <w:r w:rsidRPr="00C655CB">
        <w:t xml:space="preserve">he email, to lend credibility to the study and to further encourage cooperation. </w:t>
      </w:r>
      <w:r w:rsidR="007B24DA">
        <w:t xml:space="preserve"> </w:t>
      </w:r>
      <w:r w:rsidRPr="00C655CB">
        <w:t xml:space="preserve">The evaluation team member who will lead the site visit will send a follow-up email to the RETAIN state liaison to schedule a phone call to discuss in greater detail the information to be gathered from RETAIN stakeholders during the site visits and in-person interviews. </w:t>
      </w:r>
      <w:r w:rsidR="007B24DA">
        <w:t xml:space="preserve"> </w:t>
      </w:r>
      <w:r w:rsidRPr="00C655CB">
        <w:t xml:space="preserve">We will ask RETAIN state liaisons to identify interview respondents who will be able to provide the required information and for information about their general schedule constraints. </w:t>
      </w:r>
      <w:r w:rsidR="007B24DA">
        <w:t xml:space="preserve"> </w:t>
      </w:r>
      <w:r w:rsidRPr="00C655CB">
        <w:t xml:space="preserve">We will work with the RETAIN state liaison and partner contacts to develop a schedule for the site visits and interviews that meets respondents’ needs and causes minimal disruption to operations. </w:t>
      </w:r>
      <w:r w:rsidR="007B24DA">
        <w:t xml:space="preserve"> </w:t>
      </w:r>
      <w:r w:rsidRPr="00C655CB">
        <w:t xml:space="preserve">Approximately two weeks before a site visit is to take place, Mathematica will email the final interview schedule to the RETAIN state liaison. </w:t>
      </w:r>
      <w:r w:rsidR="007B24DA">
        <w:t xml:space="preserve"> </w:t>
      </w:r>
      <w:r w:rsidRPr="00C655CB">
        <w:t xml:space="preserve">The email will also contain contact information for the evaluation team member who will be leading the site visit so respondents can reach that person if a need arises to change the schedule or if other issues emerge. </w:t>
      </w:r>
      <w:r w:rsidR="007B24DA">
        <w:t xml:space="preserve"> </w:t>
      </w:r>
      <w:r w:rsidRPr="00C655CB">
        <w:t>Giving the RETAIN stakeholders adequate information early and in a professional manner will help build rapport and ensure that stakeholders are available and responsive and that interviews go smoothly.</w:t>
      </w:r>
    </w:p>
    <w:p w:rsidRPr="00C655CB" w:rsidR="00C655CB" w:rsidP="00F5600F" w:rsidRDefault="00C655CB" w14:paraId="4C1BE627" w14:textId="3000B44F">
      <w:pPr>
        <w:spacing w:after="240" w:line="240" w:lineRule="auto"/>
        <w:ind w:left="810" w:firstLine="0"/>
      </w:pPr>
      <w:r w:rsidRPr="00C655CB">
        <w:t xml:space="preserve">The evaluation team member who will lead the site visit will use an interview guide crafted from the interview topic list in Attachment B to conduct the interviews with the administrator and staff. </w:t>
      </w:r>
      <w:r w:rsidR="007B24DA">
        <w:t xml:space="preserve"> </w:t>
      </w:r>
      <w:r w:rsidRPr="00C655CB">
        <w:t xml:space="preserve">Before each interview, the team member leading the interview will ask the respondent for verbal consent to participate in the interview and for permission to record the interview. </w:t>
      </w:r>
      <w:r w:rsidR="007B24DA">
        <w:t xml:space="preserve"> </w:t>
      </w:r>
      <w:r w:rsidRPr="00C655CB">
        <w:t xml:space="preserve">We anticipate that each interview will take approximately 60 minutes. </w:t>
      </w:r>
      <w:r w:rsidR="007B24DA">
        <w:t xml:space="preserve"> </w:t>
      </w:r>
      <w:r w:rsidRPr="00C655CB">
        <w:t xml:space="preserve">After completing all interviews for a particular RETAIN program, the evaluation team member leading the site visit will develop a summary of the information collected during the site visit and phone interviews (if any). </w:t>
      </w:r>
      <w:r w:rsidR="007B24DA">
        <w:t xml:space="preserve"> </w:t>
      </w:r>
      <w:r w:rsidRPr="00C655CB">
        <w:t xml:space="preserve">Upon completing the visit, Mathematica will email a thank you letter to the state liaison and the other RETAIN stakeholders involved in organizing the visit. </w:t>
      </w:r>
    </w:p>
    <w:p w:rsidRPr="00C655CB" w:rsidR="00C655CB" w:rsidP="00F5600F" w:rsidRDefault="00F5600F" w14:paraId="65593A9C" w14:textId="5F623D6D">
      <w:pPr>
        <w:pStyle w:val="H4Number"/>
        <w:tabs>
          <w:tab w:val="clear" w:pos="432"/>
          <w:tab w:val="left" w:pos="810"/>
        </w:tabs>
        <w:ind w:left="810" w:hanging="360"/>
      </w:pPr>
      <w:bookmarkStart w:name="_Toc531183382" w:id="19"/>
      <w:bookmarkStart w:name="_Toc34223063" w:id="20"/>
      <w:r>
        <w:t>b</w:t>
      </w:r>
      <w:r w:rsidRPr="00C655CB" w:rsidR="00C655CB">
        <w:t>.</w:t>
      </w:r>
      <w:r w:rsidRPr="00C655CB" w:rsidR="00C655CB">
        <w:tab/>
      </w:r>
      <w:r w:rsidR="00CA2F5B">
        <w:t xml:space="preserve">Interviews with </w:t>
      </w:r>
      <w:r w:rsidRPr="00C655CB" w:rsidR="00C655CB">
        <w:t xml:space="preserve">RETAIN </w:t>
      </w:r>
      <w:r w:rsidR="00CA2F5B">
        <w:t>service users</w:t>
      </w:r>
      <w:bookmarkEnd w:id="19"/>
      <w:bookmarkEnd w:id="20"/>
    </w:p>
    <w:p w:rsidRPr="00C655CB" w:rsidR="00C655CB" w:rsidP="00F5600F" w:rsidRDefault="00C655CB" w14:paraId="2B2A67B6" w14:textId="1A28A312">
      <w:pPr>
        <w:spacing w:after="240" w:line="240" w:lineRule="auto"/>
        <w:ind w:left="810" w:firstLine="0"/>
      </w:pPr>
      <w:r w:rsidRPr="00C655CB">
        <w:t xml:space="preserve">The first step in this data collection process will be to </w:t>
      </w:r>
      <w:r w:rsidR="00067A21">
        <w:t xml:space="preserve">reach out </w:t>
      </w:r>
      <w:r w:rsidRPr="00C655CB">
        <w:t xml:space="preserve">to the RETAIN </w:t>
      </w:r>
      <w:r w:rsidR="001C2273">
        <w:t xml:space="preserve">service users </w:t>
      </w:r>
      <w:r w:rsidRPr="00C655CB">
        <w:t xml:space="preserve">whom we have identified to participate in the interviews. </w:t>
      </w:r>
      <w:r w:rsidR="007B24DA">
        <w:t xml:space="preserve"> </w:t>
      </w:r>
      <w:r w:rsidR="001C2273">
        <w:t xml:space="preserve">We anticipate </w:t>
      </w:r>
      <w:r w:rsidR="0072133E">
        <w:t>sending an invitation to enrollees to participate</w:t>
      </w:r>
      <w:r w:rsidR="00712916">
        <w:t xml:space="preserve">. </w:t>
      </w:r>
      <w:r w:rsidR="007B24DA">
        <w:t xml:space="preserve"> </w:t>
      </w:r>
      <w:r w:rsidRPr="00C655CB">
        <w:t xml:space="preserve">The </w:t>
      </w:r>
      <w:r w:rsidR="001C2273">
        <w:t xml:space="preserve">invitation </w:t>
      </w:r>
      <w:r w:rsidRPr="00C655CB">
        <w:t xml:space="preserve">will explain Mathematica’s request and provide a </w:t>
      </w:r>
      <w:r w:rsidRPr="00C655CB" w:rsidR="000518BF">
        <w:t>toll</w:t>
      </w:r>
      <w:r w:rsidR="000518BF">
        <w:t>-</w:t>
      </w:r>
      <w:r w:rsidRPr="00C655CB">
        <w:t xml:space="preserve">free number to call to schedule an interview or to decline participation. </w:t>
      </w:r>
      <w:r w:rsidR="007B24DA">
        <w:t xml:space="preserve"> </w:t>
      </w:r>
      <w:r w:rsidRPr="00C655CB">
        <w:t xml:space="preserve">The letter will come from Jackson Costa, SSA project manager for the evaluation, as this will lend credibility to the study and further encourage cooperation. The evaluation team will monitor the </w:t>
      </w:r>
      <w:r w:rsidRPr="00C655CB" w:rsidR="001F567E">
        <w:t>toll-free</w:t>
      </w:r>
      <w:r w:rsidRPr="00C655CB">
        <w:t xml:space="preserve"> number and will schedule interviews at times that are convenient for RETAIN </w:t>
      </w:r>
      <w:r w:rsidR="008F79C1">
        <w:t>these individuals</w:t>
      </w:r>
      <w:r w:rsidRPr="00C655CB">
        <w:t xml:space="preserve">. </w:t>
      </w:r>
      <w:r w:rsidR="007B24DA">
        <w:t xml:space="preserve"> </w:t>
      </w:r>
      <w:r w:rsidRPr="00C655CB">
        <w:t xml:space="preserve">When booking interviews, staff will confirm the best telephone number to reach the individual as well as that person’s preferred means for receiving a reminder the day before the interview. </w:t>
      </w:r>
    </w:p>
    <w:p w:rsidRPr="0085787D" w:rsidR="00C655CB" w:rsidP="00F5600F" w:rsidRDefault="00C655CB" w14:paraId="14D98052" w14:textId="56FC488B">
      <w:pPr>
        <w:spacing w:after="240" w:line="240" w:lineRule="auto"/>
        <w:ind w:left="810" w:firstLine="0"/>
      </w:pPr>
      <w:r w:rsidRPr="00C655CB">
        <w:t xml:space="preserve">Evaluation staff will reach out to all </w:t>
      </w:r>
      <w:r w:rsidR="00F912A8">
        <w:t>enrollee</w:t>
      </w:r>
      <w:r w:rsidRPr="00C655CB">
        <w:t>s on the day before the scheduled appointment using the</w:t>
      </w:r>
      <w:r w:rsidR="00544D5D">
        <w:t xml:space="preserve"> enrollees’</w:t>
      </w:r>
      <w:r w:rsidRPr="00C655CB">
        <w:t xml:space="preserve"> preferred mode of contact. </w:t>
      </w:r>
      <w:r w:rsidR="007B24DA">
        <w:t xml:space="preserve"> </w:t>
      </w:r>
      <w:r w:rsidRPr="00C655CB">
        <w:t xml:space="preserve">During the interview, the team member leading the interview will obtain the </w:t>
      </w:r>
      <w:r w:rsidR="008F79C1">
        <w:t xml:space="preserve">service user’s </w:t>
      </w:r>
      <w:r w:rsidRPr="00C655CB">
        <w:t xml:space="preserve">verbal consent to participate and will also </w:t>
      </w:r>
      <w:r w:rsidR="000518BF">
        <w:t>request</w:t>
      </w:r>
      <w:r w:rsidRPr="00C655CB" w:rsidR="000518BF">
        <w:t xml:space="preserve"> </w:t>
      </w:r>
      <w:r w:rsidRPr="00C655CB">
        <w:t xml:space="preserve">consent to digitally record the interview. </w:t>
      </w:r>
      <w:r w:rsidR="007B24DA">
        <w:t xml:space="preserve"> </w:t>
      </w:r>
      <w:r w:rsidRPr="00C655CB">
        <w:t xml:space="preserve">The interviewer will explain the benefits and risks associated with participation, confidentiality of the information shared during the interview, and the voluntary nature of participation. </w:t>
      </w:r>
      <w:r w:rsidR="007B24DA">
        <w:t xml:space="preserve"> </w:t>
      </w:r>
      <w:r w:rsidRPr="00C655CB">
        <w:t xml:space="preserve">The interviewer will inform </w:t>
      </w:r>
      <w:r w:rsidR="000518BF">
        <w:t>service users</w:t>
      </w:r>
      <w:r w:rsidRPr="00C655CB" w:rsidR="000518BF">
        <w:t xml:space="preserve"> </w:t>
      </w:r>
      <w:r w:rsidRPr="00C655CB">
        <w:t xml:space="preserve">that they may request that the </w:t>
      </w:r>
      <w:r w:rsidR="00544D5D">
        <w:t xml:space="preserve">interviewer suspend </w:t>
      </w:r>
      <w:r w:rsidRPr="00C655CB">
        <w:t>recording at any time and will assure them that</w:t>
      </w:r>
      <w:r w:rsidR="00544D5D">
        <w:t xml:space="preserve"> the interviewer will not request</w:t>
      </w:r>
      <w:r w:rsidRPr="00C655CB">
        <w:t xml:space="preserve"> personally identifying </w:t>
      </w:r>
      <w:r w:rsidRPr="0085787D">
        <w:t xml:space="preserve">information during the interview. </w:t>
      </w:r>
      <w:r w:rsidR="007B24DA">
        <w:t xml:space="preserve"> </w:t>
      </w:r>
      <w:r w:rsidRPr="0085787D">
        <w:t xml:space="preserve">The interviewer will use an interview guide, based on the topic list in Attachment C, to conduct the interviews. </w:t>
      </w:r>
      <w:r w:rsidR="007B24DA">
        <w:t xml:space="preserve"> </w:t>
      </w:r>
      <w:r w:rsidRPr="0085787D">
        <w:t xml:space="preserve">We expect each interview will last up to 30 minutes. </w:t>
      </w:r>
      <w:r w:rsidR="007B24DA">
        <w:t xml:space="preserve"> </w:t>
      </w:r>
      <w:r w:rsidRPr="0085787D">
        <w:t>Mathematica will mail a thank you letter with a $30 gift card</w:t>
      </w:r>
      <w:r w:rsidRPr="0085787D" w:rsidR="00AD51E5">
        <w:t xml:space="preserve"> to each </w:t>
      </w:r>
      <w:r w:rsidRPr="0085787D" w:rsidR="000518BF">
        <w:t xml:space="preserve">service user </w:t>
      </w:r>
      <w:r w:rsidRPr="0085787D" w:rsidR="00AD51E5">
        <w:t>who completes the interview</w:t>
      </w:r>
      <w:r w:rsidRPr="0085787D">
        <w:t xml:space="preserve">. </w:t>
      </w:r>
    </w:p>
    <w:p w:rsidRPr="0085787D" w:rsidR="00E757E2" w:rsidP="00F5600F" w:rsidRDefault="00F5600F" w14:paraId="4625376C" w14:textId="676F86AE">
      <w:pPr>
        <w:pStyle w:val="H4Number"/>
        <w:tabs>
          <w:tab w:val="clear" w:pos="432"/>
          <w:tab w:val="left" w:pos="810"/>
        </w:tabs>
        <w:ind w:left="810" w:hanging="360"/>
      </w:pPr>
      <w:bookmarkStart w:name="_Toc34223064" w:id="21"/>
      <w:r>
        <w:t>c</w:t>
      </w:r>
      <w:r w:rsidRPr="0085787D" w:rsidR="00E757E2">
        <w:t xml:space="preserve">. </w:t>
      </w:r>
      <w:r w:rsidRPr="0085787D" w:rsidR="00556CFC">
        <w:tab/>
      </w:r>
      <w:r w:rsidRPr="0085787D" w:rsidR="00E757E2">
        <w:t>Staff activity logs</w:t>
      </w:r>
      <w:bookmarkEnd w:id="21"/>
    </w:p>
    <w:p w:rsidRPr="0085787D" w:rsidR="00E757E2" w:rsidP="00F5600F" w:rsidRDefault="00E757E2" w14:paraId="151ADFE2" w14:textId="6F56D43C">
      <w:pPr>
        <w:pStyle w:val="NormalSS"/>
        <w:ind w:left="810" w:firstLine="0"/>
        <w:rPr>
          <w:b/>
        </w:rPr>
      </w:pPr>
      <w:r w:rsidRPr="0085787D">
        <w:t xml:space="preserve">As a first step, we will schedule telephone interviews with each state’s RETAIN program manager to discuss the staff activity logs. </w:t>
      </w:r>
      <w:r w:rsidR="007B24DA">
        <w:t xml:space="preserve"> </w:t>
      </w:r>
      <w:r w:rsidRPr="0085787D">
        <w:t xml:space="preserve">During this meeting, we will discuss the logs, review the staff categories and number of staff in each category, consider which categories to include in the data collection activity, and identify </w:t>
      </w:r>
      <w:r w:rsidRPr="00D41F55" w:rsidR="003959DB">
        <w:t>staff</w:t>
      </w:r>
      <w:r w:rsidRPr="0085787D">
        <w:t xml:space="preserve"> in each category to complete the logs. </w:t>
      </w:r>
      <w:r w:rsidR="007B24DA">
        <w:t xml:space="preserve"> </w:t>
      </w:r>
      <w:r w:rsidRPr="00D41F55" w:rsidR="003959DB">
        <w:t>W</w:t>
      </w:r>
      <w:r w:rsidRPr="0085787D">
        <w:t xml:space="preserve">e will </w:t>
      </w:r>
      <w:r w:rsidRPr="00D41F55" w:rsidR="003959DB">
        <w:t xml:space="preserve">also </w:t>
      </w:r>
      <w:r w:rsidRPr="0085787D">
        <w:t xml:space="preserve">ask the RETAIN program manager to identify two one-week periods </w:t>
      </w:r>
      <w:r w:rsidRPr="00D41F55" w:rsidR="003959DB">
        <w:t>during which</w:t>
      </w:r>
      <w:r w:rsidRPr="0085787D">
        <w:t xml:space="preserve"> staff </w:t>
      </w:r>
      <w:r w:rsidRPr="00D41F55" w:rsidR="003959DB">
        <w:t>could</w:t>
      </w:r>
      <w:r w:rsidRPr="0085787D">
        <w:t xml:space="preserve"> track their time. </w:t>
      </w:r>
      <w:r w:rsidR="007B24DA">
        <w:t xml:space="preserve"> </w:t>
      </w:r>
      <w:r w:rsidRPr="0085787D">
        <w:t xml:space="preserve">These should be periods that represent typical weeks in program service delivery, </w:t>
      </w:r>
      <w:r w:rsidRPr="00D41F55" w:rsidR="0085787D">
        <w:t xml:space="preserve">not times </w:t>
      </w:r>
      <w:r w:rsidRPr="00D41F55" w:rsidR="003959DB">
        <w:t xml:space="preserve">when uncommon activities </w:t>
      </w:r>
      <w:r w:rsidRPr="0085787D">
        <w:t xml:space="preserve">such as staff conferences or trainings </w:t>
      </w:r>
      <w:r w:rsidRPr="00D41F55" w:rsidR="003959DB">
        <w:t>are occurring</w:t>
      </w:r>
      <w:r w:rsidRPr="0085787D">
        <w:t xml:space="preserve">. </w:t>
      </w:r>
      <w:r w:rsidR="007B24DA">
        <w:t xml:space="preserve"> </w:t>
      </w:r>
      <w:r w:rsidRPr="0085787D">
        <w:t>The periods will vary for each program, depending on the timing of the site visit.</w:t>
      </w:r>
    </w:p>
    <w:p w:rsidRPr="0085787D" w:rsidR="00E757E2" w:rsidP="00F5600F" w:rsidRDefault="00E757E2" w14:paraId="430B96E6" w14:textId="77777777">
      <w:pPr>
        <w:pStyle w:val="NormalSS"/>
        <w:ind w:left="810" w:firstLine="0"/>
      </w:pPr>
      <w:r w:rsidRPr="0085787D">
        <w:t>For each period and program, we will follow a similar schedule to administer the staff activity logs:</w:t>
      </w:r>
    </w:p>
    <w:p w:rsidRPr="0085787D" w:rsidR="00E757E2" w:rsidP="00F5600F" w:rsidRDefault="00E757E2" w14:paraId="2EA8DF6E" w14:textId="307A8B15">
      <w:pPr>
        <w:pStyle w:val="Bullet"/>
        <w:tabs>
          <w:tab w:val="clear" w:pos="432"/>
          <w:tab w:val="left" w:pos="1170"/>
        </w:tabs>
        <w:ind w:left="1170" w:hanging="360"/>
      </w:pPr>
      <w:r w:rsidRPr="0085787D">
        <w:t xml:space="preserve">About one to two weeks before data collection </w:t>
      </w:r>
      <w:r w:rsidRPr="00D41F55" w:rsidR="0085787D">
        <w:t>begins</w:t>
      </w:r>
      <w:r w:rsidRPr="0085787D">
        <w:t xml:space="preserve">, we will ask the RETAIN program manager to inform staff that Mathematica will be contacting them about the logs. </w:t>
      </w:r>
    </w:p>
    <w:p w:rsidRPr="0085787D" w:rsidR="00E757E2" w:rsidP="00F5600F" w:rsidRDefault="00E757E2" w14:paraId="1F904BB1" w14:textId="12703577">
      <w:pPr>
        <w:pStyle w:val="Bullet"/>
        <w:tabs>
          <w:tab w:val="clear" w:pos="432"/>
          <w:tab w:val="left" w:pos="1170"/>
        </w:tabs>
        <w:ind w:left="1170" w:hanging="360"/>
      </w:pPr>
      <w:r w:rsidRPr="0085787D">
        <w:t xml:space="preserve">We will send an email to selected staff the Wednesday before the target week of data collection. </w:t>
      </w:r>
      <w:r w:rsidR="007B24DA">
        <w:t xml:space="preserve"> </w:t>
      </w:r>
      <w:r w:rsidRPr="0085787D">
        <w:t>The email will contain the staff activity log (Attachment</w:t>
      </w:r>
      <w:r w:rsidR="00474550">
        <w:t xml:space="preserve"> I</w:t>
      </w:r>
      <w:r w:rsidRPr="00D41F55">
        <w:t>)</w:t>
      </w:r>
      <w:r w:rsidRPr="0085787D">
        <w:t xml:space="preserve"> in Excel and PDF formats, and the body of the email will explain the rationale for the log, provide instructions on how to complete it and where to go for more information, and present options for returning the log to Mathematica. </w:t>
      </w:r>
      <w:r w:rsidR="007B24DA">
        <w:t xml:space="preserve"> </w:t>
      </w:r>
      <w:r w:rsidRPr="0085787D">
        <w:t xml:space="preserve">The log is self-administered and </w:t>
      </w:r>
      <w:r w:rsidR="00544D5D">
        <w:t xml:space="preserve">respondents </w:t>
      </w:r>
      <w:r w:rsidRPr="0085787D">
        <w:t xml:space="preserve">can </w:t>
      </w:r>
      <w:r w:rsidR="00544D5D">
        <w:t>complet it</w:t>
      </w:r>
      <w:r w:rsidRPr="0085787D">
        <w:t xml:space="preserve"> either electronically or with pen and paper. </w:t>
      </w:r>
    </w:p>
    <w:p w:rsidRPr="0085787D" w:rsidR="00E757E2" w:rsidP="00F5600F" w:rsidRDefault="00E757E2" w14:paraId="7DB478C6" w14:textId="01B9F8E7">
      <w:pPr>
        <w:pStyle w:val="BulletLastSS"/>
        <w:tabs>
          <w:tab w:val="left" w:pos="1170"/>
        </w:tabs>
        <w:ind w:left="1170" w:hanging="360"/>
      </w:pPr>
      <w:r w:rsidRPr="0085787D">
        <w:t xml:space="preserve">On the Monday after staff complete their logs, we will send emails </w:t>
      </w:r>
      <w:r w:rsidR="0085787D">
        <w:t>to those who have not yet returned the logs, asking them to do so</w:t>
      </w:r>
      <w:r w:rsidRPr="0085787D">
        <w:t xml:space="preserve">. </w:t>
      </w:r>
    </w:p>
    <w:p w:rsidRPr="0085787D" w:rsidR="00E757E2" w:rsidP="00F5600F" w:rsidRDefault="00E757E2" w14:paraId="325C2C43" w14:textId="16BF16BE">
      <w:pPr>
        <w:pStyle w:val="NormalSS"/>
        <w:ind w:left="810" w:firstLine="0"/>
      </w:pPr>
      <w:r w:rsidRPr="0085787D">
        <w:t xml:space="preserve">When we receive the logs, we will enter the data into an Excel spreadsheet for analysis. </w:t>
      </w:r>
    </w:p>
    <w:p w:rsidRPr="0085787D" w:rsidR="003B2602" w:rsidP="00F5600F" w:rsidRDefault="00F5600F" w14:paraId="7B20E1B7" w14:textId="72C5F618">
      <w:pPr>
        <w:pStyle w:val="H4Number"/>
        <w:tabs>
          <w:tab w:val="clear" w:pos="432"/>
          <w:tab w:val="left" w:pos="810"/>
        </w:tabs>
        <w:ind w:left="810" w:hanging="360"/>
      </w:pPr>
      <w:bookmarkStart w:name="_Toc34223065" w:id="22"/>
      <w:r>
        <w:t>d</w:t>
      </w:r>
      <w:r w:rsidRPr="0085787D" w:rsidR="003B2602">
        <w:t>.</w:t>
      </w:r>
      <w:r w:rsidRPr="0085787D" w:rsidR="003B2602">
        <w:tab/>
      </w:r>
      <w:r w:rsidRPr="0085787D" w:rsidR="00A90336">
        <w:t>E</w:t>
      </w:r>
      <w:r w:rsidRPr="0085787D" w:rsidR="003B2602">
        <w:t>nrollee</w:t>
      </w:r>
      <w:r w:rsidRPr="0085787D" w:rsidR="00A90336">
        <w:t xml:space="preserve"> survey</w:t>
      </w:r>
      <w:r w:rsidRPr="0085787D" w:rsidR="003B2602">
        <w:t>s</w:t>
      </w:r>
      <w:bookmarkEnd w:id="22"/>
    </w:p>
    <w:p w:rsidR="000518BF" w:rsidP="00F5600F" w:rsidRDefault="000518BF" w14:paraId="5F4B4136" w14:textId="66B5ABCE">
      <w:pPr>
        <w:pStyle w:val="NormalSS"/>
        <w:ind w:left="810" w:firstLine="0"/>
      </w:pPr>
      <w:r w:rsidRPr="0085787D">
        <w:t>Mathematica will collect the contact information for enrollees during the enrollment process and will use these data</w:t>
      </w:r>
      <w:r>
        <w:t xml:space="preserve"> to field the enrollee survey. </w:t>
      </w:r>
      <w:r w:rsidR="007B24DA">
        <w:t xml:space="preserve"> </w:t>
      </w:r>
      <w:r>
        <w:t xml:space="preserve">Information about enrollees’  preference for English or Spanish will determine the language used for each sample member’s initial survey letter and subsequent nonresponse follow-up efforts. </w:t>
      </w:r>
      <w:r w:rsidR="007B24DA">
        <w:t xml:space="preserve"> </w:t>
      </w:r>
      <w:r>
        <w:t xml:space="preserve">The surveys will use a sequential, mixed-mode design, offering sample members the opportunity to complete the questionnaire on the web, by mail, or by telephone. </w:t>
      </w:r>
      <w:r w:rsidR="007B24DA">
        <w:t xml:space="preserve"> </w:t>
      </w:r>
      <w:r>
        <w:t xml:space="preserve">Each round of the enrollee survey will follow the same methodology for sample release, eligibility, and nonresponse follow-up. </w:t>
      </w:r>
    </w:p>
    <w:p w:rsidR="000518BF" w:rsidP="00F5600F" w:rsidRDefault="00683C0E" w14:paraId="65118EAE" w14:textId="1B851987">
      <w:pPr>
        <w:pStyle w:val="NormalSS"/>
        <w:ind w:left="810" w:firstLine="0"/>
      </w:pPr>
      <w:r>
        <w:t>We will send al</w:t>
      </w:r>
      <w:r w:rsidR="000518BF">
        <w:t>l sample members a $5 pre-pay cash incentive with the survey invitation letter.</w:t>
      </w:r>
      <w:r w:rsidR="007B24DA">
        <w:t xml:space="preserve"> </w:t>
      </w:r>
      <w:r w:rsidR="000518BF">
        <w:t xml:space="preserve"> </w:t>
      </w:r>
      <w:r w:rsidRPr="00FD5531" w:rsidR="000518BF">
        <w:t>By deploying a prepayment, resources can target sample members who are likely to require intensive efforts to locate, cont</w:t>
      </w:r>
      <w:r w:rsidR="000518BF">
        <w:t xml:space="preserve">act, or engage for interviews. </w:t>
      </w:r>
      <w:r w:rsidR="007B24DA">
        <w:t xml:space="preserve"> </w:t>
      </w:r>
      <w:r w:rsidR="000518BF">
        <w:t xml:space="preserve">All survey respondents will receive a $25 gift card. </w:t>
      </w:r>
      <w:r w:rsidR="007B24DA">
        <w:t xml:space="preserve"> </w:t>
      </w:r>
      <w:r w:rsidR="000518BF">
        <w:t xml:space="preserve">We estimate the R1 survey will take 12 minutes to complete, and the R2 survey will take about 18 minutes. </w:t>
      </w:r>
    </w:p>
    <w:p w:rsidR="000518BF" w:rsidP="00F5600F" w:rsidRDefault="000518BF" w14:paraId="6D9B8FC9" w14:textId="62623090">
      <w:pPr>
        <w:pStyle w:val="NormalSS"/>
        <w:ind w:left="810" w:firstLine="0"/>
      </w:pPr>
      <w:r>
        <w:t xml:space="preserve">Contact with an enrollee survey sample member begins when Mathematica sends the survey invitation letter to all eligible sample members during the first week of the field period (Attachment F). </w:t>
      </w:r>
      <w:r w:rsidR="007B24DA">
        <w:t xml:space="preserve"> </w:t>
      </w:r>
      <w:r>
        <w:t xml:space="preserve">This letter will include a link that enrollees can use to log into the web survey, along with a personalized login code. </w:t>
      </w:r>
      <w:r w:rsidR="007B24DA">
        <w:t xml:space="preserve"> </w:t>
      </w:r>
      <w:r>
        <w:t xml:space="preserve">The </w:t>
      </w:r>
      <w:r w:rsidR="00945B38">
        <w:t>letter will also include a toll</w:t>
      </w:r>
      <w:r w:rsidR="00945B38">
        <w:noBreakHyphen/>
      </w:r>
      <w:r>
        <w:t xml:space="preserve">free telephone number </w:t>
      </w:r>
      <w:r w:rsidR="001F567E">
        <w:t xml:space="preserve">that </w:t>
      </w:r>
      <w:r>
        <w:t xml:space="preserve">enrollees can call to complete the survey over the telephone, or to seek support in completing the survey online. </w:t>
      </w:r>
      <w:r w:rsidR="007B24DA">
        <w:t xml:space="preserve"> </w:t>
      </w:r>
      <w:r>
        <w:t xml:space="preserve">Mathematica will utilize a “push to web” methodology, encouraging self-reporting by web for as many sample members who are willing and able </w:t>
      </w:r>
      <w:r w:rsidRPr="00C265A0">
        <w:t xml:space="preserve">to do so (Dillman </w:t>
      </w:r>
      <w:r w:rsidRPr="002A28F9">
        <w:t>2017</w:t>
      </w:r>
      <w:r w:rsidRPr="00C265A0">
        <w:t xml:space="preserve">). </w:t>
      </w:r>
      <w:r w:rsidR="007B24DA">
        <w:t xml:space="preserve"> </w:t>
      </w:r>
      <w:r w:rsidRPr="00C265A0">
        <w:t>Accordingly</w:t>
      </w:r>
      <w:r>
        <w:t>, subsequent reminder postcards will also include the survey link and password information.</w:t>
      </w:r>
      <w:r>
        <w:rPr>
          <w:rStyle w:val="FootnoteReference"/>
        </w:rPr>
        <w:footnoteReference w:id="4"/>
      </w:r>
      <w:r>
        <w:t xml:space="preserve"> </w:t>
      </w:r>
      <w:r w:rsidR="007B24DA">
        <w:t xml:space="preserve"> </w:t>
      </w:r>
      <w:r>
        <w:t>Mathematica will send a paper version of the questionnaire via first-class mail during week three of the enrollee survey field period, with another copy sent to nonrespondents approximately three weeks later.</w:t>
      </w:r>
      <w:r w:rsidR="007B24DA">
        <w:t xml:space="preserve"> </w:t>
      </w:r>
      <w:r>
        <w:t xml:space="preserve"> Each paper questionnaire will be followed by a postcard reminder, encouraging sample members to return the completed survey. </w:t>
      </w:r>
    </w:p>
    <w:p w:rsidR="000518BF" w:rsidP="00F5600F" w:rsidRDefault="000518BF" w14:paraId="03E8056A" w14:textId="304630A4">
      <w:pPr>
        <w:pStyle w:val="NormalSS"/>
        <w:ind w:left="810" w:firstLine="0"/>
      </w:pPr>
      <w:r>
        <w:t>After</w:t>
      </w:r>
      <w:r w:rsidR="00683C0E">
        <w:t xml:space="preserve"> we offer</w:t>
      </w:r>
      <w:r>
        <w:t xml:space="preserve"> sample members the opportunity to take part in the survey by web and by mail, Mathematica will begin telephone follow up with nonresponding sample members. </w:t>
      </w:r>
      <w:r w:rsidR="007B24DA">
        <w:t xml:space="preserve"> </w:t>
      </w:r>
      <w:r>
        <w:t>Telephone interviewers will receive project-specific training.</w:t>
      </w:r>
      <w:r w:rsidR="007B24DA">
        <w:t xml:space="preserve"> </w:t>
      </w:r>
      <w:r>
        <w:t xml:space="preserve"> Further, all of Mathematica’s Spanish-</w:t>
      </w:r>
      <w:r w:rsidR="00683C0E">
        <w:t>speaking interviewers will complete</w:t>
      </w:r>
      <w:r>
        <w:t xml:space="preserve"> professional certification to ensure that they are qualified to conduct interviews in Spanish. </w:t>
      </w:r>
      <w:r w:rsidR="007B24DA">
        <w:t xml:space="preserve"> </w:t>
      </w:r>
      <w:r>
        <w:t>Telephone follow up will begin during week six of the 12-week field period for sample members without a viable mailing address.</w:t>
      </w:r>
      <w:r w:rsidR="007B24DA">
        <w:t xml:space="preserve"> </w:t>
      </w:r>
      <w:r>
        <w:t xml:space="preserve"> It will occur later for the remainder of the sample. </w:t>
      </w:r>
      <w:r w:rsidR="007B24DA">
        <w:t xml:space="preserve"> </w:t>
      </w:r>
      <w:r>
        <w:t xml:space="preserve">Mathematica will </w:t>
      </w:r>
      <w:r w:rsidRPr="00E575FA">
        <w:t xml:space="preserve">send </w:t>
      </w:r>
      <w:r>
        <w:t xml:space="preserve">reminder </w:t>
      </w:r>
      <w:r w:rsidRPr="00E575FA">
        <w:t>mailings during the remaining weeks of the survey period to all outstanding sample cases to:</w:t>
      </w:r>
      <w:r>
        <w:t xml:space="preserve"> (1) encourage them to participate in the survey, (2) respond to concerns they may have about the study, and (3) notify them the survey will end soon and provide them with a paper survey to complete. </w:t>
      </w:r>
      <w:r w:rsidR="007B24DA">
        <w:t xml:space="preserve"> </w:t>
      </w:r>
      <w:r>
        <w:t xml:space="preserve">Enrollee survey mailings will provide text that stresses the voluntary nature of participation and that the decision to participate in the survey will not affect enrollees benefits, now or in the future. </w:t>
      </w:r>
    </w:p>
    <w:p w:rsidR="000518BF" w:rsidP="00F5600F" w:rsidRDefault="000518BF" w14:paraId="48FD3553" w14:textId="760DBE25">
      <w:pPr>
        <w:pStyle w:val="NormalSS"/>
        <w:ind w:left="810" w:firstLine="0"/>
      </w:pPr>
      <w:r>
        <w:t xml:space="preserve">SSA and Mathematica </w:t>
      </w:r>
      <w:r w:rsidRPr="00303466">
        <w:t xml:space="preserve">will design the </w:t>
      </w:r>
      <w:r>
        <w:t xml:space="preserve">enrollee </w:t>
      </w:r>
      <w:r w:rsidRPr="00303466">
        <w:t>instruments to accommodate</w:t>
      </w:r>
      <w:r>
        <w:t xml:space="preserve"> a wide range of disabilities. </w:t>
      </w:r>
      <w:r w:rsidR="007B24DA">
        <w:t xml:space="preserve"> </w:t>
      </w:r>
      <w:r w:rsidR="00945B38">
        <w:t>We will make the wording of the q</w:t>
      </w:r>
      <w:r>
        <w:t>uestion</w:t>
      </w:r>
      <w:r w:rsidR="00945B38">
        <w:t>s</w:t>
      </w:r>
      <w:r>
        <w:t xml:space="preserve"> as simple as possible to allow accessibility to those with mild cognitive disabilities. </w:t>
      </w:r>
      <w:r w:rsidR="007B24DA">
        <w:t xml:space="preserve"> </w:t>
      </w:r>
      <w:r>
        <w:t xml:space="preserve">We will train phone interviewers to offer breaks, where needed, to accommodate enrollees with illnesses or injuries that cause stamina limitations. </w:t>
      </w:r>
      <w:r w:rsidR="007B24DA">
        <w:t xml:space="preserve"> </w:t>
      </w:r>
      <w:r w:rsidRPr="006D58D8">
        <w:t xml:space="preserve">Although we cannot design instruments that will address every disability we may encounter, these basic design characteristics will enable us to interview most </w:t>
      </w:r>
      <w:r>
        <w:t>enrollees</w:t>
      </w:r>
      <w:r w:rsidRPr="006D58D8">
        <w:t xml:space="preserve"> in the stu</w:t>
      </w:r>
      <w:r>
        <w:t xml:space="preserve">dy without the use of proxies. </w:t>
      </w:r>
      <w:r w:rsidR="007B24DA">
        <w:t xml:space="preserve"> </w:t>
      </w:r>
      <w:r w:rsidRPr="006D58D8">
        <w:t>We will</w:t>
      </w:r>
      <w:r>
        <w:t xml:space="preserve"> incorporate alternative question </w:t>
      </w:r>
      <w:r w:rsidR="00945B38">
        <w:t>wording for</w:t>
      </w:r>
      <w:r w:rsidRPr="006D58D8">
        <w:t xml:space="preserve"> prox</w:t>
      </w:r>
      <w:r>
        <w:t xml:space="preserve">ies to allow </w:t>
      </w:r>
      <w:r w:rsidRPr="006D58D8">
        <w:t xml:space="preserve">for </w:t>
      </w:r>
      <w:r>
        <w:t>instances when</w:t>
      </w:r>
      <w:r w:rsidRPr="006D58D8">
        <w:t xml:space="preserve"> </w:t>
      </w:r>
      <w:r>
        <w:t>an enrollee</w:t>
      </w:r>
      <w:r w:rsidRPr="006D58D8">
        <w:t xml:space="preserve"> cannot complete an interview independently</w:t>
      </w:r>
      <w:r>
        <w:t xml:space="preserve">. </w:t>
      </w:r>
    </w:p>
    <w:p w:rsidRPr="00AE5CBB" w:rsidR="004613CF" w:rsidP="00F5600F" w:rsidRDefault="000518BF" w14:paraId="48E5B0FB" w14:textId="26EDF1E3">
      <w:pPr>
        <w:pStyle w:val="NormalSS"/>
        <w:ind w:left="810" w:firstLine="0"/>
      </w:pPr>
      <w:r w:rsidRPr="00F42696">
        <w:t xml:space="preserve">Over the enrollee survey field period, Mathematica’s data collection managers will use a range of production reports to monitor the data collection and ensure it aligns with production, cost, and quality goals. </w:t>
      </w:r>
      <w:r w:rsidR="007B24DA">
        <w:t xml:space="preserve"> </w:t>
      </w:r>
      <w:r w:rsidRPr="00F42696">
        <w:t xml:space="preserve">Mathematica will carefully monitor response rates overall, and for each </w:t>
      </w:r>
      <w:r>
        <w:t xml:space="preserve">enrollment </w:t>
      </w:r>
      <w:r w:rsidRPr="00F42696">
        <w:t xml:space="preserve">cohort, program, and group assignment. </w:t>
      </w:r>
      <w:r w:rsidR="007B24DA">
        <w:t xml:space="preserve"> </w:t>
      </w:r>
      <w:r>
        <w:t xml:space="preserve">Mathematica will use its </w:t>
      </w:r>
      <w:r w:rsidRPr="004B4087">
        <w:t>sample management system (SMS) to</w:t>
      </w:r>
      <w:r>
        <w:t xml:space="preserve"> execute several key tasks that support the success of the survey and minimize burden on sample members. </w:t>
      </w:r>
      <w:r w:rsidR="007B24DA">
        <w:t xml:space="preserve"> </w:t>
      </w:r>
      <w:r>
        <w:t xml:space="preserve">For example, </w:t>
      </w:r>
      <w:r w:rsidR="00DA7655">
        <w:t xml:space="preserve">we will use </w:t>
      </w:r>
      <w:r>
        <w:t xml:space="preserve">this system to: </w:t>
      </w:r>
      <w:r w:rsidR="00945B38">
        <w:t xml:space="preserve"> </w:t>
      </w:r>
      <w:r w:rsidRPr="004B4087">
        <w:t xml:space="preserve">(1) </w:t>
      </w:r>
      <w:r>
        <w:t xml:space="preserve">schedule the </w:t>
      </w:r>
      <w:r w:rsidRPr="004B4087">
        <w:t xml:space="preserve">release </w:t>
      </w:r>
      <w:r>
        <w:t xml:space="preserve">of </w:t>
      </w:r>
      <w:r w:rsidRPr="004B4087">
        <w:t>eligible cases</w:t>
      </w:r>
      <w:r>
        <w:t xml:space="preserve">; </w:t>
      </w:r>
      <w:r w:rsidRPr="004B4087">
        <w:t>(2) mail invitation and reminder lett</w:t>
      </w:r>
      <w:r>
        <w:t xml:space="preserve">ers and incentive payments; </w:t>
      </w:r>
      <w:r w:rsidRPr="004B4087">
        <w:t>(3) track and store sample cases’ upda</w:t>
      </w:r>
      <w:r>
        <w:t>ted contact information; (4) cease non</w:t>
      </w:r>
      <w:r w:rsidR="005210D1">
        <w:t>r</w:t>
      </w:r>
      <w:r>
        <w:t xml:space="preserve">esponse follow up to </w:t>
      </w:r>
      <w:r w:rsidRPr="00AE5CBB">
        <w:t>sample members who have completed the survey (via any mode); and (5) provide production statistics that could help inform outreach strategies to future cohorts.</w:t>
      </w:r>
      <w:r w:rsidRPr="00AE5CBB" w:rsidR="004613CF">
        <w:t xml:space="preserve"> </w:t>
      </w:r>
    </w:p>
    <w:p w:rsidRPr="00AE5CBB" w:rsidR="003B2602" w:rsidP="00F5600F" w:rsidRDefault="00F5600F" w14:paraId="7B8DBC35" w14:textId="6C46DA44">
      <w:pPr>
        <w:pStyle w:val="H4Number"/>
        <w:tabs>
          <w:tab w:val="clear" w:pos="432"/>
          <w:tab w:val="left" w:pos="810"/>
        </w:tabs>
        <w:ind w:left="810" w:hanging="360"/>
      </w:pPr>
      <w:bookmarkStart w:name="_Toc34223066" w:id="23"/>
      <w:r>
        <w:t>e</w:t>
      </w:r>
      <w:r w:rsidRPr="00AE5CBB" w:rsidR="00A90336">
        <w:t>.</w:t>
      </w:r>
      <w:r w:rsidRPr="00AE5CBB" w:rsidR="00A90336">
        <w:tab/>
        <w:t>P</w:t>
      </w:r>
      <w:r w:rsidRPr="00AE5CBB" w:rsidR="003B2602">
        <w:t>rovider</w:t>
      </w:r>
      <w:r w:rsidRPr="00AE5CBB" w:rsidR="00A90336">
        <w:t xml:space="preserve"> surveys</w:t>
      </w:r>
      <w:bookmarkEnd w:id="23"/>
    </w:p>
    <w:p w:rsidR="00AF59E6" w:rsidP="00F5600F" w:rsidRDefault="00AF59E6" w14:paraId="6F1D3BE3" w14:textId="4AA25199">
      <w:pPr>
        <w:pStyle w:val="NormalSS"/>
        <w:ind w:left="810" w:firstLine="0"/>
      </w:pPr>
      <w:r w:rsidRPr="00AE5CBB">
        <w:t>Each participating</w:t>
      </w:r>
      <w:r>
        <w:t xml:space="preserve"> state program selected for Phase 2 will provide Mathematica with the contact information, including the preferred email address, for all of their participating providers. </w:t>
      </w:r>
      <w:r w:rsidR="007B24DA">
        <w:t xml:space="preserve"> </w:t>
      </w:r>
      <w:r>
        <w:t>This information will also provide data on sample geographic</w:t>
      </w:r>
      <w:r w:rsidR="00E07053">
        <w:t xml:space="preserve">s </w:t>
      </w:r>
      <w:r>
        <w:t xml:space="preserve">and practice organization. </w:t>
      </w:r>
    </w:p>
    <w:p w:rsidR="00AF59E6" w:rsidP="00F5600F" w:rsidRDefault="00AF59E6" w14:paraId="4F8F7889" w14:textId="1F0503EA">
      <w:pPr>
        <w:pStyle w:val="NormalSS"/>
        <w:ind w:left="810" w:firstLine="0"/>
      </w:pPr>
      <w:r>
        <w:t xml:space="preserve">Each round of the provider survey will follow the same </w:t>
      </w:r>
      <w:r w:rsidRPr="00AE5CBB">
        <w:t xml:space="preserve">methodology for sample release, eligibility, and nonresponse follow up, and each round will have a 14-week field period. The first round of the provider survey will </w:t>
      </w:r>
      <w:r w:rsidR="00123807">
        <w:t>launch</w:t>
      </w:r>
      <w:r w:rsidRPr="00AE5CBB">
        <w:t xml:space="preserve"> four months after the start of Pha</w:t>
      </w:r>
      <w:r w:rsidR="00123807">
        <w:t>se 2 and the second round will releas</w:t>
      </w:r>
      <w:r w:rsidRPr="00AE5CBB">
        <w:t xml:space="preserve"> 16 months after the start of Phase 2. </w:t>
      </w:r>
      <w:r w:rsidR="007B24DA">
        <w:t xml:space="preserve"> </w:t>
      </w:r>
      <w:r w:rsidRPr="00AE5CBB">
        <w:t>The provider survey will use a sequential, mixed-mode design, offering sample members the opportunity</w:t>
      </w:r>
      <w:r w:rsidRPr="003350CE">
        <w:t xml:space="preserve"> to complete the questionnaire on the web, by mail, or by telephone. </w:t>
      </w:r>
      <w:r w:rsidR="007B24DA">
        <w:t xml:space="preserve"> </w:t>
      </w:r>
      <w:r w:rsidR="00683C0E">
        <w:t>We will send a</w:t>
      </w:r>
      <w:r w:rsidRPr="003350CE">
        <w:t>ll sample members a $5 pre-pa</w:t>
      </w:r>
      <w:r>
        <w:t xml:space="preserve">id </w:t>
      </w:r>
      <w:r w:rsidRPr="003350CE">
        <w:t>incentive with the survey invitation letter</w:t>
      </w:r>
      <w:r>
        <w:t xml:space="preserve"> and a</w:t>
      </w:r>
      <w:r w:rsidRPr="003350CE">
        <w:t xml:space="preserve">ll </w:t>
      </w:r>
      <w:r>
        <w:t xml:space="preserve">provider </w:t>
      </w:r>
      <w:r w:rsidRPr="003350CE">
        <w:t>survey respondents will receive a $</w:t>
      </w:r>
      <w:r>
        <w:t xml:space="preserve">45 check. </w:t>
      </w:r>
      <w:r w:rsidR="007B24DA">
        <w:t xml:space="preserve"> </w:t>
      </w:r>
      <w:r>
        <w:t>The R1 and R2 provider surveys are each expected to take 14</w:t>
      </w:r>
      <w:r w:rsidRPr="003350CE">
        <w:t xml:space="preserve"> minutes to complete</w:t>
      </w:r>
      <w:r>
        <w:t xml:space="preserve">. </w:t>
      </w:r>
      <w:r w:rsidR="007B24DA">
        <w:t xml:space="preserve"> </w:t>
      </w:r>
      <w:r>
        <w:t xml:space="preserve">We anticipate that all providers will complete the provider survey in English. </w:t>
      </w:r>
      <w:r w:rsidR="007B24DA">
        <w:t xml:space="preserve"> </w:t>
      </w:r>
      <w:r>
        <w:t>However, Mathematica will offer a professionally translated version of the paper questionnaire, upon request, for providers who prefer Spanish.</w:t>
      </w:r>
    </w:p>
    <w:p w:rsidR="00AF59E6" w:rsidP="00F5600F" w:rsidRDefault="00AF59E6" w14:paraId="4E101063" w14:textId="66EB7020">
      <w:pPr>
        <w:pStyle w:val="NormalSS"/>
        <w:ind w:left="810" w:firstLine="0"/>
      </w:pPr>
      <w:r w:rsidRPr="003350CE">
        <w:t xml:space="preserve">Mathematica will send an invitation letter to all presumed eligible </w:t>
      </w:r>
      <w:r>
        <w:t xml:space="preserve">providers selected for the survey sample </w:t>
      </w:r>
      <w:r w:rsidRPr="003350CE">
        <w:t>in the first week of the field period (</w:t>
      </w:r>
      <w:r>
        <w:t>Attachment H</w:t>
      </w:r>
      <w:r w:rsidRPr="003350CE">
        <w:t>)</w:t>
      </w:r>
      <w:r>
        <w:t>, asking them to complete the survey online</w:t>
      </w:r>
      <w:r w:rsidRPr="003350CE">
        <w:t xml:space="preserve">. </w:t>
      </w:r>
      <w:r w:rsidR="007B24DA">
        <w:t xml:space="preserve"> </w:t>
      </w:r>
      <w:r w:rsidRPr="003350CE">
        <w:t xml:space="preserve">This letter will include </w:t>
      </w:r>
      <w:r>
        <w:t>a</w:t>
      </w:r>
      <w:r w:rsidRPr="003350CE">
        <w:t xml:space="preserve"> link they can use to log into the web survey</w:t>
      </w:r>
      <w:r>
        <w:t xml:space="preserve"> and a</w:t>
      </w:r>
      <w:r w:rsidRPr="003350CE">
        <w:t xml:space="preserve"> personalized login code. </w:t>
      </w:r>
      <w:r w:rsidR="007B24DA">
        <w:t xml:space="preserve"> </w:t>
      </w:r>
      <w:r w:rsidRPr="003350CE">
        <w:t>The letter will also include a toll-free telephone number</w:t>
      </w:r>
      <w:r w:rsidR="001F567E">
        <w:t xml:space="preserve"> that</w:t>
      </w:r>
      <w:r w:rsidRPr="003350CE">
        <w:t xml:space="preserve"> </w:t>
      </w:r>
      <w:r>
        <w:t>providers</w:t>
      </w:r>
      <w:r w:rsidRPr="003350CE">
        <w:t xml:space="preserve"> can call to complete the interview over the telephone, or to seek support in completing online</w:t>
      </w:r>
      <w:r>
        <w:t>, as needed</w:t>
      </w:r>
      <w:r w:rsidRPr="003350CE">
        <w:t xml:space="preserve">. </w:t>
      </w:r>
      <w:r w:rsidR="007B24DA">
        <w:t xml:space="preserve"> </w:t>
      </w:r>
      <w:r w:rsidR="00123807">
        <w:t>We</w:t>
      </w:r>
      <w:r w:rsidR="00683C0E">
        <w:t xml:space="preserve"> will</w:t>
      </w:r>
      <w:r w:rsidR="00123807">
        <w:t xml:space="preserve"> follow t</w:t>
      </w:r>
      <w:r>
        <w:t xml:space="preserve">he letter </w:t>
      </w:r>
      <w:r w:rsidR="00123807">
        <w:t xml:space="preserve">with </w:t>
      </w:r>
      <w:r>
        <w:t xml:space="preserve">an invitation email, which will provide a customized link through which sample members can log into the provider survey. </w:t>
      </w:r>
      <w:r w:rsidR="007B24DA">
        <w:t xml:space="preserve"> </w:t>
      </w:r>
      <w:r w:rsidRPr="003350CE">
        <w:t xml:space="preserve">Mathematica will utilize a “push to web” methodology, encouraging self-reporting </w:t>
      </w:r>
      <w:r w:rsidR="00683C0E">
        <w:t>using the</w:t>
      </w:r>
      <w:r w:rsidRPr="003350CE">
        <w:t xml:space="preserve"> web </w:t>
      </w:r>
      <w:r>
        <w:t>(Dillman 2017)</w:t>
      </w:r>
      <w:r w:rsidRPr="003350CE">
        <w:t xml:space="preserve">. </w:t>
      </w:r>
      <w:r w:rsidR="007B24DA">
        <w:t xml:space="preserve"> </w:t>
      </w:r>
      <w:r w:rsidRPr="003350CE">
        <w:t>Accordingly, subsequent reminder postcards will also include the survey link and password information.</w:t>
      </w:r>
      <w:r w:rsidRPr="003350CE">
        <w:rPr>
          <w:u w:color="000080"/>
          <w:vertAlign w:val="superscript"/>
        </w:rPr>
        <w:footnoteReference w:id="5"/>
      </w:r>
    </w:p>
    <w:p w:rsidRPr="00531BB8" w:rsidR="00AF59E6" w:rsidP="00F5600F" w:rsidRDefault="00AF59E6" w14:paraId="59518007" w14:textId="75D2432B">
      <w:pPr>
        <w:pStyle w:val="NormalSS"/>
        <w:ind w:left="810" w:firstLine="0"/>
      </w:pPr>
      <w:r w:rsidRPr="00531BB8">
        <w:t xml:space="preserve">Mathematica will send a paper version of the questionnaire via </w:t>
      </w:r>
      <w:r>
        <w:t xml:space="preserve">priority </w:t>
      </w:r>
      <w:r w:rsidRPr="00531BB8">
        <w:t xml:space="preserve">mail </w:t>
      </w:r>
      <w:r>
        <w:t xml:space="preserve">approximately </w:t>
      </w:r>
      <w:r w:rsidRPr="00531BB8">
        <w:t xml:space="preserve">three </w:t>
      </w:r>
      <w:r>
        <w:t xml:space="preserve">weeks into the provider survey </w:t>
      </w:r>
      <w:r w:rsidRPr="00531BB8">
        <w:t xml:space="preserve">field period, with another copy sent approximately </w:t>
      </w:r>
      <w:r>
        <w:t xml:space="preserve">four </w:t>
      </w:r>
      <w:r w:rsidRPr="00531BB8">
        <w:t xml:space="preserve">weeks later. </w:t>
      </w:r>
      <w:r w:rsidR="007B24DA">
        <w:t xml:space="preserve"> </w:t>
      </w:r>
      <w:r>
        <w:t xml:space="preserve">Priority mail will help support messages about the survey legitimacy and importance and will also help set the survey mailing apart from other correspondence sample members may receive. </w:t>
      </w:r>
      <w:r w:rsidR="007B24DA">
        <w:t xml:space="preserve"> </w:t>
      </w:r>
      <w:r w:rsidR="00683C0E">
        <w:t>Mathematica will follow e</w:t>
      </w:r>
      <w:r w:rsidRPr="00531BB8">
        <w:t xml:space="preserve">ach paper questionnaire </w:t>
      </w:r>
      <w:r w:rsidR="00683C0E">
        <w:t>with</w:t>
      </w:r>
      <w:r w:rsidRPr="00531BB8">
        <w:t xml:space="preserve"> a postcard reminder, encouraging sample members to return the completed survey. </w:t>
      </w:r>
      <w:r w:rsidR="007B24DA">
        <w:t xml:space="preserve"> </w:t>
      </w:r>
      <w:r w:rsidRPr="00531BB8">
        <w:t xml:space="preserve">After </w:t>
      </w:r>
      <w:r>
        <w:t xml:space="preserve">offering </w:t>
      </w:r>
      <w:r w:rsidRPr="00531BB8">
        <w:t>sample members the opportunity to take part in the survey by web and by mail, Mathematica will begin telephone follow</w:t>
      </w:r>
      <w:r>
        <w:t>-</w:t>
      </w:r>
      <w:r w:rsidRPr="00531BB8">
        <w:t xml:space="preserve">up to nonresponding sample members. </w:t>
      </w:r>
      <w:r w:rsidR="007B24DA">
        <w:t xml:space="preserve"> </w:t>
      </w:r>
      <w:r>
        <w:t>Telephone</w:t>
      </w:r>
      <w:r w:rsidRPr="00531BB8">
        <w:t xml:space="preserve"> interviewers will receive project-specific training</w:t>
      </w:r>
      <w:r>
        <w:t xml:space="preserve"> that includes training in working with gatekeepers, who often screen calls at practice organizations.</w:t>
      </w:r>
      <w:r w:rsidR="00683C0E">
        <w:t xml:space="preserve"> </w:t>
      </w:r>
      <w:r>
        <w:t xml:space="preserve"> </w:t>
      </w:r>
      <w:r w:rsidRPr="00531BB8">
        <w:t>Telephone follow</w:t>
      </w:r>
      <w:r>
        <w:t>-</w:t>
      </w:r>
      <w:r w:rsidRPr="00531BB8">
        <w:t xml:space="preserve">up will begin in week </w:t>
      </w:r>
      <w:r>
        <w:t>9 of the 14</w:t>
      </w:r>
      <w:r w:rsidRPr="00531BB8">
        <w:t>-week field period</w:t>
      </w:r>
      <w:r>
        <w:t xml:space="preserve">. </w:t>
      </w:r>
      <w:r w:rsidR="007B24DA">
        <w:t xml:space="preserve"> </w:t>
      </w:r>
      <w:r>
        <w:t>Across the 14</w:t>
      </w:r>
      <w:r w:rsidR="007B24DA">
        <w:noBreakHyphen/>
      </w:r>
      <w:r>
        <w:t xml:space="preserve">week field period, </w:t>
      </w:r>
      <w:r w:rsidRPr="00531BB8">
        <w:t>Mathematica will send reminder</w:t>
      </w:r>
      <w:r>
        <w:t xml:space="preserve">s </w:t>
      </w:r>
      <w:r w:rsidRPr="00531BB8">
        <w:t xml:space="preserve">to all </w:t>
      </w:r>
      <w:r>
        <w:t xml:space="preserve">eligible nonresponding provider sample members </w:t>
      </w:r>
      <w:r w:rsidRPr="00531BB8">
        <w:t>to (1) enc</w:t>
      </w:r>
      <w:r w:rsidR="00683C0E">
        <w:t>ourage them to participate, (2) </w:t>
      </w:r>
      <w:r w:rsidRPr="00531BB8">
        <w:t xml:space="preserve">respond to concerns they may have about the study, and (3) notify them </w:t>
      </w:r>
      <w:r>
        <w:t xml:space="preserve">that </w:t>
      </w:r>
      <w:r w:rsidRPr="00531BB8">
        <w:t>the survey will end soon</w:t>
      </w:r>
      <w:r>
        <w:t xml:space="preserve"> </w:t>
      </w:r>
      <w:r w:rsidRPr="00897F42">
        <w:t xml:space="preserve">and their unique input </w:t>
      </w:r>
      <w:r>
        <w:t xml:space="preserve">is </w:t>
      </w:r>
      <w:r w:rsidRPr="00897F42">
        <w:t>criti</w:t>
      </w:r>
      <w:r>
        <w:t xml:space="preserve">cal to the success of the evaluation. </w:t>
      </w:r>
      <w:r w:rsidRPr="00531BB8">
        <w:t xml:space="preserve"> </w:t>
      </w:r>
      <w:r>
        <w:t>All contacts and outreach will emphasize the voluntary nature of participation.</w:t>
      </w:r>
      <w:r w:rsidRPr="003750D9">
        <w:t xml:space="preserve"> </w:t>
      </w:r>
    </w:p>
    <w:p w:rsidRPr="003350CE" w:rsidR="003D06F0" w:rsidP="00F5600F" w:rsidRDefault="00AF59E6" w14:paraId="28B013E3" w14:textId="06339983">
      <w:pPr>
        <w:pStyle w:val="NormalSS"/>
        <w:ind w:left="810" w:firstLine="0"/>
      </w:pPr>
      <w:r>
        <w:t>During each round of the provider survey</w:t>
      </w:r>
      <w:r w:rsidRPr="003350CE">
        <w:t xml:space="preserve">, Mathematica’s data collection managers will use a range of production reports to monitor the data collection and ensure </w:t>
      </w:r>
      <w:r>
        <w:t xml:space="preserve">that </w:t>
      </w:r>
      <w:r w:rsidRPr="003350CE">
        <w:t xml:space="preserve">it aligns with production, cost, and quality goals. </w:t>
      </w:r>
      <w:r w:rsidR="006C37DC">
        <w:t xml:space="preserve"> </w:t>
      </w:r>
      <w:r>
        <w:t xml:space="preserve">During the field periods, </w:t>
      </w:r>
      <w:r w:rsidRPr="003350CE">
        <w:t xml:space="preserve">Mathematica will carefully </w:t>
      </w:r>
      <w:r>
        <w:t>monitor the provider survey r</w:t>
      </w:r>
      <w:r w:rsidRPr="003350CE">
        <w:t>esponse rate</w:t>
      </w:r>
      <w:r>
        <w:t xml:space="preserve"> o</w:t>
      </w:r>
      <w:r w:rsidRPr="003350CE">
        <w:t xml:space="preserve">verall, </w:t>
      </w:r>
      <w:r>
        <w:t>as well as</w:t>
      </w:r>
      <w:r w:rsidRPr="003350CE">
        <w:t xml:space="preserve"> for each </w:t>
      </w:r>
      <w:r>
        <w:t xml:space="preserve">state program and stratum (if </w:t>
      </w:r>
      <w:r w:rsidR="00223530">
        <w:t xml:space="preserve">we use strata </w:t>
      </w:r>
      <w:r>
        <w:t xml:space="preserve">in sampling) to minimize nonresponse bias among any one program or subgroup of providers. </w:t>
      </w:r>
      <w:r w:rsidR="006C37DC">
        <w:t xml:space="preserve"> </w:t>
      </w:r>
      <w:r>
        <w:t>As with the enrollee survey, M</w:t>
      </w:r>
      <w:r w:rsidRPr="003350CE">
        <w:t>athematica will u</w:t>
      </w:r>
      <w:r w:rsidR="00683C0E">
        <w:t>se its sample management system</w:t>
      </w:r>
      <w:r w:rsidRPr="003350CE">
        <w:t xml:space="preserve"> to execute several key tasks </w:t>
      </w:r>
      <w:r>
        <w:t>to support the successful deployment of the provider survey.</w:t>
      </w:r>
      <w:r w:rsidR="000016D4">
        <w:t xml:space="preserve"> </w:t>
      </w:r>
    </w:p>
    <w:p w:rsidR="00673ACE" w:rsidP="0024601E" w:rsidRDefault="00673ACE" w14:paraId="1717075E" w14:textId="3F3DAC04">
      <w:pPr>
        <w:pStyle w:val="H4Number"/>
        <w:tabs>
          <w:tab w:val="clear" w:pos="432"/>
          <w:tab w:val="left" w:pos="450"/>
        </w:tabs>
        <w:ind w:left="450" w:firstLine="0"/>
      </w:pPr>
      <w:bookmarkStart w:name="_Toc34223067" w:id="24"/>
      <w:bookmarkStart w:name="_Hlk31212191" w:id="25"/>
      <w:r>
        <w:t>Estimation procedures</w:t>
      </w:r>
      <w:bookmarkEnd w:id="24"/>
    </w:p>
    <w:p w:rsidR="00673ACE" w:rsidP="0024601E" w:rsidRDefault="00673ACE" w14:paraId="6982596B" w14:textId="0A690461">
      <w:pPr>
        <w:pStyle w:val="NormalSS"/>
        <w:ind w:left="810" w:firstLine="0"/>
      </w:pPr>
      <w:r>
        <w:t xml:space="preserve">The objective of the impact analysis is to provide statistically valid and reliable estimates of the effects of each Phase 2 RETAIN program on the outcomes of enrollees. Mathematica is currently working with Phase 1 states to develop potential rigorous impact study designs. </w:t>
      </w:r>
      <w:r w:rsidR="006C37DC">
        <w:t xml:space="preserve"> </w:t>
      </w:r>
      <w:r>
        <w:t xml:space="preserve">At this time, we expect all Phase 2 states to rely on experimental designs to estimate the causal impacts of RETAIN. </w:t>
      </w:r>
      <w:r w:rsidR="006C37DC">
        <w:t xml:space="preserve"> </w:t>
      </w:r>
      <w:r w:rsidRPr="00E30E83">
        <w:t xml:space="preserve">Random assignment will enable estimation of the net impact of </w:t>
      </w:r>
      <w:r>
        <w:t xml:space="preserve">RETAIN by </w:t>
      </w:r>
      <w:r w:rsidRPr="00E30E83">
        <w:t xml:space="preserve">comparing average outcomes across the </w:t>
      </w:r>
      <w:r>
        <w:t xml:space="preserve">treatment </w:t>
      </w:r>
      <w:r w:rsidRPr="00E30E83">
        <w:t>and control groups.</w:t>
      </w:r>
      <w:r>
        <w:t xml:space="preserve"> </w:t>
      </w:r>
      <w:r w:rsidR="006C37DC">
        <w:t xml:space="preserve"> </w:t>
      </w:r>
      <w:r>
        <w:t>Mathematica</w:t>
      </w:r>
      <w:r w:rsidRPr="00D11996">
        <w:t xml:space="preserve">’s analysis will focus on intent-to-treat estimates, which measure how the </w:t>
      </w:r>
      <w:r w:rsidRPr="00D11996">
        <w:rPr>
          <w:i/>
        </w:rPr>
        <w:t>offer</w:t>
      </w:r>
      <w:r w:rsidRPr="00D11996">
        <w:t xml:space="preserve"> of </w:t>
      </w:r>
      <w:r>
        <w:t>RETAIN services</w:t>
      </w:r>
      <w:r w:rsidRPr="00D11996">
        <w:t xml:space="preserve"> shaped </w:t>
      </w:r>
      <w:r>
        <w:t>enrollees</w:t>
      </w:r>
      <w:r w:rsidRPr="00D11996">
        <w:t>’ behavior after they enrolled in the demonstration.</w:t>
      </w:r>
    </w:p>
    <w:p w:rsidR="00673ACE" w:rsidP="0024601E" w:rsidRDefault="00673ACE" w14:paraId="48AD4785" w14:textId="7E9D1B78">
      <w:pPr>
        <w:pStyle w:val="NormalSS"/>
        <w:ind w:left="810" w:firstLine="0"/>
      </w:pPr>
      <w:r>
        <w:t xml:space="preserve">States are pursuing two different approaches to random assignment. </w:t>
      </w:r>
      <w:r w:rsidR="006C37DC">
        <w:t xml:space="preserve"> </w:t>
      </w:r>
      <w:r>
        <w:t xml:space="preserve">Some states are proposing individual-level random assignment, whereby eligible individuals would be randomly assigned to a treatment group offered </w:t>
      </w:r>
      <w:r w:rsidR="003B3E47">
        <w:t xml:space="preserve">to </w:t>
      </w:r>
      <w:r>
        <w:t xml:space="preserve">RETAIN services or to a control group that is not able to access RETAIN services. </w:t>
      </w:r>
      <w:r w:rsidR="006C37DC">
        <w:t xml:space="preserve"> </w:t>
      </w:r>
      <w:r>
        <w:t xml:space="preserve">Other states are proposing clustered random assignment, whereby </w:t>
      </w:r>
      <w:r w:rsidR="00683C0E">
        <w:t xml:space="preserve">the state will randomly assign </w:t>
      </w:r>
      <w:r>
        <w:t xml:space="preserve">a group of providers or a geographic area to the RETAIN treatment group and the other providers and areas continue to offer business-as-usual services. </w:t>
      </w:r>
      <w:r w:rsidR="006C37DC">
        <w:t xml:space="preserve"> </w:t>
      </w:r>
      <w:r>
        <w:t>Both of these random assignment designs provide causal impact estimates, but the designs have implications for the estimation procedures and the precision of the estimates.</w:t>
      </w:r>
    </w:p>
    <w:p w:rsidR="00673ACE" w:rsidP="0024601E" w:rsidRDefault="00673ACE" w14:paraId="3A9D9780" w14:textId="19D8BFC7">
      <w:pPr>
        <w:pStyle w:val="NormalSS"/>
        <w:ind w:left="810" w:firstLine="0"/>
      </w:pPr>
      <w:r w:rsidRPr="00D11996">
        <w:t xml:space="preserve">To avoid concerns about data mining and reduce the extent of false positives, </w:t>
      </w:r>
      <w:r>
        <w:t>Mathematica will pre-specify</w:t>
      </w:r>
      <w:r w:rsidRPr="003A4919">
        <w:t xml:space="preserve"> a parsimonious set of </w:t>
      </w:r>
      <w:r>
        <w:t xml:space="preserve">primary outcomes in important study domains. </w:t>
      </w:r>
      <w:r w:rsidR="006C37DC">
        <w:t xml:space="preserve"> </w:t>
      </w:r>
      <w:r>
        <w:t>A preliminary list of these outcomes includes</w:t>
      </w:r>
      <w:r w:rsidRPr="00D11996">
        <w:t xml:space="preserve"> employment</w:t>
      </w:r>
      <w:r>
        <w:t>, earnings, and applications for Social Security disability benefits</w:t>
      </w:r>
      <w:r w:rsidRPr="00D11996">
        <w:t xml:space="preserve">. </w:t>
      </w:r>
      <w:r w:rsidR="006C37DC">
        <w:t xml:space="preserve"> </w:t>
      </w:r>
      <w:r w:rsidRPr="00D11996">
        <w:t xml:space="preserve">The evaluation team will refine this list and define specific outcomes prior to conducting the analysis. </w:t>
      </w:r>
      <w:r w:rsidR="006C37DC">
        <w:t xml:space="preserve"> </w:t>
      </w:r>
      <w:r w:rsidRPr="00D11996">
        <w:t xml:space="preserve">Evaluation reports will also include results for secondary outcomes related to services received, </w:t>
      </w:r>
      <w:r>
        <w:t>job characteristics</w:t>
      </w:r>
      <w:r w:rsidRPr="00D11996">
        <w:t xml:space="preserve">, </w:t>
      </w:r>
      <w:r>
        <w:t>income, and health and well-being</w:t>
      </w:r>
      <w:r w:rsidRPr="00D11996">
        <w:t xml:space="preserve">. </w:t>
      </w:r>
      <w:r w:rsidR="006C37DC">
        <w:t xml:space="preserve"> </w:t>
      </w:r>
      <w:r w:rsidRPr="00D11996">
        <w:t xml:space="preserve">However, </w:t>
      </w:r>
      <w:r>
        <w:t xml:space="preserve">the evaluation team will consider </w:t>
      </w:r>
      <w:r w:rsidRPr="00D11996">
        <w:t>these results exploratory.  This approach</w:t>
      </w:r>
      <w:r>
        <w:t xml:space="preserve"> strikes a </w:t>
      </w:r>
      <w:r w:rsidRPr="003A4919">
        <w:t xml:space="preserve">balance </w:t>
      </w:r>
      <w:r>
        <w:t xml:space="preserve">between </w:t>
      </w:r>
      <w:r w:rsidRPr="003A4919">
        <w:t xml:space="preserve">addressing the multiple comparisons problem while maintaining the evaluation’s ability to detect policy-relevant impacts. </w:t>
      </w:r>
      <w:r>
        <w:t xml:space="preserve"> </w:t>
      </w:r>
    </w:p>
    <w:p w:rsidR="00673ACE" w:rsidP="0024601E" w:rsidRDefault="00673ACE" w14:paraId="4AC9EFB4" w14:textId="544AF532">
      <w:pPr>
        <w:pStyle w:val="H4Number"/>
        <w:tabs>
          <w:tab w:val="clear" w:pos="432"/>
          <w:tab w:val="left" w:pos="450"/>
        </w:tabs>
        <w:ind w:left="450" w:firstLine="0"/>
      </w:pPr>
      <w:bookmarkStart w:name="_Toc34223068" w:id="26"/>
      <w:r>
        <w:t>Precision of estimates</w:t>
      </w:r>
      <w:bookmarkEnd w:id="26"/>
    </w:p>
    <w:p w:rsidR="00673ACE" w:rsidP="0024601E" w:rsidRDefault="00673ACE" w14:paraId="3FFD9CF0" w14:textId="528E3AB8">
      <w:pPr>
        <w:pStyle w:val="NormalSS"/>
        <w:tabs>
          <w:tab w:val="left" w:pos="810"/>
        </w:tabs>
        <w:ind w:left="810" w:firstLine="0"/>
      </w:pPr>
      <w:r w:rsidRPr="0092048F">
        <w:t xml:space="preserve">Even with an experimental design, </w:t>
      </w:r>
      <w:r>
        <w:t xml:space="preserve">we need </w:t>
      </w:r>
      <w:r w:rsidRPr="0092048F">
        <w:t>sample sizes large enough to</w:t>
      </w:r>
      <w:r>
        <w:t xml:space="preserve"> provide sufficient statistical </w:t>
      </w:r>
      <w:r w:rsidRPr="0092048F">
        <w:t>power</w:t>
      </w:r>
      <w:r>
        <w:t xml:space="preserve"> for </w:t>
      </w:r>
      <w:r w:rsidRPr="0092048F">
        <w:t xml:space="preserve">statistically significant </w:t>
      </w:r>
      <w:r>
        <w:t xml:space="preserve">impact estimates </w:t>
      </w:r>
      <w:r w:rsidRPr="0092048F">
        <w:t xml:space="preserve">in cases where the program produces </w:t>
      </w:r>
      <w:r>
        <w:t>large enough estimates which</w:t>
      </w:r>
      <w:r w:rsidRPr="0092048F">
        <w:t xml:space="preserve"> policymakers or practitioners </w:t>
      </w:r>
      <w:r>
        <w:t>find meaningful</w:t>
      </w:r>
      <w:r w:rsidRPr="0092048F">
        <w:t xml:space="preserve">. </w:t>
      </w:r>
      <w:r w:rsidR="001026D9">
        <w:t xml:space="preserve"> </w:t>
      </w:r>
      <w:r>
        <w:t xml:space="preserve">Each state plans to enroll at least 3,000 individuals in the study and may have an enrollment target as large as 10,000 enrollees. </w:t>
      </w:r>
      <w:r w:rsidR="001026D9">
        <w:t xml:space="preserve"> </w:t>
      </w:r>
      <w:r>
        <w:t>Based</w:t>
      </w:r>
      <w:r w:rsidRPr="0092048F">
        <w:t xml:space="preserve"> on these sample sizes, we present in </w:t>
      </w:r>
      <w:r>
        <w:t>Exhibit</w:t>
      </w:r>
      <w:r w:rsidRPr="00C655CB">
        <w:t xml:space="preserve"> </w:t>
      </w:r>
      <w:r>
        <w:t>B2-1</w:t>
      </w:r>
      <w:r w:rsidRPr="0092048F">
        <w:t xml:space="preserve"> the minimum impacts we </w:t>
      </w:r>
      <w:r>
        <w:t>expect</w:t>
      </w:r>
      <w:r w:rsidRPr="0092048F">
        <w:t xml:space="preserve"> to detect using administrative </w:t>
      </w:r>
      <w:r>
        <w:t>and</w:t>
      </w:r>
      <w:r w:rsidRPr="0092048F">
        <w:t xml:space="preserve"> survey data</w:t>
      </w:r>
      <w:r>
        <w:t xml:space="preserve"> for</w:t>
      </w:r>
      <w:r w:rsidRPr="0092048F">
        <w:t xml:space="preserve"> o</w:t>
      </w:r>
      <w:r>
        <w:t xml:space="preserve">ur key outcome of not being employed the year after random assignment. </w:t>
      </w:r>
      <w:r w:rsidR="001026D9">
        <w:t xml:space="preserve"> </w:t>
      </w:r>
      <w:r w:rsidR="00302191">
        <w:t>We consider MDIs under two different study designs:</w:t>
      </w:r>
      <w:r w:rsidR="00683C0E">
        <w:t xml:space="preserve"> </w:t>
      </w:r>
      <w:r w:rsidR="00302191">
        <w:t xml:space="preserve"> individual random assignment and clustered random assignment.</w:t>
      </w:r>
    </w:p>
    <w:p w:rsidR="006D2B17" w:rsidP="0024601E" w:rsidRDefault="00673ACE" w14:paraId="751B3FDF" w14:textId="5EC4806D">
      <w:pPr>
        <w:pStyle w:val="NormalSS"/>
        <w:tabs>
          <w:tab w:val="left" w:pos="810"/>
        </w:tabs>
        <w:ind w:left="810" w:firstLine="0"/>
        <w:rPr>
          <w:rFonts w:ascii="TimesNewRomanPSMT" w:hAnsi="TimesNewRomanPSMT" w:cs="TimesNewRomanPSMT" w:eastAsiaTheme="minorHAnsi"/>
          <w:szCs w:val="24"/>
        </w:rPr>
      </w:pPr>
      <w:r w:rsidRPr="0092048F">
        <w:t xml:space="preserve">The minimum detectable impacts (MDIs) in </w:t>
      </w:r>
      <w:r>
        <w:t>Exhibit</w:t>
      </w:r>
      <w:r w:rsidRPr="00C655CB">
        <w:t xml:space="preserve"> </w:t>
      </w:r>
      <w:r w:rsidR="001026D9">
        <w:t>B</w:t>
      </w:r>
      <w:r>
        <w:t xml:space="preserve">2-1 </w:t>
      </w:r>
      <w:r w:rsidRPr="0092048F">
        <w:t>suggest that the planned study samples will support the detection of meaningful impacts</w:t>
      </w:r>
      <w:r w:rsidR="0066264B">
        <w:t xml:space="preserve"> consistent with estimates in the literature</w:t>
      </w:r>
      <w:r w:rsidRPr="0092048F">
        <w:t>.</w:t>
      </w:r>
      <w:r>
        <w:t xml:space="preserve"> </w:t>
      </w:r>
      <w:r w:rsidR="001026D9">
        <w:t xml:space="preserve"> </w:t>
      </w:r>
      <w:r w:rsidR="00A81984">
        <w:t xml:space="preserve">For example, under an individual random assignment design, we expect to detect program impacts of 3.6 percentage points or larger using administrative records, and 4.3 percentage points or larger using survey </w:t>
      </w:r>
      <w:r w:rsidR="00853138">
        <w:t>data</w:t>
      </w:r>
      <w:r w:rsidR="00A81984">
        <w:t xml:space="preserve">. </w:t>
      </w:r>
      <w:r w:rsidR="001026D9">
        <w:t xml:space="preserve"> </w:t>
      </w:r>
      <w:r w:rsidR="00853138">
        <w:t>Th</w:t>
      </w:r>
      <w:r w:rsidR="00B57D2A">
        <w:t>ese</w:t>
      </w:r>
      <w:r w:rsidR="00853138">
        <w:t xml:space="preserve"> MDI</w:t>
      </w:r>
      <w:r w:rsidR="00B57D2A">
        <w:t>s</w:t>
      </w:r>
      <w:r w:rsidR="00853138">
        <w:t xml:space="preserve"> </w:t>
      </w:r>
      <w:r w:rsidR="00B57D2A">
        <w:t>represent</w:t>
      </w:r>
      <w:r w:rsidR="00853138">
        <w:t xml:space="preserve"> a 14</w:t>
      </w:r>
      <w:r w:rsidR="00B57D2A">
        <w:t>–</w:t>
      </w:r>
      <w:r w:rsidR="00853138">
        <w:t xml:space="preserve">17 percent reduction in the share of individuals not employed the year after random assignment. </w:t>
      </w:r>
      <w:r w:rsidR="001026D9">
        <w:t xml:space="preserve"> </w:t>
      </w:r>
      <w:r w:rsidR="00853138">
        <w:t xml:space="preserve">A rigorous evaluation of the Centers of Occupational Health and Education pilot found that the program reduced </w:t>
      </w:r>
      <w:r w:rsidR="00853138">
        <w:rPr>
          <w:rFonts w:ascii="TimesNewRomanPSMT" w:hAnsi="TimesNewRomanPSMT" w:cs="TimesNewRomanPSMT" w:eastAsiaTheme="minorHAnsi"/>
          <w:szCs w:val="24"/>
        </w:rPr>
        <w:t xml:space="preserve">joblessness at 12 months by 21 percent (Wickizeret et al. 2011), a larger impact than the MDIs presented here. </w:t>
      </w:r>
    </w:p>
    <w:p w:rsidR="00853138" w:rsidP="0024601E" w:rsidRDefault="00853138" w14:paraId="710FB8EB" w14:textId="039FB830">
      <w:pPr>
        <w:pStyle w:val="NormalSS"/>
        <w:tabs>
          <w:tab w:val="left" w:pos="810"/>
        </w:tabs>
        <w:ind w:left="810" w:firstLine="0"/>
      </w:pPr>
      <w:r>
        <w:rPr>
          <w:rFonts w:ascii="TimesNewRomanPSMT" w:hAnsi="TimesNewRomanPSMT" w:cs="TimesNewRomanPSMT" w:eastAsiaTheme="minorHAnsi"/>
          <w:szCs w:val="24"/>
        </w:rPr>
        <w:t xml:space="preserve">The MDIs are larger for the clustered random assignment design, but still consistent with findings from the previous literature. </w:t>
      </w:r>
      <w:r w:rsidR="001026D9">
        <w:rPr>
          <w:rFonts w:ascii="TimesNewRomanPSMT" w:hAnsi="TimesNewRomanPSMT" w:cs="TimesNewRomanPSMT" w:eastAsiaTheme="minorHAnsi"/>
          <w:szCs w:val="24"/>
        </w:rPr>
        <w:t xml:space="preserve"> </w:t>
      </w:r>
      <w:r>
        <w:rPr>
          <w:rFonts w:ascii="TimesNewRomanPSMT" w:hAnsi="TimesNewRomanPSMT" w:cs="TimesNewRomanPSMT" w:eastAsiaTheme="minorHAnsi"/>
          <w:szCs w:val="24"/>
        </w:rPr>
        <w:t>For example, under a clustered random assignment design, we expect to detect program impacts of 3.7 percentage points or larger using administrative records, and 4.9 percentage points or larger using survey data.</w:t>
      </w:r>
      <w:r w:rsidR="00B57D2A">
        <w:rPr>
          <w:rFonts w:ascii="TimesNewRomanPSMT" w:hAnsi="TimesNewRomanPSMT" w:cs="TimesNewRomanPSMT" w:eastAsiaTheme="minorHAnsi"/>
          <w:szCs w:val="24"/>
        </w:rPr>
        <w:t xml:space="preserve"> </w:t>
      </w:r>
      <w:r w:rsidR="001026D9">
        <w:rPr>
          <w:rFonts w:ascii="TimesNewRomanPSMT" w:hAnsi="TimesNewRomanPSMT" w:cs="TimesNewRomanPSMT" w:eastAsiaTheme="minorHAnsi"/>
          <w:szCs w:val="24"/>
        </w:rPr>
        <w:t xml:space="preserve"> </w:t>
      </w:r>
      <w:r w:rsidR="00B57D2A">
        <w:rPr>
          <w:rFonts w:ascii="TimesNewRomanPSMT" w:hAnsi="TimesNewRomanPSMT" w:cs="TimesNewRomanPSMT" w:eastAsiaTheme="minorHAnsi"/>
          <w:szCs w:val="24"/>
        </w:rPr>
        <w:t xml:space="preserve">These MDIs represent a </w:t>
      </w:r>
      <w:r w:rsidR="00B57D2A">
        <w:t>15–20 percent reduction in the share of individuals not employed the year after random assignment.</w:t>
      </w:r>
    </w:p>
    <w:p w:rsidR="00673ACE" w:rsidP="00673ACE" w:rsidRDefault="00673ACE" w14:paraId="1A9F55C2" w14:textId="04D08590">
      <w:pPr>
        <w:pStyle w:val="MarkforExhibitTitle"/>
      </w:pPr>
      <w:bookmarkStart w:name="_Toc34223098" w:id="27"/>
      <w:r>
        <w:t>Exhibit</w:t>
      </w:r>
      <w:r w:rsidRPr="00C655CB">
        <w:t xml:space="preserve"> </w:t>
      </w:r>
      <w:r w:rsidR="0024601E">
        <w:t>B</w:t>
      </w:r>
      <w:r>
        <w:t>2-1</w:t>
      </w:r>
      <w:r w:rsidRPr="00C655CB">
        <w:t xml:space="preserve">. </w:t>
      </w:r>
      <w:r>
        <w:t>MDIs, by study design and data source</w:t>
      </w:r>
      <w:bookmarkEnd w:id="27"/>
    </w:p>
    <w:tbl>
      <w:tblPr>
        <w:tblW w:w="9450" w:type="dxa"/>
        <w:tblLayout w:type="fixed"/>
        <w:tblCellMar>
          <w:left w:w="0" w:type="dxa"/>
          <w:right w:w="0" w:type="dxa"/>
        </w:tblCellMar>
        <w:tblLook w:val="04A0" w:firstRow="1" w:lastRow="0" w:firstColumn="1" w:lastColumn="0" w:noHBand="0" w:noVBand="1"/>
      </w:tblPr>
      <w:tblGrid>
        <w:gridCol w:w="3150"/>
        <w:gridCol w:w="1050"/>
        <w:gridCol w:w="1050"/>
        <w:gridCol w:w="1050"/>
        <w:gridCol w:w="1050"/>
        <w:gridCol w:w="1050"/>
        <w:gridCol w:w="1050"/>
      </w:tblGrid>
      <w:tr w:rsidR="00103F4F" w:rsidTr="00137F8E" w14:paraId="488E710F" w14:textId="77BE8CB2">
        <w:tc>
          <w:tcPr>
            <w:tcW w:w="3150" w:type="dxa"/>
            <w:shd w:val="clear" w:color="auto" w:fill="046B5C"/>
            <w:tcMar>
              <w:top w:w="0" w:type="dxa"/>
              <w:left w:w="108" w:type="dxa"/>
              <w:bottom w:w="0" w:type="dxa"/>
              <w:right w:w="108" w:type="dxa"/>
            </w:tcMar>
          </w:tcPr>
          <w:p w:rsidR="00103F4F" w:rsidP="00A84B0B" w:rsidRDefault="00103F4F" w14:paraId="6DA9B9AF" w14:textId="77777777">
            <w:pPr>
              <w:pStyle w:val="TableHeaderCenter"/>
            </w:pPr>
          </w:p>
        </w:tc>
        <w:tc>
          <w:tcPr>
            <w:tcW w:w="3150" w:type="dxa"/>
            <w:gridSpan w:val="3"/>
            <w:tcBorders>
              <w:bottom w:val="single" w:color="FFFFFF" w:themeColor="background1" w:sz="4" w:space="0"/>
            </w:tcBorders>
            <w:shd w:val="clear" w:color="auto" w:fill="046B5C"/>
          </w:tcPr>
          <w:p w:rsidR="00103F4F" w:rsidP="00A84B0B" w:rsidRDefault="00103F4F" w14:paraId="23454FFC" w14:textId="1166671C">
            <w:pPr>
              <w:pStyle w:val="TableHeaderCenter"/>
              <w:rPr>
                <w:bCs/>
              </w:rPr>
            </w:pPr>
            <w:r>
              <w:rPr>
                <w:bCs/>
              </w:rPr>
              <w:t>Individual random assignment</w:t>
            </w:r>
          </w:p>
        </w:tc>
        <w:tc>
          <w:tcPr>
            <w:tcW w:w="3150" w:type="dxa"/>
            <w:gridSpan w:val="3"/>
            <w:tcBorders>
              <w:bottom w:val="single" w:color="FFFFFF" w:themeColor="background1" w:sz="4" w:space="0"/>
            </w:tcBorders>
            <w:shd w:val="clear" w:color="auto" w:fill="046B5C"/>
          </w:tcPr>
          <w:p w:rsidR="00103F4F" w:rsidP="00A84B0B" w:rsidRDefault="00103F4F" w14:paraId="642890CF" w14:textId="4D653862">
            <w:pPr>
              <w:pStyle w:val="TableHeaderCenter"/>
              <w:rPr>
                <w:bCs/>
              </w:rPr>
            </w:pPr>
            <w:r>
              <w:rPr>
                <w:bCs/>
              </w:rPr>
              <w:t>Clustered random assignment</w:t>
            </w:r>
          </w:p>
        </w:tc>
      </w:tr>
      <w:tr w:rsidR="00103F4F" w:rsidTr="00137F8E" w14:paraId="53FCB9EF" w14:textId="034830B1">
        <w:tc>
          <w:tcPr>
            <w:tcW w:w="3150" w:type="dxa"/>
            <w:tcBorders>
              <w:top w:val="nil"/>
            </w:tcBorders>
            <w:shd w:val="clear" w:color="auto" w:fill="046B5C"/>
            <w:tcMar>
              <w:top w:w="0" w:type="dxa"/>
              <w:left w:w="108" w:type="dxa"/>
              <w:bottom w:w="0" w:type="dxa"/>
              <w:right w:w="108" w:type="dxa"/>
            </w:tcMar>
            <w:vAlign w:val="bottom"/>
          </w:tcPr>
          <w:p w:rsidR="00103F4F" w:rsidP="00A84B0B" w:rsidRDefault="00103F4F" w14:paraId="1B941A27" w14:textId="2F61CD8F">
            <w:pPr>
              <w:pStyle w:val="TableHeaderCenter"/>
            </w:pPr>
          </w:p>
        </w:tc>
        <w:tc>
          <w:tcPr>
            <w:tcW w:w="1050" w:type="dxa"/>
            <w:tcBorders>
              <w:top w:val="single" w:color="FFFFFF" w:themeColor="background1" w:sz="4" w:space="0"/>
              <w:right w:val="single" w:color="FFFFFF" w:themeColor="background1" w:sz="4" w:space="0"/>
            </w:tcBorders>
            <w:shd w:val="clear" w:color="auto" w:fill="046B5C"/>
            <w:tcMar>
              <w:top w:w="0" w:type="dxa"/>
              <w:left w:w="108" w:type="dxa"/>
              <w:bottom w:w="0" w:type="dxa"/>
              <w:right w:w="108" w:type="dxa"/>
            </w:tcMar>
            <w:vAlign w:val="bottom"/>
            <w:hideMark/>
          </w:tcPr>
          <w:p w:rsidR="00103F4F" w:rsidP="00A84B0B" w:rsidRDefault="00103F4F" w14:paraId="1BBC0B82" w14:textId="77777777">
            <w:pPr>
              <w:pStyle w:val="TableHeaderCenter"/>
              <w:rPr>
                <w:bCs/>
              </w:rPr>
            </w:pPr>
            <w:r>
              <w:rPr>
                <w:bCs/>
              </w:rPr>
              <w:t>Sample size</w:t>
            </w:r>
          </w:p>
        </w:tc>
        <w:tc>
          <w:tcPr>
            <w:tcW w:w="1050" w:type="dxa"/>
            <w:tcBorders>
              <w:top w:val="single" w:color="FFFFFF" w:themeColor="background1" w:sz="4" w:space="0"/>
              <w:left w:val="single" w:color="FFFFFF" w:themeColor="background1" w:sz="4" w:space="0"/>
              <w:right w:val="single" w:color="FFFFFF" w:themeColor="background1" w:sz="4" w:space="0"/>
            </w:tcBorders>
            <w:shd w:val="clear" w:color="auto" w:fill="046B5C"/>
            <w:vAlign w:val="bottom"/>
          </w:tcPr>
          <w:p w:rsidR="00103F4F" w:rsidP="00A84B0B" w:rsidRDefault="00103F4F" w14:paraId="1E1C171E" w14:textId="4536D823">
            <w:pPr>
              <w:pStyle w:val="TableHeaderCenter"/>
              <w:rPr>
                <w:bCs/>
              </w:rPr>
            </w:pPr>
            <w:r>
              <w:rPr>
                <w:bCs/>
              </w:rPr>
              <w:t>MDI</w:t>
            </w:r>
          </w:p>
        </w:tc>
        <w:tc>
          <w:tcPr>
            <w:tcW w:w="1050" w:type="dxa"/>
            <w:tcBorders>
              <w:top w:val="single" w:color="FFFFFF" w:themeColor="background1" w:sz="4" w:space="0"/>
              <w:left w:val="single" w:color="FFFFFF" w:themeColor="background1" w:sz="4" w:space="0"/>
              <w:right w:val="single" w:color="FFFFFF" w:themeColor="background1" w:sz="4" w:space="0"/>
            </w:tcBorders>
            <w:shd w:val="clear" w:color="auto" w:fill="046B5C"/>
            <w:tcMar>
              <w:top w:w="0" w:type="dxa"/>
              <w:left w:w="108" w:type="dxa"/>
              <w:bottom w:w="0" w:type="dxa"/>
              <w:right w:w="108" w:type="dxa"/>
            </w:tcMar>
            <w:vAlign w:val="bottom"/>
            <w:hideMark/>
          </w:tcPr>
          <w:p w:rsidR="00103F4F" w:rsidP="00A84B0B" w:rsidRDefault="00103F4F" w14:paraId="0EAF0A33" w14:textId="7DCD18EC">
            <w:pPr>
              <w:pStyle w:val="TableHeaderCenter"/>
              <w:rPr>
                <w:bCs/>
              </w:rPr>
            </w:pPr>
            <w:r>
              <w:rPr>
                <w:bCs/>
              </w:rPr>
              <w:t>Relative MDI</w:t>
            </w:r>
            <w:r w:rsidR="00A84B0B">
              <w:rPr>
                <w:bCs/>
              </w:rPr>
              <w:t xml:space="preserve"> </w:t>
            </w:r>
            <w:r>
              <w:rPr>
                <w:bCs/>
              </w:rPr>
              <w:t>%</w:t>
            </w:r>
          </w:p>
        </w:tc>
        <w:tc>
          <w:tcPr>
            <w:tcW w:w="1050" w:type="dxa"/>
            <w:tcBorders>
              <w:top w:val="single" w:color="FFFFFF" w:themeColor="background1" w:sz="4" w:space="0"/>
              <w:left w:val="single" w:color="FFFFFF" w:themeColor="background1" w:sz="4" w:space="0"/>
              <w:right w:val="single" w:color="FFFFFF" w:themeColor="background1" w:sz="4" w:space="0"/>
            </w:tcBorders>
            <w:shd w:val="clear" w:color="auto" w:fill="046B5C"/>
            <w:vAlign w:val="bottom"/>
          </w:tcPr>
          <w:p w:rsidR="00103F4F" w:rsidP="00A84B0B" w:rsidRDefault="00103F4F" w14:paraId="268A634B" w14:textId="4897D67C">
            <w:pPr>
              <w:pStyle w:val="TableHeaderCenter"/>
              <w:rPr>
                <w:bCs/>
              </w:rPr>
            </w:pPr>
            <w:r>
              <w:rPr>
                <w:bCs/>
              </w:rPr>
              <w:t>Sample size</w:t>
            </w:r>
          </w:p>
        </w:tc>
        <w:tc>
          <w:tcPr>
            <w:tcW w:w="1050" w:type="dxa"/>
            <w:tcBorders>
              <w:top w:val="single" w:color="FFFFFF" w:themeColor="background1" w:sz="4" w:space="0"/>
              <w:left w:val="single" w:color="FFFFFF" w:themeColor="background1" w:sz="4" w:space="0"/>
              <w:right w:val="single" w:color="FFFFFF" w:themeColor="background1" w:sz="4" w:space="0"/>
            </w:tcBorders>
            <w:shd w:val="clear" w:color="auto" w:fill="046B5C"/>
            <w:vAlign w:val="bottom"/>
          </w:tcPr>
          <w:p w:rsidR="00103F4F" w:rsidP="00A84B0B" w:rsidRDefault="00103F4F" w14:paraId="3C673834" w14:textId="040C3A87">
            <w:pPr>
              <w:pStyle w:val="TableHeaderCenter"/>
              <w:rPr>
                <w:bCs/>
              </w:rPr>
            </w:pPr>
            <w:r>
              <w:rPr>
                <w:bCs/>
              </w:rPr>
              <w:t>MDI</w:t>
            </w:r>
          </w:p>
        </w:tc>
        <w:tc>
          <w:tcPr>
            <w:tcW w:w="1050" w:type="dxa"/>
            <w:tcBorders>
              <w:top w:val="single" w:color="FFFFFF" w:themeColor="background1" w:sz="4" w:space="0"/>
              <w:left w:val="single" w:color="FFFFFF" w:themeColor="background1" w:sz="4" w:space="0"/>
            </w:tcBorders>
            <w:shd w:val="clear" w:color="auto" w:fill="046B5C"/>
            <w:vAlign w:val="bottom"/>
          </w:tcPr>
          <w:p w:rsidR="00103F4F" w:rsidP="00A84B0B" w:rsidRDefault="00103F4F" w14:paraId="0380A177" w14:textId="41451609">
            <w:pPr>
              <w:pStyle w:val="TableHeaderCenter"/>
              <w:rPr>
                <w:bCs/>
              </w:rPr>
            </w:pPr>
            <w:r>
              <w:rPr>
                <w:bCs/>
              </w:rPr>
              <w:t>Relative MDI</w:t>
            </w:r>
            <w:r w:rsidR="00A84B0B">
              <w:rPr>
                <w:bCs/>
              </w:rPr>
              <w:t xml:space="preserve"> </w:t>
            </w:r>
            <w:r>
              <w:rPr>
                <w:bCs/>
              </w:rPr>
              <w:t>%</w:t>
            </w:r>
          </w:p>
        </w:tc>
      </w:tr>
      <w:tr w:rsidRPr="00F5182A" w:rsidR="00D15282" w:rsidTr="00137F8E" w14:paraId="2B672777" w14:textId="78BEF752">
        <w:tc>
          <w:tcPr>
            <w:tcW w:w="9450" w:type="dxa"/>
            <w:gridSpan w:val="7"/>
            <w:tcBorders>
              <w:bottom w:val="single" w:color="auto" w:sz="4" w:space="0"/>
            </w:tcBorders>
            <w:shd w:val="clear" w:color="auto" w:fill="E0D4B5"/>
            <w:tcMar>
              <w:top w:w="0" w:type="dxa"/>
              <w:left w:w="108" w:type="dxa"/>
              <w:bottom w:w="0" w:type="dxa"/>
              <w:right w:w="108" w:type="dxa"/>
            </w:tcMar>
          </w:tcPr>
          <w:p w:rsidRPr="00F5182A" w:rsidR="00D15282" w:rsidP="00F5182A" w:rsidRDefault="00D15282" w14:paraId="5122F240" w14:textId="3C25A1AE">
            <w:pPr>
              <w:pStyle w:val="TableText"/>
              <w:spacing w:before="60" w:after="60"/>
              <w:rPr>
                <w:b/>
                <w:bCs/>
              </w:rPr>
            </w:pPr>
            <w:r w:rsidRPr="00F5182A">
              <w:rPr>
                <w:b/>
                <w:bCs/>
              </w:rPr>
              <w:t>Follow-up data from administrative records</w:t>
            </w:r>
          </w:p>
        </w:tc>
      </w:tr>
      <w:tr w:rsidR="00103F4F" w:rsidTr="00137F8E" w14:paraId="3CE611D2" w14:textId="44B45A57">
        <w:tc>
          <w:tcPr>
            <w:tcW w:w="3150" w:type="dxa"/>
            <w:tcBorders>
              <w:top w:val="single" w:color="auto" w:sz="4" w:space="0"/>
              <w:bottom w:val="single" w:color="auto" w:sz="4" w:space="0"/>
              <w:right w:val="single" w:color="auto" w:sz="4" w:space="0"/>
            </w:tcBorders>
            <w:tcMar>
              <w:top w:w="0" w:type="dxa"/>
              <w:left w:w="108" w:type="dxa"/>
              <w:bottom w:w="0" w:type="dxa"/>
              <w:right w:w="108" w:type="dxa"/>
            </w:tcMar>
            <w:hideMark/>
          </w:tcPr>
          <w:p w:rsidR="00103F4F" w:rsidP="00F5182A" w:rsidRDefault="00103F4F" w14:paraId="2175DDB8" w14:textId="751B323D">
            <w:pPr>
              <w:pStyle w:val="TableText"/>
              <w:spacing w:before="60" w:after="60"/>
            </w:pPr>
            <w:r>
              <w:t xml:space="preserve">Whether not-employed the calendar year after random assignment </w:t>
            </w:r>
          </w:p>
        </w:tc>
        <w:tc>
          <w:tcPr>
            <w:tcW w:w="1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hideMark/>
          </w:tcPr>
          <w:p w:rsidR="00103F4F" w:rsidP="00F5182A" w:rsidRDefault="00103F4F" w14:paraId="41C791CB" w14:textId="77777777">
            <w:pPr>
              <w:pStyle w:val="TableText"/>
              <w:tabs>
                <w:tab w:val="decimal" w:pos="664"/>
              </w:tabs>
              <w:spacing w:before="60" w:after="60"/>
            </w:pPr>
            <w:r>
              <w:t>3,500</w:t>
            </w:r>
          </w:p>
        </w:tc>
        <w:tc>
          <w:tcPr>
            <w:tcW w:w="1050" w:type="dxa"/>
            <w:tcBorders>
              <w:top w:val="single" w:color="auto" w:sz="4" w:space="0"/>
              <w:left w:val="single" w:color="auto" w:sz="4" w:space="0"/>
              <w:bottom w:val="single" w:color="auto" w:sz="4" w:space="0"/>
              <w:right w:val="single" w:color="auto" w:sz="4" w:space="0"/>
            </w:tcBorders>
            <w:vAlign w:val="bottom"/>
          </w:tcPr>
          <w:p w:rsidR="00103F4F" w:rsidP="00F5182A" w:rsidRDefault="00103F4F" w14:paraId="331D401E" w14:textId="6E0F6341">
            <w:pPr>
              <w:pStyle w:val="TableText"/>
              <w:tabs>
                <w:tab w:val="decimal" w:pos="517"/>
              </w:tabs>
              <w:spacing w:before="60" w:after="60"/>
            </w:pPr>
            <w:r>
              <w:t>0.036</w:t>
            </w:r>
          </w:p>
        </w:tc>
        <w:tc>
          <w:tcPr>
            <w:tcW w:w="1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hideMark/>
          </w:tcPr>
          <w:p w:rsidR="00103F4F" w:rsidP="00F5182A" w:rsidRDefault="00103F4F" w14:paraId="2030EA32" w14:textId="1C4ED07B">
            <w:pPr>
              <w:pStyle w:val="TableText"/>
              <w:tabs>
                <w:tab w:val="decimal" w:pos="517"/>
              </w:tabs>
              <w:spacing w:before="60" w:after="60"/>
            </w:pPr>
            <w:r>
              <w:t>14.2</w:t>
            </w:r>
          </w:p>
        </w:tc>
        <w:tc>
          <w:tcPr>
            <w:tcW w:w="1050" w:type="dxa"/>
            <w:tcBorders>
              <w:top w:val="single" w:color="auto" w:sz="4" w:space="0"/>
              <w:left w:val="single" w:color="auto" w:sz="4" w:space="0"/>
              <w:bottom w:val="single" w:color="auto" w:sz="4" w:space="0"/>
              <w:right w:val="single" w:color="auto" w:sz="4" w:space="0"/>
            </w:tcBorders>
            <w:vAlign w:val="bottom"/>
          </w:tcPr>
          <w:p w:rsidR="00103F4F" w:rsidP="00F5182A" w:rsidRDefault="00103F4F" w14:paraId="693AB4C9" w14:textId="77777777">
            <w:pPr>
              <w:pStyle w:val="TableText"/>
              <w:tabs>
                <w:tab w:val="decimal" w:pos="664"/>
              </w:tabs>
              <w:spacing w:before="60" w:after="60"/>
            </w:pPr>
            <w:r>
              <w:t>6,000</w:t>
            </w:r>
          </w:p>
          <w:p w:rsidR="00103F4F" w:rsidP="00F5182A" w:rsidRDefault="00103F4F" w14:paraId="3971FAD7" w14:textId="361C990F">
            <w:pPr>
              <w:pStyle w:val="TableText"/>
              <w:tabs>
                <w:tab w:val="decimal" w:pos="664"/>
              </w:tabs>
              <w:spacing w:before="60" w:after="60"/>
            </w:pPr>
            <w:r>
              <w:t>(175)</w:t>
            </w:r>
          </w:p>
        </w:tc>
        <w:tc>
          <w:tcPr>
            <w:tcW w:w="1050" w:type="dxa"/>
            <w:tcBorders>
              <w:top w:val="single" w:color="auto" w:sz="4" w:space="0"/>
              <w:left w:val="single" w:color="auto" w:sz="4" w:space="0"/>
              <w:bottom w:val="single" w:color="auto" w:sz="4" w:space="0"/>
              <w:right w:val="single" w:color="auto" w:sz="4" w:space="0"/>
            </w:tcBorders>
            <w:vAlign w:val="bottom"/>
          </w:tcPr>
          <w:p w:rsidR="00103F4F" w:rsidP="00F5182A" w:rsidRDefault="00103F4F" w14:paraId="6D90BCB9" w14:textId="438BF37E">
            <w:pPr>
              <w:pStyle w:val="TableText"/>
              <w:tabs>
                <w:tab w:val="decimal" w:pos="517"/>
              </w:tabs>
              <w:spacing w:before="60" w:after="60"/>
            </w:pPr>
            <w:r>
              <w:t>0.037</w:t>
            </w:r>
          </w:p>
        </w:tc>
        <w:tc>
          <w:tcPr>
            <w:tcW w:w="1050" w:type="dxa"/>
            <w:tcBorders>
              <w:top w:val="single" w:color="auto" w:sz="4" w:space="0"/>
              <w:left w:val="single" w:color="auto" w:sz="4" w:space="0"/>
              <w:bottom w:val="single" w:color="auto" w:sz="4" w:space="0"/>
            </w:tcBorders>
            <w:vAlign w:val="bottom"/>
          </w:tcPr>
          <w:p w:rsidR="00103F4F" w:rsidP="00F5182A" w:rsidRDefault="00103F4F" w14:paraId="55FA9452" w14:textId="0D5B21D0">
            <w:pPr>
              <w:pStyle w:val="TableText"/>
              <w:tabs>
                <w:tab w:val="decimal" w:pos="664"/>
              </w:tabs>
              <w:spacing w:before="60" w:after="60"/>
            </w:pPr>
            <w:r>
              <w:t>14.7</w:t>
            </w:r>
          </w:p>
        </w:tc>
      </w:tr>
      <w:tr w:rsidRPr="00F5182A" w:rsidR="00D15282" w:rsidTr="00137F8E" w14:paraId="08C658F6" w14:textId="0918EA08">
        <w:tc>
          <w:tcPr>
            <w:tcW w:w="9450" w:type="dxa"/>
            <w:gridSpan w:val="7"/>
            <w:tcBorders>
              <w:top w:val="single" w:color="auto" w:sz="4" w:space="0"/>
              <w:bottom w:val="single" w:color="auto" w:sz="4" w:space="0"/>
            </w:tcBorders>
            <w:shd w:val="clear" w:color="auto" w:fill="E0D4B5"/>
            <w:tcMar>
              <w:top w:w="0" w:type="dxa"/>
              <w:left w:w="108" w:type="dxa"/>
              <w:bottom w:w="0" w:type="dxa"/>
              <w:right w:w="108" w:type="dxa"/>
            </w:tcMar>
          </w:tcPr>
          <w:p w:rsidRPr="00F5182A" w:rsidR="00D15282" w:rsidP="00F5182A" w:rsidRDefault="00D15282" w14:paraId="1BD6D906" w14:textId="465FF1E2">
            <w:pPr>
              <w:pStyle w:val="TableText"/>
              <w:spacing w:before="60" w:after="60"/>
              <w:rPr>
                <w:b/>
                <w:bCs/>
              </w:rPr>
            </w:pPr>
            <w:r w:rsidRPr="00F5182A">
              <w:rPr>
                <w:b/>
                <w:bCs/>
              </w:rPr>
              <w:t xml:space="preserve">Follow-up data from surveys </w:t>
            </w:r>
          </w:p>
        </w:tc>
      </w:tr>
      <w:tr w:rsidR="00103F4F" w:rsidTr="00137F8E" w14:paraId="08D662AD" w14:textId="1C5083CA">
        <w:tc>
          <w:tcPr>
            <w:tcW w:w="3150" w:type="dxa"/>
            <w:tcBorders>
              <w:top w:val="single" w:color="auto" w:sz="4" w:space="0"/>
              <w:bottom w:val="single" w:color="auto" w:sz="4" w:space="0"/>
              <w:right w:val="single" w:color="auto" w:sz="4" w:space="0"/>
            </w:tcBorders>
            <w:tcMar>
              <w:top w:w="0" w:type="dxa"/>
              <w:left w:w="108" w:type="dxa"/>
              <w:bottom w:w="0" w:type="dxa"/>
              <w:right w:w="108" w:type="dxa"/>
            </w:tcMar>
            <w:hideMark/>
          </w:tcPr>
          <w:p w:rsidR="00103F4F" w:rsidP="00F5182A" w:rsidRDefault="00103F4F" w14:paraId="61467BD4" w14:textId="48197F00">
            <w:pPr>
              <w:pStyle w:val="TableText"/>
              <w:spacing w:before="60" w:after="60"/>
            </w:pPr>
            <w:r>
              <w:t xml:space="preserve">Whether not-employed one year after random assignment </w:t>
            </w:r>
          </w:p>
        </w:tc>
        <w:tc>
          <w:tcPr>
            <w:tcW w:w="1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hideMark/>
          </w:tcPr>
          <w:p w:rsidR="00103F4F" w:rsidP="00F5182A" w:rsidRDefault="00103F4F" w14:paraId="68096C59" w14:textId="77777777">
            <w:pPr>
              <w:pStyle w:val="TableText"/>
              <w:tabs>
                <w:tab w:val="decimal" w:pos="664"/>
              </w:tabs>
              <w:spacing w:before="60" w:after="60"/>
            </w:pPr>
            <w:r>
              <w:t>2,400</w:t>
            </w:r>
          </w:p>
        </w:tc>
        <w:tc>
          <w:tcPr>
            <w:tcW w:w="1050" w:type="dxa"/>
            <w:tcBorders>
              <w:top w:val="single" w:color="auto" w:sz="4" w:space="0"/>
              <w:left w:val="single" w:color="auto" w:sz="4" w:space="0"/>
              <w:bottom w:val="single" w:color="auto" w:sz="4" w:space="0"/>
              <w:right w:val="single" w:color="auto" w:sz="4" w:space="0"/>
            </w:tcBorders>
            <w:vAlign w:val="bottom"/>
          </w:tcPr>
          <w:p w:rsidR="00103F4F" w:rsidP="00F5182A" w:rsidRDefault="00103F4F" w14:paraId="154B2A98" w14:textId="5F5B67F8">
            <w:pPr>
              <w:pStyle w:val="TableText"/>
              <w:tabs>
                <w:tab w:val="decimal" w:pos="517"/>
              </w:tabs>
              <w:spacing w:before="60" w:after="60"/>
            </w:pPr>
            <w:r>
              <w:t>0.043</w:t>
            </w:r>
          </w:p>
        </w:tc>
        <w:tc>
          <w:tcPr>
            <w:tcW w:w="1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hideMark/>
          </w:tcPr>
          <w:p w:rsidR="00103F4F" w:rsidP="00F5182A" w:rsidRDefault="00103F4F" w14:paraId="4C8E8798" w14:textId="16A0BEC0">
            <w:pPr>
              <w:pStyle w:val="TableText"/>
              <w:tabs>
                <w:tab w:val="decimal" w:pos="517"/>
              </w:tabs>
              <w:spacing w:before="60" w:after="60"/>
            </w:pPr>
            <w:r>
              <w:t>17.1</w:t>
            </w:r>
          </w:p>
        </w:tc>
        <w:tc>
          <w:tcPr>
            <w:tcW w:w="1050" w:type="dxa"/>
            <w:tcBorders>
              <w:top w:val="single" w:color="auto" w:sz="4" w:space="0"/>
              <w:left w:val="single" w:color="auto" w:sz="4" w:space="0"/>
              <w:bottom w:val="single" w:color="auto" w:sz="4" w:space="0"/>
              <w:right w:val="single" w:color="auto" w:sz="4" w:space="0"/>
            </w:tcBorders>
            <w:vAlign w:val="bottom"/>
          </w:tcPr>
          <w:p w:rsidR="00103F4F" w:rsidP="00F5182A" w:rsidRDefault="00103F4F" w14:paraId="05913C55" w14:textId="77777777">
            <w:pPr>
              <w:pStyle w:val="TableText"/>
              <w:tabs>
                <w:tab w:val="decimal" w:pos="664"/>
              </w:tabs>
              <w:spacing w:before="60" w:after="60"/>
            </w:pPr>
            <w:r>
              <w:t>2,400</w:t>
            </w:r>
          </w:p>
          <w:p w:rsidR="00103F4F" w:rsidP="00F5182A" w:rsidRDefault="00103F4F" w14:paraId="6A45AA59" w14:textId="6E99D096">
            <w:pPr>
              <w:pStyle w:val="TableText"/>
              <w:tabs>
                <w:tab w:val="decimal" w:pos="664"/>
              </w:tabs>
              <w:spacing w:before="60" w:after="60"/>
            </w:pPr>
            <w:r>
              <w:t>(175)</w:t>
            </w:r>
          </w:p>
        </w:tc>
        <w:tc>
          <w:tcPr>
            <w:tcW w:w="1050" w:type="dxa"/>
            <w:tcBorders>
              <w:top w:val="single" w:color="auto" w:sz="4" w:space="0"/>
              <w:left w:val="single" w:color="auto" w:sz="4" w:space="0"/>
              <w:bottom w:val="single" w:color="auto" w:sz="4" w:space="0"/>
              <w:right w:val="single" w:color="auto" w:sz="4" w:space="0"/>
            </w:tcBorders>
            <w:vAlign w:val="bottom"/>
          </w:tcPr>
          <w:p w:rsidR="00103F4F" w:rsidP="00F5182A" w:rsidRDefault="00103F4F" w14:paraId="06C5B040" w14:textId="26B10F9D">
            <w:pPr>
              <w:pStyle w:val="TableText"/>
              <w:tabs>
                <w:tab w:val="decimal" w:pos="517"/>
              </w:tabs>
              <w:spacing w:before="60" w:after="60"/>
            </w:pPr>
            <w:r>
              <w:t>0.0</w:t>
            </w:r>
            <w:r w:rsidR="00D15282">
              <w:t>49</w:t>
            </w:r>
          </w:p>
        </w:tc>
        <w:tc>
          <w:tcPr>
            <w:tcW w:w="1050" w:type="dxa"/>
            <w:tcBorders>
              <w:top w:val="single" w:color="auto" w:sz="4" w:space="0"/>
              <w:left w:val="single" w:color="auto" w:sz="4" w:space="0"/>
              <w:bottom w:val="single" w:color="auto" w:sz="4" w:space="0"/>
            </w:tcBorders>
            <w:vAlign w:val="bottom"/>
          </w:tcPr>
          <w:p w:rsidR="00103F4F" w:rsidP="00F5182A" w:rsidRDefault="00D15282" w14:paraId="57DC903B" w14:textId="57D71F3B">
            <w:pPr>
              <w:pStyle w:val="TableText"/>
              <w:tabs>
                <w:tab w:val="decimal" w:pos="517"/>
              </w:tabs>
              <w:spacing w:before="60" w:after="60"/>
            </w:pPr>
            <w:r>
              <w:t>19.8</w:t>
            </w:r>
          </w:p>
        </w:tc>
      </w:tr>
    </w:tbl>
    <w:p w:rsidRPr="0087348B" w:rsidR="00673ACE" w:rsidP="00DF4C1A" w:rsidRDefault="00673ACE" w14:paraId="23943BAD" w14:textId="05C883A8">
      <w:pPr>
        <w:pStyle w:val="TableSourceCaption"/>
        <w:keepNext/>
        <w:spacing w:after="360"/>
      </w:pPr>
      <w:r w:rsidRPr="0087348B">
        <w:t>Notes:</w:t>
      </w:r>
      <w:r w:rsidRPr="0087348B">
        <w:tab/>
      </w:r>
      <w:r w:rsidR="0066264B">
        <w:t>The m</w:t>
      </w:r>
      <w:r w:rsidRPr="0087348B" w:rsidR="0066264B">
        <w:t xml:space="preserve">ean value of </w:t>
      </w:r>
      <w:r w:rsidR="0066264B">
        <w:t xml:space="preserve">the </w:t>
      </w:r>
      <w:r w:rsidRPr="0087348B" w:rsidR="0066264B">
        <w:t>outcome for control group members</w:t>
      </w:r>
      <w:r w:rsidR="0066264B">
        <w:t xml:space="preserve"> is assumed to be 0.25. </w:t>
      </w:r>
      <w:r w:rsidRPr="0087348B">
        <w:t xml:space="preserve">MDI calculations assume (1) an equal number of treatment and control members, (2) a 95 percent confidence level with an 80 percent level of power, (3) a </w:t>
      </w:r>
      <w:r w:rsidR="00047004">
        <w:t>one</w:t>
      </w:r>
      <w:r w:rsidRPr="0087348B">
        <w:t xml:space="preserve">-tailed test, (4) a reduction in variance of </w:t>
      </w:r>
      <w:r>
        <w:t>5</w:t>
      </w:r>
      <w:r w:rsidRPr="0087348B">
        <w:t xml:space="preserve"> percent owing to the use of regression models</w:t>
      </w:r>
      <w:r>
        <w:t xml:space="preserve"> with the individual random assignment</w:t>
      </w:r>
      <w:r w:rsidRPr="0087348B">
        <w:t>,</w:t>
      </w:r>
      <w:r>
        <w:t xml:space="preserve"> (4) an intraclass correlation coefficient of 0.025 for the clustered design, (6) a reduction of variance of 5 percent </w:t>
      </w:r>
      <w:r w:rsidRPr="0087348B">
        <w:t>owing to the use of regression models</w:t>
      </w:r>
      <w:r>
        <w:t xml:space="preserve"> in the clustered design, </w:t>
      </w:r>
      <w:r w:rsidRPr="0087348B">
        <w:t xml:space="preserve"> (</w:t>
      </w:r>
      <w:r>
        <w:t>7</w:t>
      </w:r>
      <w:r w:rsidRPr="0087348B">
        <w:t>) administrative data obtained on 100 percent of the sample, and (</w:t>
      </w:r>
      <w:r>
        <w:t>8</w:t>
      </w:r>
      <w:r w:rsidRPr="0087348B">
        <w:t xml:space="preserve">) survey response rates of 80 percent. </w:t>
      </w:r>
    </w:p>
    <w:p w:rsidR="00C655CB" w:rsidP="00775E88" w:rsidRDefault="00C655CB" w14:paraId="771C7D09" w14:textId="7867775B">
      <w:pPr>
        <w:pStyle w:val="H3Alpha"/>
      </w:pPr>
      <w:bookmarkStart w:name="_Toc531183383" w:id="28"/>
      <w:bookmarkStart w:name="_Toc34223069" w:id="29"/>
      <w:bookmarkEnd w:id="25"/>
      <w:r w:rsidRPr="00C655CB">
        <w:t>3.</w:t>
      </w:r>
      <w:r w:rsidRPr="00C655CB">
        <w:tab/>
        <w:t>Methods to maximize response rates and deal with nonresponse</w:t>
      </w:r>
      <w:bookmarkEnd w:id="28"/>
      <w:bookmarkEnd w:id="29"/>
    </w:p>
    <w:p w:rsidRPr="00C655CB" w:rsidR="00346878" w:rsidP="0024601E" w:rsidRDefault="0024601E" w14:paraId="2A35F3FF" w14:textId="5063B151">
      <w:pPr>
        <w:pStyle w:val="H4Number"/>
        <w:tabs>
          <w:tab w:val="clear" w:pos="432"/>
          <w:tab w:val="left" w:pos="810"/>
        </w:tabs>
        <w:ind w:left="810" w:hanging="360"/>
      </w:pPr>
      <w:bookmarkStart w:name="_Toc34223070" w:id="30"/>
      <w:r>
        <w:t>a</w:t>
      </w:r>
      <w:r w:rsidRPr="00C655CB" w:rsidR="00346878">
        <w:t>.</w:t>
      </w:r>
      <w:r w:rsidRPr="00C655CB" w:rsidR="00346878">
        <w:tab/>
        <w:t>Staff interviews</w:t>
      </w:r>
      <w:bookmarkEnd w:id="30"/>
    </w:p>
    <w:p w:rsidR="00C655CB" w:rsidP="0024601E" w:rsidRDefault="00C655CB" w14:paraId="1AF5CBC4" w14:textId="7315FA1B">
      <w:pPr>
        <w:spacing w:after="240" w:line="240" w:lineRule="auto"/>
        <w:ind w:left="810" w:firstLine="0"/>
      </w:pPr>
      <w:r w:rsidRPr="00C655CB">
        <w:t xml:space="preserve">Mathematica will work with the RETAIN program leaders in each state to determine the best times and formats (group versus individual; phone versus in person) to convene the interviews with RETAIN staff. </w:t>
      </w:r>
      <w:r w:rsidR="001026D9">
        <w:t xml:space="preserve"> </w:t>
      </w:r>
      <w:r w:rsidRPr="00C655CB">
        <w:t xml:space="preserve">Mathematica will also limit the interviews to approximately one hour so that data collection imposes only a modest burden on respondents. </w:t>
      </w:r>
      <w:r w:rsidR="001026D9">
        <w:t xml:space="preserve"> </w:t>
      </w:r>
      <w:r w:rsidRPr="00C655CB">
        <w:t xml:space="preserve">Mathematica will use separate discussion guides for each potential respondent type so </w:t>
      </w:r>
      <w:r w:rsidR="00792E38">
        <w:t xml:space="preserve">we don’t ask </w:t>
      </w:r>
      <w:r w:rsidRPr="00C655CB">
        <w:t xml:space="preserve">respondents about activities or issues that do not apply to them. </w:t>
      </w:r>
      <w:r w:rsidR="001026D9">
        <w:t xml:space="preserve"> </w:t>
      </w:r>
      <w:r w:rsidRPr="00C655CB">
        <w:t xml:space="preserve">To further support respondent convenience, data collectors will meet interview respondents in their own offices or at a location of their choice when in-person interviews are the chosen approach. </w:t>
      </w:r>
    </w:p>
    <w:p w:rsidRPr="00C655CB" w:rsidR="00346878" w:rsidP="0024601E" w:rsidRDefault="0024601E" w14:paraId="2850E896" w14:textId="4C5896FC">
      <w:pPr>
        <w:pStyle w:val="H4Number"/>
        <w:tabs>
          <w:tab w:val="clear" w:pos="432"/>
          <w:tab w:val="left" w:pos="810"/>
        </w:tabs>
        <w:ind w:left="810" w:hanging="360"/>
      </w:pPr>
      <w:bookmarkStart w:name="_Toc34223071" w:id="31"/>
      <w:r>
        <w:t>b</w:t>
      </w:r>
      <w:r w:rsidRPr="00C655CB" w:rsidR="00346878">
        <w:t>.</w:t>
      </w:r>
      <w:r w:rsidRPr="00C655CB" w:rsidR="00346878">
        <w:tab/>
      </w:r>
      <w:r w:rsidR="00CA2F5B">
        <w:t xml:space="preserve">Interviews with </w:t>
      </w:r>
      <w:r w:rsidRPr="00C655CB" w:rsidR="00346878">
        <w:t>RETAIN</w:t>
      </w:r>
      <w:r w:rsidR="00CA2F5B">
        <w:t xml:space="preserve"> service users</w:t>
      </w:r>
      <w:bookmarkEnd w:id="31"/>
    </w:p>
    <w:p w:rsidRPr="00AE5CBB" w:rsidR="00C655CB" w:rsidP="0024601E" w:rsidRDefault="00C655CB" w14:paraId="6296DDAA" w14:textId="00E57C71">
      <w:pPr>
        <w:spacing w:after="240" w:line="240" w:lineRule="auto"/>
        <w:ind w:left="810" w:firstLine="0"/>
      </w:pPr>
      <w:r w:rsidRPr="00C655CB">
        <w:t xml:space="preserve">Because we will draw RETAIN </w:t>
      </w:r>
      <w:r w:rsidR="00801E7A">
        <w:t xml:space="preserve">service user </w:t>
      </w:r>
      <w:r w:rsidRPr="00C655CB">
        <w:t xml:space="preserve">interviews from a convenience sample of volunteers, target response rates to ensure a representative population are not at issue. To mitigate interview nonresponse, evaluation team members will contact each individual who </w:t>
      </w:r>
      <w:r w:rsidRPr="00C655CB" w:rsidR="00FC1907">
        <w:t>has an</w:t>
      </w:r>
      <w:r w:rsidRPr="00C655CB">
        <w:t xml:space="preserve"> appointment on the day before the interview, using the person’s preferred mode of communication. </w:t>
      </w:r>
      <w:r w:rsidR="001026D9">
        <w:t xml:space="preserve"> </w:t>
      </w:r>
      <w:r w:rsidRPr="00C655CB">
        <w:t xml:space="preserve">A team member will confirm the best telephone number to use to reach each </w:t>
      </w:r>
      <w:r w:rsidR="00F912A8">
        <w:t>enrollee</w:t>
      </w:r>
      <w:r w:rsidRPr="00C655CB">
        <w:t xml:space="preserve"> so the appointment takes place when the </w:t>
      </w:r>
      <w:r w:rsidR="00F912A8">
        <w:t>enrollee</w:t>
      </w:r>
      <w:r w:rsidRPr="00C655CB">
        <w:t xml:space="preserve"> is not distracted by other responsibilities. </w:t>
      </w:r>
      <w:r w:rsidR="001026D9">
        <w:t xml:space="preserve"> </w:t>
      </w:r>
      <w:r w:rsidRPr="00C655CB">
        <w:t xml:space="preserve">Because we will conduct the interviews by telephone, participants will not face </w:t>
      </w:r>
      <w:r w:rsidRPr="00AE5CBB">
        <w:t xml:space="preserve">barriers related to transportation to an interview location. </w:t>
      </w:r>
      <w:r w:rsidR="001026D9">
        <w:t xml:space="preserve"> </w:t>
      </w:r>
      <w:r w:rsidRPr="00AE5CBB">
        <w:t xml:space="preserve">Finally, the $30 honorarium will encourage interview participation. </w:t>
      </w:r>
    </w:p>
    <w:p w:rsidRPr="00AE5CBB" w:rsidR="004F692F" w:rsidP="0024601E" w:rsidRDefault="0024601E" w14:paraId="4514A863" w14:textId="4D1FE2A1">
      <w:pPr>
        <w:pStyle w:val="H4Number"/>
        <w:tabs>
          <w:tab w:val="clear" w:pos="432"/>
          <w:tab w:val="left" w:pos="810"/>
        </w:tabs>
        <w:ind w:left="810" w:hanging="360"/>
      </w:pPr>
      <w:bookmarkStart w:name="_Toc34223072" w:id="32"/>
      <w:bookmarkStart w:name="_Toc25057025" w:id="33"/>
      <w:r>
        <w:t>c</w:t>
      </w:r>
      <w:r w:rsidRPr="00AE5CBB" w:rsidR="004F692F">
        <w:t xml:space="preserve">. </w:t>
      </w:r>
      <w:r w:rsidRPr="00AE5CBB" w:rsidR="002644ED">
        <w:tab/>
      </w:r>
      <w:r w:rsidRPr="00AE5CBB" w:rsidR="004F692F">
        <w:t>Staff activity logs</w:t>
      </w:r>
      <w:bookmarkEnd w:id="32"/>
    </w:p>
    <w:p w:rsidRPr="00556CFC" w:rsidR="004F692F" w:rsidP="0024601E" w:rsidRDefault="004F692F" w14:paraId="656D88F3" w14:textId="0EF96AFE">
      <w:pPr>
        <w:pStyle w:val="NormalSS"/>
        <w:tabs>
          <w:tab w:val="left" w:pos="810"/>
        </w:tabs>
        <w:ind w:left="810" w:firstLine="0"/>
      </w:pPr>
      <w:r w:rsidRPr="00AE5CBB">
        <w:t xml:space="preserve">Our discussions with the RETAIN program managers intend to identify the right people to ask about completing the staff activity logs, to identify the best times for this data collection, and to </w:t>
      </w:r>
      <w:r w:rsidRPr="00747DC3" w:rsidR="00747DC3">
        <w:t>facilitate staff’s completion of the activity</w:t>
      </w:r>
      <w:r w:rsidRPr="00AE5CBB">
        <w:t xml:space="preserve">. </w:t>
      </w:r>
      <w:r w:rsidR="001026D9">
        <w:t xml:space="preserve"> </w:t>
      </w:r>
      <w:r w:rsidRPr="00AE5CBB">
        <w:t xml:space="preserve">We will send up to three reminder emails to staff after the data collection period </w:t>
      </w:r>
      <w:r w:rsidRPr="00D41F55" w:rsidR="00AE5CBB">
        <w:t>to ask</w:t>
      </w:r>
      <w:r w:rsidRPr="00AE5CBB">
        <w:t xml:space="preserve"> for their completed logs. </w:t>
      </w:r>
      <w:r w:rsidR="001026D9">
        <w:t xml:space="preserve"> </w:t>
      </w:r>
      <w:r w:rsidRPr="00AE5CBB">
        <w:t xml:space="preserve">The evaluator </w:t>
      </w:r>
      <w:r w:rsidRPr="00D41F55" w:rsidR="00AE5CBB">
        <w:t xml:space="preserve">will </w:t>
      </w:r>
      <w:r w:rsidRPr="00AE5CBB">
        <w:t xml:space="preserve">also limit </w:t>
      </w:r>
      <w:r w:rsidRPr="00D41F55" w:rsidR="00AE5CBB">
        <w:t xml:space="preserve">data collection </w:t>
      </w:r>
      <w:r w:rsidRPr="00AE5CBB">
        <w:t xml:space="preserve">to no more than </w:t>
      </w:r>
      <w:r w:rsidRPr="00D41F55" w:rsidR="00AE5CBB">
        <w:t>5</w:t>
      </w:r>
      <w:r w:rsidRPr="00AE5CBB">
        <w:t xml:space="preserve"> minutes per day (or 35 minutes </w:t>
      </w:r>
      <w:r w:rsidRPr="00D41F55" w:rsidR="00AE5CBB">
        <w:t>over</w:t>
      </w:r>
      <w:r w:rsidRPr="00AE5CBB">
        <w:t xml:space="preserve"> all seven days) to </w:t>
      </w:r>
      <w:r w:rsidRPr="00D41F55" w:rsidR="00AE5CBB">
        <w:t xml:space="preserve">minimize the burden </w:t>
      </w:r>
      <w:r w:rsidRPr="00AE5CBB">
        <w:t>on respondents.</w:t>
      </w:r>
      <w:r w:rsidRPr="00694557">
        <w:t xml:space="preserve"> </w:t>
      </w:r>
    </w:p>
    <w:p w:rsidR="00F52F30" w:rsidP="0024601E" w:rsidRDefault="0024601E" w14:paraId="362C4D39" w14:textId="4EE02C71">
      <w:pPr>
        <w:pStyle w:val="H4Number"/>
        <w:tabs>
          <w:tab w:val="clear" w:pos="432"/>
          <w:tab w:val="left" w:pos="810"/>
        </w:tabs>
        <w:ind w:left="810" w:hanging="360"/>
      </w:pPr>
      <w:bookmarkStart w:name="_Toc34223073" w:id="34"/>
      <w:r>
        <w:t>d</w:t>
      </w:r>
      <w:r w:rsidRPr="003B2602" w:rsidR="00F52F30">
        <w:t>.</w:t>
      </w:r>
      <w:r w:rsidRPr="003B2602" w:rsidR="00F52F30">
        <w:tab/>
        <w:t>S</w:t>
      </w:r>
      <w:r w:rsidR="00F52F30">
        <w:t>urveys of RETAIN enrollees and providers</w:t>
      </w:r>
      <w:bookmarkEnd w:id="33"/>
      <w:bookmarkEnd w:id="34"/>
    </w:p>
    <w:p w:rsidRPr="00A8223B" w:rsidR="00F52F30" w:rsidP="0024601E" w:rsidRDefault="00F52F30" w14:paraId="5C9B59B9" w14:textId="262DA70C">
      <w:pPr>
        <w:pStyle w:val="NormalSS"/>
        <w:tabs>
          <w:tab w:val="left" w:pos="810"/>
        </w:tabs>
        <w:ind w:left="810" w:firstLine="0"/>
      </w:pPr>
      <w:r>
        <w:t>T</w:t>
      </w:r>
      <w:r w:rsidRPr="005B7CF6">
        <w:t>he evaluation team</w:t>
      </w:r>
      <w:r>
        <w:t xml:space="preserve"> designed the</w:t>
      </w:r>
      <w:r w:rsidRPr="00A8223B">
        <w:t xml:space="preserve"> survey fielding methods to maximize response rates.</w:t>
      </w:r>
      <w:r>
        <w:t xml:space="preserve"> T</w:t>
      </w:r>
      <w:r w:rsidRPr="00A8223B">
        <w:t>he mixed</w:t>
      </w:r>
      <w:r>
        <w:t xml:space="preserve"> </w:t>
      </w:r>
      <w:r w:rsidRPr="00A8223B">
        <w:t>mode of administration will offer potential respondents the flexibility to complete the survey in a manner t</w:t>
      </w:r>
      <w:r>
        <w:t xml:space="preserve">hat is most convenient for them. </w:t>
      </w:r>
      <w:r w:rsidR="001026D9">
        <w:t xml:space="preserve"> </w:t>
      </w:r>
      <w:r>
        <w:t>T</w:t>
      </w:r>
      <w:r w:rsidRPr="00A8223B">
        <w:t>he</w:t>
      </w:r>
      <w:r>
        <w:t xml:space="preserve"> evaluation team designed the</w:t>
      </w:r>
      <w:r w:rsidRPr="00A8223B">
        <w:t xml:space="preserve"> length of the survey</w:t>
      </w:r>
      <w:r>
        <w:t>s</w:t>
      </w:r>
      <w:r w:rsidRPr="00A8223B">
        <w:t xml:space="preserve"> to balance the evaluation’s need for information with the </w:t>
      </w:r>
      <w:r>
        <w:t xml:space="preserve">need to minimize burden to encourage response. </w:t>
      </w:r>
      <w:r w:rsidR="001026D9">
        <w:t xml:space="preserve"> </w:t>
      </w:r>
      <w:r>
        <w:t>Survey materials and procedures will assure respondents of</w:t>
      </w:r>
      <w:r w:rsidRPr="00A8223B">
        <w:t xml:space="preserve"> the privacy of their responses to questions, which shou</w:t>
      </w:r>
      <w:r>
        <w:t>ld address privacy-related reasons for nonresponse</w:t>
      </w:r>
      <w:r w:rsidRPr="00A8223B">
        <w:t>.</w:t>
      </w:r>
      <w:r w:rsidR="001026D9">
        <w:t xml:space="preserve"> </w:t>
      </w:r>
      <w:r>
        <w:t xml:space="preserve"> Below, we describe specific methods for minimizing nonresponse in each of the proposed survey data collections. </w:t>
      </w:r>
    </w:p>
    <w:p w:rsidRPr="00DB6A79" w:rsidR="00F52F30" w:rsidP="0024601E" w:rsidRDefault="0024601E" w14:paraId="4ECDFC20" w14:textId="2EC40228">
      <w:pPr>
        <w:pStyle w:val="H4Number"/>
        <w:tabs>
          <w:tab w:val="clear" w:pos="432"/>
          <w:tab w:val="left" w:pos="810"/>
        </w:tabs>
        <w:ind w:left="810" w:hanging="360"/>
      </w:pPr>
      <w:bookmarkStart w:name="_Toc25057026" w:id="35"/>
      <w:bookmarkStart w:name="_Toc34223074" w:id="36"/>
      <w:r>
        <w:t>e</w:t>
      </w:r>
      <w:r w:rsidR="00381D09">
        <w:t>.</w:t>
      </w:r>
      <w:r w:rsidR="00381D09">
        <w:tab/>
      </w:r>
      <w:r w:rsidRPr="00DB6A79" w:rsidR="00F52F30">
        <w:t>Enrollee surveys</w:t>
      </w:r>
      <w:bookmarkEnd w:id="35"/>
      <w:bookmarkEnd w:id="36"/>
    </w:p>
    <w:p w:rsidR="00F52F30" w:rsidP="0024601E" w:rsidRDefault="00F52F30" w14:paraId="4F4E435F" w14:textId="742B2726">
      <w:pPr>
        <w:spacing w:after="160" w:line="259" w:lineRule="auto"/>
        <w:ind w:left="810" w:firstLine="0"/>
        <w:rPr>
          <w:rFonts w:eastAsiaTheme="minorHAnsi"/>
          <w:szCs w:val="24"/>
        </w:rPr>
      </w:pPr>
      <w:r>
        <w:rPr>
          <w:rFonts w:eastAsiaTheme="minorHAnsi"/>
          <w:szCs w:val="24"/>
        </w:rPr>
        <w:t xml:space="preserve">The surveys of RETAIN enrollees will target a response rate of at least 80 percent at each round. </w:t>
      </w:r>
      <w:r w:rsidR="001026D9">
        <w:rPr>
          <w:rFonts w:eastAsiaTheme="minorHAnsi"/>
          <w:szCs w:val="24"/>
        </w:rPr>
        <w:t xml:space="preserve"> </w:t>
      </w:r>
      <w:r>
        <w:rPr>
          <w:rFonts w:eastAsiaTheme="minorHAnsi"/>
          <w:szCs w:val="24"/>
        </w:rPr>
        <w:t>Mathematica will follow industry best practices for deploying nonresponse follow-up efforts in accordance with the mixed-mode design in a way that minimizes the burden of sample members and does not suppress responses to the survey.</w:t>
      </w:r>
      <w:r w:rsidR="001026D9">
        <w:rPr>
          <w:rFonts w:eastAsiaTheme="minorHAnsi"/>
          <w:szCs w:val="24"/>
        </w:rPr>
        <w:t xml:space="preserve"> </w:t>
      </w:r>
      <w:r>
        <w:rPr>
          <w:rFonts w:eastAsiaTheme="minorHAnsi"/>
          <w:szCs w:val="24"/>
        </w:rPr>
        <w:t xml:space="preserve"> Features of our approach include the following: </w:t>
      </w:r>
    </w:p>
    <w:p w:rsidRPr="00DB6A79" w:rsidR="00F52F30" w:rsidP="0024601E" w:rsidRDefault="00F52F30" w14:paraId="087B74FF" w14:textId="43843256">
      <w:pPr>
        <w:pStyle w:val="ListParagraph"/>
        <w:numPr>
          <w:ilvl w:val="0"/>
          <w:numId w:val="39"/>
        </w:numPr>
        <w:spacing w:after="160" w:line="259" w:lineRule="auto"/>
        <w:ind w:left="1170"/>
        <w:rPr>
          <w:rFonts w:eastAsiaTheme="minorHAnsi"/>
          <w:szCs w:val="24"/>
        </w:rPr>
      </w:pPr>
      <w:r>
        <w:rPr>
          <w:rFonts w:eastAsiaTheme="minorHAnsi"/>
          <w:b/>
          <w:szCs w:val="24"/>
        </w:rPr>
        <w:t xml:space="preserve">Incentives to motivate survey response. </w:t>
      </w:r>
      <w:r w:rsidR="001026D9">
        <w:rPr>
          <w:rFonts w:eastAsiaTheme="minorHAnsi"/>
          <w:b/>
          <w:szCs w:val="24"/>
        </w:rPr>
        <w:t xml:space="preserve"> </w:t>
      </w:r>
      <w:r>
        <w:rPr>
          <w:rFonts w:eastAsiaTheme="minorHAnsi"/>
          <w:szCs w:val="24"/>
        </w:rPr>
        <w:t xml:space="preserve">The survey features both a prepaid and a post-pay incentive, both of which will motivate enrollee sample members to complete the survey. </w:t>
      </w:r>
      <w:r w:rsidR="001026D9">
        <w:rPr>
          <w:rFonts w:eastAsiaTheme="minorHAnsi"/>
          <w:szCs w:val="24"/>
        </w:rPr>
        <w:t xml:space="preserve"> </w:t>
      </w:r>
      <w:r>
        <w:rPr>
          <w:rFonts w:eastAsiaTheme="minorHAnsi"/>
          <w:szCs w:val="24"/>
        </w:rPr>
        <w:t xml:space="preserve">Moreover, respondents from the first round of the survey will likely remember receiving the incentive, further motivating them to participate in the second round. </w:t>
      </w:r>
    </w:p>
    <w:p w:rsidRPr="00DB6A79" w:rsidR="00F52F30" w:rsidP="0024601E" w:rsidRDefault="00F52F30" w14:paraId="03441A2E" w14:textId="03843200">
      <w:pPr>
        <w:pStyle w:val="ListParagraph"/>
        <w:numPr>
          <w:ilvl w:val="0"/>
          <w:numId w:val="39"/>
        </w:numPr>
        <w:spacing w:after="160" w:line="259" w:lineRule="auto"/>
        <w:ind w:left="1170"/>
        <w:rPr>
          <w:rFonts w:eastAsiaTheme="minorHAnsi"/>
          <w:szCs w:val="24"/>
        </w:rPr>
      </w:pPr>
      <w:r>
        <w:rPr>
          <w:rFonts w:eastAsiaTheme="minorHAnsi"/>
          <w:b/>
          <w:szCs w:val="24"/>
        </w:rPr>
        <w:t xml:space="preserve">A mixed-mode survey, featuring two modes for self-reporting. </w:t>
      </w:r>
      <w:r w:rsidR="001026D9">
        <w:rPr>
          <w:rFonts w:eastAsiaTheme="minorHAnsi"/>
          <w:b/>
          <w:szCs w:val="24"/>
        </w:rPr>
        <w:t xml:space="preserve"> </w:t>
      </w:r>
      <w:r>
        <w:rPr>
          <w:rFonts w:eastAsiaTheme="minorHAnsi"/>
          <w:szCs w:val="24"/>
        </w:rPr>
        <w:t xml:space="preserve">Respondents will have the option to complete the enrollee survey in the mode that they prefer, by web, paper, or over the telephone with a professional interviewer. </w:t>
      </w:r>
      <w:r w:rsidR="001026D9">
        <w:rPr>
          <w:rFonts w:eastAsiaTheme="minorHAnsi"/>
          <w:szCs w:val="24"/>
        </w:rPr>
        <w:t xml:space="preserve"> </w:t>
      </w:r>
      <w:r w:rsidRPr="00BD343C">
        <w:rPr>
          <w:rFonts w:eastAsiaTheme="minorHAnsi"/>
          <w:szCs w:val="24"/>
        </w:rPr>
        <w:t>The web survey will be accessible using any device (tablet, smartphone, laptop, or desktop computer)</w:t>
      </w:r>
      <w:r>
        <w:rPr>
          <w:rFonts w:eastAsiaTheme="minorHAnsi"/>
          <w:szCs w:val="24"/>
        </w:rPr>
        <w:t xml:space="preserve"> and will be compatible with assistive technologies respondents may need to participate online</w:t>
      </w:r>
      <w:r w:rsidRPr="00BD343C">
        <w:rPr>
          <w:rFonts w:eastAsiaTheme="minorHAnsi"/>
          <w:szCs w:val="24"/>
        </w:rPr>
        <w:t xml:space="preserve">. </w:t>
      </w:r>
      <w:r w:rsidR="001026D9">
        <w:rPr>
          <w:rFonts w:eastAsiaTheme="minorHAnsi"/>
          <w:szCs w:val="24"/>
        </w:rPr>
        <w:t xml:space="preserve"> </w:t>
      </w:r>
      <w:r w:rsidRPr="00BD343C">
        <w:rPr>
          <w:rFonts w:eastAsiaTheme="minorHAnsi"/>
          <w:szCs w:val="24"/>
        </w:rPr>
        <w:t xml:space="preserve">Both the web and paper questionnaires can be completed at </w:t>
      </w:r>
      <w:r>
        <w:rPr>
          <w:rFonts w:eastAsiaTheme="minorHAnsi"/>
          <w:szCs w:val="24"/>
        </w:rPr>
        <w:t>the sample member’s convenience</w:t>
      </w:r>
      <w:r w:rsidRPr="00BD343C">
        <w:rPr>
          <w:rFonts w:eastAsiaTheme="minorHAnsi"/>
          <w:szCs w:val="24"/>
        </w:rPr>
        <w:t>.</w:t>
      </w:r>
    </w:p>
    <w:p w:rsidR="00F52F30" w:rsidP="0024601E" w:rsidRDefault="00F52F30" w14:paraId="66AD0B62" w14:textId="01660B2B">
      <w:pPr>
        <w:pStyle w:val="ListParagraph"/>
        <w:numPr>
          <w:ilvl w:val="0"/>
          <w:numId w:val="39"/>
        </w:numPr>
        <w:spacing w:after="160" w:line="259" w:lineRule="auto"/>
        <w:ind w:left="1170"/>
        <w:rPr>
          <w:rFonts w:eastAsiaTheme="minorHAnsi"/>
          <w:szCs w:val="24"/>
        </w:rPr>
      </w:pPr>
      <w:r w:rsidRPr="00DB6A79">
        <w:rPr>
          <w:rFonts w:eastAsiaTheme="minorHAnsi"/>
          <w:b/>
          <w:szCs w:val="24"/>
        </w:rPr>
        <w:t xml:space="preserve">Sequential release of the survey modes. </w:t>
      </w:r>
      <w:r w:rsidR="001026D9">
        <w:rPr>
          <w:rFonts w:eastAsiaTheme="minorHAnsi"/>
          <w:b/>
          <w:szCs w:val="24"/>
        </w:rPr>
        <w:t xml:space="preserve"> </w:t>
      </w:r>
      <w:r>
        <w:rPr>
          <w:rFonts w:eastAsiaTheme="minorHAnsi"/>
          <w:szCs w:val="24"/>
        </w:rPr>
        <w:t>Mathematica will release the web survey before sending the paper questionnaire or conducting outbound telephone calls to nonresponders.</w:t>
      </w:r>
      <w:r>
        <w:rPr>
          <w:rStyle w:val="FootnoteReference"/>
          <w:rFonts w:eastAsiaTheme="minorHAnsi"/>
          <w:szCs w:val="24"/>
        </w:rPr>
        <w:footnoteReference w:id="6"/>
      </w:r>
      <w:r w:rsidR="001026D9">
        <w:rPr>
          <w:rFonts w:eastAsiaTheme="minorHAnsi"/>
          <w:szCs w:val="24"/>
        </w:rPr>
        <w:t xml:space="preserve">  The </w:t>
      </w:r>
      <w:r w:rsidRPr="00C265A0">
        <w:rPr>
          <w:rFonts w:eastAsiaTheme="minorHAnsi"/>
          <w:szCs w:val="24"/>
        </w:rPr>
        <w:t>sequential</w:t>
      </w:r>
      <w:r>
        <w:rPr>
          <w:rFonts w:eastAsiaTheme="minorHAnsi"/>
          <w:szCs w:val="24"/>
        </w:rPr>
        <w:t xml:space="preserve"> release of modes will</w:t>
      </w:r>
      <w:r w:rsidRPr="00C265A0">
        <w:rPr>
          <w:rFonts w:eastAsiaTheme="minorHAnsi"/>
          <w:szCs w:val="24"/>
        </w:rPr>
        <w:t xml:space="preserve"> avoid potential confusion among sample members or </w:t>
      </w:r>
      <w:r>
        <w:rPr>
          <w:rFonts w:eastAsiaTheme="minorHAnsi"/>
          <w:szCs w:val="24"/>
        </w:rPr>
        <w:t xml:space="preserve">the </w:t>
      </w:r>
      <w:r w:rsidR="00C66C41">
        <w:rPr>
          <w:rFonts w:eastAsiaTheme="minorHAnsi"/>
          <w:szCs w:val="24"/>
        </w:rPr>
        <w:t>perception</w:t>
      </w:r>
      <w:r>
        <w:rPr>
          <w:rFonts w:eastAsiaTheme="minorHAnsi"/>
          <w:szCs w:val="24"/>
        </w:rPr>
        <w:t xml:space="preserve"> of</w:t>
      </w:r>
      <w:r w:rsidRPr="00C265A0">
        <w:rPr>
          <w:rFonts w:eastAsiaTheme="minorHAnsi"/>
          <w:szCs w:val="24"/>
        </w:rPr>
        <w:t xml:space="preserve"> complexity </w:t>
      </w:r>
      <w:r w:rsidRPr="005E4B99">
        <w:rPr>
          <w:rFonts w:eastAsiaTheme="minorHAnsi"/>
          <w:szCs w:val="24"/>
        </w:rPr>
        <w:t xml:space="preserve">(Dillman </w:t>
      </w:r>
      <w:r w:rsidRPr="00DB6A79">
        <w:rPr>
          <w:rFonts w:eastAsiaTheme="minorHAnsi"/>
          <w:szCs w:val="24"/>
        </w:rPr>
        <w:t>2014</w:t>
      </w:r>
      <w:r>
        <w:rPr>
          <w:rFonts w:eastAsiaTheme="minorHAnsi"/>
          <w:szCs w:val="24"/>
        </w:rPr>
        <w:t>;</w:t>
      </w:r>
      <w:r w:rsidRPr="00DB6A79">
        <w:rPr>
          <w:rFonts w:eastAsiaTheme="minorHAnsi"/>
          <w:szCs w:val="24"/>
        </w:rPr>
        <w:t xml:space="preserve"> </w:t>
      </w:r>
      <w:r w:rsidRPr="005E4B99">
        <w:rPr>
          <w:rFonts w:eastAsiaTheme="minorHAnsi"/>
          <w:szCs w:val="24"/>
        </w:rPr>
        <w:t>Medway</w:t>
      </w:r>
      <w:r>
        <w:rPr>
          <w:rFonts w:eastAsiaTheme="minorHAnsi"/>
          <w:szCs w:val="24"/>
        </w:rPr>
        <w:t xml:space="preserve"> 2012</w:t>
      </w:r>
      <w:r w:rsidRPr="00C265A0">
        <w:rPr>
          <w:rFonts w:eastAsiaTheme="minorHAnsi"/>
          <w:szCs w:val="24"/>
        </w:rPr>
        <w:t xml:space="preserve">). </w:t>
      </w:r>
    </w:p>
    <w:p w:rsidRPr="00DB6A79" w:rsidR="00F52F30" w:rsidP="0024601E" w:rsidRDefault="00F52F30" w14:paraId="179AA30C" w14:textId="340BDB29">
      <w:pPr>
        <w:pStyle w:val="ListParagraph"/>
        <w:numPr>
          <w:ilvl w:val="0"/>
          <w:numId w:val="39"/>
        </w:numPr>
        <w:spacing w:after="160" w:line="259" w:lineRule="auto"/>
        <w:ind w:left="1170"/>
        <w:rPr>
          <w:rFonts w:eastAsiaTheme="minorHAnsi"/>
          <w:szCs w:val="24"/>
        </w:rPr>
      </w:pPr>
      <w:r>
        <w:rPr>
          <w:rFonts w:eastAsiaTheme="minorHAnsi"/>
          <w:b/>
          <w:szCs w:val="24"/>
        </w:rPr>
        <w:t xml:space="preserve">Multiple languages for survey administration. </w:t>
      </w:r>
      <w:r w:rsidR="001026D9">
        <w:rPr>
          <w:rFonts w:eastAsiaTheme="minorHAnsi"/>
          <w:b/>
          <w:szCs w:val="24"/>
        </w:rPr>
        <w:t xml:space="preserve"> </w:t>
      </w:r>
      <w:r>
        <w:rPr>
          <w:rFonts w:eastAsiaTheme="minorHAnsi"/>
          <w:szCs w:val="24"/>
        </w:rPr>
        <w:t xml:space="preserve">By offering the survey in both English and Spanish, we minimize nonresponse bias for sample members who would not be able to complete the survey in English. </w:t>
      </w:r>
    </w:p>
    <w:p w:rsidR="00F52F30" w:rsidP="0024601E" w:rsidRDefault="00F52F30" w14:paraId="226DB1D1" w14:textId="28618B28">
      <w:pPr>
        <w:pStyle w:val="ListParagraph"/>
        <w:numPr>
          <w:ilvl w:val="0"/>
          <w:numId w:val="39"/>
        </w:numPr>
        <w:spacing w:after="160" w:line="259" w:lineRule="auto"/>
        <w:ind w:left="1170"/>
        <w:rPr>
          <w:rFonts w:eastAsiaTheme="minorHAnsi"/>
          <w:szCs w:val="24"/>
        </w:rPr>
      </w:pPr>
      <w:r w:rsidRPr="008624DE">
        <w:rPr>
          <w:rFonts w:eastAsiaTheme="minorHAnsi"/>
          <w:b/>
          <w:szCs w:val="24"/>
        </w:rPr>
        <w:t>Outreach to sample members in different formats</w:t>
      </w:r>
      <w:r>
        <w:rPr>
          <w:rFonts w:eastAsiaTheme="minorHAnsi"/>
          <w:b/>
          <w:szCs w:val="24"/>
        </w:rPr>
        <w:t xml:space="preserve">. </w:t>
      </w:r>
      <w:r w:rsidR="001026D9">
        <w:rPr>
          <w:rFonts w:eastAsiaTheme="minorHAnsi"/>
          <w:b/>
          <w:szCs w:val="24"/>
        </w:rPr>
        <w:t xml:space="preserve"> </w:t>
      </w:r>
      <w:r>
        <w:rPr>
          <w:rFonts w:eastAsiaTheme="minorHAnsi"/>
          <w:szCs w:val="24"/>
        </w:rPr>
        <w:t xml:space="preserve">Varying outreach formats can improve survey response rates because not all modes of follow-up will resonate with all sample members. </w:t>
      </w:r>
      <w:r w:rsidR="001026D9">
        <w:rPr>
          <w:rFonts w:eastAsiaTheme="minorHAnsi"/>
          <w:szCs w:val="24"/>
        </w:rPr>
        <w:t xml:space="preserve"> </w:t>
      </w:r>
      <w:r>
        <w:rPr>
          <w:rFonts w:eastAsiaTheme="minorHAnsi"/>
          <w:szCs w:val="24"/>
        </w:rPr>
        <w:t xml:space="preserve">For example, some may not open their postal mail, but they may call back when we leave a voicemail. </w:t>
      </w:r>
      <w:r w:rsidR="001026D9">
        <w:rPr>
          <w:rFonts w:eastAsiaTheme="minorHAnsi"/>
          <w:szCs w:val="24"/>
        </w:rPr>
        <w:t xml:space="preserve"> </w:t>
      </w:r>
      <w:r>
        <w:rPr>
          <w:rFonts w:eastAsiaTheme="minorHAnsi"/>
          <w:szCs w:val="24"/>
        </w:rPr>
        <w:t xml:space="preserve">Others may find the mailings a reassuring source of legitimacy and mistrust contact by telephone. </w:t>
      </w:r>
    </w:p>
    <w:p w:rsidR="00F52F30" w:rsidP="0024601E" w:rsidRDefault="00F52F30" w14:paraId="654B6A14" w14:textId="1BE83D92">
      <w:pPr>
        <w:pStyle w:val="ListParagraph"/>
        <w:numPr>
          <w:ilvl w:val="0"/>
          <w:numId w:val="39"/>
        </w:numPr>
        <w:spacing w:after="160" w:line="259" w:lineRule="auto"/>
        <w:ind w:left="1170"/>
        <w:rPr>
          <w:rFonts w:eastAsiaTheme="minorHAnsi"/>
          <w:szCs w:val="24"/>
        </w:rPr>
      </w:pPr>
      <w:r>
        <w:rPr>
          <w:rFonts w:eastAsiaTheme="minorHAnsi"/>
          <w:b/>
          <w:szCs w:val="24"/>
        </w:rPr>
        <w:t>I</w:t>
      </w:r>
      <w:r w:rsidRPr="00DB6A79">
        <w:rPr>
          <w:rFonts w:eastAsiaTheme="minorHAnsi"/>
          <w:b/>
          <w:szCs w:val="24"/>
        </w:rPr>
        <w:t>nformational web</w:t>
      </w:r>
      <w:r>
        <w:rPr>
          <w:rFonts w:eastAsiaTheme="minorHAnsi"/>
          <w:b/>
          <w:szCs w:val="24"/>
        </w:rPr>
        <w:t>page and toll-free telephone number</w:t>
      </w:r>
      <w:r>
        <w:rPr>
          <w:rFonts w:eastAsiaTheme="minorHAnsi"/>
          <w:szCs w:val="24"/>
        </w:rPr>
        <w:t xml:space="preserve">. </w:t>
      </w:r>
      <w:r w:rsidR="001026D9">
        <w:rPr>
          <w:rFonts w:eastAsiaTheme="minorHAnsi"/>
          <w:szCs w:val="24"/>
        </w:rPr>
        <w:t xml:space="preserve"> </w:t>
      </w:r>
      <w:r w:rsidR="00061E7F">
        <w:rPr>
          <w:rFonts w:eastAsiaTheme="minorHAnsi"/>
          <w:szCs w:val="24"/>
        </w:rPr>
        <w:t>SSA will host a webpage describing the survey to provide</w:t>
      </w:r>
      <w:r>
        <w:rPr>
          <w:rFonts w:eastAsiaTheme="minorHAnsi"/>
          <w:szCs w:val="24"/>
        </w:rPr>
        <w:t xml:space="preserve"> a way for sample members to verify study legitimacy and gather more information. </w:t>
      </w:r>
      <w:r w:rsidR="001026D9">
        <w:rPr>
          <w:rFonts w:eastAsiaTheme="minorHAnsi"/>
          <w:szCs w:val="24"/>
        </w:rPr>
        <w:t xml:space="preserve"> </w:t>
      </w:r>
      <w:r w:rsidR="00061E7F">
        <w:rPr>
          <w:rFonts w:eastAsiaTheme="minorHAnsi"/>
          <w:szCs w:val="24"/>
        </w:rPr>
        <w:t>Mathematics interviewers will staff a</w:t>
      </w:r>
      <w:r>
        <w:rPr>
          <w:rFonts w:eastAsiaTheme="minorHAnsi"/>
          <w:szCs w:val="24"/>
        </w:rPr>
        <w:t xml:space="preserve"> survey toll-free number </w:t>
      </w:r>
      <w:r w:rsidR="00061E7F">
        <w:rPr>
          <w:rFonts w:eastAsiaTheme="minorHAnsi"/>
          <w:szCs w:val="24"/>
        </w:rPr>
        <w:t xml:space="preserve">to </w:t>
      </w:r>
      <w:r>
        <w:rPr>
          <w:rFonts w:eastAsiaTheme="minorHAnsi"/>
          <w:szCs w:val="24"/>
        </w:rPr>
        <w:t xml:space="preserve">answer questions and address sample members’ concerns on a range of issues. </w:t>
      </w:r>
    </w:p>
    <w:p w:rsidRPr="00DB6A79" w:rsidR="00F52F30" w:rsidP="0024601E" w:rsidRDefault="00F52F30" w14:paraId="1931623A" w14:textId="13C4AA94">
      <w:pPr>
        <w:pStyle w:val="ListParagraph"/>
        <w:numPr>
          <w:ilvl w:val="0"/>
          <w:numId w:val="39"/>
        </w:numPr>
        <w:spacing w:after="160" w:line="259" w:lineRule="auto"/>
        <w:ind w:left="1170"/>
        <w:rPr>
          <w:rFonts w:eastAsiaTheme="minorHAnsi"/>
          <w:b/>
          <w:szCs w:val="24"/>
        </w:rPr>
      </w:pPr>
      <w:r w:rsidRPr="00F65A85">
        <w:rPr>
          <w:rFonts w:eastAsiaTheme="minorHAnsi"/>
          <w:b/>
          <w:szCs w:val="24"/>
        </w:rPr>
        <w:t xml:space="preserve">Accommodations and proxy respondents. </w:t>
      </w:r>
      <w:r w:rsidRPr="00F65A85" w:rsidR="001026D9">
        <w:rPr>
          <w:rFonts w:eastAsiaTheme="minorHAnsi"/>
          <w:b/>
          <w:szCs w:val="24"/>
        </w:rPr>
        <w:t xml:space="preserve"> </w:t>
      </w:r>
      <w:r w:rsidRPr="00F65A85">
        <w:rPr>
          <w:rFonts w:eastAsiaTheme="minorHAnsi"/>
          <w:szCs w:val="24"/>
        </w:rPr>
        <w:t>Mathematica’s telephone interviewing</w:t>
      </w:r>
      <w:r>
        <w:rPr>
          <w:rFonts w:eastAsiaTheme="minorHAnsi"/>
          <w:szCs w:val="24"/>
        </w:rPr>
        <w:t xml:space="preserve"> team will be well-prepared to address accommodation needs of respondents with disabilities, whether the accommodations are </w:t>
      </w:r>
      <w:r w:rsidR="0004789C">
        <w:rPr>
          <w:rFonts w:eastAsiaTheme="minorHAnsi"/>
          <w:szCs w:val="24"/>
        </w:rPr>
        <w:t xml:space="preserve">stamina </w:t>
      </w:r>
      <w:r>
        <w:rPr>
          <w:rFonts w:eastAsiaTheme="minorHAnsi"/>
          <w:szCs w:val="24"/>
        </w:rPr>
        <w:t>related</w:t>
      </w:r>
      <w:r w:rsidR="0004789C">
        <w:rPr>
          <w:rFonts w:eastAsiaTheme="minorHAnsi"/>
          <w:szCs w:val="24"/>
        </w:rPr>
        <w:t>,</w:t>
      </w:r>
      <w:r>
        <w:rPr>
          <w:rFonts w:eastAsiaTheme="minorHAnsi"/>
          <w:szCs w:val="24"/>
        </w:rPr>
        <w:t xml:space="preserve"> or </w:t>
      </w:r>
      <w:r w:rsidR="0004789C">
        <w:rPr>
          <w:rFonts w:eastAsiaTheme="minorHAnsi"/>
          <w:szCs w:val="24"/>
        </w:rPr>
        <w:t xml:space="preserve">with </w:t>
      </w:r>
      <w:r>
        <w:rPr>
          <w:rFonts w:eastAsiaTheme="minorHAnsi"/>
          <w:szCs w:val="24"/>
        </w:rPr>
        <w:t xml:space="preserve">the use of assistive technology. </w:t>
      </w:r>
      <w:r w:rsidR="001026D9">
        <w:rPr>
          <w:rFonts w:eastAsiaTheme="minorHAnsi"/>
          <w:szCs w:val="24"/>
        </w:rPr>
        <w:t xml:space="preserve"> </w:t>
      </w:r>
      <w:r>
        <w:rPr>
          <w:rFonts w:eastAsiaTheme="minorHAnsi"/>
          <w:szCs w:val="24"/>
        </w:rPr>
        <w:t xml:space="preserve">Moreover, if a sample member’s disability or impairment is too severe to allow them to participate in the survey via self-report, we have the necessary protocols in place to complete the interview with a designated proxy, such as another adult in the household. </w:t>
      </w:r>
    </w:p>
    <w:p w:rsidRPr="00DB6A79" w:rsidR="00F52F30" w:rsidP="0024601E" w:rsidRDefault="00F52F30" w14:paraId="16920033" w14:textId="3C0BC5AA">
      <w:pPr>
        <w:pStyle w:val="ListParagraph"/>
        <w:numPr>
          <w:ilvl w:val="0"/>
          <w:numId w:val="39"/>
        </w:numPr>
        <w:spacing w:after="160" w:line="259" w:lineRule="auto"/>
        <w:ind w:left="1170"/>
        <w:rPr>
          <w:rFonts w:eastAsiaTheme="minorHAnsi"/>
          <w:b/>
          <w:szCs w:val="24"/>
        </w:rPr>
      </w:pPr>
      <w:r>
        <w:rPr>
          <w:rFonts w:eastAsiaTheme="minorHAnsi"/>
          <w:b/>
          <w:szCs w:val="24"/>
        </w:rPr>
        <w:t xml:space="preserve">Paradata to inform optimal days of week and times of day for telephone outreach. </w:t>
      </w:r>
      <w:r w:rsidR="001026D9">
        <w:rPr>
          <w:rFonts w:eastAsiaTheme="minorHAnsi"/>
          <w:b/>
          <w:szCs w:val="24"/>
        </w:rPr>
        <w:t xml:space="preserve"> </w:t>
      </w:r>
      <w:r>
        <w:rPr>
          <w:rFonts w:eastAsiaTheme="minorHAnsi"/>
          <w:szCs w:val="24"/>
        </w:rPr>
        <w:t>Because</w:t>
      </w:r>
      <w:r w:rsidR="00DA0815">
        <w:rPr>
          <w:rFonts w:eastAsiaTheme="minorHAnsi"/>
          <w:szCs w:val="24"/>
        </w:rPr>
        <w:t xml:space="preserve"> of the rolling release of cohorts for</w:t>
      </w:r>
      <w:r>
        <w:rPr>
          <w:rFonts w:eastAsiaTheme="minorHAnsi"/>
          <w:szCs w:val="24"/>
        </w:rPr>
        <w:t xml:space="preserve"> the enrollee survey</w:t>
      </w:r>
      <w:r w:rsidR="00DA0815">
        <w:rPr>
          <w:rFonts w:eastAsiaTheme="minorHAnsi"/>
          <w:szCs w:val="24"/>
        </w:rPr>
        <w:t xml:space="preserve">s, </w:t>
      </w:r>
      <w:r>
        <w:rPr>
          <w:rFonts w:eastAsiaTheme="minorHAnsi"/>
          <w:szCs w:val="24"/>
        </w:rPr>
        <w:t xml:space="preserve">we will be able to leverage survey paradata from early cohorts to inform follow-up efforts for later cohorts. </w:t>
      </w:r>
      <w:r w:rsidR="001026D9">
        <w:rPr>
          <w:rFonts w:eastAsiaTheme="minorHAnsi"/>
          <w:szCs w:val="24"/>
        </w:rPr>
        <w:t xml:space="preserve"> </w:t>
      </w:r>
      <w:r w:rsidR="00061E7F">
        <w:rPr>
          <w:rFonts w:eastAsiaTheme="minorHAnsi"/>
          <w:szCs w:val="24"/>
        </w:rPr>
        <w:t>For</w:t>
      </w:r>
      <w:r>
        <w:rPr>
          <w:rFonts w:eastAsiaTheme="minorHAnsi"/>
          <w:szCs w:val="24"/>
        </w:rPr>
        <w:t xml:space="preserve"> example</w:t>
      </w:r>
      <w:r w:rsidR="00061E7F">
        <w:rPr>
          <w:rFonts w:eastAsiaTheme="minorHAnsi"/>
          <w:szCs w:val="24"/>
        </w:rPr>
        <w:t>, we will be able to</w:t>
      </w:r>
      <w:r>
        <w:rPr>
          <w:rFonts w:eastAsiaTheme="minorHAnsi"/>
          <w:szCs w:val="24"/>
        </w:rPr>
        <w:t xml:space="preserve"> to align the contact attempts with the time periods that have generated the highest completion rates. </w:t>
      </w:r>
    </w:p>
    <w:p w:rsidR="00F52F30" w:rsidP="0024601E" w:rsidRDefault="00F52F30" w14:paraId="7A1E4FAF" w14:textId="77777777">
      <w:pPr>
        <w:spacing w:after="160" w:line="259" w:lineRule="auto"/>
        <w:ind w:left="810" w:firstLine="0"/>
        <w:rPr>
          <w:rFonts w:eastAsiaTheme="minorHAnsi"/>
          <w:szCs w:val="24"/>
        </w:rPr>
      </w:pPr>
      <w:r>
        <w:rPr>
          <w:rFonts w:eastAsiaTheme="minorHAnsi"/>
          <w:szCs w:val="24"/>
        </w:rPr>
        <w:t xml:space="preserve">These strategies, combined with Mathematica’s intensive oversight of production statistics across the field period, will help maximize response rates for the enrollee survey. </w:t>
      </w:r>
    </w:p>
    <w:p w:rsidRPr="008B3498" w:rsidR="00F52F30" w:rsidP="000F2210" w:rsidRDefault="000F2210" w14:paraId="77E3DE63" w14:textId="2599DA0B">
      <w:pPr>
        <w:pStyle w:val="H4Number"/>
        <w:tabs>
          <w:tab w:val="clear" w:pos="432"/>
          <w:tab w:val="left" w:pos="810"/>
        </w:tabs>
        <w:ind w:left="810" w:hanging="360"/>
      </w:pPr>
      <w:bookmarkStart w:name="_Toc25057027" w:id="37"/>
      <w:bookmarkStart w:name="_Toc34223075" w:id="38"/>
      <w:r>
        <w:t>f</w:t>
      </w:r>
      <w:r w:rsidR="00381D09">
        <w:t>.</w:t>
      </w:r>
      <w:r w:rsidR="00381D09">
        <w:tab/>
      </w:r>
      <w:r w:rsidR="00F52F30">
        <w:t>Provider</w:t>
      </w:r>
      <w:r w:rsidRPr="008B3498" w:rsidR="00F52F30">
        <w:t xml:space="preserve"> surveys</w:t>
      </w:r>
      <w:bookmarkEnd w:id="37"/>
      <w:bookmarkEnd w:id="38"/>
    </w:p>
    <w:p w:rsidR="00F52F30" w:rsidP="000F2210" w:rsidRDefault="00F52F30" w14:paraId="7BD778DE" w14:textId="6B467A73">
      <w:pPr>
        <w:tabs>
          <w:tab w:val="left" w:pos="810"/>
        </w:tabs>
        <w:spacing w:after="160" w:line="259" w:lineRule="auto"/>
        <w:ind w:left="810" w:firstLine="0"/>
        <w:rPr>
          <w:rFonts w:eastAsiaTheme="minorHAnsi"/>
          <w:szCs w:val="24"/>
        </w:rPr>
      </w:pPr>
      <w:r w:rsidRPr="00BF4CD6">
        <w:rPr>
          <w:rFonts w:eastAsiaTheme="minorHAnsi"/>
          <w:szCs w:val="24"/>
        </w:rPr>
        <w:t xml:space="preserve">The surveys of RETAIN providers has a target response rate of </w:t>
      </w:r>
      <w:r w:rsidRPr="0049014C">
        <w:rPr>
          <w:rFonts w:eastAsiaTheme="minorHAnsi"/>
          <w:szCs w:val="24"/>
        </w:rPr>
        <w:t xml:space="preserve">at least </w:t>
      </w:r>
      <w:r w:rsidRPr="00C736A1">
        <w:rPr>
          <w:rFonts w:eastAsiaTheme="minorHAnsi"/>
          <w:szCs w:val="24"/>
        </w:rPr>
        <w:t xml:space="preserve">80 percent </w:t>
      </w:r>
      <w:r>
        <w:rPr>
          <w:rFonts w:eastAsiaTheme="minorHAnsi"/>
          <w:szCs w:val="24"/>
        </w:rPr>
        <w:t>in</w:t>
      </w:r>
      <w:r w:rsidRPr="00C736A1">
        <w:rPr>
          <w:rFonts w:eastAsiaTheme="minorHAnsi"/>
          <w:szCs w:val="24"/>
        </w:rPr>
        <w:t xml:space="preserve"> each round. </w:t>
      </w:r>
      <w:r w:rsidR="001026D9">
        <w:rPr>
          <w:rFonts w:eastAsiaTheme="minorHAnsi"/>
          <w:szCs w:val="24"/>
        </w:rPr>
        <w:t xml:space="preserve"> </w:t>
      </w:r>
      <w:r w:rsidRPr="00C736A1">
        <w:rPr>
          <w:rFonts w:eastAsiaTheme="minorHAnsi"/>
          <w:szCs w:val="24"/>
        </w:rPr>
        <w:t>As with the enrollee survey, Mathematica</w:t>
      </w:r>
      <w:r w:rsidRPr="00564877">
        <w:rPr>
          <w:rFonts w:eastAsiaTheme="minorHAnsi"/>
          <w:szCs w:val="24"/>
        </w:rPr>
        <w:t xml:space="preserve"> will follow industry best</w:t>
      </w:r>
      <w:r>
        <w:rPr>
          <w:rFonts w:eastAsiaTheme="minorHAnsi"/>
          <w:szCs w:val="24"/>
        </w:rPr>
        <w:t xml:space="preserve"> </w:t>
      </w:r>
      <w:r w:rsidRPr="00E876A8">
        <w:rPr>
          <w:rFonts w:eastAsiaTheme="minorHAnsi"/>
          <w:szCs w:val="24"/>
        </w:rPr>
        <w:t>practices</w:t>
      </w:r>
      <w:r w:rsidRPr="008905B3">
        <w:rPr>
          <w:rFonts w:eastAsiaTheme="minorHAnsi"/>
          <w:szCs w:val="24"/>
        </w:rPr>
        <w:t xml:space="preserve"> for deploying nonresponse follow</w:t>
      </w:r>
      <w:r>
        <w:rPr>
          <w:rFonts w:eastAsiaTheme="minorHAnsi"/>
          <w:szCs w:val="24"/>
        </w:rPr>
        <w:t>-</w:t>
      </w:r>
      <w:r w:rsidRPr="008905B3">
        <w:rPr>
          <w:rFonts w:eastAsiaTheme="minorHAnsi"/>
          <w:szCs w:val="24"/>
        </w:rPr>
        <w:t>up effor</w:t>
      </w:r>
      <w:r w:rsidR="00061E7F">
        <w:rPr>
          <w:rFonts w:eastAsiaTheme="minorHAnsi"/>
          <w:szCs w:val="24"/>
        </w:rPr>
        <w:t>ts in accordance with the mixed</w:t>
      </w:r>
      <w:r w:rsidR="00061E7F">
        <w:rPr>
          <w:rFonts w:eastAsiaTheme="minorHAnsi"/>
          <w:szCs w:val="24"/>
        </w:rPr>
        <w:noBreakHyphen/>
      </w:r>
      <w:r w:rsidRPr="008905B3">
        <w:rPr>
          <w:rFonts w:eastAsiaTheme="minorHAnsi"/>
          <w:szCs w:val="24"/>
        </w:rPr>
        <w:t xml:space="preserve">mode design in a way that minimizes sample member burden and does not suppress survey response. </w:t>
      </w:r>
      <w:r w:rsidR="001026D9">
        <w:rPr>
          <w:rFonts w:eastAsiaTheme="minorHAnsi"/>
          <w:szCs w:val="24"/>
        </w:rPr>
        <w:t xml:space="preserve"> </w:t>
      </w:r>
      <w:r>
        <w:rPr>
          <w:rFonts w:eastAsiaTheme="minorHAnsi"/>
          <w:szCs w:val="24"/>
        </w:rPr>
        <w:t>We will use e</w:t>
      </w:r>
      <w:r w:rsidRPr="008905B3">
        <w:rPr>
          <w:rFonts w:eastAsiaTheme="minorHAnsi"/>
          <w:szCs w:val="24"/>
        </w:rPr>
        <w:t xml:space="preserve">ach of the </w:t>
      </w:r>
      <w:r>
        <w:rPr>
          <w:rFonts w:eastAsiaTheme="minorHAnsi"/>
          <w:szCs w:val="24"/>
        </w:rPr>
        <w:t>approaches</w:t>
      </w:r>
      <w:r w:rsidRPr="008905B3">
        <w:rPr>
          <w:rFonts w:eastAsiaTheme="minorHAnsi"/>
          <w:szCs w:val="24"/>
        </w:rPr>
        <w:t xml:space="preserve"> described for t</w:t>
      </w:r>
      <w:r w:rsidR="001026D9">
        <w:rPr>
          <w:rFonts w:eastAsiaTheme="minorHAnsi"/>
          <w:szCs w:val="24"/>
        </w:rPr>
        <w:t>he enrollee survey in section B</w:t>
      </w:r>
      <w:r w:rsidRPr="008905B3">
        <w:rPr>
          <w:rFonts w:eastAsiaTheme="minorHAnsi"/>
          <w:szCs w:val="24"/>
        </w:rPr>
        <w:t>3.1</w:t>
      </w:r>
      <w:r>
        <w:rPr>
          <w:rFonts w:eastAsiaTheme="minorHAnsi"/>
          <w:szCs w:val="24"/>
        </w:rPr>
        <w:t>,</w:t>
      </w:r>
      <w:r w:rsidRPr="008905B3">
        <w:rPr>
          <w:rFonts w:eastAsiaTheme="minorHAnsi"/>
          <w:szCs w:val="24"/>
        </w:rPr>
        <w:t xml:space="preserve"> includ</w:t>
      </w:r>
      <w:r>
        <w:rPr>
          <w:rFonts w:eastAsiaTheme="minorHAnsi"/>
          <w:szCs w:val="24"/>
        </w:rPr>
        <w:t>ing</w:t>
      </w:r>
      <w:r w:rsidRPr="008905B3">
        <w:rPr>
          <w:rFonts w:eastAsiaTheme="minorHAnsi"/>
          <w:szCs w:val="24"/>
        </w:rPr>
        <w:t xml:space="preserve"> (1) monetary incentives to motivate survey response; </w:t>
      </w:r>
      <w:r>
        <w:rPr>
          <w:rFonts w:eastAsiaTheme="minorHAnsi"/>
          <w:szCs w:val="24"/>
        </w:rPr>
        <w:t xml:space="preserve">(2) a mixed-mode survey with two modes offered in self-reporting format; (3) a sequential release of the survey modes; (4) multiple languages available for survey administration; (5) a variety of outreach formats  (email, postal mail, and telephone calls); (6) a toll-free number and informational webpage; and (7) paradata to inform optimal times to contact providers. </w:t>
      </w:r>
      <w:r w:rsidR="001026D9">
        <w:rPr>
          <w:rFonts w:eastAsiaTheme="minorHAnsi"/>
          <w:szCs w:val="24"/>
        </w:rPr>
        <w:t xml:space="preserve"> </w:t>
      </w:r>
      <w:r>
        <w:rPr>
          <w:rFonts w:eastAsiaTheme="minorHAnsi"/>
          <w:szCs w:val="24"/>
        </w:rPr>
        <w:t xml:space="preserve">In addition, </w:t>
      </w:r>
      <w:r w:rsidR="00B71914">
        <w:rPr>
          <w:rFonts w:eastAsiaTheme="minorHAnsi"/>
          <w:szCs w:val="24"/>
        </w:rPr>
        <w:t xml:space="preserve">trained </w:t>
      </w:r>
      <w:r>
        <w:rPr>
          <w:rFonts w:eastAsiaTheme="minorHAnsi"/>
          <w:szCs w:val="24"/>
        </w:rPr>
        <w:t xml:space="preserve">Mathematica telephone interviewers </w:t>
      </w:r>
      <w:r w:rsidR="00B71914">
        <w:rPr>
          <w:rFonts w:eastAsiaTheme="minorHAnsi"/>
          <w:szCs w:val="24"/>
        </w:rPr>
        <w:t>will</w:t>
      </w:r>
      <w:r>
        <w:rPr>
          <w:rFonts w:eastAsiaTheme="minorHAnsi"/>
          <w:szCs w:val="24"/>
        </w:rPr>
        <w:t xml:space="preserve"> work with providers’ frontline office staff to ensure that the providers are aware of the survey request and to help facilitate completion of the questionnaire. </w:t>
      </w:r>
      <w:r w:rsidR="001026D9">
        <w:rPr>
          <w:rFonts w:eastAsiaTheme="minorHAnsi"/>
          <w:szCs w:val="24"/>
        </w:rPr>
        <w:t xml:space="preserve"> </w:t>
      </w:r>
      <w:r>
        <w:rPr>
          <w:rFonts w:eastAsiaTheme="minorHAnsi"/>
          <w:szCs w:val="24"/>
        </w:rPr>
        <w:t xml:space="preserve">These strategies, combined with Mathematica’s intensive oversight of production statistics across the field period, will help maximize response rates for the provider survey and minimize nonresponse. </w:t>
      </w:r>
    </w:p>
    <w:p w:rsidR="00F52F30" w:rsidP="000F2210" w:rsidRDefault="00F52F30" w14:paraId="1444D510" w14:textId="67EFBAE3">
      <w:pPr>
        <w:pStyle w:val="H4Number"/>
        <w:tabs>
          <w:tab w:val="clear" w:pos="432"/>
          <w:tab w:val="left" w:pos="450"/>
        </w:tabs>
        <w:ind w:left="450" w:firstLine="18"/>
      </w:pPr>
      <w:bookmarkStart w:name="_Toc25057028" w:id="39"/>
      <w:bookmarkStart w:name="_Toc34223076" w:id="40"/>
      <w:r>
        <w:t>Addressing nonresponse in the enrollee and provider surveys</w:t>
      </w:r>
      <w:bookmarkEnd w:id="39"/>
      <w:bookmarkEnd w:id="40"/>
    </w:p>
    <w:p w:rsidR="00224A41" w:rsidP="000F2210" w:rsidRDefault="00F52F30" w14:paraId="2B68403A" w14:textId="43E1E0B7">
      <w:pPr>
        <w:pStyle w:val="NormalSS"/>
        <w:tabs>
          <w:tab w:val="left" w:pos="810"/>
        </w:tabs>
        <w:ind w:left="810" w:firstLine="0"/>
      </w:pPr>
      <w:r>
        <w:t xml:space="preserve">Nonresponse is a key source of survey error that impacts the quality of the data collected in both the enrollee and provider surveys. </w:t>
      </w:r>
      <w:r w:rsidR="00224A41">
        <w:t xml:space="preserve"> </w:t>
      </w:r>
      <w:r>
        <w:t xml:space="preserve">In sections B3.1 and B3.2, we discussed our approach to minimizing unit nonresponse bias and achieving target response rates for both surveys. </w:t>
      </w:r>
      <w:r w:rsidR="00224A41">
        <w:t xml:space="preserve"> </w:t>
      </w:r>
      <w:r>
        <w:t>Below we describe the proposed approaches for addressing both item and unit nonresponse as the survey data for use in the impact analysis.</w:t>
      </w:r>
    </w:p>
    <w:p w:rsidR="00224A41" w:rsidP="000F2210" w:rsidRDefault="00224A41" w14:paraId="3190A04C" w14:textId="77777777">
      <w:pPr>
        <w:pStyle w:val="NormalSS"/>
        <w:tabs>
          <w:tab w:val="left" w:pos="810"/>
        </w:tabs>
        <w:ind w:left="810" w:firstLine="0"/>
      </w:pPr>
    </w:p>
    <w:p w:rsidRPr="00C265A0" w:rsidR="00F52F30" w:rsidP="000F2210" w:rsidRDefault="00F52F30" w14:paraId="2FAE7665" w14:textId="3F9AD2AA">
      <w:pPr>
        <w:pStyle w:val="NormalSS"/>
        <w:tabs>
          <w:tab w:val="left" w:pos="810"/>
        </w:tabs>
        <w:ind w:left="810" w:firstLine="0"/>
      </w:pPr>
      <w:r>
        <w:t xml:space="preserve"> </w:t>
      </w:r>
    </w:p>
    <w:p w:rsidR="000F2210" w:rsidP="000F2210" w:rsidRDefault="000F2210" w14:paraId="0FC0B122" w14:textId="565ACAC0">
      <w:pPr>
        <w:spacing w:after="160" w:line="259" w:lineRule="auto"/>
        <w:ind w:left="450" w:firstLine="0"/>
        <w:rPr>
          <w:b/>
        </w:rPr>
      </w:pPr>
      <w:r>
        <w:rPr>
          <w:b/>
        </w:rPr>
        <w:t>Item nonresponse</w:t>
      </w:r>
    </w:p>
    <w:p w:rsidR="00F52F30" w:rsidP="000F2210" w:rsidRDefault="00F52F30" w14:paraId="5300C147" w14:textId="61BB046A">
      <w:pPr>
        <w:spacing w:after="160" w:line="259" w:lineRule="auto"/>
        <w:ind w:left="810" w:firstLine="0"/>
      </w:pPr>
      <w:r w:rsidRPr="00A01D5A">
        <w:t xml:space="preserve">Although the </w:t>
      </w:r>
      <w:r>
        <w:t>RETAIN e</w:t>
      </w:r>
      <w:r w:rsidRPr="00A01D5A">
        <w:t xml:space="preserve">valuation team’s past experience conducting surveys for similar evaluations suggests that rates of item nonresponse on the </w:t>
      </w:r>
      <w:r>
        <w:t xml:space="preserve">enrollee and provider </w:t>
      </w:r>
      <w:r w:rsidRPr="00A01D5A">
        <w:t>survey</w:t>
      </w:r>
      <w:r>
        <w:t>s</w:t>
      </w:r>
      <w:r w:rsidRPr="00A01D5A">
        <w:t xml:space="preserve"> will be very low, some item nonresponse is inevitable</w:t>
      </w:r>
      <w:r w:rsidR="00061E7F">
        <w:t>, especially when using self</w:t>
      </w:r>
      <w:r w:rsidR="00061E7F">
        <w:noBreakHyphen/>
      </w:r>
      <w:r>
        <w:t>administered modes for survey data collection</w:t>
      </w:r>
      <w:r w:rsidRPr="00A01D5A">
        <w:t>.</w:t>
      </w:r>
      <w:r>
        <w:t xml:space="preserve"> </w:t>
      </w:r>
      <w:r w:rsidR="00224A41">
        <w:t xml:space="preserve"> </w:t>
      </w:r>
      <w:r>
        <w:t xml:space="preserve">Both the enrollee and provider surveys </w:t>
      </w:r>
      <w:r w:rsidRPr="00A01D5A">
        <w:t xml:space="preserve">collect data on outcome measures for the evaluation team to use in the impact analysis. </w:t>
      </w:r>
      <w:r w:rsidR="00061E7F">
        <w:t xml:space="preserve"> </w:t>
      </w:r>
      <w:r w:rsidRPr="00A01D5A">
        <w:t>Imputation of outcome data could lead to biased estimates due to imperfect matches on observables when using a hot-deck procedure (Bollinger and Hirsch 2006).</w:t>
      </w:r>
      <w:r>
        <w:t xml:space="preserve"> </w:t>
      </w:r>
      <w:r w:rsidR="00224A41">
        <w:t xml:space="preserve"> </w:t>
      </w:r>
      <w:r>
        <w:t xml:space="preserve">We will exclude observations with missing outcome data, unless </w:t>
      </w:r>
      <w:r w:rsidR="00A85772">
        <w:t xml:space="preserve">we knew </w:t>
      </w:r>
      <w:r>
        <w:t xml:space="preserve">the outcome to have a specific value for some cases that was conditional on the value of another variable. </w:t>
      </w:r>
      <w:r w:rsidR="00224A41">
        <w:t xml:space="preserve"> </w:t>
      </w:r>
      <w:r>
        <w:t xml:space="preserve">To minimize the risk of bias from this source, we will use </w:t>
      </w:r>
      <w:r w:rsidRPr="00A01D5A">
        <w:t>multivariate techniques</w:t>
      </w:r>
      <w:r>
        <w:t xml:space="preserve"> to input missing data.</w:t>
      </w:r>
    </w:p>
    <w:p w:rsidR="000F2210" w:rsidP="000F2210" w:rsidRDefault="00F52F30" w14:paraId="54DEB59D" w14:textId="6A66C4EF">
      <w:pPr>
        <w:spacing w:after="160" w:line="259" w:lineRule="auto"/>
        <w:ind w:left="450" w:firstLine="0"/>
        <w:rPr>
          <w:b/>
        </w:rPr>
      </w:pPr>
      <w:r>
        <w:rPr>
          <w:b/>
        </w:rPr>
        <w:t>Unit (i</w:t>
      </w:r>
      <w:r w:rsidRPr="00A01D5A">
        <w:rPr>
          <w:b/>
        </w:rPr>
        <w:t>ndividual-level</w:t>
      </w:r>
      <w:r>
        <w:rPr>
          <w:b/>
        </w:rPr>
        <w:t>)</w:t>
      </w:r>
      <w:r w:rsidR="000F2210">
        <w:rPr>
          <w:b/>
        </w:rPr>
        <w:t xml:space="preserve"> nonresponse</w:t>
      </w:r>
    </w:p>
    <w:p w:rsidRPr="00A01D5A" w:rsidR="00F52F30" w:rsidP="000F2210" w:rsidRDefault="00F52F30" w14:paraId="5F03B0A9" w14:textId="2BB59B6A">
      <w:pPr>
        <w:spacing w:after="160" w:line="259" w:lineRule="auto"/>
        <w:ind w:left="810" w:firstLine="0"/>
      </w:pPr>
      <w:r w:rsidRPr="00A01D5A">
        <w:rPr>
          <w:b/>
        </w:rPr>
        <w:t xml:space="preserve"> </w:t>
      </w:r>
      <w:r w:rsidRPr="00A01D5A">
        <w:t xml:space="preserve">As with almost any survey, some nonresponse in </w:t>
      </w:r>
      <w:r>
        <w:t xml:space="preserve">each round of data collection </w:t>
      </w:r>
      <w:r w:rsidRPr="00A01D5A">
        <w:t>is inevitable</w:t>
      </w:r>
      <w:r>
        <w:t>, especially during later rounds of follow up</w:t>
      </w:r>
      <w:r w:rsidRPr="00A01D5A">
        <w:t xml:space="preserve">. </w:t>
      </w:r>
      <w:r w:rsidR="00224A41">
        <w:t xml:space="preserve"> </w:t>
      </w:r>
      <w:r>
        <w:t>For example, t</w:t>
      </w:r>
      <w:r w:rsidRPr="00A01D5A">
        <w:t xml:space="preserve">he evaluation team will not be able to locate some sample members and others will not be able or willing to respond to the survey. </w:t>
      </w:r>
      <w:r w:rsidR="00224A41">
        <w:t xml:space="preserve"> </w:t>
      </w:r>
      <w:r>
        <w:t xml:space="preserve">SSA </w:t>
      </w:r>
      <w:r w:rsidRPr="00A01D5A">
        <w:t>expects to attain a response rate of at least 80 percent</w:t>
      </w:r>
      <w:r>
        <w:t xml:space="preserve"> for each round of the enrollee and provider surveys. </w:t>
      </w:r>
      <w:r w:rsidR="00224A41">
        <w:t xml:space="preserve"> </w:t>
      </w:r>
      <w:r w:rsidRPr="00A01D5A">
        <w:t xml:space="preserve">In the event that response rates are lower, </w:t>
      </w:r>
      <w:r>
        <w:t xml:space="preserve">Mathematica </w:t>
      </w:r>
      <w:r w:rsidRPr="00A01D5A">
        <w:t>will conduct a nonresponse analysis using various data items from</w:t>
      </w:r>
      <w:r>
        <w:t xml:space="preserve"> enrollment</w:t>
      </w:r>
      <w:r w:rsidRPr="00A01D5A">
        <w:t xml:space="preserve">. </w:t>
      </w:r>
      <w:r w:rsidR="00224A41">
        <w:t xml:space="preserve"> </w:t>
      </w:r>
      <w:r w:rsidRPr="00A01D5A">
        <w:t>The nonresponse bias analysis will consist of the following steps:</w:t>
      </w:r>
    </w:p>
    <w:p w:rsidRPr="00A01D5A" w:rsidR="00F52F30" w:rsidP="000F2210" w:rsidRDefault="00F52F30" w14:paraId="2B9D2481" w14:textId="69745A44">
      <w:pPr>
        <w:pStyle w:val="Bullet"/>
        <w:tabs>
          <w:tab w:val="clear" w:pos="432"/>
          <w:tab w:val="left" w:pos="1170"/>
        </w:tabs>
        <w:ind w:left="1170" w:hanging="360"/>
      </w:pPr>
      <w:r w:rsidRPr="00C265A0">
        <w:rPr>
          <w:i/>
        </w:rPr>
        <w:t>Compute response rates for key subgroups</w:t>
      </w:r>
      <w:r w:rsidRPr="00A01D5A">
        <w:t xml:space="preserve">. </w:t>
      </w:r>
      <w:r w:rsidR="00224A41">
        <w:t xml:space="preserve"> </w:t>
      </w:r>
      <w:r w:rsidRPr="00A01D5A">
        <w:t xml:space="preserve">The evaluation team will compute the response rate for the subgroups using the American Association for Public Opinion Research definition of the participation rate for a nonprobability sample: </w:t>
      </w:r>
      <w:r w:rsidR="00061E7F">
        <w:t xml:space="preserve"> </w:t>
      </w:r>
      <w:r w:rsidRPr="00A01D5A">
        <w:t>the number of respondents who provided a usable response divided by the total number of individuals from whom they requested participation in the survey (AAPOR 2016). The evaluation team will conduct comparisons of the response rate across key subgroups</w:t>
      </w:r>
      <w:r>
        <w:t>, including most notably the</w:t>
      </w:r>
      <w:r w:rsidRPr="00A01D5A">
        <w:t xml:space="preserve"> treatment group and the control group, as well as </w:t>
      </w:r>
      <w:r>
        <w:t xml:space="preserve">any </w:t>
      </w:r>
      <w:r w:rsidRPr="00A01D5A">
        <w:t>subgroups used to stratify sampling for the survey</w:t>
      </w:r>
      <w:r>
        <w:t xml:space="preserve">. </w:t>
      </w:r>
      <w:r w:rsidR="00224A41">
        <w:t xml:space="preserve"> </w:t>
      </w:r>
      <w:r w:rsidRPr="00A01D5A">
        <w:t>The goal of this analysis is to determine whether response rates in specific subgroups differ systematically from that of other subgroups or from the overall response rate.</w:t>
      </w:r>
      <w:r>
        <w:t xml:space="preserve"> </w:t>
      </w:r>
      <w:r w:rsidR="00224A41">
        <w:t xml:space="preserve"> </w:t>
      </w:r>
      <w:r w:rsidRPr="00A01D5A">
        <w:t>This could inform the evaluation team’s development of nonresponse weights for use in the analysis.</w:t>
      </w:r>
    </w:p>
    <w:p w:rsidRPr="00A01D5A" w:rsidR="00F52F30" w:rsidP="000F2210" w:rsidRDefault="00F52F30" w14:paraId="468E2BED" w14:textId="6A2E395D">
      <w:pPr>
        <w:pStyle w:val="Bullet"/>
        <w:tabs>
          <w:tab w:val="clear" w:pos="432"/>
          <w:tab w:val="left" w:pos="1170"/>
        </w:tabs>
        <w:ind w:left="1170" w:hanging="360"/>
      </w:pPr>
      <w:r w:rsidRPr="00A01D5A">
        <w:rPr>
          <w:i/>
        </w:rPr>
        <w:t>Compare the distributions of respondents’ and nonrespondents’ characteristics</w:t>
      </w:r>
      <w:r w:rsidRPr="00A01D5A">
        <w:t xml:space="preserve">. </w:t>
      </w:r>
      <w:r w:rsidRPr="00A01D5A" w:rsidR="001F567E">
        <w:t>Again,</w:t>
      </w:r>
      <w:r w:rsidRPr="00A01D5A">
        <w:t xml:space="preserve"> using data from </w:t>
      </w:r>
      <w:r>
        <w:t>RETAIN enrollment</w:t>
      </w:r>
      <w:r w:rsidRPr="00A01D5A">
        <w:t xml:space="preserve">, the evaluation team will compare the characteristics of respondents and nonrespondents. </w:t>
      </w:r>
      <w:r w:rsidR="00224A41">
        <w:t xml:space="preserve"> </w:t>
      </w:r>
      <w:r w:rsidRPr="00A01D5A">
        <w:t xml:space="preserve">They will assess the statistical significance of the difference between these groups using </w:t>
      </w:r>
      <w:r w:rsidRPr="00A01D5A">
        <w:rPr>
          <w:i/>
        </w:rPr>
        <w:t>t</w:t>
      </w:r>
      <w:r w:rsidRPr="00A01D5A">
        <w:t xml:space="preserve">-tests. </w:t>
      </w:r>
      <w:r w:rsidR="00224A41">
        <w:t xml:space="preserve"> </w:t>
      </w:r>
      <w:r w:rsidRPr="00A01D5A">
        <w:t>This type of analysis can be useful in identifying patterns of differences in observable characteristics that might suggest nonresponse bias.</w:t>
      </w:r>
      <w:r w:rsidR="00224A41">
        <w:t xml:space="preserve"> </w:t>
      </w:r>
      <w:r w:rsidRPr="00A01D5A">
        <w:t xml:space="preserve"> However, this approach has low power to detect substantive differences when sample sizes are small, and the large number of statistical tests conducted can also result in high rates of Type I error. Consequently, the evaluation team will interpret the results of this item-by-item analysis cautiously.</w:t>
      </w:r>
    </w:p>
    <w:p w:rsidRPr="00A01D5A" w:rsidR="00F52F30" w:rsidP="000F2210" w:rsidRDefault="00F52F30" w14:paraId="5737EC60" w14:textId="434872F5">
      <w:pPr>
        <w:pStyle w:val="Bullet"/>
        <w:tabs>
          <w:tab w:val="clear" w:pos="432"/>
          <w:tab w:val="left" w:pos="1170"/>
        </w:tabs>
        <w:ind w:left="1170" w:hanging="360"/>
      </w:pPr>
      <w:r w:rsidRPr="00A01D5A">
        <w:rPr>
          <w:i/>
        </w:rPr>
        <w:t>Identify the characteristics that best predict nonresponse and use this information to generate nonresponse weights</w:t>
      </w:r>
      <w:r w:rsidRPr="00A01D5A">
        <w:t>.</w:t>
      </w:r>
      <w:r>
        <w:t xml:space="preserve"> </w:t>
      </w:r>
      <w:r w:rsidR="00224A41">
        <w:t xml:space="preserve"> </w:t>
      </w:r>
      <w:r w:rsidRPr="00A01D5A">
        <w:t xml:space="preserve">This is a multivariate generalization of the subgroup </w:t>
      </w:r>
      <w:r>
        <w:t xml:space="preserve">analysis described previously. </w:t>
      </w:r>
      <w:r w:rsidR="00224A41">
        <w:t xml:space="preserve"> </w:t>
      </w:r>
      <w:r w:rsidRPr="00A01D5A">
        <w:t>The evaluation team will use logistic regression models to assess the partial associations between each characteristic and response status; propensity scores obtained from such models provide a concise way to summarize and correct for initial imbalances (Särndal et al. 1992)</w:t>
      </w:r>
      <w:r>
        <w:t xml:space="preserve">. </w:t>
      </w:r>
      <w:r w:rsidR="00224A41">
        <w:t xml:space="preserve"> </w:t>
      </w:r>
      <w:r w:rsidRPr="00A01D5A">
        <w:t>Examples of automated procedures they could use to produce these weight</w:t>
      </w:r>
      <w:r>
        <w:t>s</w:t>
      </w:r>
      <w:r w:rsidRPr="00A01D5A">
        <w:t xml:space="preserve"> efficiently include:</w:t>
      </w:r>
      <w:r>
        <w:t xml:space="preserve"> </w:t>
      </w:r>
      <w:r w:rsidR="00061E7F">
        <w:t xml:space="preserve"> </w:t>
      </w:r>
      <w:r w:rsidRPr="00A01D5A">
        <w:t xml:space="preserve">(1) using prespecified decision rules, such as those described by Imbens and Rubin (2015) and Biggs, de Ville, and Suen (1991) to select covariates and interactions between them; and (2) identifying and addressing outliers by, for example, trimming weights in a way that minimizes the mean-square error of the estimates (Potter 1990). </w:t>
      </w:r>
    </w:p>
    <w:p w:rsidR="00F52F30" w:rsidP="000F2210" w:rsidRDefault="00F52F30" w14:paraId="3C644D8D" w14:textId="2FB939C5">
      <w:pPr>
        <w:pStyle w:val="Bullet"/>
        <w:tabs>
          <w:tab w:val="clear" w:pos="432"/>
          <w:tab w:val="left" w:pos="1170"/>
        </w:tabs>
        <w:spacing w:after="240"/>
        <w:ind w:left="1170" w:hanging="360"/>
      </w:pPr>
      <w:r w:rsidRPr="00A01D5A">
        <w:rPr>
          <w:i/>
        </w:rPr>
        <w:t>Compare the nonresponse-weighted distribution of respondent characteristics with the distribution for the full random assignment sample.</w:t>
      </w:r>
      <w:r w:rsidRPr="00A01D5A">
        <w:t xml:space="preserve"> </w:t>
      </w:r>
      <w:r w:rsidR="00224A41">
        <w:t xml:space="preserve"> </w:t>
      </w:r>
      <w:r w:rsidRPr="00A01D5A">
        <w:t xml:space="preserve">In this last step, the evaluation team will compare the weighted distribution of respondent baseline characteristics to the unweighted distribution of the full set of </w:t>
      </w:r>
      <w:r>
        <w:t xml:space="preserve">RETAIN enrollee </w:t>
      </w:r>
      <w:r w:rsidRPr="00A01D5A">
        <w:t xml:space="preserve">that went through random assignment. </w:t>
      </w:r>
      <w:r w:rsidR="00224A41">
        <w:t xml:space="preserve"> </w:t>
      </w:r>
      <w:r w:rsidRPr="00A01D5A">
        <w:t xml:space="preserve">They will make these comparisons for the whole sample and for key subgroups, as described earlier in this subsection. </w:t>
      </w:r>
      <w:r w:rsidR="00224A41">
        <w:t xml:space="preserve"> </w:t>
      </w:r>
      <w:r w:rsidRPr="00A01D5A">
        <w:t>This step will include validation of the nonresponse weights using outcomes measured in the program data for the full sample (but not used in the construction of the weights)</w:t>
      </w:r>
      <w:r>
        <w:t xml:space="preserve">. </w:t>
      </w:r>
      <w:r w:rsidRPr="00A01D5A">
        <w:t xml:space="preserve">This analysis can highlight measures in which the potential for nonresponse bias is greatest, even after weighting, in which case they should exercise greater caution in the interpretation of the observed findings. </w:t>
      </w:r>
    </w:p>
    <w:p w:rsidRPr="00C655CB" w:rsidR="00C655CB" w:rsidP="00775E88" w:rsidRDefault="00C655CB" w14:paraId="50C2BD31" w14:textId="05C09E5A">
      <w:pPr>
        <w:pStyle w:val="H3Alpha"/>
      </w:pPr>
      <w:bookmarkStart w:name="_Toc531183384" w:id="41"/>
      <w:bookmarkStart w:name="_Toc34223077" w:id="42"/>
      <w:r w:rsidRPr="00C655CB">
        <w:t>4.</w:t>
      </w:r>
      <w:r w:rsidRPr="00C655CB">
        <w:tab/>
        <w:t>Tests of procedures or methods to be undertaken</w:t>
      </w:r>
      <w:bookmarkEnd w:id="41"/>
      <w:bookmarkEnd w:id="42"/>
    </w:p>
    <w:p w:rsidRPr="00C655CB" w:rsidR="007E4996" w:rsidP="000F2210" w:rsidRDefault="00AD4472" w14:paraId="18A68BFA" w14:textId="553FE73B">
      <w:pPr>
        <w:pStyle w:val="H4Number"/>
        <w:tabs>
          <w:tab w:val="clear" w:pos="432"/>
          <w:tab w:val="left" w:pos="810"/>
        </w:tabs>
        <w:ind w:left="810" w:hanging="360"/>
      </w:pPr>
      <w:bookmarkStart w:name="_Toc34223078" w:id="43"/>
      <w:r>
        <w:t>Interviews with RETAIN staff and service users</w:t>
      </w:r>
      <w:bookmarkEnd w:id="43"/>
      <w:r>
        <w:t xml:space="preserve"> </w:t>
      </w:r>
    </w:p>
    <w:p w:rsidR="00C655CB" w:rsidP="000F2210" w:rsidRDefault="00C655CB" w14:paraId="59E0D2FF" w14:textId="339AD11C">
      <w:pPr>
        <w:spacing w:after="240" w:line="240" w:lineRule="auto"/>
        <w:ind w:left="810" w:firstLine="0"/>
      </w:pPr>
      <w:r w:rsidRPr="00C655CB">
        <w:t xml:space="preserve">We will conduct no pre-tests of the interview protocols. </w:t>
      </w:r>
      <w:r w:rsidR="00224A41">
        <w:t xml:space="preserve"> </w:t>
      </w:r>
      <w:r w:rsidRPr="00C655CB">
        <w:t xml:space="preserve">Mathematica will make minor modifications to the data collection procedures and </w:t>
      </w:r>
      <w:r w:rsidR="000D6071">
        <w:t>discussion guides</w:t>
      </w:r>
      <w:r w:rsidRPr="00C655CB">
        <w:t xml:space="preserve">, if necessary, based on the experiences of the early interviews. </w:t>
      </w:r>
    </w:p>
    <w:p w:rsidR="007E4996" w:rsidP="000F2210" w:rsidRDefault="007E4996" w14:paraId="7270160F" w14:textId="59C8A651">
      <w:pPr>
        <w:pStyle w:val="H4Number"/>
        <w:tabs>
          <w:tab w:val="clear" w:pos="432"/>
          <w:tab w:val="left" w:pos="810"/>
        </w:tabs>
        <w:ind w:left="810" w:hanging="360"/>
      </w:pPr>
      <w:bookmarkStart w:name="_Toc34223079" w:id="44"/>
      <w:r w:rsidRPr="003B2602">
        <w:t>S</w:t>
      </w:r>
      <w:r>
        <w:t>urveys of RETAIN enrollees</w:t>
      </w:r>
      <w:r w:rsidR="002624BD">
        <w:t xml:space="preserve"> and providers</w:t>
      </w:r>
      <w:bookmarkEnd w:id="44"/>
    </w:p>
    <w:p w:rsidR="009E422D" w:rsidP="000F2210" w:rsidRDefault="009E422D" w14:paraId="6199C3E5" w14:textId="5BF92604">
      <w:pPr>
        <w:spacing w:after="160" w:line="259" w:lineRule="auto"/>
        <w:ind w:left="810" w:firstLine="0"/>
      </w:pPr>
      <w:r>
        <w:t>Mathematica</w:t>
      </w:r>
      <w:r w:rsidRPr="002624BD">
        <w:t xml:space="preserve"> conducted a pretest of the </w:t>
      </w:r>
      <w:r>
        <w:t xml:space="preserve">enrollee and provider questionnaires. </w:t>
      </w:r>
      <w:r w:rsidR="00224A41">
        <w:t xml:space="preserve"> </w:t>
      </w:r>
      <w:r w:rsidRPr="002624BD">
        <w:t>The pretest provided an accurate estimate of respondent burden as required by OMB, and the evaluation team also assessed flo</w:t>
      </w:r>
      <w:r>
        <w:t>w and respondent comprehension.</w:t>
      </w:r>
      <w:r w:rsidDel="005E4B99">
        <w:rPr>
          <w:rStyle w:val="CommentReference"/>
        </w:rPr>
        <w:t xml:space="preserve"> </w:t>
      </w:r>
    </w:p>
    <w:p w:rsidR="002624BD" w:rsidP="000F2210" w:rsidRDefault="00E41D90" w14:paraId="560AD557" w14:textId="1A040A4C">
      <w:pPr>
        <w:pStyle w:val="NormalSS"/>
        <w:ind w:left="810" w:firstLine="0"/>
      </w:pPr>
      <w:r>
        <w:t>We completed t</w:t>
      </w:r>
      <w:r w:rsidR="009E422D">
        <w:t xml:space="preserve">he R1 and R2 enrollee survey pretests in English and Spanish with nine adults who had experienced an illness or injury that could preclude their participation in work (so as to mirror the RETAIN enrollee population). </w:t>
      </w:r>
      <w:r w:rsidR="00224A41">
        <w:t xml:space="preserve"> </w:t>
      </w:r>
      <w:r w:rsidR="009E422D">
        <w:t>Mathematica conducted the R1 provider survey pretest with nine providers from a range of specialties.</w:t>
      </w:r>
      <w:r>
        <w:t xml:space="preserve"> </w:t>
      </w:r>
      <w:r w:rsidR="009E422D">
        <w:t xml:space="preserve"> Because the R2 provider instrument mirrors the R1 instrument, </w:t>
      </w:r>
      <w:r>
        <w:t xml:space="preserve">we did not conduct </w:t>
      </w:r>
      <w:r w:rsidR="009E422D">
        <w:t>additional testing of the R2 provider in</w:t>
      </w:r>
      <w:r>
        <w:t>strument</w:t>
      </w:r>
      <w:r w:rsidR="009E422D">
        <w:t>.</w:t>
      </w:r>
      <w:r w:rsidR="00224A41">
        <w:t xml:space="preserve"> </w:t>
      </w:r>
      <w:r w:rsidR="009E422D">
        <w:t xml:space="preserve"> Following the pretests, Mathematica </w:t>
      </w:r>
      <w:r w:rsidRPr="002624BD" w:rsidR="009E422D">
        <w:t>revised</w:t>
      </w:r>
      <w:r w:rsidR="009E422D">
        <w:t xml:space="preserve"> the survey instruments </w:t>
      </w:r>
      <w:r w:rsidRPr="002624BD" w:rsidR="009E422D">
        <w:t xml:space="preserve">based on </w:t>
      </w:r>
      <w:r w:rsidR="009E422D">
        <w:t>the</w:t>
      </w:r>
      <w:r w:rsidR="00512423">
        <w:t>ir</w:t>
      </w:r>
      <w:bookmarkStart w:name="_GoBack" w:id="45"/>
      <w:bookmarkEnd w:id="45"/>
      <w:r w:rsidR="009E422D">
        <w:t xml:space="preserve"> </w:t>
      </w:r>
      <w:r w:rsidRPr="002624BD" w:rsidR="009E422D">
        <w:t>findings.</w:t>
      </w:r>
      <w:r w:rsidRPr="002624BD" w:rsidR="002624BD">
        <w:t xml:space="preserve"> </w:t>
      </w:r>
    </w:p>
    <w:p w:rsidRPr="00C655CB" w:rsidR="00C655CB" w:rsidP="00775E88" w:rsidRDefault="00C655CB" w14:paraId="210B6472" w14:textId="1536B3B5">
      <w:pPr>
        <w:pStyle w:val="H3Alpha"/>
      </w:pPr>
      <w:bookmarkStart w:name="_Toc531183385" w:id="46"/>
      <w:bookmarkStart w:name="_Toc34223080" w:id="47"/>
      <w:r w:rsidRPr="00C655CB">
        <w:t>5.</w:t>
      </w:r>
      <w:r w:rsidRPr="00C655CB">
        <w:tab/>
        <w:t>Individuals consulted on statistical aspects of the design and on collection and/or analyzing data</w:t>
      </w:r>
      <w:bookmarkEnd w:id="46"/>
      <w:bookmarkEnd w:id="47"/>
    </w:p>
    <w:p w:rsidRPr="00C655CB" w:rsidR="00C655CB" w:rsidP="000F2210" w:rsidRDefault="007B0794" w14:paraId="4D191ACB" w14:textId="013E2182">
      <w:pPr>
        <w:pStyle w:val="NormalSS"/>
        <w:ind w:left="810" w:firstLine="0"/>
      </w:pPr>
      <w:r>
        <w:t xml:space="preserve">In addition to their collaboration with staff from DOL, </w:t>
      </w:r>
      <w:r w:rsidRPr="00A1069A" w:rsidR="00A1069A">
        <w:t xml:space="preserve">SSA has also organized a </w:t>
      </w:r>
      <w:r w:rsidR="00762832">
        <w:t>Technical Working Group (</w:t>
      </w:r>
      <w:r w:rsidRPr="00A1069A" w:rsidR="00A1069A">
        <w:t>TWG</w:t>
      </w:r>
      <w:r w:rsidR="00762832">
        <w:t>)</w:t>
      </w:r>
      <w:r w:rsidRPr="00A1069A" w:rsidR="00A1069A">
        <w:t xml:space="preserve"> to provide input on key research questions, evaluability considerations, feasible experimental and nonexperimental methods, survey designs, analysis strategies, and interpretation and presentation of results. </w:t>
      </w:r>
      <w:r w:rsidR="00224A41">
        <w:t xml:space="preserve"> </w:t>
      </w:r>
      <w:r w:rsidR="00762832">
        <w:t>The TWG</w:t>
      </w:r>
      <w:r w:rsidR="00A1069A">
        <w:t xml:space="preserve"> </w:t>
      </w:r>
      <w:r w:rsidRPr="00A1069A" w:rsidR="00A1069A">
        <w:t>consists of researchers and clinicians with expertise in the areas of disability, early intervention, and evaluation design.</w:t>
      </w:r>
      <w:r w:rsidR="00224A41">
        <w:t xml:space="preserve"> </w:t>
      </w:r>
      <w:r w:rsidRPr="00A1069A" w:rsidR="00A1069A">
        <w:t xml:space="preserve"> </w:t>
      </w:r>
      <w:r w:rsidRPr="00C655CB" w:rsidR="00C655CB">
        <w:t xml:space="preserve">The external experts </w:t>
      </w:r>
      <w:r w:rsidR="00A1069A">
        <w:t xml:space="preserve">include: </w:t>
      </w:r>
      <w:r w:rsidRPr="00C655CB" w:rsidR="00C655CB">
        <w:t xml:space="preserve"> </w:t>
      </w:r>
    </w:p>
    <w:p w:rsidRPr="00C655CB" w:rsidR="00C655CB" w:rsidP="000F2210" w:rsidRDefault="00C655CB" w14:paraId="5725AC1F" w14:textId="77777777">
      <w:pPr>
        <w:pStyle w:val="Bullet"/>
        <w:tabs>
          <w:tab w:val="clear" w:pos="432"/>
          <w:tab w:val="left" w:pos="1170"/>
        </w:tabs>
        <w:ind w:left="1170" w:hanging="360"/>
      </w:pPr>
      <w:r w:rsidRPr="00C655CB">
        <w:t>Thomas Wickizer, Ph.D., Ohio State University College of Public Health</w:t>
      </w:r>
    </w:p>
    <w:p w:rsidRPr="00C655CB" w:rsidR="00C655CB" w:rsidP="000F2210" w:rsidRDefault="00C655CB" w14:paraId="5B48FAF3" w14:textId="77777777">
      <w:pPr>
        <w:pStyle w:val="Bullet"/>
        <w:tabs>
          <w:tab w:val="clear" w:pos="432"/>
          <w:tab w:val="left" w:pos="1170"/>
        </w:tabs>
        <w:ind w:left="1170" w:hanging="360"/>
      </w:pPr>
      <w:r w:rsidRPr="00C655CB">
        <w:t>Glenn Pransky, former director at Center for Disability Research at the Liberty Mutual Research Institute</w:t>
      </w:r>
    </w:p>
    <w:p w:rsidRPr="00C655CB" w:rsidR="00C655CB" w:rsidP="000F2210" w:rsidRDefault="00C655CB" w14:paraId="19D02661" w14:textId="77777777">
      <w:pPr>
        <w:pStyle w:val="Bullet"/>
        <w:tabs>
          <w:tab w:val="clear" w:pos="432"/>
          <w:tab w:val="left" w:pos="1170"/>
        </w:tabs>
        <w:ind w:left="1170" w:hanging="360"/>
      </w:pPr>
      <w:r w:rsidRPr="00C655CB">
        <w:t>Carolyn Heinrich, Ph.D., Vanderbilt University</w:t>
      </w:r>
    </w:p>
    <w:p w:rsidRPr="00C655CB" w:rsidR="00C655CB" w:rsidP="000F2210" w:rsidRDefault="00C655CB" w14:paraId="615D1281" w14:textId="77777777">
      <w:pPr>
        <w:pStyle w:val="Bullet"/>
        <w:tabs>
          <w:tab w:val="clear" w:pos="432"/>
          <w:tab w:val="left" w:pos="1170"/>
        </w:tabs>
        <w:ind w:left="1170" w:hanging="360"/>
      </w:pPr>
      <w:r w:rsidRPr="00C655CB">
        <w:t>Jack Smalligan, M.A., Urban Institute</w:t>
      </w:r>
    </w:p>
    <w:p w:rsidRPr="00C655CB" w:rsidR="00C655CB" w:rsidP="000F2210" w:rsidRDefault="00C655CB" w14:paraId="4A9BD2B4" w14:textId="77777777">
      <w:pPr>
        <w:pStyle w:val="Bullet"/>
        <w:tabs>
          <w:tab w:val="clear" w:pos="432"/>
          <w:tab w:val="left" w:pos="1170"/>
        </w:tabs>
        <w:ind w:left="1170" w:hanging="360"/>
      </w:pPr>
      <w:r w:rsidRPr="00C655CB">
        <w:t>Frank Neuhauser, Ph.D., University of California at Berkeley's Institute for the Study of Societal Issues</w:t>
      </w:r>
    </w:p>
    <w:p w:rsidR="00026627" w:rsidP="000F2210" w:rsidRDefault="00A1069A" w14:paraId="6E99B4F2" w14:textId="2021EE0E">
      <w:pPr>
        <w:pStyle w:val="Bullet"/>
        <w:tabs>
          <w:tab w:val="clear" w:pos="432"/>
          <w:tab w:val="left" w:pos="1170"/>
        </w:tabs>
        <w:ind w:left="1170" w:hanging="360"/>
      </w:pPr>
      <w:r w:rsidRPr="00B113B0">
        <w:t>Douglas Martin M.D., Medical Director, UnityPoint Health – St. Luke’s Occupational Medicine</w:t>
      </w:r>
      <w:r w:rsidRPr="00C655CB">
        <w:t xml:space="preserve"> </w:t>
      </w:r>
    </w:p>
    <w:p w:rsidRPr="005F69A6" w:rsidR="009E422D" w:rsidP="000F2210" w:rsidRDefault="009E422D" w14:paraId="304FD4A8" w14:textId="77777777">
      <w:pPr>
        <w:pStyle w:val="Bullet"/>
        <w:tabs>
          <w:tab w:val="clear" w:pos="432"/>
          <w:tab w:val="left" w:pos="1170"/>
        </w:tabs>
        <w:ind w:left="1170" w:hanging="360"/>
      </w:pPr>
      <w:r w:rsidRPr="00664CC7">
        <w:rPr>
          <w:bCs/>
        </w:rPr>
        <w:t>Marianne Cloeren</w:t>
      </w:r>
      <w:r w:rsidRPr="00664CC7">
        <w:t>, M.D., M</w:t>
      </w:r>
      <w:r>
        <w:t>.</w:t>
      </w:r>
      <w:r w:rsidRPr="00664CC7">
        <w:t>P</w:t>
      </w:r>
      <w:r>
        <w:t>.</w:t>
      </w:r>
      <w:r w:rsidRPr="00664CC7">
        <w:t>H</w:t>
      </w:r>
      <w:r>
        <w:t>.</w:t>
      </w:r>
      <w:r w:rsidRPr="00664CC7">
        <w:t>, University of Maryland School of Medicine</w:t>
      </w:r>
    </w:p>
    <w:p w:rsidRPr="005F69A6" w:rsidR="009E422D" w:rsidP="000F2210" w:rsidRDefault="009E422D" w14:paraId="019DF046" w14:textId="77777777">
      <w:pPr>
        <w:pStyle w:val="Bullet"/>
        <w:tabs>
          <w:tab w:val="clear" w:pos="432"/>
          <w:tab w:val="left" w:pos="1170"/>
        </w:tabs>
        <w:ind w:left="1170" w:hanging="360"/>
      </w:pPr>
      <w:r w:rsidRPr="00664CC7">
        <w:rPr>
          <w:bCs/>
        </w:rPr>
        <w:t>Ben</w:t>
      </w:r>
      <w:r>
        <w:rPr>
          <w:bCs/>
        </w:rPr>
        <w:t>jamin</w:t>
      </w:r>
      <w:r w:rsidRPr="00664CC7">
        <w:rPr>
          <w:bCs/>
        </w:rPr>
        <w:t xml:space="preserve"> Doornink</w:t>
      </w:r>
      <w:r w:rsidRPr="00664CC7">
        <w:t>, M.B.A., Kootenai Health</w:t>
      </w:r>
    </w:p>
    <w:p w:rsidRPr="00C655CB" w:rsidR="00C655CB" w:rsidP="000F2210" w:rsidRDefault="00C655CB" w14:paraId="2D32FE43" w14:textId="27C7932E">
      <w:pPr>
        <w:spacing w:before="240" w:after="240" w:line="240" w:lineRule="auto"/>
        <w:ind w:left="810" w:firstLine="0"/>
      </w:pPr>
      <w:r w:rsidRPr="00C655CB">
        <w:t xml:space="preserve">An interdisciplinary team of economists, disability policy researchers, and survey researchers on staff at Mathematica or at the evaluation subcontractor (Tree House Economics, LLC) contributed to the design of the overall evaluation. </w:t>
      </w:r>
      <w:r w:rsidR="00224A41">
        <w:t xml:space="preserve"> </w:t>
      </w:r>
      <w:r w:rsidRPr="00C655CB">
        <w:t xml:space="preserve">The team consisted of: </w:t>
      </w:r>
    </w:p>
    <w:p w:rsidRPr="00C655CB" w:rsidR="00C655CB" w:rsidP="000F2210" w:rsidRDefault="00C655CB" w14:paraId="18512D7A" w14:textId="77777777">
      <w:pPr>
        <w:pStyle w:val="Bullet"/>
        <w:tabs>
          <w:tab w:val="clear" w:pos="432"/>
          <w:tab w:val="left" w:pos="1170"/>
        </w:tabs>
        <w:ind w:left="1170" w:hanging="360"/>
      </w:pPr>
      <w:r w:rsidRPr="00C655CB">
        <w:t>Jillian Berk, Ph.D., Mathematica</w:t>
      </w:r>
    </w:p>
    <w:p w:rsidRPr="00C655CB" w:rsidR="00C655CB" w:rsidP="000F2210" w:rsidRDefault="00C655CB" w14:paraId="7D4A72B0" w14:textId="77777777">
      <w:pPr>
        <w:pStyle w:val="Bullet"/>
        <w:tabs>
          <w:tab w:val="clear" w:pos="432"/>
          <w:tab w:val="left" w:pos="1170"/>
        </w:tabs>
        <w:ind w:left="1170" w:hanging="360"/>
      </w:pPr>
      <w:r w:rsidRPr="00C655CB">
        <w:t>Kenneth Fortson, Ph.D., Mathematica</w:t>
      </w:r>
    </w:p>
    <w:p w:rsidRPr="00C655CB" w:rsidR="00C655CB" w:rsidP="000F2210" w:rsidRDefault="00C655CB" w14:paraId="2C1ED42F" w14:textId="77777777">
      <w:pPr>
        <w:pStyle w:val="Bullet"/>
        <w:tabs>
          <w:tab w:val="clear" w:pos="432"/>
          <w:tab w:val="left" w:pos="1170"/>
        </w:tabs>
        <w:ind w:left="1170" w:hanging="360"/>
      </w:pPr>
      <w:r w:rsidRPr="00C655CB">
        <w:t>Rosalind Keith, Ph.D., Mathematica</w:t>
      </w:r>
    </w:p>
    <w:p w:rsidRPr="00C655CB" w:rsidR="00C655CB" w:rsidP="000F2210" w:rsidRDefault="00C655CB" w14:paraId="35BEC77F" w14:textId="039F2176">
      <w:pPr>
        <w:pStyle w:val="Bullet"/>
        <w:tabs>
          <w:tab w:val="clear" w:pos="432"/>
          <w:tab w:val="left" w:pos="1170"/>
        </w:tabs>
        <w:ind w:left="1170" w:hanging="360"/>
      </w:pPr>
      <w:r w:rsidRPr="00C655CB">
        <w:t>Gina Livermore, Ph.D., Mathematica</w:t>
      </w:r>
    </w:p>
    <w:p w:rsidRPr="00C655CB" w:rsidR="00C655CB" w:rsidP="000F2210" w:rsidRDefault="00C655CB" w14:paraId="72F8245B" w14:textId="77777777">
      <w:pPr>
        <w:pStyle w:val="Bullet"/>
        <w:tabs>
          <w:tab w:val="clear" w:pos="432"/>
          <w:tab w:val="left" w:pos="1170"/>
        </w:tabs>
        <w:ind w:left="1170" w:hanging="360"/>
      </w:pPr>
      <w:r w:rsidRPr="00C655CB">
        <w:t xml:space="preserve">Holly Matulewicz, M.A., Mathematica  </w:t>
      </w:r>
    </w:p>
    <w:p w:rsidRPr="00C655CB" w:rsidR="00C655CB" w:rsidP="000F2210" w:rsidRDefault="00C655CB" w14:paraId="3497B35E" w14:textId="77777777">
      <w:pPr>
        <w:pStyle w:val="Bullet"/>
        <w:tabs>
          <w:tab w:val="clear" w:pos="432"/>
          <w:tab w:val="left" w:pos="1170"/>
        </w:tabs>
        <w:ind w:left="1170" w:hanging="360"/>
      </w:pPr>
      <w:r w:rsidRPr="00C655CB">
        <w:t>David Wittenburg, Ph.D., Mathematica</w:t>
      </w:r>
    </w:p>
    <w:p w:rsidRPr="00C655CB" w:rsidR="00C655CB" w:rsidP="000F2210" w:rsidRDefault="00C655CB" w14:paraId="3AC8DDD0" w14:textId="77777777">
      <w:pPr>
        <w:pStyle w:val="Bullet"/>
        <w:tabs>
          <w:tab w:val="clear" w:pos="432"/>
          <w:tab w:val="left" w:pos="1170"/>
        </w:tabs>
        <w:spacing w:after="0"/>
        <w:ind w:left="1170" w:hanging="360"/>
      </w:pPr>
      <w:r w:rsidRPr="00C655CB">
        <w:t>David Stapleton, Ph.D., Tree House Economics, LLC</w:t>
      </w:r>
    </w:p>
    <w:p w:rsidR="00E7101C" w:rsidP="00C655CB" w:rsidRDefault="00E7101C" w14:paraId="46F24509" w14:textId="77777777">
      <w:pPr>
        <w:spacing w:line="240" w:lineRule="auto"/>
        <w:ind w:firstLine="0"/>
        <w:rPr>
          <w:rFonts w:ascii="Arial" w:hAnsi="Arial"/>
          <w:b/>
          <w:caps/>
          <w:color w:val="C00000"/>
          <w:szCs w:val="24"/>
        </w:rPr>
      </w:pPr>
    </w:p>
    <w:p w:rsidR="002E114B" w:rsidP="00C655CB" w:rsidRDefault="002E114B" w14:paraId="4E8C9DE2" w14:textId="77777777">
      <w:pPr>
        <w:spacing w:line="240" w:lineRule="auto"/>
        <w:ind w:firstLine="0"/>
        <w:rPr>
          <w:rFonts w:ascii="Arial" w:hAnsi="Arial"/>
          <w:b/>
          <w:caps/>
          <w:color w:val="C00000"/>
          <w:szCs w:val="24"/>
        </w:rPr>
        <w:sectPr w:rsidR="002E114B" w:rsidSect="003715F3">
          <w:headerReference w:type="default" r:id="rId11"/>
          <w:footerReference w:type="default" r:id="rId12"/>
          <w:pgSz w:w="12240" w:h="15840"/>
          <w:pgMar w:top="1440" w:right="1440" w:bottom="1440" w:left="1440" w:header="720" w:footer="720" w:gutter="0"/>
          <w:cols w:space="720"/>
          <w:docGrid w:linePitch="360"/>
        </w:sectPr>
      </w:pPr>
    </w:p>
    <w:p w:rsidRPr="00C655CB" w:rsidR="00C655CB" w:rsidP="00775E88" w:rsidRDefault="00C655CB" w14:paraId="574F4741" w14:textId="77777777">
      <w:pPr>
        <w:pStyle w:val="H2Chapter"/>
      </w:pPr>
      <w:bookmarkStart w:name="_Toc531183386" w:id="48"/>
      <w:bookmarkStart w:name="_Toc34223081" w:id="49"/>
      <w:r w:rsidRPr="00C655CB">
        <w:t>REFERENCES</w:t>
      </w:r>
      <w:bookmarkEnd w:id="48"/>
      <w:bookmarkEnd w:id="49"/>
    </w:p>
    <w:p w:rsidRPr="00C16D97" w:rsidR="00B20195" w:rsidP="00381D09" w:rsidRDefault="00B20195" w14:paraId="23296B00" w14:textId="42386E72">
      <w:pPr>
        <w:pStyle w:val="References"/>
        <w:rPr>
          <w:rFonts w:eastAsia="Calibri"/>
        </w:rPr>
      </w:pPr>
      <w:r w:rsidRPr="00C16D97">
        <w:rPr>
          <w:rFonts w:eastAsia="Calibri"/>
        </w:rPr>
        <w:t xml:space="preserve">American Association for Public Opinion Research (AAPOR). </w:t>
      </w:r>
      <w:r>
        <w:rPr>
          <w:rFonts w:eastAsia="Calibri"/>
          <w:i/>
        </w:rPr>
        <w:t xml:space="preserve">Standard Definitions: </w:t>
      </w:r>
      <w:r w:rsidRPr="00C16D97">
        <w:rPr>
          <w:rFonts w:eastAsia="Calibri"/>
          <w:i/>
        </w:rPr>
        <w:t>Final Dispositions of Case Codes and Outcome Rates for Surveys</w:t>
      </w:r>
      <w:r w:rsidRPr="00C16D97">
        <w:rPr>
          <w:rFonts w:eastAsia="Calibri"/>
        </w:rPr>
        <w:t xml:space="preserve">. </w:t>
      </w:r>
      <w:r>
        <w:rPr>
          <w:rFonts w:eastAsia="Calibri"/>
        </w:rPr>
        <w:t>Ninth</w:t>
      </w:r>
      <w:r w:rsidRPr="00C16D97">
        <w:rPr>
          <w:rFonts w:eastAsia="Calibri"/>
        </w:rPr>
        <w:t xml:space="preserve"> edition.</w:t>
      </w:r>
      <w:r>
        <w:rPr>
          <w:rFonts w:eastAsia="Calibri"/>
        </w:rPr>
        <w:t xml:space="preserve"> Oakbrook Terrace, IL: AAPOR, 2016</w:t>
      </w:r>
      <w:r w:rsidRPr="00C16D97">
        <w:rPr>
          <w:rFonts w:eastAsia="Calibri"/>
        </w:rPr>
        <w:t>.</w:t>
      </w:r>
    </w:p>
    <w:p w:rsidRPr="00C655CB" w:rsidR="00C655CB" w:rsidP="00381D09" w:rsidRDefault="00C655CB" w14:paraId="176D726A" w14:textId="77777777">
      <w:pPr>
        <w:pStyle w:val="References"/>
      </w:pPr>
      <w:r w:rsidRPr="00C655CB">
        <w:t>Anand, Priyanka, and Yonatan Ben-Shalom. “The Promise of Better Economic Outcomes for Workers with Musculoskeletal Conditions.” Roosevelt House Faculty Forum, Hunter College, May 2017.</w:t>
      </w:r>
    </w:p>
    <w:p w:rsidRPr="00C655CB" w:rsidR="00C655CB" w:rsidP="00381D09" w:rsidRDefault="00C655CB" w14:paraId="5CCB1244" w14:textId="77777777">
      <w:pPr>
        <w:pStyle w:val="References"/>
      </w:pPr>
      <w:r w:rsidRPr="00C655CB">
        <w:t>Ben-Shalom, Yonatan, and Hannah Burak. “The Case for Public Investment in Stay-at-Work/Return-to-Work Programs.” Issue brief. Washington, DC: Mathematica Policy Research, March 2016.</w:t>
      </w:r>
    </w:p>
    <w:p w:rsidRPr="000732D0" w:rsidR="00E545F9" w:rsidP="00381D09" w:rsidRDefault="00E545F9" w14:paraId="315F8D55" w14:textId="77777777">
      <w:pPr>
        <w:pStyle w:val="References"/>
        <w:rPr>
          <w:szCs w:val="24"/>
        </w:rPr>
      </w:pPr>
      <w:r w:rsidRPr="002940B0">
        <w:rPr>
          <w:szCs w:val="24"/>
        </w:rPr>
        <w:t>Berlin, M., L. Mohadjer, J. Waksberg, A. Kolstad, I. Kirsch, D. Rock, and K. Yamam</w:t>
      </w:r>
      <w:r w:rsidRPr="00BD46F9">
        <w:rPr>
          <w:szCs w:val="24"/>
        </w:rPr>
        <w:t xml:space="preserve">oto. “An Experiment in Monetary Incentives.” </w:t>
      </w:r>
      <w:r w:rsidRPr="0054319B">
        <w:rPr>
          <w:i/>
          <w:noProof/>
          <w:szCs w:val="24"/>
        </w:rPr>
        <w:t>Proceedings</w:t>
      </w:r>
      <w:r w:rsidRPr="00BD46F9">
        <w:rPr>
          <w:i/>
          <w:szCs w:val="24"/>
        </w:rPr>
        <w:t xml:space="preserve"> of the Section on Survey Research Methods</w:t>
      </w:r>
      <w:r w:rsidRPr="00BD46F9">
        <w:rPr>
          <w:szCs w:val="24"/>
        </w:rPr>
        <w:t>. Alexandria, VA: American Statistical Association, 1992.</w:t>
      </w:r>
    </w:p>
    <w:p w:rsidRPr="00170CE5" w:rsidR="005E655A" w:rsidP="00381D09" w:rsidRDefault="005E655A" w14:paraId="3A5D6382" w14:textId="14042062">
      <w:pPr>
        <w:pStyle w:val="References"/>
      </w:pPr>
      <w:r w:rsidRPr="00170CE5">
        <w:t xml:space="preserve">Biggs, David, Barry de Ville, and Ed Suen. “A Method of Choosing Multiway Partitions for Classification and Decision Trees.” </w:t>
      </w:r>
      <w:r w:rsidRPr="00170CE5">
        <w:rPr>
          <w:i/>
          <w:iCs/>
        </w:rPr>
        <w:t>Journal of Applied Statistics,</w:t>
      </w:r>
      <w:r w:rsidRPr="00170CE5">
        <w:t xml:space="preserve"> vol. 18, no. 1, </w:t>
      </w:r>
      <w:r w:rsidR="007B6495">
        <w:t xml:space="preserve">January </w:t>
      </w:r>
      <w:r w:rsidRPr="00170CE5">
        <w:t>1991, pp. 49–62.</w:t>
      </w:r>
    </w:p>
    <w:p w:rsidR="00E64830" w:rsidP="00381D09" w:rsidRDefault="00E64830" w14:paraId="53E9119F" w14:textId="2465A5D8">
      <w:pPr>
        <w:pStyle w:val="References"/>
      </w:pPr>
      <w:r w:rsidRPr="00170CE5">
        <w:t xml:space="preserve">Bollinger, Christopher R., and Barry T. Hirsch. “Match Bias in the Earnings Imputations in Current Population Survey:  The Case of Imperfect Matching.” </w:t>
      </w:r>
      <w:r w:rsidRPr="00170CE5">
        <w:rPr>
          <w:i/>
        </w:rPr>
        <w:t>Journal of Labor Economics,</w:t>
      </w:r>
      <w:r w:rsidRPr="00170CE5">
        <w:t xml:space="preserve"> vol. 24, no. 3, July 2006, pp. 483–520.</w:t>
      </w:r>
    </w:p>
    <w:p w:rsidR="00C655CB" w:rsidP="00381D09" w:rsidRDefault="00C655CB" w14:paraId="758898A9" w14:textId="3EDC343F">
      <w:pPr>
        <w:pStyle w:val="References"/>
      </w:pPr>
      <w:r w:rsidRPr="00C655CB">
        <w:t xml:space="preserve">Bureau of Labor Statistics. “Nonfatal Occupational Injuries and Illnesses Requiring Days Away From Work, 2015.” November 2016. Available at </w:t>
      </w:r>
      <w:hyperlink w:history="1" r:id="rId13">
        <w:r w:rsidRPr="00C655CB">
          <w:rPr>
            <w:color w:val="0000FF"/>
            <w:u w:val="single"/>
          </w:rPr>
          <w:t>https://www.bls.gov/news.release/osh2.nr0.htm</w:t>
        </w:r>
      </w:hyperlink>
      <w:r w:rsidRPr="00C655CB">
        <w:t>. Accessed May 25, 2018.</w:t>
      </w:r>
    </w:p>
    <w:p w:rsidRPr="0030563D" w:rsidR="00D04E96" w:rsidP="00381D09" w:rsidRDefault="00D04E96" w14:paraId="1916D783" w14:textId="70302398">
      <w:pPr>
        <w:pStyle w:val="References"/>
      </w:pPr>
      <w:r w:rsidRPr="0030563D">
        <w:t>Bureau of Labor Statistics, U.S</w:t>
      </w:r>
      <w:r w:rsidR="00BD3617">
        <w:t>.</w:t>
      </w:r>
      <w:r w:rsidRPr="0030563D">
        <w:t xml:space="preserve"> Department of Labor. “Occupational Employment and Wages, May 2018: 11-9151 Social and Community Service Managers.” March 29, 2019a. Available at </w:t>
      </w:r>
      <w:hyperlink w:history="1" r:id="rId14">
        <w:r w:rsidRPr="00DF5FEF">
          <w:rPr>
            <w:rStyle w:val="Hyperlink"/>
          </w:rPr>
          <w:t>https://www.bls.gov/oes/current/oes119151.htm</w:t>
        </w:r>
      </w:hyperlink>
      <w:r w:rsidRPr="0030563D">
        <w:t>. Accessed November 13, 2019.</w:t>
      </w:r>
    </w:p>
    <w:p w:rsidRPr="0030563D" w:rsidR="00D04E96" w:rsidP="00381D09" w:rsidRDefault="00D04E96" w14:paraId="1C56808D" w14:textId="54E574A4">
      <w:pPr>
        <w:pStyle w:val="References"/>
      </w:pPr>
      <w:r w:rsidRPr="0030563D">
        <w:t>Bureau of Labor Statistics, U.S</w:t>
      </w:r>
      <w:r w:rsidR="00BD3617">
        <w:t>.</w:t>
      </w:r>
      <w:r w:rsidRPr="0030563D">
        <w:t xml:space="preserve"> Department of Labor. “Occupational Employment and Wages, May 2018: 21-1015 Rehabilitation Counselors.” March 29, 2019b. Available at </w:t>
      </w:r>
      <w:hyperlink w:history="1" r:id="rId15">
        <w:r w:rsidRPr="00DF5FEF">
          <w:rPr>
            <w:rStyle w:val="Hyperlink"/>
          </w:rPr>
          <w:t>https://www.bls.gov/oes/current/oes211015.htm</w:t>
        </w:r>
      </w:hyperlink>
      <w:r w:rsidRPr="0030563D">
        <w:t>. Accessed November 13, 2019.</w:t>
      </w:r>
    </w:p>
    <w:p w:rsidRPr="00AB19AF" w:rsidR="003109C1" w:rsidP="00381D09" w:rsidRDefault="00D04E96" w14:paraId="055B6936" w14:textId="443DED91">
      <w:pPr>
        <w:pStyle w:val="References"/>
        <w:rPr>
          <w:rFonts w:cs="Arial"/>
          <w:color w:val="333333"/>
          <w:szCs w:val="21"/>
          <w:shd w:val="clear" w:color="auto" w:fill="FFFFFF"/>
        </w:rPr>
      </w:pPr>
      <w:r w:rsidRPr="0030563D">
        <w:t>Bureau of Labor Statistics, U.S</w:t>
      </w:r>
      <w:r w:rsidR="00BD3617">
        <w:t>.</w:t>
      </w:r>
      <w:r w:rsidRPr="0030563D">
        <w:t xml:space="preserve"> Department of Labor. “May 2018 National Occupational Employment and Wage Estimates</w:t>
      </w:r>
      <w:r w:rsidR="00BD3617">
        <w:t>,</w:t>
      </w:r>
      <w:r w:rsidRPr="0030563D">
        <w:t xml:space="preserve"> United States.” April 2, 2019c. Available at </w:t>
      </w:r>
      <w:hyperlink w:history="1" r:id="rId16">
        <w:r w:rsidRPr="00DF5FEF">
          <w:rPr>
            <w:rStyle w:val="Hyperlink"/>
          </w:rPr>
          <w:t>https://www.bls.gov/oes/current/oes_nat.htm</w:t>
        </w:r>
      </w:hyperlink>
      <w:r w:rsidRPr="0030563D">
        <w:t>. Accessed November 13, 2019.</w:t>
      </w:r>
      <w:r w:rsidRPr="00AB19AF" w:rsidR="00C43D5D">
        <w:rPr>
          <w:rFonts w:cs="Arial"/>
          <w:color w:val="333333"/>
          <w:szCs w:val="21"/>
          <w:shd w:val="clear" w:color="auto" w:fill="FFFFFF"/>
        </w:rPr>
        <w:t xml:space="preserve">Cho, Y. I., </w:t>
      </w:r>
      <w:r w:rsidRPr="00AB19AF" w:rsidR="00D0097C">
        <w:rPr>
          <w:rFonts w:cs="Arial"/>
          <w:color w:val="333333"/>
          <w:szCs w:val="21"/>
          <w:shd w:val="clear" w:color="auto" w:fill="FFFFFF"/>
        </w:rPr>
        <w:t xml:space="preserve">T. P. </w:t>
      </w:r>
      <w:r w:rsidRPr="00AB19AF" w:rsidR="00C43D5D">
        <w:rPr>
          <w:rFonts w:cs="Arial"/>
          <w:color w:val="333333"/>
          <w:szCs w:val="21"/>
          <w:shd w:val="clear" w:color="auto" w:fill="FFFFFF"/>
        </w:rPr>
        <w:t xml:space="preserve">Johnson, </w:t>
      </w:r>
      <w:r w:rsidRPr="00AB19AF" w:rsidR="00D0097C">
        <w:rPr>
          <w:rFonts w:cs="Arial"/>
          <w:color w:val="333333"/>
          <w:szCs w:val="21"/>
          <w:shd w:val="clear" w:color="auto" w:fill="FFFFFF"/>
        </w:rPr>
        <w:t>and J. B.</w:t>
      </w:r>
      <w:r w:rsidRPr="00AB19AF" w:rsidR="00C43D5D">
        <w:rPr>
          <w:rFonts w:cs="Arial"/>
          <w:color w:val="333333"/>
          <w:szCs w:val="21"/>
          <w:shd w:val="clear" w:color="auto" w:fill="FFFFFF"/>
        </w:rPr>
        <w:t xml:space="preserve"> VanGeest. </w:t>
      </w:r>
      <w:r w:rsidRPr="00AB19AF" w:rsidR="00D0097C">
        <w:rPr>
          <w:rFonts w:cs="Arial"/>
          <w:color w:val="333333"/>
          <w:szCs w:val="21"/>
          <w:shd w:val="clear" w:color="auto" w:fill="FFFFFF"/>
        </w:rPr>
        <w:t>“</w:t>
      </w:r>
      <w:r w:rsidRPr="00AB19AF" w:rsidR="00C43D5D">
        <w:rPr>
          <w:rFonts w:cs="Arial"/>
          <w:color w:val="333333"/>
          <w:szCs w:val="21"/>
          <w:shd w:val="clear" w:color="auto" w:fill="FFFFFF"/>
        </w:rPr>
        <w:t>Enhancing Surveys of Health Care Professionals: A Meta-Analysis of Techniques to Improve Response</w:t>
      </w:r>
      <w:r w:rsidRPr="00AB19AF" w:rsidR="00D0097C">
        <w:rPr>
          <w:rFonts w:cs="Arial"/>
          <w:color w:val="333333"/>
          <w:szCs w:val="21"/>
          <w:shd w:val="clear" w:color="auto" w:fill="FFFFFF"/>
        </w:rPr>
        <w:t>.”</w:t>
      </w:r>
      <w:r w:rsidRPr="00AB19AF" w:rsidR="00C43D5D">
        <w:rPr>
          <w:rFonts w:cs="Arial"/>
          <w:color w:val="333333"/>
          <w:szCs w:val="21"/>
          <w:shd w:val="clear" w:color="auto" w:fill="FFFFFF"/>
        </w:rPr>
        <w:t> </w:t>
      </w:r>
      <w:r w:rsidRPr="00AB19AF" w:rsidR="00C43D5D">
        <w:rPr>
          <w:rFonts w:cs="Arial"/>
          <w:i/>
          <w:iCs/>
          <w:color w:val="333333"/>
          <w:szCs w:val="21"/>
          <w:shd w:val="clear" w:color="auto" w:fill="FFFFFF"/>
        </w:rPr>
        <w:t>Evaluation &amp; the Health Professions</w:t>
      </w:r>
      <w:r w:rsidRPr="00AB19AF" w:rsidR="00C43D5D">
        <w:rPr>
          <w:rFonts w:cs="Arial"/>
          <w:color w:val="333333"/>
          <w:szCs w:val="21"/>
          <w:shd w:val="clear" w:color="auto" w:fill="FFFFFF"/>
        </w:rPr>
        <w:t>, </w:t>
      </w:r>
      <w:r w:rsidRPr="00AB19AF" w:rsidR="00D0097C">
        <w:rPr>
          <w:rFonts w:cs="Arial"/>
          <w:color w:val="333333"/>
          <w:szCs w:val="21"/>
          <w:shd w:val="clear" w:color="auto" w:fill="FFFFFF"/>
        </w:rPr>
        <w:t xml:space="preserve">vol. </w:t>
      </w:r>
      <w:r w:rsidRPr="00AB19AF" w:rsidR="00C43D5D">
        <w:rPr>
          <w:rFonts w:cs="Arial"/>
          <w:iCs/>
          <w:color w:val="333333"/>
          <w:szCs w:val="21"/>
          <w:shd w:val="clear" w:color="auto" w:fill="FFFFFF"/>
        </w:rPr>
        <w:t>36</w:t>
      </w:r>
      <w:r w:rsidRPr="00AB19AF" w:rsidR="00D0097C">
        <w:rPr>
          <w:rFonts w:cs="Arial"/>
          <w:color w:val="333333"/>
          <w:szCs w:val="21"/>
          <w:shd w:val="clear" w:color="auto" w:fill="FFFFFF"/>
        </w:rPr>
        <w:t xml:space="preserve">, no. </w:t>
      </w:r>
      <w:r w:rsidRPr="00AB19AF" w:rsidR="00C43D5D">
        <w:rPr>
          <w:rFonts w:cs="Arial"/>
          <w:color w:val="333333"/>
          <w:szCs w:val="21"/>
          <w:shd w:val="clear" w:color="auto" w:fill="FFFFFF"/>
        </w:rPr>
        <w:t xml:space="preserve">3, </w:t>
      </w:r>
      <w:r w:rsidRPr="00AB19AF" w:rsidR="00D0097C">
        <w:rPr>
          <w:rFonts w:cs="Arial"/>
          <w:color w:val="333333"/>
          <w:szCs w:val="21"/>
          <w:shd w:val="clear" w:color="auto" w:fill="FFFFFF"/>
        </w:rPr>
        <w:t xml:space="preserve">September 2013, pp. </w:t>
      </w:r>
      <w:r w:rsidRPr="00AB19AF" w:rsidR="00C43D5D">
        <w:rPr>
          <w:rFonts w:cs="Arial"/>
          <w:color w:val="333333"/>
          <w:szCs w:val="21"/>
          <w:shd w:val="clear" w:color="auto" w:fill="FFFFFF"/>
        </w:rPr>
        <w:t>382–407.</w:t>
      </w:r>
    </w:p>
    <w:p w:rsidR="006C3F35" w:rsidP="00381D09" w:rsidRDefault="003109C1" w14:paraId="1C9A9FCA" w14:textId="5620880D">
      <w:pPr>
        <w:pStyle w:val="References"/>
      </w:pPr>
      <w:r>
        <w:t xml:space="preserve">Dillman, Don A. “The Promise and Challenges of Pushing Respondents to the </w:t>
      </w:r>
      <w:r w:rsidR="007B6495">
        <w:t>W</w:t>
      </w:r>
      <w:r>
        <w:t xml:space="preserve">eb in </w:t>
      </w:r>
      <w:r w:rsidR="007B6495">
        <w:t>M</w:t>
      </w:r>
      <w:r>
        <w:t>ixed-</w:t>
      </w:r>
      <w:r w:rsidR="007B6495">
        <w:t>M</w:t>
      </w:r>
      <w:r>
        <w:t xml:space="preserve">ode </w:t>
      </w:r>
      <w:r w:rsidR="007B6495">
        <w:t>S</w:t>
      </w:r>
      <w:r>
        <w:t xml:space="preserve">urveys.” </w:t>
      </w:r>
      <w:r w:rsidRPr="009E422D">
        <w:rPr>
          <w:i/>
        </w:rPr>
        <w:t>Survey Methodology</w:t>
      </w:r>
      <w:r w:rsidR="00D0097C">
        <w:rPr>
          <w:i/>
        </w:rPr>
        <w:t>,</w:t>
      </w:r>
      <w:r>
        <w:t xml:space="preserve"> </w:t>
      </w:r>
      <w:r w:rsidR="00D0097C">
        <w:t>v</w:t>
      </w:r>
      <w:r>
        <w:t>ol</w:t>
      </w:r>
      <w:r w:rsidR="004742F7">
        <w:t>.</w:t>
      </w:r>
      <w:r>
        <w:t xml:space="preserve"> 42, </w:t>
      </w:r>
      <w:r w:rsidR="00D0097C">
        <w:t xml:space="preserve">no. </w:t>
      </w:r>
      <w:r>
        <w:t xml:space="preserve">1, </w:t>
      </w:r>
      <w:r w:rsidR="00D0097C">
        <w:t xml:space="preserve">June 2017, </w:t>
      </w:r>
      <w:r>
        <w:t>pp.</w:t>
      </w:r>
      <w:r w:rsidR="00D0097C">
        <w:t xml:space="preserve"> </w:t>
      </w:r>
      <w:r>
        <w:t>3</w:t>
      </w:r>
      <w:r w:rsidR="00D0097C">
        <w:t>–</w:t>
      </w:r>
      <w:r>
        <w:t xml:space="preserve">30. </w:t>
      </w:r>
      <w:r w:rsidR="00D0097C">
        <w:t xml:space="preserve">Available at </w:t>
      </w:r>
      <w:hyperlink w:history="1" r:id="rId17">
        <w:r w:rsidR="00E62D72">
          <w:rPr>
            <w:rStyle w:val="Hyperlink"/>
          </w:rPr>
          <w:t>https://www150.statcan.gc.ca/n1/en/pub/12-001-x/2017001/article/14836-eng.pdf?st=UIIot_RI</w:t>
        </w:r>
      </w:hyperlink>
      <w:r w:rsidR="00E62D72">
        <w:t>].</w:t>
      </w:r>
      <w:r w:rsidR="00D0097C">
        <w:t xml:space="preserve"> Accessed January 25, 2020.</w:t>
      </w:r>
      <w:r w:rsidR="00E62D72">
        <w:t xml:space="preserve"> </w:t>
      </w:r>
    </w:p>
    <w:p w:rsidRPr="00143A68" w:rsidR="00E62D72" w:rsidP="00381D09" w:rsidRDefault="00E62D72" w14:paraId="6ED3E26E" w14:textId="77777777">
      <w:pPr>
        <w:pStyle w:val="References"/>
      </w:pPr>
      <w:r w:rsidRPr="00143A68">
        <w:t>Dillman, D</w:t>
      </w:r>
      <w:r>
        <w:t>on</w:t>
      </w:r>
      <w:r w:rsidRPr="00143A68">
        <w:t xml:space="preserve"> A.</w:t>
      </w:r>
      <w:r>
        <w:t>, Jolene D. Smyth, and Leah Melani Christian.</w:t>
      </w:r>
      <w:r w:rsidRPr="00143A68">
        <w:t xml:space="preserve"> </w:t>
      </w:r>
      <w:r w:rsidRPr="00143A68">
        <w:rPr>
          <w:i/>
          <w:iCs/>
        </w:rPr>
        <w:t xml:space="preserve">Internet, Mail and Mixed-Mode </w:t>
      </w:r>
      <w:r w:rsidRPr="004D38D6">
        <w:rPr>
          <w:i/>
        </w:rPr>
        <w:t>Surveys: The Tailored Design Method</w:t>
      </w:r>
      <w:r>
        <w:t>.</w:t>
      </w:r>
      <w:r w:rsidRPr="00143A68">
        <w:t xml:space="preserve"> </w:t>
      </w:r>
      <w:r>
        <w:t xml:space="preserve">Hoboken, NJ: </w:t>
      </w:r>
      <w:r w:rsidRPr="00143A68">
        <w:t xml:space="preserve">John Wiley </w:t>
      </w:r>
      <w:r>
        <w:t>&amp;</w:t>
      </w:r>
      <w:r w:rsidRPr="00143A68">
        <w:t xml:space="preserve"> Sons</w:t>
      </w:r>
      <w:r>
        <w:t>, 2014</w:t>
      </w:r>
      <w:r w:rsidRPr="00143A68">
        <w:t xml:space="preserve">. </w:t>
      </w:r>
    </w:p>
    <w:p w:rsidRPr="00C655CB" w:rsidR="00C655CB" w:rsidP="00381D09" w:rsidRDefault="00C655CB" w14:paraId="1455830F" w14:textId="39104A71">
      <w:pPr>
        <w:pStyle w:val="References"/>
      </w:pPr>
      <w:r w:rsidRPr="00C655CB">
        <w:t xml:space="preserve">Hollenbeck, Kevin. “Promoting Retention or Reemployment of Workers </w:t>
      </w:r>
      <w:r w:rsidR="007B6495">
        <w:t>a</w:t>
      </w:r>
      <w:r w:rsidRPr="00C655CB">
        <w:t>fter a Significant Injury or Illness.” Washington, DC: Mathematica Policy Research, October 2015.</w:t>
      </w:r>
    </w:p>
    <w:p w:rsidRPr="00491047" w:rsidR="005E655A" w:rsidP="00381D09" w:rsidRDefault="005E655A" w14:paraId="478CA09C" w14:textId="77777777">
      <w:pPr>
        <w:pStyle w:val="References"/>
        <w:rPr>
          <w:bCs/>
          <w:kern w:val="24"/>
        </w:rPr>
      </w:pPr>
      <w:r w:rsidRPr="00491047">
        <w:rPr>
          <w:bCs/>
          <w:kern w:val="24"/>
        </w:rPr>
        <w:t xml:space="preserve">Imbens, Guido, and Donald Rubin. </w:t>
      </w:r>
      <w:r w:rsidRPr="00491047">
        <w:rPr>
          <w:bCs/>
          <w:i/>
          <w:kern w:val="24"/>
        </w:rPr>
        <w:t>Causal Inference in Statistics, Social, and Biomedical Sciences</w:t>
      </w:r>
      <w:r w:rsidRPr="00491047">
        <w:rPr>
          <w:bCs/>
          <w:kern w:val="24"/>
        </w:rPr>
        <w:t>. New York: Cambridge University Press, 2015.</w:t>
      </w:r>
    </w:p>
    <w:p w:rsidRPr="00BD46F9" w:rsidR="00E545F9" w:rsidP="00381D09" w:rsidRDefault="00E545F9" w14:paraId="443D9B08" w14:textId="77777777">
      <w:pPr>
        <w:pStyle w:val="References"/>
        <w:rPr>
          <w:szCs w:val="24"/>
        </w:rPr>
      </w:pPr>
      <w:r w:rsidRPr="002940B0">
        <w:rPr>
          <w:szCs w:val="24"/>
        </w:rPr>
        <w:t>Jäckle, Annette, and Peter Lynn. “Respondent Incenti</w:t>
      </w:r>
      <w:r w:rsidRPr="00BD46F9">
        <w:rPr>
          <w:szCs w:val="24"/>
        </w:rPr>
        <w:t>ves in a Multi-Mode Panel Survey: Cumulative Effects on Nonresponse and Bias.”  Working paper presented to the Institute for Social and Economic Research, University of Essex, Colchester, United Kingdom, 2007.</w:t>
      </w:r>
    </w:p>
    <w:p w:rsidRPr="000732D0" w:rsidR="00E545F9" w:rsidP="00381D09" w:rsidRDefault="00E545F9" w14:paraId="1004DA5D" w14:textId="4104A439">
      <w:pPr>
        <w:pStyle w:val="References"/>
        <w:rPr>
          <w:szCs w:val="24"/>
        </w:rPr>
      </w:pPr>
      <w:r w:rsidRPr="00BD46F9">
        <w:rPr>
          <w:szCs w:val="24"/>
        </w:rPr>
        <w:t>James, Jeannine M., and Richard Bolstein. “The</w:t>
      </w:r>
      <w:r w:rsidRPr="000732D0">
        <w:rPr>
          <w:szCs w:val="24"/>
        </w:rPr>
        <w:t xml:space="preserve"> Effect of Monetary Incentives and Follow-Up Mailings on the Response Rate and Response Quality in Mail Surveys.” </w:t>
      </w:r>
      <w:r w:rsidRPr="000732D0">
        <w:rPr>
          <w:i/>
          <w:szCs w:val="24"/>
        </w:rPr>
        <w:t>Public Opinion Quarterly</w:t>
      </w:r>
      <w:r w:rsidRPr="000732D0">
        <w:rPr>
          <w:szCs w:val="24"/>
        </w:rPr>
        <w:t xml:space="preserve">, vol. 54, no. 3, </w:t>
      </w:r>
      <w:r w:rsidR="007B6495">
        <w:rPr>
          <w:szCs w:val="24"/>
        </w:rPr>
        <w:t>A</w:t>
      </w:r>
      <w:r w:rsidRPr="000732D0">
        <w:rPr>
          <w:szCs w:val="24"/>
        </w:rPr>
        <w:t>utumn 1990, pp. 346–361.</w:t>
      </w:r>
    </w:p>
    <w:p w:rsidRPr="00C655CB" w:rsidR="00C655CB" w:rsidP="00381D09" w:rsidRDefault="00C655CB" w14:paraId="2F918D13" w14:textId="4883EE64">
      <w:pPr>
        <w:pStyle w:val="References"/>
      </w:pPr>
      <w:r w:rsidRPr="00C655CB">
        <w:t xml:space="preserve">Jurisic, Maja, Melissa Bean, John Harbaugh, Marianne Cloeren, Scott Hardy, Hanlin Liu, Cameron Nelson, and Jennifer Christian. “The Personal Physician’s Role in Helping Patients with Medical Conditions Stay at Work or Return to Work.” </w:t>
      </w:r>
      <w:r w:rsidRPr="00C655CB">
        <w:rPr>
          <w:i/>
        </w:rPr>
        <w:t>Journal of Occupational and Environmental Medicine,</w:t>
      </w:r>
      <w:r w:rsidRPr="00C655CB">
        <w:t xml:space="preserve"> vol. 59, no. 6, </w:t>
      </w:r>
      <w:r w:rsidR="007B6495">
        <w:t xml:space="preserve">June </w:t>
      </w:r>
      <w:r w:rsidRPr="00C655CB">
        <w:t>2017, pp. e125–e131.</w:t>
      </w:r>
    </w:p>
    <w:p w:rsidRPr="00370A90" w:rsidR="00E545F9" w:rsidP="00381D09" w:rsidRDefault="00E545F9" w14:paraId="09DD1B36" w14:textId="6A1CEA02">
      <w:pPr>
        <w:pStyle w:val="References"/>
        <w:rPr>
          <w:szCs w:val="24"/>
        </w:rPr>
      </w:pPr>
      <w:r w:rsidRPr="000732D0">
        <w:rPr>
          <w:szCs w:val="24"/>
        </w:rPr>
        <w:t>Kay, Ward R. “The Use of Targeted Incentives to Reluctant Respondents on R</w:t>
      </w:r>
      <w:r w:rsidRPr="00A93A4A">
        <w:rPr>
          <w:szCs w:val="24"/>
        </w:rPr>
        <w:t xml:space="preserve">esponse Rates and Data Quality.” </w:t>
      </w:r>
      <w:r w:rsidRPr="0054319B">
        <w:rPr>
          <w:i/>
          <w:noProof/>
          <w:szCs w:val="24"/>
        </w:rPr>
        <w:t>Proceedings</w:t>
      </w:r>
      <w:r w:rsidRPr="005B4A23">
        <w:rPr>
          <w:i/>
          <w:szCs w:val="24"/>
        </w:rPr>
        <w:t xml:space="preserve"> of the American Association for Public Re</w:t>
      </w:r>
      <w:r w:rsidRPr="00370A90">
        <w:rPr>
          <w:i/>
          <w:szCs w:val="24"/>
        </w:rPr>
        <w:t xml:space="preserve">search. </w:t>
      </w:r>
      <w:r w:rsidRPr="00370A90">
        <w:rPr>
          <w:szCs w:val="24"/>
        </w:rPr>
        <w:t>Montreal, Canada: American Association for Public Opinion Research, 2001.</w:t>
      </w:r>
    </w:p>
    <w:p w:rsidRPr="00AB19AF" w:rsidR="00CB7AFB" w:rsidP="00381D09" w:rsidRDefault="00CB7AFB" w14:paraId="1A32AF90" w14:textId="3250651C">
      <w:pPr>
        <w:pStyle w:val="References"/>
        <w:rPr>
          <w:rFonts w:cs="Helvetica"/>
          <w:szCs w:val="21"/>
        </w:rPr>
      </w:pPr>
      <w:r w:rsidRPr="00AB19AF">
        <w:rPr>
          <w:rFonts w:cs="Helvetica"/>
          <w:szCs w:val="21"/>
        </w:rPr>
        <w:t xml:space="preserve">McLeod, C. C., </w:t>
      </w:r>
      <w:r w:rsidR="00313797">
        <w:rPr>
          <w:rFonts w:cs="Helvetica"/>
          <w:szCs w:val="21"/>
        </w:rPr>
        <w:t xml:space="preserve">C. N. </w:t>
      </w:r>
      <w:r w:rsidRPr="00AB19AF">
        <w:rPr>
          <w:rFonts w:cs="Helvetica"/>
          <w:szCs w:val="21"/>
        </w:rPr>
        <w:t xml:space="preserve">Klabunde, </w:t>
      </w:r>
      <w:r w:rsidR="00313797">
        <w:rPr>
          <w:rFonts w:cs="Helvetica"/>
          <w:szCs w:val="21"/>
        </w:rPr>
        <w:t xml:space="preserve">G. B. </w:t>
      </w:r>
      <w:r w:rsidRPr="00AB19AF">
        <w:rPr>
          <w:rFonts w:cs="Helvetica"/>
          <w:szCs w:val="21"/>
        </w:rPr>
        <w:t xml:space="preserve">Willis, </w:t>
      </w:r>
      <w:r w:rsidR="00313797">
        <w:rPr>
          <w:rFonts w:cs="Helvetica"/>
          <w:szCs w:val="21"/>
        </w:rPr>
        <w:t>and D.</w:t>
      </w:r>
      <w:r w:rsidRPr="00AB19AF">
        <w:rPr>
          <w:rFonts w:cs="Helvetica"/>
          <w:szCs w:val="21"/>
        </w:rPr>
        <w:t xml:space="preserve"> Stark. </w:t>
      </w:r>
      <w:r w:rsidR="00313797">
        <w:rPr>
          <w:rFonts w:cs="Helvetica"/>
          <w:szCs w:val="21"/>
        </w:rPr>
        <w:t>“</w:t>
      </w:r>
      <w:r w:rsidRPr="00AB19AF">
        <w:rPr>
          <w:rFonts w:cs="Helvetica"/>
          <w:szCs w:val="21"/>
        </w:rPr>
        <w:t>Health Care Provider Surveys in the United States, 2000–2010: A Review.</w:t>
      </w:r>
      <w:r w:rsidR="00313797">
        <w:rPr>
          <w:rFonts w:cs="Helvetica"/>
          <w:szCs w:val="21"/>
        </w:rPr>
        <w:t>”</w:t>
      </w:r>
      <w:r w:rsidRPr="00AB19AF">
        <w:rPr>
          <w:rFonts w:cs="Helvetica"/>
          <w:szCs w:val="21"/>
        </w:rPr>
        <w:t xml:space="preserve"> </w:t>
      </w:r>
      <w:r w:rsidRPr="00AB19AF">
        <w:rPr>
          <w:rFonts w:cs="Helvetica"/>
          <w:i/>
          <w:iCs/>
          <w:szCs w:val="21"/>
        </w:rPr>
        <w:t>Evaluation &amp; the Health Professions</w:t>
      </w:r>
      <w:r w:rsidRPr="00AB19AF">
        <w:rPr>
          <w:rFonts w:cs="Helvetica"/>
          <w:szCs w:val="21"/>
        </w:rPr>
        <w:t xml:space="preserve">, </w:t>
      </w:r>
      <w:r w:rsidR="00313797">
        <w:rPr>
          <w:rFonts w:cs="Helvetica"/>
          <w:szCs w:val="21"/>
        </w:rPr>
        <w:t xml:space="preserve">vol. </w:t>
      </w:r>
      <w:r w:rsidRPr="00AB19AF">
        <w:rPr>
          <w:rFonts w:cs="Helvetica"/>
          <w:iCs/>
          <w:szCs w:val="21"/>
        </w:rPr>
        <w:t>36</w:t>
      </w:r>
      <w:r w:rsidR="00313797">
        <w:rPr>
          <w:rFonts w:cs="Helvetica"/>
          <w:szCs w:val="21"/>
        </w:rPr>
        <w:t xml:space="preserve">, no. </w:t>
      </w:r>
      <w:r w:rsidRPr="00AB19AF">
        <w:rPr>
          <w:rFonts w:cs="Helvetica"/>
          <w:szCs w:val="21"/>
        </w:rPr>
        <w:t>1,</w:t>
      </w:r>
      <w:r w:rsidR="00313797">
        <w:rPr>
          <w:rFonts w:cs="Helvetica"/>
          <w:szCs w:val="21"/>
        </w:rPr>
        <w:t xml:space="preserve"> March 2013, pp.</w:t>
      </w:r>
      <w:r w:rsidRPr="00AB19AF">
        <w:rPr>
          <w:rFonts w:cs="Helvetica"/>
          <w:szCs w:val="21"/>
        </w:rPr>
        <w:t xml:space="preserve"> 106–126. </w:t>
      </w:r>
    </w:p>
    <w:p w:rsidR="00E62D72" w:rsidP="00381D09" w:rsidRDefault="00E62D72" w14:paraId="0731A29A" w14:textId="21064709">
      <w:pPr>
        <w:pStyle w:val="References"/>
      </w:pPr>
      <w:r w:rsidRPr="00407190">
        <w:t>Medway</w:t>
      </w:r>
      <w:r w:rsidR="00DA11E1">
        <w:t>,</w:t>
      </w:r>
      <w:r w:rsidRPr="00407190">
        <w:t xml:space="preserve"> </w:t>
      </w:r>
      <w:hyperlink w:history="1" r:id="rId18">
        <w:r w:rsidRPr="00407190">
          <w:t>Rebecca L.</w:t>
        </w:r>
        <w:r w:rsidR="00DA11E1">
          <w:t>,</w:t>
        </w:r>
        <w:r w:rsidRPr="00407190">
          <w:t xml:space="preserve"> </w:t>
        </w:r>
      </w:hyperlink>
      <w:r>
        <w:t xml:space="preserve">and </w:t>
      </w:r>
      <w:hyperlink w:history="1" r:id="rId19">
        <w:r w:rsidRPr="00407190">
          <w:t>Jenna Fulton</w:t>
        </w:r>
      </w:hyperlink>
      <w:r>
        <w:t>. “</w:t>
      </w:r>
      <w:r w:rsidRPr="00407190">
        <w:t>When More Gets You Less: A Meta-Analysis of the Effect of Concurrent Web Options on Mail Survey Response Rates</w:t>
      </w:r>
      <w:r>
        <w:t xml:space="preserve">.” </w:t>
      </w:r>
      <w:r w:rsidRPr="00AB19AF">
        <w:rPr>
          <w:i/>
        </w:rPr>
        <w:t>Public Opinion Quarterly</w:t>
      </w:r>
      <w:r w:rsidRPr="00407190">
        <w:t xml:space="preserve">, </w:t>
      </w:r>
      <w:r w:rsidR="00DA11E1">
        <w:t>v</w:t>
      </w:r>
      <w:r w:rsidRPr="00407190">
        <w:t>ol</w:t>
      </w:r>
      <w:r w:rsidR="00DA11E1">
        <w:t>.</w:t>
      </w:r>
      <w:r w:rsidRPr="00407190">
        <w:t xml:space="preserve"> 76, </w:t>
      </w:r>
      <w:r w:rsidR="00DA11E1">
        <w:t>no.</w:t>
      </w:r>
      <w:r w:rsidRPr="00407190">
        <w:t xml:space="preserve"> 4, Winter 2012, </w:t>
      </w:r>
      <w:r w:rsidR="00DA11E1">
        <w:t>pp.</w:t>
      </w:r>
      <w:r w:rsidRPr="00407190">
        <w:t xml:space="preserve"> 733–746</w:t>
      </w:r>
      <w:r>
        <w:t xml:space="preserve">. </w:t>
      </w:r>
    </w:p>
    <w:p w:rsidRPr="00BA40EB" w:rsidR="005E655A" w:rsidP="00381D09" w:rsidRDefault="005E655A" w14:paraId="6490FCF3" w14:textId="08DFDDAB">
      <w:pPr>
        <w:pStyle w:val="References"/>
        <w:rPr>
          <w:bCs/>
          <w:kern w:val="24"/>
        </w:rPr>
      </w:pPr>
      <w:r w:rsidRPr="00BA40EB">
        <w:rPr>
          <w:bCs/>
          <w:kern w:val="24"/>
        </w:rPr>
        <w:t xml:space="preserve">Potter, Francis J. “A Study of Procedures to Identify and Trim Extreme Sampling Weights.” In </w:t>
      </w:r>
      <w:r w:rsidRPr="00BA40EB">
        <w:rPr>
          <w:bCs/>
          <w:i/>
          <w:kern w:val="24"/>
        </w:rPr>
        <w:t>Proceedings of the American Statistical Association, Section on Survey Research Methods.</w:t>
      </w:r>
      <w:r w:rsidRPr="00BA40EB">
        <w:rPr>
          <w:bCs/>
          <w:kern w:val="24"/>
        </w:rPr>
        <w:t xml:space="preserve"> Alexandria, VA: American Statistical Association, 1990, pp. 225</w:t>
      </w:r>
      <w:r w:rsidR="00DA11E1">
        <w:rPr>
          <w:bCs/>
          <w:kern w:val="24"/>
        </w:rPr>
        <w:t>–</w:t>
      </w:r>
      <w:r w:rsidRPr="00BA40EB">
        <w:rPr>
          <w:bCs/>
          <w:kern w:val="24"/>
        </w:rPr>
        <w:t>230.</w:t>
      </w:r>
    </w:p>
    <w:p w:rsidRPr="00491047" w:rsidR="005E655A" w:rsidP="00381D09" w:rsidRDefault="005E655A" w14:paraId="391083FE" w14:textId="77777777">
      <w:pPr>
        <w:pStyle w:val="References"/>
        <w:rPr>
          <w:bCs/>
          <w:kern w:val="24"/>
        </w:rPr>
      </w:pPr>
      <w:r w:rsidRPr="00491047">
        <w:rPr>
          <w:bCs/>
          <w:kern w:val="24"/>
        </w:rPr>
        <w:t xml:space="preserve">Särndal, Carl-Erik, Bengt Swensson, and Jan Wretman. </w:t>
      </w:r>
      <w:r w:rsidRPr="00491047">
        <w:rPr>
          <w:bCs/>
          <w:i/>
          <w:kern w:val="24"/>
        </w:rPr>
        <w:t>Model-Assisted Survey Sampling</w:t>
      </w:r>
      <w:r w:rsidRPr="00491047">
        <w:rPr>
          <w:bCs/>
          <w:kern w:val="24"/>
        </w:rPr>
        <w:t>. New York: Springer-Verlag, 1992.</w:t>
      </w:r>
    </w:p>
    <w:p w:rsidRPr="000732D0" w:rsidR="00E545F9" w:rsidP="00381D09" w:rsidRDefault="00E545F9" w14:paraId="1F64408D" w14:textId="2585EB93">
      <w:pPr>
        <w:pStyle w:val="References"/>
        <w:rPr>
          <w:szCs w:val="24"/>
        </w:rPr>
      </w:pPr>
      <w:r w:rsidRPr="002940B0">
        <w:rPr>
          <w:szCs w:val="24"/>
        </w:rPr>
        <w:t>Schwartz, Lisa K., Lisbeth Goble, and Edward M. English.</w:t>
      </w:r>
      <w:r w:rsidRPr="00BD46F9">
        <w:rPr>
          <w:szCs w:val="24"/>
        </w:rPr>
        <w:t xml:space="preserve"> “Counterbalancing Topic Interest with Cell Quotas and Incentives: Examining Leverage-Salience Theory in the Context of the Poverty in America Survey.” </w:t>
      </w:r>
      <w:r w:rsidRPr="0054319B">
        <w:rPr>
          <w:i/>
          <w:noProof/>
          <w:szCs w:val="24"/>
        </w:rPr>
        <w:t>Proceedings</w:t>
      </w:r>
      <w:r w:rsidRPr="00BD46F9">
        <w:rPr>
          <w:i/>
          <w:szCs w:val="24"/>
        </w:rPr>
        <w:t xml:space="preserve"> of the American Association for Public Research. </w:t>
      </w:r>
      <w:r w:rsidRPr="00BD46F9">
        <w:rPr>
          <w:szCs w:val="24"/>
        </w:rPr>
        <w:t>Montreal, Canada:  American Association for</w:t>
      </w:r>
      <w:r w:rsidRPr="000732D0">
        <w:rPr>
          <w:szCs w:val="24"/>
        </w:rPr>
        <w:t xml:space="preserve"> Public Opinion Research, 2006.</w:t>
      </w:r>
    </w:p>
    <w:p w:rsidR="00F334F6" w:rsidP="00381D09" w:rsidRDefault="00F334F6" w14:paraId="12DDF90E" w14:textId="10F96068">
      <w:pPr>
        <w:pStyle w:val="References"/>
        <w:rPr>
          <w:szCs w:val="24"/>
        </w:rPr>
      </w:pPr>
      <w:r w:rsidRPr="00143A68">
        <w:rPr>
          <w:szCs w:val="24"/>
        </w:rPr>
        <w:t xml:space="preserve">Singer, Eleanor, and Richard A. Kulka. “Paying Respondents for Survey Participation.” </w:t>
      </w:r>
      <w:r>
        <w:rPr>
          <w:szCs w:val="24"/>
        </w:rPr>
        <w:t xml:space="preserve">In </w:t>
      </w:r>
      <w:r>
        <w:rPr>
          <w:i/>
          <w:szCs w:val="24"/>
        </w:rPr>
        <w:t>Studies of Welfare Populations: Data Collection and Research Issues,</w:t>
      </w:r>
      <w:r>
        <w:rPr>
          <w:szCs w:val="24"/>
        </w:rPr>
        <w:t xml:space="preserve"> edited by Michele Ver Ploeg, Robert A. Moffitt, and Constance F. Citro. Washington, DC: National Academ</w:t>
      </w:r>
      <w:r w:rsidR="00681140">
        <w:rPr>
          <w:szCs w:val="24"/>
        </w:rPr>
        <w:t>ies</w:t>
      </w:r>
      <w:r>
        <w:rPr>
          <w:szCs w:val="24"/>
        </w:rPr>
        <w:t xml:space="preserve"> Press, 2001</w:t>
      </w:r>
      <w:r w:rsidRPr="00143A68">
        <w:rPr>
          <w:szCs w:val="24"/>
        </w:rPr>
        <w:t>.</w:t>
      </w:r>
      <w:r>
        <w:rPr>
          <w:szCs w:val="24"/>
        </w:rPr>
        <w:t xml:space="preserve"> Available at </w:t>
      </w:r>
      <w:hyperlink w:history="1" r:id="rId20">
        <w:r w:rsidRPr="006D7637">
          <w:rPr>
            <w:rStyle w:val="Hyperlink"/>
            <w:szCs w:val="24"/>
          </w:rPr>
          <w:t>www.nap.edu/read/10206/chapter/6</w:t>
        </w:r>
      </w:hyperlink>
      <w:r w:rsidRPr="006D7637">
        <w:rPr>
          <w:szCs w:val="24"/>
        </w:rPr>
        <w:t xml:space="preserve">. </w:t>
      </w:r>
      <w:r>
        <w:rPr>
          <w:szCs w:val="24"/>
        </w:rPr>
        <w:t>Accessed April</w:t>
      </w:r>
      <w:r w:rsidR="00381D09">
        <w:rPr>
          <w:szCs w:val="24"/>
        </w:rPr>
        <w:t> </w:t>
      </w:r>
      <w:r>
        <w:rPr>
          <w:szCs w:val="24"/>
        </w:rPr>
        <w:t>22, 2019.</w:t>
      </w:r>
    </w:p>
    <w:p w:rsidR="005078DF" w:rsidP="00381D09" w:rsidRDefault="00C655CB" w14:paraId="4DB359EA" w14:textId="703EA32E">
      <w:pPr>
        <w:pStyle w:val="References"/>
      </w:pPr>
      <w:r w:rsidRPr="00C655CB">
        <w:t>Social Security Administration. “Annual Statistical Report on the Social Security Disability Insurance Program, 2016.” SSA Publication No. 13-11826. Washington, DC: Social Security Administration, October 2017.</w:t>
      </w:r>
    </w:p>
    <w:p w:rsidRPr="009B109C" w:rsidR="00AC7249" w:rsidP="00AC7A15" w:rsidRDefault="00AF59E6" w14:paraId="3F710D4C" w14:textId="40DCF9A9">
      <w:pPr>
        <w:pStyle w:val="References"/>
      </w:pPr>
      <w:r w:rsidRPr="00CF6195">
        <w:t>Wickizer, T.M., G. Franklin, D. Fulton-Kehoe, J. Gluck, R.</w:t>
      </w:r>
      <w:r>
        <w:t xml:space="preserve"> Mootz, T. Smith-Weller, and R. Plaeger-Brockway. “Improving Quality, Preventing Disability and Reducing Costs in Workers’ Compensation Healthcare: A Population-based Intervention Study.” </w:t>
      </w:r>
      <w:r>
        <w:rPr>
          <w:i/>
        </w:rPr>
        <w:t>Medical Care,</w:t>
      </w:r>
      <w:r>
        <w:t xml:space="preserve"> vol. 49, no. 12 (December 2011I), pp. 1105–1111.</w:t>
      </w:r>
    </w:p>
    <w:sectPr w:rsidRPr="009B109C" w:rsidR="00AC7249" w:rsidSect="00AC7A15">
      <w:headerReference w:type="default" r:id="rId21"/>
      <w:footerReference w:type="default" r:id="rId2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908CEB" w16cid:durableId="21F92D2E"/>
  <w16cid:commentId w16cid:paraId="04976F8A" w16cid:durableId="21F92F94"/>
  <w16cid:commentId w16cid:paraId="5AD22091" w16cid:durableId="21F92D2F"/>
  <w16cid:commentId w16cid:paraId="6CDE6DF5" w16cid:durableId="21F92FD4"/>
  <w16cid:commentId w16cid:paraId="131999C0" w16cid:durableId="21B4E91A"/>
  <w16cid:commentId w16cid:paraId="6CA6BEA5" w16cid:durableId="21F92D39"/>
  <w16cid:commentId w16cid:paraId="55C788DB" w16cid:durableId="22035A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ABABC" w14:textId="77777777" w:rsidR="00681CF0" w:rsidRDefault="00681CF0" w:rsidP="00CE7F1A">
      <w:pPr>
        <w:spacing w:line="240" w:lineRule="auto"/>
      </w:pPr>
      <w:r>
        <w:separator/>
      </w:r>
    </w:p>
    <w:p w14:paraId="694A8148" w14:textId="77777777" w:rsidR="00681CF0" w:rsidRDefault="00681CF0"/>
  </w:endnote>
  <w:endnote w:type="continuationSeparator" w:id="0">
    <w:p w14:paraId="62F0AEB3" w14:textId="77777777" w:rsidR="00681CF0" w:rsidRDefault="00681CF0" w:rsidP="00CE7F1A">
      <w:pPr>
        <w:spacing w:line="240" w:lineRule="auto"/>
      </w:pPr>
      <w:r>
        <w:continuationSeparator/>
      </w:r>
    </w:p>
    <w:p w14:paraId="466AFE71" w14:textId="77777777" w:rsidR="00681CF0" w:rsidRDefault="00681CF0"/>
  </w:endnote>
  <w:endnote w:type="continuationNotice" w:id="1">
    <w:p w14:paraId="2818CAF2" w14:textId="77777777" w:rsidR="00681CF0" w:rsidRDefault="00681C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Times New Roman"/>
    <w:charset w:val="00"/>
    <w:family w:val="auto"/>
    <w:pitch w:val="variable"/>
    <w:sig w:usb0="A00000FF" w:usb1="5001E47B" w:usb2="00000000" w:usb3="00000000" w:csb0="0000009B" w:csb1="00000000"/>
  </w:font>
  <w:font w:name="TimesNewRomanPSMT">
    <w:altName w:val="Times New Roman"/>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615324"/>
      <w:docPartObj>
        <w:docPartGallery w:val="Page Numbers (Bottom of Page)"/>
        <w:docPartUnique/>
      </w:docPartObj>
    </w:sdtPr>
    <w:sdtEndPr>
      <w:rPr>
        <w:noProof/>
      </w:rPr>
    </w:sdtEndPr>
    <w:sdtContent>
      <w:p w14:paraId="31213979" w14:textId="5D946955" w:rsidR="00681CF0" w:rsidRDefault="00681CF0">
        <w:pPr>
          <w:pStyle w:val="Footer"/>
          <w:jc w:val="center"/>
        </w:pPr>
        <w:r>
          <w:fldChar w:fldCharType="begin"/>
        </w:r>
        <w:r>
          <w:instrText xml:space="preserve"> PAGE   \* MERGEFORMAT </w:instrText>
        </w:r>
        <w:r>
          <w:fldChar w:fldCharType="separate"/>
        </w:r>
        <w:r w:rsidR="00512423">
          <w:rPr>
            <w:noProof/>
          </w:rPr>
          <w:t>16</w:t>
        </w:r>
        <w:r>
          <w:rPr>
            <w:noProof/>
          </w:rPr>
          <w:fldChar w:fldCharType="end"/>
        </w:r>
      </w:p>
    </w:sdtContent>
  </w:sdt>
  <w:p w14:paraId="45E7A103" w14:textId="7D38E684" w:rsidR="00681CF0" w:rsidRPr="00FE6A32" w:rsidRDefault="00681CF0" w:rsidP="00FE6A32">
    <w:pPr>
      <w:pBdr>
        <w:top w:val="single" w:sz="2" w:space="1" w:color="auto"/>
      </w:pBdr>
      <w:tabs>
        <w:tab w:val="center" w:pos="4320"/>
        <w:tab w:val="right" w:pos="9360"/>
      </w:tabs>
      <w:spacing w:line="240" w:lineRule="auto"/>
      <w:ind w:firstLine="0"/>
      <w:jc w:val="center"/>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F7A3" w14:textId="786026F3" w:rsidR="00AC7A15" w:rsidRDefault="00AC7A15">
    <w:pPr>
      <w:pStyle w:val="Footer"/>
      <w:tabs>
        <w:tab w:val="clear" w:pos="9360"/>
      </w:tabs>
      <w:jc w:val="center"/>
      <w:rPr>
        <w:caps/>
        <w:noProof/>
        <w:color w:val="0B2949" w:themeColor="accent1"/>
      </w:rPr>
    </w:pPr>
    <w:r>
      <w:rPr>
        <w:caps/>
        <w:color w:val="0B2949" w:themeColor="accent1"/>
      </w:rPr>
      <w:fldChar w:fldCharType="begin"/>
    </w:r>
    <w:r>
      <w:rPr>
        <w:caps/>
        <w:color w:val="0B2949" w:themeColor="accent1"/>
      </w:rPr>
      <w:instrText xml:space="preserve"> PAGE   \* MERGEFORMAT </w:instrText>
    </w:r>
    <w:r>
      <w:rPr>
        <w:caps/>
        <w:color w:val="0B2949" w:themeColor="accent1"/>
      </w:rPr>
      <w:fldChar w:fldCharType="separate"/>
    </w:r>
    <w:r w:rsidR="00512423">
      <w:rPr>
        <w:caps/>
        <w:noProof/>
        <w:color w:val="0B2949" w:themeColor="accent1"/>
      </w:rPr>
      <w:t>19</w:t>
    </w:r>
    <w:r>
      <w:rPr>
        <w:caps/>
        <w:noProof/>
        <w:color w:val="0B2949" w:themeColor="accent1"/>
      </w:rPr>
      <w:fldChar w:fldCharType="end"/>
    </w:r>
  </w:p>
  <w:p w14:paraId="3BE4401F" w14:textId="2C41E92A" w:rsidR="00681CF0" w:rsidRPr="004B75AD" w:rsidRDefault="00681CF0" w:rsidP="00C63321">
    <w:pPr>
      <w:pStyle w:val="Footer"/>
      <w:pBdr>
        <w:bottom w:val="none" w:sz="0" w:space="0" w:color="auto"/>
      </w:pBdr>
      <w:ind w:left="-2340"/>
      <w:rPr>
        <w:rStyle w:val="PageNumbe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271C3" w14:textId="77777777" w:rsidR="00681CF0" w:rsidRDefault="00681CF0" w:rsidP="001167F9">
      <w:pPr>
        <w:spacing w:line="240" w:lineRule="auto"/>
        <w:ind w:firstLine="0"/>
      </w:pPr>
      <w:r>
        <w:separator/>
      </w:r>
    </w:p>
  </w:footnote>
  <w:footnote w:type="continuationSeparator" w:id="0">
    <w:p w14:paraId="25B5A215" w14:textId="77777777" w:rsidR="00681CF0" w:rsidRDefault="00681CF0" w:rsidP="001167F9">
      <w:pPr>
        <w:spacing w:line="240" w:lineRule="auto"/>
        <w:ind w:firstLine="0"/>
      </w:pPr>
      <w:r>
        <w:continuationSeparator/>
      </w:r>
    </w:p>
    <w:p w14:paraId="4417BFB1" w14:textId="77777777" w:rsidR="00681CF0" w:rsidRDefault="00681CF0"/>
  </w:footnote>
  <w:footnote w:type="continuationNotice" w:id="1">
    <w:p w14:paraId="520599B4" w14:textId="77777777" w:rsidR="00681CF0" w:rsidRDefault="00681CF0">
      <w:pPr>
        <w:spacing w:line="240" w:lineRule="auto"/>
      </w:pPr>
    </w:p>
  </w:footnote>
  <w:footnote w:id="2">
    <w:p w14:paraId="2AE385BD" w14:textId="2B7D18BC" w:rsidR="00681CF0" w:rsidRDefault="00681CF0" w:rsidP="00C655CB">
      <w:pPr>
        <w:pStyle w:val="FootnoteText"/>
      </w:pPr>
      <w:r>
        <w:rPr>
          <w:rStyle w:val="FootnoteReference"/>
        </w:rPr>
        <w:footnoteRef/>
      </w:r>
      <w:r>
        <w:t xml:space="preserve"> Information about the RETAIN state programs is available at </w:t>
      </w:r>
      <w:hyperlink r:id="rId1" w:history="1">
        <w:r w:rsidRPr="006B3443">
          <w:rPr>
            <w:rStyle w:val="Hyperlink"/>
          </w:rPr>
          <w:t>https://www.dol.gov/odep/topics/SAW-RTW/RETAIN-Phase-1-Recipient-Snapshots.htm</w:t>
        </w:r>
      </w:hyperlink>
      <w:r>
        <w:t xml:space="preserve"> (accessed January 29, 2020).</w:t>
      </w:r>
    </w:p>
  </w:footnote>
  <w:footnote w:id="3">
    <w:p w14:paraId="466CB26F" w14:textId="77777777" w:rsidR="00681CF0" w:rsidRDefault="00681CF0" w:rsidP="00185828">
      <w:pPr>
        <w:pStyle w:val="FootnoteText"/>
      </w:pPr>
      <w:r>
        <w:rPr>
          <w:rStyle w:val="FootnoteReference"/>
        </w:rPr>
        <w:footnoteRef/>
      </w:r>
      <w:r>
        <w:t xml:space="preserve"> States will include their enrollment targets in the Phase 2 applications.</w:t>
      </w:r>
    </w:p>
  </w:footnote>
  <w:footnote w:id="4">
    <w:p w14:paraId="4FA465E1" w14:textId="77777777" w:rsidR="00681CF0" w:rsidRDefault="00681CF0" w:rsidP="000518BF">
      <w:pPr>
        <w:pStyle w:val="FootnoteText"/>
      </w:pPr>
      <w:r>
        <w:rPr>
          <w:rStyle w:val="FootnoteReference"/>
        </w:rPr>
        <w:footnoteRef/>
      </w:r>
      <w:r>
        <w:t xml:space="preserve"> To ensure privacy of this sensitive information, Mathematica will use postcards that feature a seal, which recipients will need to open  to view the information provided. </w:t>
      </w:r>
    </w:p>
  </w:footnote>
  <w:footnote w:id="5">
    <w:p w14:paraId="4DB2394A" w14:textId="77777777" w:rsidR="00681CF0" w:rsidRDefault="00681CF0" w:rsidP="00AF59E6">
      <w:pPr>
        <w:pStyle w:val="FootnoteText"/>
      </w:pPr>
      <w:r>
        <w:rPr>
          <w:rStyle w:val="FootnoteReference"/>
        </w:rPr>
        <w:footnoteRef/>
      </w:r>
      <w:r>
        <w:t xml:space="preserve"> To ensure the privacy of this sensitive information, Mathematica will use postcards that feature a seal, which recipients will need to open in order to view the information provided. </w:t>
      </w:r>
    </w:p>
  </w:footnote>
  <w:footnote w:id="6">
    <w:p w14:paraId="28CF6F7A" w14:textId="77D653A0" w:rsidR="00681CF0" w:rsidRDefault="00681CF0" w:rsidP="00F52F30">
      <w:pPr>
        <w:pStyle w:val="FootnoteText"/>
      </w:pPr>
      <w:r>
        <w:rPr>
          <w:rStyle w:val="FootnoteReference"/>
        </w:rPr>
        <w:footnoteRef/>
      </w:r>
      <w:r>
        <w:t xml:space="preserve"> Mathematica’s Survey Operations Center will field inbound calls across the survey field period, as the toll-free telephone number for the survey will be on all survey mailings.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58DD8" w14:textId="4E33CB6F" w:rsidR="00681CF0" w:rsidRPr="00FE6A32" w:rsidRDefault="00681CF0" w:rsidP="00FE6A32">
    <w:pPr>
      <w:pBdr>
        <w:bottom w:val="single" w:sz="2" w:space="3" w:color="auto"/>
      </w:pBdr>
      <w:tabs>
        <w:tab w:val="right" w:pos="9360"/>
      </w:tabs>
      <w:spacing w:line="240" w:lineRule="auto"/>
      <w:ind w:firstLine="0"/>
      <w:rPr>
        <w:rFonts w:ascii="Arial" w:hAnsi="Arial" w:cs="Arial"/>
        <w:i/>
        <w:caps/>
        <w:sz w:val="16"/>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DB5E0" w14:textId="314727DF" w:rsidR="00681CF0" w:rsidRPr="00AE3B69" w:rsidRDefault="00681CF0" w:rsidP="00AE3B6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AE0D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00ED3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BC97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1E60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E1691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CBE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7A64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861F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A5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6818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B7D03"/>
    <w:multiLevelType w:val="hybridMultilevel"/>
    <w:tmpl w:val="440E3CC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07F73F1E"/>
    <w:multiLevelType w:val="hybridMultilevel"/>
    <w:tmpl w:val="283CF05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08EE347B"/>
    <w:multiLevelType w:val="multilevel"/>
    <w:tmpl w:val="14F2EF6E"/>
    <w:lvl w:ilvl="0">
      <w:start w:val="1"/>
      <w:numFmt w:val="upperRoman"/>
      <w:lvlText w:val="%1."/>
      <w:lvlJc w:val="left"/>
      <w:pPr>
        <w:tabs>
          <w:tab w:val="num" w:pos="720"/>
        </w:tabs>
        <w:ind w:left="720" w:hanging="720"/>
      </w:pPr>
      <w:rPr>
        <w:rFonts w:hint="default"/>
      </w:rPr>
    </w:lvl>
    <w:lvl w:ilvl="1">
      <w:start w:val="1"/>
      <w:numFmt w:val="upp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202"/>
      <w:numFmt w:val="bullet"/>
      <w:lvlText w:val="-"/>
      <w:lvlJc w:val="left"/>
      <w:pPr>
        <w:ind w:left="2520" w:hanging="360"/>
      </w:pPr>
      <w:rPr>
        <w:rFonts w:ascii="Calibri" w:eastAsiaTheme="minorHAnsi" w:hAnsi="Calibri" w:cs="Calibri"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15:restartNumberingAfterBreak="0">
    <w:nsid w:val="0BAB5F92"/>
    <w:multiLevelType w:val="hybridMultilevel"/>
    <w:tmpl w:val="2E943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66024D"/>
    <w:multiLevelType w:val="hybridMultilevel"/>
    <w:tmpl w:val="E004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2A4209"/>
    <w:multiLevelType w:val="multilevel"/>
    <w:tmpl w:val="8DD808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2D05662"/>
    <w:multiLevelType w:val="hybridMultilevel"/>
    <w:tmpl w:val="26A4C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8060B7"/>
    <w:multiLevelType w:val="hybridMultilevel"/>
    <w:tmpl w:val="4C96A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E817F1E"/>
    <w:multiLevelType w:val="hybridMultilevel"/>
    <w:tmpl w:val="E6C478DA"/>
    <w:lvl w:ilvl="0" w:tplc="922C4AA6">
      <w:start w:val="1"/>
      <w:numFmt w:val="decimal"/>
      <w:pStyle w:val="Numbered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DD3F14"/>
    <w:multiLevelType w:val="hybridMultilevel"/>
    <w:tmpl w:val="5E0C7A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7513D4"/>
    <w:multiLevelType w:val="hybridMultilevel"/>
    <w:tmpl w:val="157228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2F550E53"/>
    <w:multiLevelType w:val="hybridMultilevel"/>
    <w:tmpl w:val="70528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6D0AC3"/>
    <w:multiLevelType w:val="hybridMultilevel"/>
    <w:tmpl w:val="19CCF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DE724E"/>
    <w:multiLevelType w:val="hybridMultilevel"/>
    <w:tmpl w:val="F47C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8" w15:restartNumberingAfterBreak="0">
    <w:nsid w:val="4A9C1A6F"/>
    <w:multiLevelType w:val="hybridMultilevel"/>
    <w:tmpl w:val="72FE0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182C33"/>
    <w:multiLevelType w:val="hybridMultilevel"/>
    <w:tmpl w:val="B85E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FD7EC0"/>
    <w:multiLevelType w:val="hybridMultilevel"/>
    <w:tmpl w:val="D1E0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754310"/>
    <w:multiLevelType w:val="hybridMultilevel"/>
    <w:tmpl w:val="773A748A"/>
    <w:lvl w:ilvl="0" w:tplc="2BE08494">
      <w:start w:val="1"/>
      <w:numFmt w:val="bullet"/>
      <w:pStyle w:val="BulletLastS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376B2B"/>
    <w:multiLevelType w:val="hybridMultilevel"/>
    <w:tmpl w:val="3BCED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7EB239F"/>
    <w:multiLevelType w:val="hybridMultilevel"/>
    <w:tmpl w:val="FC98D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AC5228"/>
    <w:multiLevelType w:val="hybridMultilevel"/>
    <w:tmpl w:val="1234AA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F5467DA"/>
    <w:multiLevelType w:val="hybridMultilevel"/>
    <w:tmpl w:val="AD64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E224FB"/>
    <w:multiLevelType w:val="hybridMultilevel"/>
    <w:tmpl w:val="9644121E"/>
    <w:lvl w:ilvl="0" w:tplc="32FEBF1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1815F94"/>
    <w:multiLevelType w:val="hybridMultilevel"/>
    <w:tmpl w:val="EA62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66395E0F"/>
    <w:multiLevelType w:val="hybridMultilevel"/>
    <w:tmpl w:val="70329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08147F"/>
    <w:multiLevelType w:val="hybridMultilevel"/>
    <w:tmpl w:val="DD96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20478C"/>
    <w:multiLevelType w:val="hybridMultilevel"/>
    <w:tmpl w:val="8AD6B458"/>
    <w:lvl w:ilvl="0" w:tplc="3F4E16DC">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8A142B"/>
    <w:multiLevelType w:val="hybridMultilevel"/>
    <w:tmpl w:val="B06A4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4E2EBE"/>
    <w:multiLevelType w:val="hybridMultilevel"/>
    <w:tmpl w:val="D7823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31"/>
  </w:num>
  <w:num w:numId="3">
    <w:abstractNumId w:val="44"/>
  </w:num>
  <w:num w:numId="4">
    <w:abstractNumId w:val="17"/>
  </w:num>
  <w:num w:numId="5">
    <w:abstractNumId w:val="43"/>
  </w:num>
  <w:num w:numId="6">
    <w:abstractNumId w:val="38"/>
  </w:num>
  <w:num w:numId="7">
    <w:abstractNumId w:val="22"/>
  </w:num>
  <w:num w:numId="8">
    <w:abstractNumId w:val="19"/>
  </w:num>
  <w:num w:numId="9">
    <w:abstractNumId w:val="19"/>
    <w:lvlOverride w:ilvl="0">
      <w:startOverride w:val="1"/>
    </w:lvlOverride>
  </w:num>
  <w:num w:numId="10">
    <w:abstractNumId w:val="45"/>
  </w:num>
  <w:num w:numId="11">
    <w:abstractNumId w:val="29"/>
  </w:num>
  <w:num w:numId="12">
    <w:abstractNumId w:val="32"/>
  </w:num>
  <w:num w:numId="13">
    <w:abstractNumId w:val="39"/>
  </w:num>
  <w:num w:numId="14">
    <w:abstractNumId w:val="24"/>
  </w:num>
  <w:num w:numId="15">
    <w:abstractNumId w:val="36"/>
  </w:num>
  <w:num w:numId="16">
    <w:abstractNumId w:val="41"/>
  </w:num>
  <w:num w:numId="17">
    <w:abstractNumId w:val="30"/>
  </w:num>
  <w:num w:numId="18">
    <w:abstractNumId w:val="20"/>
  </w:num>
  <w:num w:numId="19">
    <w:abstractNumId w:val="40"/>
  </w:num>
  <w:num w:numId="20">
    <w:abstractNumId w:val="41"/>
  </w:num>
  <w:num w:numId="21">
    <w:abstractNumId w:val="41"/>
  </w:num>
  <w:num w:numId="22">
    <w:abstractNumId w:val="41"/>
  </w:num>
  <w:num w:numId="23">
    <w:abstractNumId w:val="41"/>
  </w:num>
  <w:num w:numId="24">
    <w:abstractNumId w:val="41"/>
  </w:num>
  <w:num w:numId="25">
    <w:abstractNumId w:val="37"/>
  </w:num>
  <w:num w:numId="26">
    <w:abstractNumId w:val="11"/>
  </w:num>
  <w:num w:numId="27">
    <w:abstractNumId w:val="25"/>
  </w:num>
  <w:num w:numId="28">
    <w:abstractNumId w:val="27"/>
    <w:lvlOverride w:ilvl="0">
      <w:startOverride w:val="1"/>
    </w:lvlOverride>
  </w:num>
  <w:num w:numId="29">
    <w:abstractNumId w:val="33"/>
  </w:num>
  <w:num w:numId="30">
    <w:abstractNumId w:val="10"/>
  </w:num>
  <w:num w:numId="31">
    <w:abstractNumId w:val="13"/>
  </w:num>
  <w:num w:numId="32">
    <w:abstractNumId w:val="16"/>
  </w:num>
  <w:num w:numId="33">
    <w:abstractNumId w:val="28"/>
  </w:num>
  <w:num w:numId="34">
    <w:abstractNumId w:val="18"/>
  </w:num>
  <w:num w:numId="35">
    <w:abstractNumId w:val="31"/>
  </w:num>
  <w:num w:numId="36">
    <w:abstractNumId w:val="41"/>
  </w:num>
  <w:num w:numId="37">
    <w:abstractNumId w:val="41"/>
  </w:num>
  <w:num w:numId="38">
    <w:abstractNumId w:val="21"/>
  </w:num>
  <w:num w:numId="39">
    <w:abstractNumId w:val="42"/>
  </w:num>
  <w:num w:numId="40">
    <w:abstractNumId w:val="23"/>
  </w:num>
  <w:num w:numId="41">
    <w:abstractNumId w:val="35"/>
  </w:num>
  <w:num w:numId="42">
    <w:abstractNumId w:val="12"/>
  </w:num>
  <w:num w:numId="43">
    <w:abstractNumId w:val="15"/>
  </w:num>
  <w:num w:numId="44">
    <w:abstractNumId w:val="34"/>
  </w:num>
  <w:num w:numId="45">
    <w:abstractNumId w:val="19"/>
    <w:lvlOverride w:ilvl="0">
      <w:startOverride w:val="1"/>
    </w:lvlOverride>
  </w:num>
  <w:num w:numId="46">
    <w:abstractNumId w:val="26"/>
  </w:num>
  <w:num w:numId="47">
    <w:abstractNumId w:val="9"/>
  </w:num>
  <w:num w:numId="48">
    <w:abstractNumId w:val="7"/>
  </w:num>
  <w:num w:numId="49">
    <w:abstractNumId w:val="6"/>
  </w:num>
  <w:num w:numId="50">
    <w:abstractNumId w:val="5"/>
  </w:num>
  <w:num w:numId="51">
    <w:abstractNumId w:val="4"/>
  </w:num>
  <w:num w:numId="52">
    <w:abstractNumId w:val="8"/>
  </w:num>
  <w:num w:numId="53">
    <w:abstractNumId w:val="3"/>
  </w:num>
  <w:num w:numId="54">
    <w:abstractNumId w:val="2"/>
  </w:num>
  <w:num w:numId="55">
    <w:abstractNumId w:val="1"/>
  </w:num>
  <w:num w:numId="56">
    <w:abstractNumId w:val="0"/>
  </w:num>
  <w:num w:numId="57">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432"/>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awMDQ3NzAxNrE0MzRQ0lEKTi0uzszPAymwrAUAwRyjIywAAAA="/>
  </w:docVars>
  <w:rsids>
    <w:rsidRoot w:val="000022F1"/>
    <w:rsid w:val="000016D4"/>
    <w:rsid w:val="000016E0"/>
    <w:rsid w:val="000021BF"/>
    <w:rsid w:val="00002223"/>
    <w:rsid w:val="000022F1"/>
    <w:rsid w:val="00005862"/>
    <w:rsid w:val="00005C10"/>
    <w:rsid w:val="00007168"/>
    <w:rsid w:val="00007F96"/>
    <w:rsid w:val="00010190"/>
    <w:rsid w:val="00011F37"/>
    <w:rsid w:val="000121D4"/>
    <w:rsid w:val="000135A8"/>
    <w:rsid w:val="000145C1"/>
    <w:rsid w:val="00014755"/>
    <w:rsid w:val="000158C0"/>
    <w:rsid w:val="00017540"/>
    <w:rsid w:val="0002175A"/>
    <w:rsid w:val="000258D1"/>
    <w:rsid w:val="00026627"/>
    <w:rsid w:val="000274C5"/>
    <w:rsid w:val="00027CF9"/>
    <w:rsid w:val="000305C1"/>
    <w:rsid w:val="0003250B"/>
    <w:rsid w:val="00032AC5"/>
    <w:rsid w:val="00033403"/>
    <w:rsid w:val="00034D13"/>
    <w:rsid w:val="000369C3"/>
    <w:rsid w:val="00037D3B"/>
    <w:rsid w:val="00042B08"/>
    <w:rsid w:val="00045B7E"/>
    <w:rsid w:val="00046FB0"/>
    <w:rsid w:val="00047004"/>
    <w:rsid w:val="0004789C"/>
    <w:rsid w:val="00047FBF"/>
    <w:rsid w:val="00050C8B"/>
    <w:rsid w:val="00050D84"/>
    <w:rsid w:val="00051263"/>
    <w:rsid w:val="000518BF"/>
    <w:rsid w:val="000529CE"/>
    <w:rsid w:val="00053482"/>
    <w:rsid w:val="00053A42"/>
    <w:rsid w:val="00053B94"/>
    <w:rsid w:val="00054A3A"/>
    <w:rsid w:val="00054EC8"/>
    <w:rsid w:val="00056014"/>
    <w:rsid w:val="00057199"/>
    <w:rsid w:val="00060956"/>
    <w:rsid w:val="00061130"/>
    <w:rsid w:val="000619E6"/>
    <w:rsid w:val="00061E7F"/>
    <w:rsid w:val="00063682"/>
    <w:rsid w:val="0006434B"/>
    <w:rsid w:val="000652F7"/>
    <w:rsid w:val="000676E1"/>
    <w:rsid w:val="00067903"/>
    <w:rsid w:val="00067A21"/>
    <w:rsid w:val="00067AFF"/>
    <w:rsid w:val="0007412A"/>
    <w:rsid w:val="00075AB4"/>
    <w:rsid w:val="00076EBD"/>
    <w:rsid w:val="000776F0"/>
    <w:rsid w:val="00077BAC"/>
    <w:rsid w:val="0008077C"/>
    <w:rsid w:val="00081455"/>
    <w:rsid w:val="00083067"/>
    <w:rsid w:val="000844ED"/>
    <w:rsid w:val="0008579E"/>
    <w:rsid w:val="00085A43"/>
    <w:rsid w:val="00090C1D"/>
    <w:rsid w:val="0009111E"/>
    <w:rsid w:val="000933DB"/>
    <w:rsid w:val="00095143"/>
    <w:rsid w:val="0009551F"/>
    <w:rsid w:val="000956A6"/>
    <w:rsid w:val="00096045"/>
    <w:rsid w:val="000A0F68"/>
    <w:rsid w:val="000A190D"/>
    <w:rsid w:val="000A2765"/>
    <w:rsid w:val="000A2A7A"/>
    <w:rsid w:val="000A356F"/>
    <w:rsid w:val="000A53F4"/>
    <w:rsid w:val="000A7239"/>
    <w:rsid w:val="000B042F"/>
    <w:rsid w:val="000B2637"/>
    <w:rsid w:val="000B2909"/>
    <w:rsid w:val="000B51E6"/>
    <w:rsid w:val="000C0B17"/>
    <w:rsid w:val="000C1170"/>
    <w:rsid w:val="000C31E3"/>
    <w:rsid w:val="000C52F1"/>
    <w:rsid w:val="000D0B27"/>
    <w:rsid w:val="000D0F87"/>
    <w:rsid w:val="000D227D"/>
    <w:rsid w:val="000D3517"/>
    <w:rsid w:val="000D5B17"/>
    <w:rsid w:val="000D6071"/>
    <w:rsid w:val="000D6A1F"/>
    <w:rsid w:val="000D6F25"/>
    <w:rsid w:val="000E0967"/>
    <w:rsid w:val="000E1101"/>
    <w:rsid w:val="000E17B4"/>
    <w:rsid w:val="000E26E8"/>
    <w:rsid w:val="000E4872"/>
    <w:rsid w:val="000E544F"/>
    <w:rsid w:val="000E54DD"/>
    <w:rsid w:val="000F18E6"/>
    <w:rsid w:val="000F2210"/>
    <w:rsid w:val="000F4A8E"/>
    <w:rsid w:val="001018C4"/>
    <w:rsid w:val="00102239"/>
    <w:rsid w:val="001026D9"/>
    <w:rsid w:val="00102F6E"/>
    <w:rsid w:val="00103F4F"/>
    <w:rsid w:val="00105B24"/>
    <w:rsid w:val="00105F11"/>
    <w:rsid w:val="001072BD"/>
    <w:rsid w:val="001108EE"/>
    <w:rsid w:val="001128F8"/>
    <w:rsid w:val="00113AD5"/>
    <w:rsid w:val="00114767"/>
    <w:rsid w:val="001167F9"/>
    <w:rsid w:val="00117843"/>
    <w:rsid w:val="00117EFE"/>
    <w:rsid w:val="00122303"/>
    <w:rsid w:val="00122EF1"/>
    <w:rsid w:val="00123807"/>
    <w:rsid w:val="00124E05"/>
    <w:rsid w:val="0012592C"/>
    <w:rsid w:val="001269CC"/>
    <w:rsid w:val="00126F15"/>
    <w:rsid w:val="00131085"/>
    <w:rsid w:val="00132694"/>
    <w:rsid w:val="001346BB"/>
    <w:rsid w:val="00134FDD"/>
    <w:rsid w:val="00135F96"/>
    <w:rsid w:val="00136939"/>
    <w:rsid w:val="001379F5"/>
    <w:rsid w:val="00137F86"/>
    <w:rsid w:val="00137F8E"/>
    <w:rsid w:val="00143374"/>
    <w:rsid w:val="0014370E"/>
    <w:rsid w:val="00144531"/>
    <w:rsid w:val="0014507B"/>
    <w:rsid w:val="00145BB6"/>
    <w:rsid w:val="00146FA3"/>
    <w:rsid w:val="00150699"/>
    <w:rsid w:val="00151255"/>
    <w:rsid w:val="0015317F"/>
    <w:rsid w:val="00153E8E"/>
    <w:rsid w:val="001545EA"/>
    <w:rsid w:val="001563B9"/>
    <w:rsid w:val="00162AF0"/>
    <w:rsid w:val="00164C05"/>
    <w:rsid w:val="00164F41"/>
    <w:rsid w:val="00166B7C"/>
    <w:rsid w:val="00166BA8"/>
    <w:rsid w:val="001674EB"/>
    <w:rsid w:val="0017056B"/>
    <w:rsid w:val="00171E69"/>
    <w:rsid w:val="001732AB"/>
    <w:rsid w:val="0017686B"/>
    <w:rsid w:val="00177E5D"/>
    <w:rsid w:val="0018119C"/>
    <w:rsid w:val="00183351"/>
    <w:rsid w:val="00185003"/>
    <w:rsid w:val="00185828"/>
    <w:rsid w:val="00186349"/>
    <w:rsid w:val="0018775B"/>
    <w:rsid w:val="00187C9B"/>
    <w:rsid w:val="00190BBC"/>
    <w:rsid w:val="001918FA"/>
    <w:rsid w:val="00193F79"/>
    <w:rsid w:val="0019463B"/>
    <w:rsid w:val="001A2A19"/>
    <w:rsid w:val="001A32A5"/>
    <w:rsid w:val="001A5643"/>
    <w:rsid w:val="001A6F2E"/>
    <w:rsid w:val="001B0C49"/>
    <w:rsid w:val="001B23EF"/>
    <w:rsid w:val="001B23F1"/>
    <w:rsid w:val="001B2786"/>
    <w:rsid w:val="001B3FDB"/>
    <w:rsid w:val="001B4BD3"/>
    <w:rsid w:val="001B4E1F"/>
    <w:rsid w:val="001B7C80"/>
    <w:rsid w:val="001B7DD8"/>
    <w:rsid w:val="001C090F"/>
    <w:rsid w:val="001C2273"/>
    <w:rsid w:val="001C6530"/>
    <w:rsid w:val="001D1B61"/>
    <w:rsid w:val="001D53DE"/>
    <w:rsid w:val="001E053A"/>
    <w:rsid w:val="001E09F0"/>
    <w:rsid w:val="001E0C1B"/>
    <w:rsid w:val="001E0F8D"/>
    <w:rsid w:val="001E1573"/>
    <w:rsid w:val="001E31BD"/>
    <w:rsid w:val="001E416A"/>
    <w:rsid w:val="001E4341"/>
    <w:rsid w:val="001E4C20"/>
    <w:rsid w:val="001E503C"/>
    <w:rsid w:val="001E5576"/>
    <w:rsid w:val="001E70F5"/>
    <w:rsid w:val="001E781E"/>
    <w:rsid w:val="001F014B"/>
    <w:rsid w:val="001F4A97"/>
    <w:rsid w:val="001F4E93"/>
    <w:rsid w:val="001F567E"/>
    <w:rsid w:val="001F5AE2"/>
    <w:rsid w:val="001F5F38"/>
    <w:rsid w:val="001F64D8"/>
    <w:rsid w:val="002001FA"/>
    <w:rsid w:val="002044D1"/>
    <w:rsid w:val="002047B5"/>
    <w:rsid w:val="00205670"/>
    <w:rsid w:val="0020582C"/>
    <w:rsid w:val="00207ADF"/>
    <w:rsid w:val="00207DA1"/>
    <w:rsid w:val="00211A6C"/>
    <w:rsid w:val="00213602"/>
    <w:rsid w:val="002137CE"/>
    <w:rsid w:val="0021477A"/>
    <w:rsid w:val="00214F33"/>
    <w:rsid w:val="0021538E"/>
    <w:rsid w:val="00215FB3"/>
    <w:rsid w:val="00216BD3"/>
    <w:rsid w:val="00217275"/>
    <w:rsid w:val="00217EE3"/>
    <w:rsid w:val="00217FBB"/>
    <w:rsid w:val="00220079"/>
    <w:rsid w:val="0022086C"/>
    <w:rsid w:val="00222653"/>
    <w:rsid w:val="002226D1"/>
    <w:rsid w:val="00223530"/>
    <w:rsid w:val="0022452B"/>
    <w:rsid w:val="00224A41"/>
    <w:rsid w:val="00225B7C"/>
    <w:rsid w:val="00225FCD"/>
    <w:rsid w:val="0022625C"/>
    <w:rsid w:val="002269D5"/>
    <w:rsid w:val="00226B1E"/>
    <w:rsid w:val="002305EA"/>
    <w:rsid w:val="00231E51"/>
    <w:rsid w:val="00232198"/>
    <w:rsid w:val="00232C4A"/>
    <w:rsid w:val="00232EF8"/>
    <w:rsid w:val="00233C5E"/>
    <w:rsid w:val="00235AA7"/>
    <w:rsid w:val="002370E8"/>
    <w:rsid w:val="00240752"/>
    <w:rsid w:val="00240A45"/>
    <w:rsid w:val="00240B18"/>
    <w:rsid w:val="00242D3D"/>
    <w:rsid w:val="00244073"/>
    <w:rsid w:val="00244480"/>
    <w:rsid w:val="00245E37"/>
    <w:rsid w:val="0024601E"/>
    <w:rsid w:val="00246459"/>
    <w:rsid w:val="00246AC4"/>
    <w:rsid w:val="002506B6"/>
    <w:rsid w:val="00251B29"/>
    <w:rsid w:val="00252442"/>
    <w:rsid w:val="00252664"/>
    <w:rsid w:val="002534D4"/>
    <w:rsid w:val="00254B2C"/>
    <w:rsid w:val="002552B2"/>
    <w:rsid w:val="00257C88"/>
    <w:rsid w:val="00262195"/>
    <w:rsid w:val="002624BD"/>
    <w:rsid w:val="002628F3"/>
    <w:rsid w:val="00262B86"/>
    <w:rsid w:val="00263398"/>
    <w:rsid w:val="00263A3B"/>
    <w:rsid w:val="002644ED"/>
    <w:rsid w:val="00264592"/>
    <w:rsid w:val="00266A26"/>
    <w:rsid w:val="00272C44"/>
    <w:rsid w:val="002749E5"/>
    <w:rsid w:val="00275D8C"/>
    <w:rsid w:val="0028054A"/>
    <w:rsid w:val="00281183"/>
    <w:rsid w:val="00283467"/>
    <w:rsid w:val="002839C5"/>
    <w:rsid w:val="00285681"/>
    <w:rsid w:val="00290A6C"/>
    <w:rsid w:val="002937C5"/>
    <w:rsid w:val="00295A11"/>
    <w:rsid w:val="00296A3A"/>
    <w:rsid w:val="00297A0F"/>
    <w:rsid w:val="002A28F9"/>
    <w:rsid w:val="002A2B4A"/>
    <w:rsid w:val="002B198B"/>
    <w:rsid w:val="002B2FAF"/>
    <w:rsid w:val="002B57CF"/>
    <w:rsid w:val="002B7683"/>
    <w:rsid w:val="002C118D"/>
    <w:rsid w:val="002C22B6"/>
    <w:rsid w:val="002C2739"/>
    <w:rsid w:val="002C3877"/>
    <w:rsid w:val="002C432F"/>
    <w:rsid w:val="002C4AD7"/>
    <w:rsid w:val="002C4F00"/>
    <w:rsid w:val="002C641F"/>
    <w:rsid w:val="002C7DAE"/>
    <w:rsid w:val="002C7F48"/>
    <w:rsid w:val="002D13FC"/>
    <w:rsid w:val="002D5306"/>
    <w:rsid w:val="002D786D"/>
    <w:rsid w:val="002E114B"/>
    <w:rsid w:val="002E43C6"/>
    <w:rsid w:val="002E4D95"/>
    <w:rsid w:val="002E62F6"/>
    <w:rsid w:val="002E67BF"/>
    <w:rsid w:val="002F1AA4"/>
    <w:rsid w:val="002F288F"/>
    <w:rsid w:val="002F490C"/>
    <w:rsid w:val="002F5ED4"/>
    <w:rsid w:val="002F5FB1"/>
    <w:rsid w:val="002F6E11"/>
    <w:rsid w:val="00302191"/>
    <w:rsid w:val="00302486"/>
    <w:rsid w:val="00303A66"/>
    <w:rsid w:val="00304D57"/>
    <w:rsid w:val="003067DC"/>
    <w:rsid w:val="003074E2"/>
    <w:rsid w:val="00307842"/>
    <w:rsid w:val="003102F3"/>
    <w:rsid w:val="003109C1"/>
    <w:rsid w:val="00311638"/>
    <w:rsid w:val="00313797"/>
    <w:rsid w:val="0031461B"/>
    <w:rsid w:val="00315ABD"/>
    <w:rsid w:val="00317D60"/>
    <w:rsid w:val="00320277"/>
    <w:rsid w:val="00321D44"/>
    <w:rsid w:val="00322401"/>
    <w:rsid w:val="00324807"/>
    <w:rsid w:val="0032784F"/>
    <w:rsid w:val="003313A3"/>
    <w:rsid w:val="00334D90"/>
    <w:rsid w:val="00334E39"/>
    <w:rsid w:val="003427EA"/>
    <w:rsid w:val="0034340B"/>
    <w:rsid w:val="003439B2"/>
    <w:rsid w:val="00345411"/>
    <w:rsid w:val="00346878"/>
    <w:rsid w:val="003534D4"/>
    <w:rsid w:val="003541B6"/>
    <w:rsid w:val="003550BA"/>
    <w:rsid w:val="003562EB"/>
    <w:rsid w:val="003570E0"/>
    <w:rsid w:val="00357403"/>
    <w:rsid w:val="003575C4"/>
    <w:rsid w:val="00357CE1"/>
    <w:rsid w:val="00361233"/>
    <w:rsid w:val="00361B02"/>
    <w:rsid w:val="00363121"/>
    <w:rsid w:val="00363A52"/>
    <w:rsid w:val="003647D8"/>
    <w:rsid w:val="0036704E"/>
    <w:rsid w:val="003715F3"/>
    <w:rsid w:val="00371819"/>
    <w:rsid w:val="003750D9"/>
    <w:rsid w:val="0037543C"/>
    <w:rsid w:val="00375CB2"/>
    <w:rsid w:val="0037640F"/>
    <w:rsid w:val="00376E0B"/>
    <w:rsid w:val="0038128B"/>
    <w:rsid w:val="003814EB"/>
    <w:rsid w:val="00381D09"/>
    <w:rsid w:val="00383515"/>
    <w:rsid w:val="0038427A"/>
    <w:rsid w:val="00384FC3"/>
    <w:rsid w:val="00384FDD"/>
    <w:rsid w:val="003858D3"/>
    <w:rsid w:val="00385E12"/>
    <w:rsid w:val="003866FE"/>
    <w:rsid w:val="00386EFE"/>
    <w:rsid w:val="003953D1"/>
    <w:rsid w:val="003959DB"/>
    <w:rsid w:val="0039749C"/>
    <w:rsid w:val="0039775D"/>
    <w:rsid w:val="003A0175"/>
    <w:rsid w:val="003A0ADA"/>
    <w:rsid w:val="003A0B33"/>
    <w:rsid w:val="003A15A3"/>
    <w:rsid w:val="003A18BA"/>
    <w:rsid w:val="003A234B"/>
    <w:rsid w:val="003A5367"/>
    <w:rsid w:val="003A54AE"/>
    <w:rsid w:val="003A6D04"/>
    <w:rsid w:val="003A7483"/>
    <w:rsid w:val="003B2602"/>
    <w:rsid w:val="003B3E47"/>
    <w:rsid w:val="003B465F"/>
    <w:rsid w:val="003B4D67"/>
    <w:rsid w:val="003B729B"/>
    <w:rsid w:val="003B75C6"/>
    <w:rsid w:val="003C1A41"/>
    <w:rsid w:val="003C35D8"/>
    <w:rsid w:val="003C3F4F"/>
    <w:rsid w:val="003C5B39"/>
    <w:rsid w:val="003C7C49"/>
    <w:rsid w:val="003D007B"/>
    <w:rsid w:val="003D0463"/>
    <w:rsid w:val="003D06F0"/>
    <w:rsid w:val="003D1FFF"/>
    <w:rsid w:val="003D26D4"/>
    <w:rsid w:val="003D688D"/>
    <w:rsid w:val="003D7D06"/>
    <w:rsid w:val="003E029E"/>
    <w:rsid w:val="003E0B90"/>
    <w:rsid w:val="003E0D9E"/>
    <w:rsid w:val="003E11C2"/>
    <w:rsid w:val="003E1A58"/>
    <w:rsid w:val="003E1D75"/>
    <w:rsid w:val="003E2232"/>
    <w:rsid w:val="003E231A"/>
    <w:rsid w:val="003E336B"/>
    <w:rsid w:val="003E554A"/>
    <w:rsid w:val="003E699D"/>
    <w:rsid w:val="003F02DA"/>
    <w:rsid w:val="003F0654"/>
    <w:rsid w:val="003F1070"/>
    <w:rsid w:val="003F30F9"/>
    <w:rsid w:val="003F73C0"/>
    <w:rsid w:val="00401C66"/>
    <w:rsid w:val="00401CC6"/>
    <w:rsid w:val="00402072"/>
    <w:rsid w:val="00402B2A"/>
    <w:rsid w:val="00405339"/>
    <w:rsid w:val="00405B83"/>
    <w:rsid w:val="00405CB2"/>
    <w:rsid w:val="00406A40"/>
    <w:rsid w:val="00410EDB"/>
    <w:rsid w:val="0041134F"/>
    <w:rsid w:val="00411766"/>
    <w:rsid w:val="00413497"/>
    <w:rsid w:val="0041423E"/>
    <w:rsid w:val="004156E9"/>
    <w:rsid w:val="00416B2C"/>
    <w:rsid w:val="0041789E"/>
    <w:rsid w:val="00420D6D"/>
    <w:rsid w:val="00424691"/>
    <w:rsid w:val="00424B15"/>
    <w:rsid w:val="00427AD9"/>
    <w:rsid w:val="00430597"/>
    <w:rsid w:val="00431BFA"/>
    <w:rsid w:val="004341A1"/>
    <w:rsid w:val="004345E8"/>
    <w:rsid w:val="00435246"/>
    <w:rsid w:val="0043657B"/>
    <w:rsid w:val="00436A2C"/>
    <w:rsid w:val="004372D6"/>
    <w:rsid w:val="00437605"/>
    <w:rsid w:val="004426E8"/>
    <w:rsid w:val="00443C6C"/>
    <w:rsid w:val="00444ACD"/>
    <w:rsid w:val="0044528E"/>
    <w:rsid w:val="0044550A"/>
    <w:rsid w:val="00450565"/>
    <w:rsid w:val="00450959"/>
    <w:rsid w:val="00452940"/>
    <w:rsid w:val="0045505E"/>
    <w:rsid w:val="00456A89"/>
    <w:rsid w:val="0045768D"/>
    <w:rsid w:val="004613CF"/>
    <w:rsid w:val="00461E93"/>
    <w:rsid w:val="004638B3"/>
    <w:rsid w:val="004654FF"/>
    <w:rsid w:val="0046562C"/>
    <w:rsid w:val="004659B7"/>
    <w:rsid w:val="00465CB2"/>
    <w:rsid w:val="00471224"/>
    <w:rsid w:val="00471964"/>
    <w:rsid w:val="00471F4E"/>
    <w:rsid w:val="00472CF4"/>
    <w:rsid w:val="004736B6"/>
    <w:rsid w:val="004742F7"/>
    <w:rsid w:val="00474550"/>
    <w:rsid w:val="004749A5"/>
    <w:rsid w:val="00481E36"/>
    <w:rsid w:val="0048256A"/>
    <w:rsid w:val="004825D7"/>
    <w:rsid w:val="00483A88"/>
    <w:rsid w:val="00484533"/>
    <w:rsid w:val="004845F6"/>
    <w:rsid w:val="00486686"/>
    <w:rsid w:val="00487FA6"/>
    <w:rsid w:val="0049014C"/>
    <w:rsid w:val="00490576"/>
    <w:rsid w:val="00490D9D"/>
    <w:rsid w:val="00490EB2"/>
    <w:rsid w:val="004912AF"/>
    <w:rsid w:val="00491765"/>
    <w:rsid w:val="004919B9"/>
    <w:rsid w:val="00491F19"/>
    <w:rsid w:val="0049536B"/>
    <w:rsid w:val="004955E6"/>
    <w:rsid w:val="00496455"/>
    <w:rsid w:val="00497039"/>
    <w:rsid w:val="004A028D"/>
    <w:rsid w:val="004A0AEC"/>
    <w:rsid w:val="004A2B12"/>
    <w:rsid w:val="004A582B"/>
    <w:rsid w:val="004A7DC0"/>
    <w:rsid w:val="004B1C7C"/>
    <w:rsid w:val="004B21EB"/>
    <w:rsid w:val="004B2C40"/>
    <w:rsid w:val="004B389E"/>
    <w:rsid w:val="004B45CB"/>
    <w:rsid w:val="004B4F86"/>
    <w:rsid w:val="004B5A67"/>
    <w:rsid w:val="004B6524"/>
    <w:rsid w:val="004B6BF2"/>
    <w:rsid w:val="004B734D"/>
    <w:rsid w:val="004B7A93"/>
    <w:rsid w:val="004B7D2D"/>
    <w:rsid w:val="004C07D8"/>
    <w:rsid w:val="004C121C"/>
    <w:rsid w:val="004C547B"/>
    <w:rsid w:val="004C59BA"/>
    <w:rsid w:val="004C642D"/>
    <w:rsid w:val="004D0D80"/>
    <w:rsid w:val="004D15FF"/>
    <w:rsid w:val="004D5D62"/>
    <w:rsid w:val="004D5E0F"/>
    <w:rsid w:val="004D7497"/>
    <w:rsid w:val="004E0B17"/>
    <w:rsid w:val="004E231F"/>
    <w:rsid w:val="004E4AA9"/>
    <w:rsid w:val="004E71E8"/>
    <w:rsid w:val="004E7D59"/>
    <w:rsid w:val="004F2C64"/>
    <w:rsid w:val="004F2FF4"/>
    <w:rsid w:val="004F3D68"/>
    <w:rsid w:val="004F3FB6"/>
    <w:rsid w:val="004F4601"/>
    <w:rsid w:val="004F692F"/>
    <w:rsid w:val="00500964"/>
    <w:rsid w:val="0050113C"/>
    <w:rsid w:val="0050142A"/>
    <w:rsid w:val="00502BF1"/>
    <w:rsid w:val="005035BF"/>
    <w:rsid w:val="005056DA"/>
    <w:rsid w:val="00505C27"/>
    <w:rsid w:val="00507897"/>
    <w:rsid w:val="005078DF"/>
    <w:rsid w:val="00512423"/>
    <w:rsid w:val="00513BFB"/>
    <w:rsid w:val="00514545"/>
    <w:rsid w:val="00520BA2"/>
    <w:rsid w:val="005210D1"/>
    <w:rsid w:val="00521297"/>
    <w:rsid w:val="00523E25"/>
    <w:rsid w:val="00524F09"/>
    <w:rsid w:val="00524F54"/>
    <w:rsid w:val="00530B7B"/>
    <w:rsid w:val="00530EF2"/>
    <w:rsid w:val="00531BB8"/>
    <w:rsid w:val="005327D0"/>
    <w:rsid w:val="0053418F"/>
    <w:rsid w:val="0053529E"/>
    <w:rsid w:val="005352A2"/>
    <w:rsid w:val="00536D6D"/>
    <w:rsid w:val="00537B15"/>
    <w:rsid w:val="00537DE3"/>
    <w:rsid w:val="00540506"/>
    <w:rsid w:val="00541DEF"/>
    <w:rsid w:val="005427CB"/>
    <w:rsid w:val="00544BA7"/>
    <w:rsid w:val="00544D5D"/>
    <w:rsid w:val="00545B4F"/>
    <w:rsid w:val="00545C41"/>
    <w:rsid w:val="00546DB1"/>
    <w:rsid w:val="0054703E"/>
    <w:rsid w:val="00551216"/>
    <w:rsid w:val="00552145"/>
    <w:rsid w:val="005540DE"/>
    <w:rsid w:val="00554603"/>
    <w:rsid w:val="005555D7"/>
    <w:rsid w:val="005566C9"/>
    <w:rsid w:val="00556CFC"/>
    <w:rsid w:val="00557765"/>
    <w:rsid w:val="005615D5"/>
    <w:rsid w:val="00564877"/>
    <w:rsid w:val="00564BEF"/>
    <w:rsid w:val="00565CD6"/>
    <w:rsid w:val="00565E53"/>
    <w:rsid w:val="00570693"/>
    <w:rsid w:val="0057171F"/>
    <w:rsid w:val="00571804"/>
    <w:rsid w:val="00571ACE"/>
    <w:rsid w:val="0057218D"/>
    <w:rsid w:val="0057270B"/>
    <w:rsid w:val="005750A2"/>
    <w:rsid w:val="005771DD"/>
    <w:rsid w:val="00577BF4"/>
    <w:rsid w:val="00580636"/>
    <w:rsid w:val="00580EAD"/>
    <w:rsid w:val="005829CA"/>
    <w:rsid w:val="00582D26"/>
    <w:rsid w:val="00584352"/>
    <w:rsid w:val="005863DF"/>
    <w:rsid w:val="00587884"/>
    <w:rsid w:val="005911AF"/>
    <w:rsid w:val="0059453E"/>
    <w:rsid w:val="00595008"/>
    <w:rsid w:val="005A0D38"/>
    <w:rsid w:val="005A161F"/>
    <w:rsid w:val="005A2990"/>
    <w:rsid w:val="005A2994"/>
    <w:rsid w:val="005A30CE"/>
    <w:rsid w:val="005A457F"/>
    <w:rsid w:val="005A5938"/>
    <w:rsid w:val="005A6C67"/>
    <w:rsid w:val="005A6D50"/>
    <w:rsid w:val="005A72A5"/>
    <w:rsid w:val="005B00AB"/>
    <w:rsid w:val="005B0982"/>
    <w:rsid w:val="005B0C95"/>
    <w:rsid w:val="005B3EBF"/>
    <w:rsid w:val="005B3FBA"/>
    <w:rsid w:val="005B49E3"/>
    <w:rsid w:val="005B51C4"/>
    <w:rsid w:val="005B6B40"/>
    <w:rsid w:val="005B7600"/>
    <w:rsid w:val="005C0374"/>
    <w:rsid w:val="005C48F7"/>
    <w:rsid w:val="005C6295"/>
    <w:rsid w:val="005C649D"/>
    <w:rsid w:val="005D2692"/>
    <w:rsid w:val="005D323E"/>
    <w:rsid w:val="005D380F"/>
    <w:rsid w:val="005E1802"/>
    <w:rsid w:val="005E206D"/>
    <w:rsid w:val="005E4695"/>
    <w:rsid w:val="005E480B"/>
    <w:rsid w:val="005E4B99"/>
    <w:rsid w:val="005E4F47"/>
    <w:rsid w:val="005E4FA2"/>
    <w:rsid w:val="005E655A"/>
    <w:rsid w:val="005E7C4B"/>
    <w:rsid w:val="005F1DBB"/>
    <w:rsid w:val="005F420F"/>
    <w:rsid w:val="005F4D11"/>
    <w:rsid w:val="005F5434"/>
    <w:rsid w:val="005F5891"/>
    <w:rsid w:val="005F6899"/>
    <w:rsid w:val="005F69A6"/>
    <w:rsid w:val="005F69BA"/>
    <w:rsid w:val="005F7AC3"/>
    <w:rsid w:val="00600852"/>
    <w:rsid w:val="0060093C"/>
    <w:rsid w:val="00600C6F"/>
    <w:rsid w:val="00604883"/>
    <w:rsid w:val="00605507"/>
    <w:rsid w:val="00606157"/>
    <w:rsid w:val="006072E9"/>
    <w:rsid w:val="00611172"/>
    <w:rsid w:val="00613B08"/>
    <w:rsid w:val="00613CA8"/>
    <w:rsid w:val="00615125"/>
    <w:rsid w:val="00616945"/>
    <w:rsid w:val="00616F78"/>
    <w:rsid w:val="00617029"/>
    <w:rsid w:val="00617EC3"/>
    <w:rsid w:val="006202DB"/>
    <w:rsid w:val="00620380"/>
    <w:rsid w:val="00624369"/>
    <w:rsid w:val="00624461"/>
    <w:rsid w:val="00625BB4"/>
    <w:rsid w:val="00627309"/>
    <w:rsid w:val="00634FD8"/>
    <w:rsid w:val="00635410"/>
    <w:rsid w:val="0063791B"/>
    <w:rsid w:val="006419AB"/>
    <w:rsid w:val="00641B77"/>
    <w:rsid w:val="00642E29"/>
    <w:rsid w:val="006446BB"/>
    <w:rsid w:val="0064509A"/>
    <w:rsid w:val="0064585C"/>
    <w:rsid w:val="00650F00"/>
    <w:rsid w:val="006549A8"/>
    <w:rsid w:val="00655450"/>
    <w:rsid w:val="00656563"/>
    <w:rsid w:val="0066021A"/>
    <w:rsid w:val="006606E1"/>
    <w:rsid w:val="0066264B"/>
    <w:rsid w:val="0066325E"/>
    <w:rsid w:val="00665851"/>
    <w:rsid w:val="00665D05"/>
    <w:rsid w:val="006679FB"/>
    <w:rsid w:val="00670C75"/>
    <w:rsid w:val="00673ACE"/>
    <w:rsid w:val="0067534E"/>
    <w:rsid w:val="006753FB"/>
    <w:rsid w:val="006759D2"/>
    <w:rsid w:val="00681140"/>
    <w:rsid w:val="006812DB"/>
    <w:rsid w:val="00681CF0"/>
    <w:rsid w:val="006829B7"/>
    <w:rsid w:val="00683C0E"/>
    <w:rsid w:val="00684020"/>
    <w:rsid w:val="006855DC"/>
    <w:rsid w:val="00692154"/>
    <w:rsid w:val="00694034"/>
    <w:rsid w:val="00694289"/>
    <w:rsid w:val="006949FC"/>
    <w:rsid w:val="00694D4A"/>
    <w:rsid w:val="00695A9B"/>
    <w:rsid w:val="006961B9"/>
    <w:rsid w:val="006963AC"/>
    <w:rsid w:val="0069734B"/>
    <w:rsid w:val="00697AD7"/>
    <w:rsid w:val="006A04EE"/>
    <w:rsid w:val="006A341A"/>
    <w:rsid w:val="006A4C62"/>
    <w:rsid w:val="006A4EC8"/>
    <w:rsid w:val="006A6DBC"/>
    <w:rsid w:val="006A75CB"/>
    <w:rsid w:val="006A7F7C"/>
    <w:rsid w:val="006B2965"/>
    <w:rsid w:val="006B3511"/>
    <w:rsid w:val="006B5F57"/>
    <w:rsid w:val="006B7D79"/>
    <w:rsid w:val="006C0938"/>
    <w:rsid w:val="006C302F"/>
    <w:rsid w:val="006C37DC"/>
    <w:rsid w:val="006C3F35"/>
    <w:rsid w:val="006C5B0A"/>
    <w:rsid w:val="006C5F68"/>
    <w:rsid w:val="006C6061"/>
    <w:rsid w:val="006C7599"/>
    <w:rsid w:val="006D0208"/>
    <w:rsid w:val="006D0D44"/>
    <w:rsid w:val="006D1963"/>
    <w:rsid w:val="006D21DB"/>
    <w:rsid w:val="006D23A7"/>
    <w:rsid w:val="006D2B17"/>
    <w:rsid w:val="006D71B0"/>
    <w:rsid w:val="006E1B3F"/>
    <w:rsid w:val="006E389A"/>
    <w:rsid w:val="006E3C70"/>
    <w:rsid w:val="006E4DB6"/>
    <w:rsid w:val="006F1DA4"/>
    <w:rsid w:val="006F22EF"/>
    <w:rsid w:val="006F232C"/>
    <w:rsid w:val="006F28CB"/>
    <w:rsid w:val="006F6AAA"/>
    <w:rsid w:val="006F6FC2"/>
    <w:rsid w:val="00701228"/>
    <w:rsid w:val="0070232B"/>
    <w:rsid w:val="00704DA8"/>
    <w:rsid w:val="00707A5A"/>
    <w:rsid w:val="00710843"/>
    <w:rsid w:val="007119A3"/>
    <w:rsid w:val="007120F2"/>
    <w:rsid w:val="00712916"/>
    <w:rsid w:val="007134B7"/>
    <w:rsid w:val="00713750"/>
    <w:rsid w:val="00713A27"/>
    <w:rsid w:val="00713C89"/>
    <w:rsid w:val="00716218"/>
    <w:rsid w:val="007166A6"/>
    <w:rsid w:val="0072133E"/>
    <w:rsid w:val="00722553"/>
    <w:rsid w:val="00723245"/>
    <w:rsid w:val="00723E09"/>
    <w:rsid w:val="007255BA"/>
    <w:rsid w:val="00727D58"/>
    <w:rsid w:val="0073002F"/>
    <w:rsid w:val="00733DC6"/>
    <w:rsid w:val="00735A70"/>
    <w:rsid w:val="007360E3"/>
    <w:rsid w:val="007362F4"/>
    <w:rsid w:val="00740D86"/>
    <w:rsid w:val="00741480"/>
    <w:rsid w:val="00741E99"/>
    <w:rsid w:val="0074233D"/>
    <w:rsid w:val="00747045"/>
    <w:rsid w:val="00747DC3"/>
    <w:rsid w:val="0075034F"/>
    <w:rsid w:val="0075119F"/>
    <w:rsid w:val="0075266F"/>
    <w:rsid w:val="00752A88"/>
    <w:rsid w:val="0075430F"/>
    <w:rsid w:val="00754387"/>
    <w:rsid w:val="00755D02"/>
    <w:rsid w:val="007573F5"/>
    <w:rsid w:val="007577DB"/>
    <w:rsid w:val="00757834"/>
    <w:rsid w:val="00760B5B"/>
    <w:rsid w:val="0076243F"/>
    <w:rsid w:val="00762832"/>
    <w:rsid w:val="00763390"/>
    <w:rsid w:val="00765312"/>
    <w:rsid w:val="007707C9"/>
    <w:rsid w:val="00772C33"/>
    <w:rsid w:val="00775E88"/>
    <w:rsid w:val="00782BC2"/>
    <w:rsid w:val="0079188F"/>
    <w:rsid w:val="00791D1E"/>
    <w:rsid w:val="00791DC4"/>
    <w:rsid w:val="00792CC1"/>
    <w:rsid w:val="00792E38"/>
    <w:rsid w:val="00792FD9"/>
    <w:rsid w:val="007933EE"/>
    <w:rsid w:val="007945E3"/>
    <w:rsid w:val="007952C2"/>
    <w:rsid w:val="007A4C77"/>
    <w:rsid w:val="007A503C"/>
    <w:rsid w:val="007B0794"/>
    <w:rsid w:val="007B24DA"/>
    <w:rsid w:val="007B5753"/>
    <w:rsid w:val="007B6495"/>
    <w:rsid w:val="007B7445"/>
    <w:rsid w:val="007C2B06"/>
    <w:rsid w:val="007C34AA"/>
    <w:rsid w:val="007C36A0"/>
    <w:rsid w:val="007C3920"/>
    <w:rsid w:val="007C759E"/>
    <w:rsid w:val="007D10C8"/>
    <w:rsid w:val="007D6294"/>
    <w:rsid w:val="007E15B7"/>
    <w:rsid w:val="007E4984"/>
    <w:rsid w:val="007E4996"/>
    <w:rsid w:val="007E78A1"/>
    <w:rsid w:val="007F0A75"/>
    <w:rsid w:val="007F0ED9"/>
    <w:rsid w:val="007F3CEB"/>
    <w:rsid w:val="007F4629"/>
    <w:rsid w:val="007F6264"/>
    <w:rsid w:val="007F6623"/>
    <w:rsid w:val="007F67E5"/>
    <w:rsid w:val="007F6BF9"/>
    <w:rsid w:val="007F7087"/>
    <w:rsid w:val="00800E9E"/>
    <w:rsid w:val="00801E7A"/>
    <w:rsid w:val="00803423"/>
    <w:rsid w:val="0080357F"/>
    <w:rsid w:val="00804480"/>
    <w:rsid w:val="0080541C"/>
    <w:rsid w:val="00805ED6"/>
    <w:rsid w:val="008063CE"/>
    <w:rsid w:val="008117D4"/>
    <w:rsid w:val="0081258B"/>
    <w:rsid w:val="00814CCC"/>
    <w:rsid w:val="00814DD5"/>
    <w:rsid w:val="00815058"/>
    <w:rsid w:val="00815C1D"/>
    <w:rsid w:val="00816917"/>
    <w:rsid w:val="0082283D"/>
    <w:rsid w:val="00823A32"/>
    <w:rsid w:val="008247A5"/>
    <w:rsid w:val="00824D20"/>
    <w:rsid w:val="00824F88"/>
    <w:rsid w:val="008253BE"/>
    <w:rsid w:val="00826E01"/>
    <w:rsid w:val="0082791A"/>
    <w:rsid w:val="00827ABC"/>
    <w:rsid w:val="00827B18"/>
    <w:rsid w:val="00831E38"/>
    <w:rsid w:val="00834C5F"/>
    <w:rsid w:val="00836F1D"/>
    <w:rsid w:val="00837FC1"/>
    <w:rsid w:val="00840C7F"/>
    <w:rsid w:val="008420FC"/>
    <w:rsid w:val="00843A27"/>
    <w:rsid w:val="00844108"/>
    <w:rsid w:val="00845A8C"/>
    <w:rsid w:val="0084603E"/>
    <w:rsid w:val="008467E8"/>
    <w:rsid w:val="00846859"/>
    <w:rsid w:val="00847FC9"/>
    <w:rsid w:val="00850649"/>
    <w:rsid w:val="00850F9B"/>
    <w:rsid w:val="00851B74"/>
    <w:rsid w:val="00852442"/>
    <w:rsid w:val="00852DA3"/>
    <w:rsid w:val="00853138"/>
    <w:rsid w:val="008539CE"/>
    <w:rsid w:val="00854C5B"/>
    <w:rsid w:val="008556AC"/>
    <w:rsid w:val="00856578"/>
    <w:rsid w:val="00856E2F"/>
    <w:rsid w:val="00857774"/>
    <w:rsid w:val="0085787D"/>
    <w:rsid w:val="00857C92"/>
    <w:rsid w:val="008624DE"/>
    <w:rsid w:val="00862D0B"/>
    <w:rsid w:val="008656F5"/>
    <w:rsid w:val="00867EFE"/>
    <w:rsid w:val="0087000A"/>
    <w:rsid w:val="008706CF"/>
    <w:rsid w:val="0087184F"/>
    <w:rsid w:val="00873F2D"/>
    <w:rsid w:val="00874202"/>
    <w:rsid w:val="00874516"/>
    <w:rsid w:val="00874EE3"/>
    <w:rsid w:val="00874FFC"/>
    <w:rsid w:val="008755F6"/>
    <w:rsid w:val="008757A6"/>
    <w:rsid w:val="0088061C"/>
    <w:rsid w:val="008825AD"/>
    <w:rsid w:val="008827CB"/>
    <w:rsid w:val="00882BBC"/>
    <w:rsid w:val="00882F72"/>
    <w:rsid w:val="00883C7D"/>
    <w:rsid w:val="00883D96"/>
    <w:rsid w:val="00883F10"/>
    <w:rsid w:val="00885D94"/>
    <w:rsid w:val="0088660C"/>
    <w:rsid w:val="00886BCC"/>
    <w:rsid w:val="008905B3"/>
    <w:rsid w:val="00890879"/>
    <w:rsid w:val="00890F1E"/>
    <w:rsid w:val="00893389"/>
    <w:rsid w:val="00895CC9"/>
    <w:rsid w:val="00897866"/>
    <w:rsid w:val="00897F42"/>
    <w:rsid w:val="008A1284"/>
    <w:rsid w:val="008A2A49"/>
    <w:rsid w:val="008A3B14"/>
    <w:rsid w:val="008A4AC2"/>
    <w:rsid w:val="008A6114"/>
    <w:rsid w:val="008A6463"/>
    <w:rsid w:val="008A6CB1"/>
    <w:rsid w:val="008B508F"/>
    <w:rsid w:val="008B640D"/>
    <w:rsid w:val="008B7288"/>
    <w:rsid w:val="008C0042"/>
    <w:rsid w:val="008C0E71"/>
    <w:rsid w:val="008C16B7"/>
    <w:rsid w:val="008C1E18"/>
    <w:rsid w:val="008C2911"/>
    <w:rsid w:val="008C3523"/>
    <w:rsid w:val="008C3D92"/>
    <w:rsid w:val="008C3EE0"/>
    <w:rsid w:val="008C4B2C"/>
    <w:rsid w:val="008C51FE"/>
    <w:rsid w:val="008C69D5"/>
    <w:rsid w:val="008C6C48"/>
    <w:rsid w:val="008D18E6"/>
    <w:rsid w:val="008D2E3E"/>
    <w:rsid w:val="008D2FE9"/>
    <w:rsid w:val="008D51B1"/>
    <w:rsid w:val="008D79AF"/>
    <w:rsid w:val="008E0D05"/>
    <w:rsid w:val="008E1428"/>
    <w:rsid w:val="008E30B3"/>
    <w:rsid w:val="008E445E"/>
    <w:rsid w:val="008E7239"/>
    <w:rsid w:val="008F0EF8"/>
    <w:rsid w:val="008F1B8B"/>
    <w:rsid w:val="008F1DDC"/>
    <w:rsid w:val="008F23E4"/>
    <w:rsid w:val="008F79C1"/>
    <w:rsid w:val="00900D1F"/>
    <w:rsid w:val="00901779"/>
    <w:rsid w:val="00902A86"/>
    <w:rsid w:val="00902DFD"/>
    <w:rsid w:val="00905FEC"/>
    <w:rsid w:val="0090620F"/>
    <w:rsid w:val="0090643E"/>
    <w:rsid w:val="00907120"/>
    <w:rsid w:val="00907667"/>
    <w:rsid w:val="00907DDE"/>
    <w:rsid w:val="00910F44"/>
    <w:rsid w:val="009128CA"/>
    <w:rsid w:val="00913733"/>
    <w:rsid w:val="009141F6"/>
    <w:rsid w:val="00914ABD"/>
    <w:rsid w:val="009157A6"/>
    <w:rsid w:val="00915832"/>
    <w:rsid w:val="0092076D"/>
    <w:rsid w:val="0092080C"/>
    <w:rsid w:val="00920BCC"/>
    <w:rsid w:val="00921FEA"/>
    <w:rsid w:val="0092237B"/>
    <w:rsid w:val="009229CF"/>
    <w:rsid w:val="0092747E"/>
    <w:rsid w:val="00927BC0"/>
    <w:rsid w:val="00931B5B"/>
    <w:rsid w:val="009328BE"/>
    <w:rsid w:val="00932907"/>
    <w:rsid w:val="00934F8A"/>
    <w:rsid w:val="00936BC5"/>
    <w:rsid w:val="00936C69"/>
    <w:rsid w:val="0094020C"/>
    <w:rsid w:val="009403A0"/>
    <w:rsid w:val="0094164E"/>
    <w:rsid w:val="00941D9C"/>
    <w:rsid w:val="00942476"/>
    <w:rsid w:val="00942EF0"/>
    <w:rsid w:val="0094552C"/>
    <w:rsid w:val="009455F0"/>
    <w:rsid w:val="00945B38"/>
    <w:rsid w:val="009466F0"/>
    <w:rsid w:val="00950805"/>
    <w:rsid w:val="00950B4F"/>
    <w:rsid w:val="009526C4"/>
    <w:rsid w:val="00952855"/>
    <w:rsid w:val="00953B09"/>
    <w:rsid w:val="00954D7B"/>
    <w:rsid w:val="00955CBB"/>
    <w:rsid w:val="00955D60"/>
    <w:rsid w:val="009560E6"/>
    <w:rsid w:val="00957367"/>
    <w:rsid w:val="0095754A"/>
    <w:rsid w:val="009601EB"/>
    <w:rsid w:val="00960A4D"/>
    <w:rsid w:val="009634D2"/>
    <w:rsid w:val="009679FE"/>
    <w:rsid w:val="00967B73"/>
    <w:rsid w:val="00970C39"/>
    <w:rsid w:val="009714E7"/>
    <w:rsid w:val="00972921"/>
    <w:rsid w:val="00972A75"/>
    <w:rsid w:val="00974852"/>
    <w:rsid w:val="00976AAE"/>
    <w:rsid w:val="00977841"/>
    <w:rsid w:val="00982092"/>
    <w:rsid w:val="00982F0C"/>
    <w:rsid w:val="00984AEC"/>
    <w:rsid w:val="00987C5B"/>
    <w:rsid w:val="00990D84"/>
    <w:rsid w:val="0099397C"/>
    <w:rsid w:val="00996997"/>
    <w:rsid w:val="00996A70"/>
    <w:rsid w:val="009972DB"/>
    <w:rsid w:val="009975BF"/>
    <w:rsid w:val="009A2244"/>
    <w:rsid w:val="009A261A"/>
    <w:rsid w:val="009A78FF"/>
    <w:rsid w:val="009B0587"/>
    <w:rsid w:val="009B1756"/>
    <w:rsid w:val="009B1BF3"/>
    <w:rsid w:val="009B25C3"/>
    <w:rsid w:val="009B31CC"/>
    <w:rsid w:val="009B5C48"/>
    <w:rsid w:val="009B5CAA"/>
    <w:rsid w:val="009B66A1"/>
    <w:rsid w:val="009C04F1"/>
    <w:rsid w:val="009C089E"/>
    <w:rsid w:val="009C2BA5"/>
    <w:rsid w:val="009C4D95"/>
    <w:rsid w:val="009C6A86"/>
    <w:rsid w:val="009D0E2A"/>
    <w:rsid w:val="009D20A7"/>
    <w:rsid w:val="009D21C8"/>
    <w:rsid w:val="009D266B"/>
    <w:rsid w:val="009D284C"/>
    <w:rsid w:val="009D383C"/>
    <w:rsid w:val="009D49F6"/>
    <w:rsid w:val="009D5460"/>
    <w:rsid w:val="009D66BB"/>
    <w:rsid w:val="009E087B"/>
    <w:rsid w:val="009E2E86"/>
    <w:rsid w:val="009E36FB"/>
    <w:rsid w:val="009E3A25"/>
    <w:rsid w:val="009E3E43"/>
    <w:rsid w:val="009E422D"/>
    <w:rsid w:val="009E5CD3"/>
    <w:rsid w:val="009E5F06"/>
    <w:rsid w:val="009E5F6C"/>
    <w:rsid w:val="009E78CA"/>
    <w:rsid w:val="009E7CFD"/>
    <w:rsid w:val="009F048E"/>
    <w:rsid w:val="009F128B"/>
    <w:rsid w:val="009F2198"/>
    <w:rsid w:val="009F40BB"/>
    <w:rsid w:val="009F635E"/>
    <w:rsid w:val="00A00129"/>
    <w:rsid w:val="00A010C4"/>
    <w:rsid w:val="00A01D5A"/>
    <w:rsid w:val="00A026C0"/>
    <w:rsid w:val="00A02754"/>
    <w:rsid w:val="00A02CBD"/>
    <w:rsid w:val="00A032BA"/>
    <w:rsid w:val="00A040C9"/>
    <w:rsid w:val="00A1069A"/>
    <w:rsid w:val="00A1165D"/>
    <w:rsid w:val="00A11723"/>
    <w:rsid w:val="00A1350D"/>
    <w:rsid w:val="00A13615"/>
    <w:rsid w:val="00A14631"/>
    <w:rsid w:val="00A16416"/>
    <w:rsid w:val="00A16980"/>
    <w:rsid w:val="00A20D13"/>
    <w:rsid w:val="00A21CCB"/>
    <w:rsid w:val="00A22089"/>
    <w:rsid w:val="00A23857"/>
    <w:rsid w:val="00A269B2"/>
    <w:rsid w:val="00A26F78"/>
    <w:rsid w:val="00A27010"/>
    <w:rsid w:val="00A33B47"/>
    <w:rsid w:val="00A3419A"/>
    <w:rsid w:val="00A34DE3"/>
    <w:rsid w:val="00A358F3"/>
    <w:rsid w:val="00A36FB9"/>
    <w:rsid w:val="00A40AC4"/>
    <w:rsid w:val="00A427FB"/>
    <w:rsid w:val="00A43EA9"/>
    <w:rsid w:val="00A46405"/>
    <w:rsid w:val="00A46463"/>
    <w:rsid w:val="00A526C5"/>
    <w:rsid w:val="00A52D09"/>
    <w:rsid w:val="00A5394E"/>
    <w:rsid w:val="00A53D06"/>
    <w:rsid w:val="00A54B0C"/>
    <w:rsid w:val="00A54EC9"/>
    <w:rsid w:val="00A55A6A"/>
    <w:rsid w:val="00A57492"/>
    <w:rsid w:val="00A6024C"/>
    <w:rsid w:val="00A609A3"/>
    <w:rsid w:val="00A61000"/>
    <w:rsid w:val="00A654AB"/>
    <w:rsid w:val="00A673AD"/>
    <w:rsid w:val="00A67BE8"/>
    <w:rsid w:val="00A67FC0"/>
    <w:rsid w:val="00A72012"/>
    <w:rsid w:val="00A7234A"/>
    <w:rsid w:val="00A725C6"/>
    <w:rsid w:val="00A732CA"/>
    <w:rsid w:val="00A754DF"/>
    <w:rsid w:val="00A76275"/>
    <w:rsid w:val="00A7667E"/>
    <w:rsid w:val="00A81984"/>
    <w:rsid w:val="00A82C35"/>
    <w:rsid w:val="00A82C9D"/>
    <w:rsid w:val="00A84B0B"/>
    <w:rsid w:val="00A85468"/>
    <w:rsid w:val="00A85772"/>
    <w:rsid w:val="00A90336"/>
    <w:rsid w:val="00A92BFA"/>
    <w:rsid w:val="00A936E3"/>
    <w:rsid w:val="00AA0326"/>
    <w:rsid w:val="00AA3493"/>
    <w:rsid w:val="00AA52E4"/>
    <w:rsid w:val="00AA5E26"/>
    <w:rsid w:val="00AA6196"/>
    <w:rsid w:val="00AB0156"/>
    <w:rsid w:val="00AB0658"/>
    <w:rsid w:val="00AB1119"/>
    <w:rsid w:val="00AB1899"/>
    <w:rsid w:val="00AB19AF"/>
    <w:rsid w:val="00AB41F7"/>
    <w:rsid w:val="00AB48FF"/>
    <w:rsid w:val="00AB587E"/>
    <w:rsid w:val="00AB6FBA"/>
    <w:rsid w:val="00AC23A4"/>
    <w:rsid w:val="00AC25FD"/>
    <w:rsid w:val="00AC26E5"/>
    <w:rsid w:val="00AC3160"/>
    <w:rsid w:val="00AC371F"/>
    <w:rsid w:val="00AC428C"/>
    <w:rsid w:val="00AC5C9D"/>
    <w:rsid w:val="00AC700F"/>
    <w:rsid w:val="00AC7249"/>
    <w:rsid w:val="00AC7A15"/>
    <w:rsid w:val="00AD020F"/>
    <w:rsid w:val="00AD04D6"/>
    <w:rsid w:val="00AD411F"/>
    <w:rsid w:val="00AD4414"/>
    <w:rsid w:val="00AD4472"/>
    <w:rsid w:val="00AD51E5"/>
    <w:rsid w:val="00AD603C"/>
    <w:rsid w:val="00AD796E"/>
    <w:rsid w:val="00AE005F"/>
    <w:rsid w:val="00AE1133"/>
    <w:rsid w:val="00AE253A"/>
    <w:rsid w:val="00AE28D7"/>
    <w:rsid w:val="00AE2A72"/>
    <w:rsid w:val="00AE3103"/>
    <w:rsid w:val="00AE3B69"/>
    <w:rsid w:val="00AE50E4"/>
    <w:rsid w:val="00AE51C1"/>
    <w:rsid w:val="00AE54D7"/>
    <w:rsid w:val="00AE5A65"/>
    <w:rsid w:val="00AE5CBB"/>
    <w:rsid w:val="00AE6D40"/>
    <w:rsid w:val="00AE7DBE"/>
    <w:rsid w:val="00AF2541"/>
    <w:rsid w:val="00AF4ADF"/>
    <w:rsid w:val="00AF53EB"/>
    <w:rsid w:val="00AF55A4"/>
    <w:rsid w:val="00AF59E6"/>
    <w:rsid w:val="00AF6E56"/>
    <w:rsid w:val="00B02DA4"/>
    <w:rsid w:val="00B0418A"/>
    <w:rsid w:val="00B04E37"/>
    <w:rsid w:val="00B05E2B"/>
    <w:rsid w:val="00B113B0"/>
    <w:rsid w:val="00B1566A"/>
    <w:rsid w:val="00B15EF6"/>
    <w:rsid w:val="00B17278"/>
    <w:rsid w:val="00B20195"/>
    <w:rsid w:val="00B217B4"/>
    <w:rsid w:val="00B2478A"/>
    <w:rsid w:val="00B24EF1"/>
    <w:rsid w:val="00B26125"/>
    <w:rsid w:val="00B27523"/>
    <w:rsid w:val="00B27C9A"/>
    <w:rsid w:val="00B27DE7"/>
    <w:rsid w:val="00B305F7"/>
    <w:rsid w:val="00B331D6"/>
    <w:rsid w:val="00B33DDE"/>
    <w:rsid w:val="00B351FA"/>
    <w:rsid w:val="00B415CA"/>
    <w:rsid w:val="00B41DB2"/>
    <w:rsid w:val="00B42D04"/>
    <w:rsid w:val="00B4303A"/>
    <w:rsid w:val="00B4304E"/>
    <w:rsid w:val="00B44A35"/>
    <w:rsid w:val="00B466E3"/>
    <w:rsid w:val="00B47CDC"/>
    <w:rsid w:val="00B50EEE"/>
    <w:rsid w:val="00B532C7"/>
    <w:rsid w:val="00B538DB"/>
    <w:rsid w:val="00B53C6C"/>
    <w:rsid w:val="00B55930"/>
    <w:rsid w:val="00B5689A"/>
    <w:rsid w:val="00B569D7"/>
    <w:rsid w:val="00B57D2A"/>
    <w:rsid w:val="00B61A18"/>
    <w:rsid w:val="00B61B6D"/>
    <w:rsid w:val="00B62D05"/>
    <w:rsid w:val="00B63168"/>
    <w:rsid w:val="00B63ED0"/>
    <w:rsid w:val="00B66E4C"/>
    <w:rsid w:val="00B66F57"/>
    <w:rsid w:val="00B70374"/>
    <w:rsid w:val="00B71914"/>
    <w:rsid w:val="00B720C0"/>
    <w:rsid w:val="00B729CF"/>
    <w:rsid w:val="00B72A54"/>
    <w:rsid w:val="00B7474A"/>
    <w:rsid w:val="00B772D4"/>
    <w:rsid w:val="00B81260"/>
    <w:rsid w:val="00B81CAF"/>
    <w:rsid w:val="00B8390E"/>
    <w:rsid w:val="00B855CF"/>
    <w:rsid w:val="00B85C77"/>
    <w:rsid w:val="00B86281"/>
    <w:rsid w:val="00B86CBA"/>
    <w:rsid w:val="00B90162"/>
    <w:rsid w:val="00B90866"/>
    <w:rsid w:val="00B91475"/>
    <w:rsid w:val="00B95AF7"/>
    <w:rsid w:val="00BA0378"/>
    <w:rsid w:val="00BA4670"/>
    <w:rsid w:val="00BA47A3"/>
    <w:rsid w:val="00BA5F19"/>
    <w:rsid w:val="00BB0B8F"/>
    <w:rsid w:val="00BB19E9"/>
    <w:rsid w:val="00BB2ABB"/>
    <w:rsid w:val="00BB3E9E"/>
    <w:rsid w:val="00BB431E"/>
    <w:rsid w:val="00BB4E8D"/>
    <w:rsid w:val="00BB5554"/>
    <w:rsid w:val="00BB66A8"/>
    <w:rsid w:val="00BB723C"/>
    <w:rsid w:val="00BC0B13"/>
    <w:rsid w:val="00BC0DA4"/>
    <w:rsid w:val="00BC154F"/>
    <w:rsid w:val="00BC26E4"/>
    <w:rsid w:val="00BC2B05"/>
    <w:rsid w:val="00BC3800"/>
    <w:rsid w:val="00BC47ED"/>
    <w:rsid w:val="00BC649C"/>
    <w:rsid w:val="00BC7A50"/>
    <w:rsid w:val="00BC7A7E"/>
    <w:rsid w:val="00BC7AE3"/>
    <w:rsid w:val="00BD022E"/>
    <w:rsid w:val="00BD02CC"/>
    <w:rsid w:val="00BD0D4B"/>
    <w:rsid w:val="00BD1559"/>
    <w:rsid w:val="00BD343C"/>
    <w:rsid w:val="00BD3617"/>
    <w:rsid w:val="00BD54A6"/>
    <w:rsid w:val="00BD5CCA"/>
    <w:rsid w:val="00BD6FF0"/>
    <w:rsid w:val="00BE03A5"/>
    <w:rsid w:val="00BE08BB"/>
    <w:rsid w:val="00BE0A63"/>
    <w:rsid w:val="00BE0B2F"/>
    <w:rsid w:val="00BE318B"/>
    <w:rsid w:val="00BE39AA"/>
    <w:rsid w:val="00BE6E4F"/>
    <w:rsid w:val="00BF2059"/>
    <w:rsid w:val="00BF24C9"/>
    <w:rsid w:val="00BF4CD6"/>
    <w:rsid w:val="00BF5D0D"/>
    <w:rsid w:val="00BF5EAA"/>
    <w:rsid w:val="00BF6DD7"/>
    <w:rsid w:val="00BF7914"/>
    <w:rsid w:val="00C01F94"/>
    <w:rsid w:val="00C023D9"/>
    <w:rsid w:val="00C06116"/>
    <w:rsid w:val="00C07D7D"/>
    <w:rsid w:val="00C103AD"/>
    <w:rsid w:val="00C10B35"/>
    <w:rsid w:val="00C12BDB"/>
    <w:rsid w:val="00C1413F"/>
    <w:rsid w:val="00C14239"/>
    <w:rsid w:val="00C15725"/>
    <w:rsid w:val="00C16CD8"/>
    <w:rsid w:val="00C20799"/>
    <w:rsid w:val="00C22D64"/>
    <w:rsid w:val="00C22DAB"/>
    <w:rsid w:val="00C231F3"/>
    <w:rsid w:val="00C2462E"/>
    <w:rsid w:val="00C25BB2"/>
    <w:rsid w:val="00C25F7F"/>
    <w:rsid w:val="00C265A0"/>
    <w:rsid w:val="00C27395"/>
    <w:rsid w:val="00C27B24"/>
    <w:rsid w:val="00C27D5D"/>
    <w:rsid w:val="00C306F3"/>
    <w:rsid w:val="00C31652"/>
    <w:rsid w:val="00C32650"/>
    <w:rsid w:val="00C33DE9"/>
    <w:rsid w:val="00C33EA6"/>
    <w:rsid w:val="00C34A33"/>
    <w:rsid w:val="00C35978"/>
    <w:rsid w:val="00C36034"/>
    <w:rsid w:val="00C36579"/>
    <w:rsid w:val="00C36827"/>
    <w:rsid w:val="00C36828"/>
    <w:rsid w:val="00C378E3"/>
    <w:rsid w:val="00C4145A"/>
    <w:rsid w:val="00C4220F"/>
    <w:rsid w:val="00C439E1"/>
    <w:rsid w:val="00C43D5D"/>
    <w:rsid w:val="00C444A0"/>
    <w:rsid w:val="00C44DB3"/>
    <w:rsid w:val="00C50CB1"/>
    <w:rsid w:val="00C52A40"/>
    <w:rsid w:val="00C55539"/>
    <w:rsid w:val="00C5553E"/>
    <w:rsid w:val="00C60D13"/>
    <w:rsid w:val="00C6154B"/>
    <w:rsid w:val="00C6172B"/>
    <w:rsid w:val="00C62BEA"/>
    <w:rsid w:val="00C63321"/>
    <w:rsid w:val="00C655CB"/>
    <w:rsid w:val="00C66117"/>
    <w:rsid w:val="00C66C41"/>
    <w:rsid w:val="00C71EC9"/>
    <w:rsid w:val="00C72586"/>
    <w:rsid w:val="00C725AC"/>
    <w:rsid w:val="00C736A1"/>
    <w:rsid w:val="00C75D94"/>
    <w:rsid w:val="00C77278"/>
    <w:rsid w:val="00C81300"/>
    <w:rsid w:val="00C828E1"/>
    <w:rsid w:val="00C8390A"/>
    <w:rsid w:val="00C86F74"/>
    <w:rsid w:val="00C87D32"/>
    <w:rsid w:val="00C91E97"/>
    <w:rsid w:val="00C957DB"/>
    <w:rsid w:val="00C95DD8"/>
    <w:rsid w:val="00C96B8B"/>
    <w:rsid w:val="00C97537"/>
    <w:rsid w:val="00CA1179"/>
    <w:rsid w:val="00CA1E79"/>
    <w:rsid w:val="00CA261E"/>
    <w:rsid w:val="00CA281F"/>
    <w:rsid w:val="00CA2F5B"/>
    <w:rsid w:val="00CA35E9"/>
    <w:rsid w:val="00CA3971"/>
    <w:rsid w:val="00CA5E7C"/>
    <w:rsid w:val="00CB12F4"/>
    <w:rsid w:val="00CB16D3"/>
    <w:rsid w:val="00CB3558"/>
    <w:rsid w:val="00CB3B62"/>
    <w:rsid w:val="00CB4843"/>
    <w:rsid w:val="00CB7AFB"/>
    <w:rsid w:val="00CC0015"/>
    <w:rsid w:val="00CC005C"/>
    <w:rsid w:val="00CC04CA"/>
    <w:rsid w:val="00CC1D8B"/>
    <w:rsid w:val="00CC29FF"/>
    <w:rsid w:val="00CC321F"/>
    <w:rsid w:val="00CC32EA"/>
    <w:rsid w:val="00CC373C"/>
    <w:rsid w:val="00CC450D"/>
    <w:rsid w:val="00CC4E4A"/>
    <w:rsid w:val="00CC4F5D"/>
    <w:rsid w:val="00CC5649"/>
    <w:rsid w:val="00CC637A"/>
    <w:rsid w:val="00CD129E"/>
    <w:rsid w:val="00CD2846"/>
    <w:rsid w:val="00CD2C99"/>
    <w:rsid w:val="00CD319F"/>
    <w:rsid w:val="00CD36DC"/>
    <w:rsid w:val="00CD3A13"/>
    <w:rsid w:val="00CD7F47"/>
    <w:rsid w:val="00CE0AAC"/>
    <w:rsid w:val="00CE1ECF"/>
    <w:rsid w:val="00CE5D4C"/>
    <w:rsid w:val="00CE6DF6"/>
    <w:rsid w:val="00CE778C"/>
    <w:rsid w:val="00CE7F1A"/>
    <w:rsid w:val="00CF16B6"/>
    <w:rsid w:val="00CF23FE"/>
    <w:rsid w:val="00CF4C28"/>
    <w:rsid w:val="00CF6195"/>
    <w:rsid w:val="00CF7109"/>
    <w:rsid w:val="00D002F8"/>
    <w:rsid w:val="00D0097C"/>
    <w:rsid w:val="00D00D75"/>
    <w:rsid w:val="00D028C5"/>
    <w:rsid w:val="00D04597"/>
    <w:rsid w:val="00D04E96"/>
    <w:rsid w:val="00D05557"/>
    <w:rsid w:val="00D06897"/>
    <w:rsid w:val="00D07B3E"/>
    <w:rsid w:val="00D07CF1"/>
    <w:rsid w:val="00D10E27"/>
    <w:rsid w:val="00D13F39"/>
    <w:rsid w:val="00D14CB8"/>
    <w:rsid w:val="00D15282"/>
    <w:rsid w:val="00D160C9"/>
    <w:rsid w:val="00D160E9"/>
    <w:rsid w:val="00D165C8"/>
    <w:rsid w:val="00D17824"/>
    <w:rsid w:val="00D205F1"/>
    <w:rsid w:val="00D2190F"/>
    <w:rsid w:val="00D238A2"/>
    <w:rsid w:val="00D27E87"/>
    <w:rsid w:val="00D327D8"/>
    <w:rsid w:val="00D32FAD"/>
    <w:rsid w:val="00D34D0B"/>
    <w:rsid w:val="00D36DCB"/>
    <w:rsid w:val="00D40862"/>
    <w:rsid w:val="00D41223"/>
    <w:rsid w:val="00D41F55"/>
    <w:rsid w:val="00D426EC"/>
    <w:rsid w:val="00D42AE5"/>
    <w:rsid w:val="00D435BE"/>
    <w:rsid w:val="00D4576B"/>
    <w:rsid w:val="00D4726A"/>
    <w:rsid w:val="00D47C38"/>
    <w:rsid w:val="00D47E7B"/>
    <w:rsid w:val="00D5011A"/>
    <w:rsid w:val="00D51102"/>
    <w:rsid w:val="00D53593"/>
    <w:rsid w:val="00D535A8"/>
    <w:rsid w:val="00D53889"/>
    <w:rsid w:val="00D53A92"/>
    <w:rsid w:val="00D53D09"/>
    <w:rsid w:val="00D541BE"/>
    <w:rsid w:val="00D542DD"/>
    <w:rsid w:val="00D545A7"/>
    <w:rsid w:val="00D56E93"/>
    <w:rsid w:val="00D579B9"/>
    <w:rsid w:val="00D62BDD"/>
    <w:rsid w:val="00D647E9"/>
    <w:rsid w:val="00D6641B"/>
    <w:rsid w:val="00D666BB"/>
    <w:rsid w:val="00D66C16"/>
    <w:rsid w:val="00D67029"/>
    <w:rsid w:val="00D70436"/>
    <w:rsid w:val="00D712E9"/>
    <w:rsid w:val="00D715A8"/>
    <w:rsid w:val="00D719F9"/>
    <w:rsid w:val="00D72E87"/>
    <w:rsid w:val="00D74885"/>
    <w:rsid w:val="00D74E45"/>
    <w:rsid w:val="00D8047B"/>
    <w:rsid w:val="00D808ED"/>
    <w:rsid w:val="00D81688"/>
    <w:rsid w:val="00D8604E"/>
    <w:rsid w:val="00D866E4"/>
    <w:rsid w:val="00D8707A"/>
    <w:rsid w:val="00D906AE"/>
    <w:rsid w:val="00D932EA"/>
    <w:rsid w:val="00D9342B"/>
    <w:rsid w:val="00D943B6"/>
    <w:rsid w:val="00D96695"/>
    <w:rsid w:val="00D96E35"/>
    <w:rsid w:val="00D97897"/>
    <w:rsid w:val="00DA0815"/>
    <w:rsid w:val="00DA11E1"/>
    <w:rsid w:val="00DA1A57"/>
    <w:rsid w:val="00DA24CC"/>
    <w:rsid w:val="00DA2D27"/>
    <w:rsid w:val="00DA3D2F"/>
    <w:rsid w:val="00DA4699"/>
    <w:rsid w:val="00DA46B9"/>
    <w:rsid w:val="00DA49D9"/>
    <w:rsid w:val="00DA6452"/>
    <w:rsid w:val="00DA664A"/>
    <w:rsid w:val="00DA6ED9"/>
    <w:rsid w:val="00DA73CE"/>
    <w:rsid w:val="00DA7655"/>
    <w:rsid w:val="00DA7C0C"/>
    <w:rsid w:val="00DB209F"/>
    <w:rsid w:val="00DB2812"/>
    <w:rsid w:val="00DB2846"/>
    <w:rsid w:val="00DB28D5"/>
    <w:rsid w:val="00DB4889"/>
    <w:rsid w:val="00DB5987"/>
    <w:rsid w:val="00DB6648"/>
    <w:rsid w:val="00DC2A21"/>
    <w:rsid w:val="00DC43C0"/>
    <w:rsid w:val="00DC4A2C"/>
    <w:rsid w:val="00DD0CA4"/>
    <w:rsid w:val="00DD11E4"/>
    <w:rsid w:val="00DD1AF3"/>
    <w:rsid w:val="00DD2FBC"/>
    <w:rsid w:val="00DD3104"/>
    <w:rsid w:val="00DD429E"/>
    <w:rsid w:val="00DD474F"/>
    <w:rsid w:val="00DD599F"/>
    <w:rsid w:val="00DE2226"/>
    <w:rsid w:val="00DE5136"/>
    <w:rsid w:val="00DE5E47"/>
    <w:rsid w:val="00DE6D08"/>
    <w:rsid w:val="00DE72F4"/>
    <w:rsid w:val="00DE75FD"/>
    <w:rsid w:val="00DF1275"/>
    <w:rsid w:val="00DF260E"/>
    <w:rsid w:val="00DF4568"/>
    <w:rsid w:val="00DF4C1A"/>
    <w:rsid w:val="00DF4E35"/>
    <w:rsid w:val="00DF6084"/>
    <w:rsid w:val="00DF6195"/>
    <w:rsid w:val="00DF6E68"/>
    <w:rsid w:val="00DF6E86"/>
    <w:rsid w:val="00DF74F1"/>
    <w:rsid w:val="00DF7BA0"/>
    <w:rsid w:val="00E00FF5"/>
    <w:rsid w:val="00E0105E"/>
    <w:rsid w:val="00E0123C"/>
    <w:rsid w:val="00E038F0"/>
    <w:rsid w:val="00E04095"/>
    <w:rsid w:val="00E05CA7"/>
    <w:rsid w:val="00E0610C"/>
    <w:rsid w:val="00E07053"/>
    <w:rsid w:val="00E0713E"/>
    <w:rsid w:val="00E107EF"/>
    <w:rsid w:val="00E1174D"/>
    <w:rsid w:val="00E15280"/>
    <w:rsid w:val="00E153F6"/>
    <w:rsid w:val="00E15587"/>
    <w:rsid w:val="00E17EE7"/>
    <w:rsid w:val="00E20683"/>
    <w:rsid w:val="00E22391"/>
    <w:rsid w:val="00E22D0F"/>
    <w:rsid w:val="00E23A36"/>
    <w:rsid w:val="00E245FE"/>
    <w:rsid w:val="00E2541D"/>
    <w:rsid w:val="00E25675"/>
    <w:rsid w:val="00E26627"/>
    <w:rsid w:val="00E26E12"/>
    <w:rsid w:val="00E2735F"/>
    <w:rsid w:val="00E33400"/>
    <w:rsid w:val="00E34E22"/>
    <w:rsid w:val="00E3678F"/>
    <w:rsid w:val="00E404DD"/>
    <w:rsid w:val="00E4115A"/>
    <w:rsid w:val="00E4163D"/>
    <w:rsid w:val="00E41D90"/>
    <w:rsid w:val="00E426AE"/>
    <w:rsid w:val="00E437E9"/>
    <w:rsid w:val="00E45AB5"/>
    <w:rsid w:val="00E45F4B"/>
    <w:rsid w:val="00E46238"/>
    <w:rsid w:val="00E46689"/>
    <w:rsid w:val="00E46E03"/>
    <w:rsid w:val="00E51D53"/>
    <w:rsid w:val="00E52BFA"/>
    <w:rsid w:val="00E52DAE"/>
    <w:rsid w:val="00E52DBD"/>
    <w:rsid w:val="00E53143"/>
    <w:rsid w:val="00E5377F"/>
    <w:rsid w:val="00E53923"/>
    <w:rsid w:val="00E53E0C"/>
    <w:rsid w:val="00E53FFC"/>
    <w:rsid w:val="00E5413F"/>
    <w:rsid w:val="00E545F9"/>
    <w:rsid w:val="00E54770"/>
    <w:rsid w:val="00E54E24"/>
    <w:rsid w:val="00E55AE7"/>
    <w:rsid w:val="00E560F2"/>
    <w:rsid w:val="00E5610F"/>
    <w:rsid w:val="00E6150A"/>
    <w:rsid w:val="00E61566"/>
    <w:rsid w:val="00E62A88"/>
    <w:rsid w:val="00E62D72"/>
    <w:rsid w:val="00E6308B"/>
    <w:rsid w:val="00E64830"/>
    <w:rsid w:val="00E65083"/>
    <w:rsid w:val="00E70C52"/>
    <w:rsid w:val="00E7101C"/>
    <w:rsid w:val="00E711F5"/>
    <w:rsid w:val="00E73157"/>
    <w:rsid w:val="00E73D2A"/>
    <w:rsid w:val="00E757E2"/>
    <w:rsid w:val="00E75DC1"/>
    <w:rsid w:val="00E76E0D"/>
    <w:rsid w:val="00E83A33"/>
    <w:rsid w:val="00E83EA2"/>
    <w:rsid w:val="00E84D76"/>
    <w:rsid w:val="00E860D3"/>
    <w:rsid w:val="00E87396"/>
    <w:rsid w:val="00E876A8"/>
    <w:rsid w:val="00E916E1"/>
    <w:rsid w:val="00E91AC3"/>
    <w:rsid w:val="00E940DC"/>
    <w:rsid w:val="00EA6907"/>
    <w:rsid w:val="00EA77C5"/>
    <w:rsid w:val="00EA7AC0"/>
    <w:rsid w:val="00EB1522"/>
    <w:rsid w:val="00EB2DD5"/>
    <w:rsid w:val="00EB32C2"/>
    <w:rsid w:val="00EB3AB9"/>
    <w:rsid w:val="00EB3FBE"/>
    <w:rsid w:val="00EB4A76"/>
    <w:rsid w:val="00EB724B"/>
    <w:rsid w:val="00EC0998"/>
    <w:rsid w:val="00EC24A7"/>
    <w:rsid w:val="00EC2840"/>
    <w:rsid w:val="00EC3131"/>
    <w:rsid w:val="00EC4501"/>
    <w:rsid w:val="00ED1AAF"/>
    <w:rsid w:val="00ED2013"/>
    <w:rsid w:val="00ED4965"/>
    <w:rsid w:val="00ED4CBC"/>
    <w:rsid w:val="00ED5141"/>
    <w:rsid w:val="00ED71E2"/>
    <w:rsid w:val="00ED735B"/>
    <w:rsid w:val="00ED736D"/>
    <w:rsid w:val="00ED7423"/>
    <w:rsid w:val="00EE1A8C"/>
    <w:rsid w:val="00EE1F06"/>
    <w:rsid w:val="00EE1FF4"/>
    <w:rsid w:val="00EE39F4"/>
    <w:rsid w:val="00EE6740"/>
    <w:rsid w:val="00EE6D9A"/>
    <w:rsid w:val="00EE78F6"/>
    <w:rsid w:val="00EF33FC"/>
    <w:rsid w:val="00EF3B32"/>
    <w:rsid w:val="00EF547C"/>
    <w:rsid w:val="00EF657C"/>
    <w:rsid w:val="00EF6977"/>
    <w:rsid w:val="00EF7480"/>
    <w:rsid w:val="00EF7808"/>
    <w:rsid w:val="00EF7A66"/>
    <w:rsid w:val="00F00321"/>
    <w:rsid w:val="00F00515"/>
    <w:rsid w:val="00F007E4"/>
    <w:rsid w:val="00F01B44"/>
    <w:rsid w:val="00F024B2"/>
    <w:rsid w:val="00F0445A"/>
    <w:rsid w:val="00F0678A"/>
    <w:rsid w:val="00F07B67"/>
    <w:rsid w:val="00F07F73"/>
    <w:rsid w:val="00F124A2"/>
    <w:rsid w:val="00F12C59"/>
    <w:rsid w:val="00F12EC7"/>
    <w:rsid w:val="00F1331D"/>
    <w:rsid w:val="00F1408F"/>
    <w:rsid w:val="00F150EB"/>
    <w:rsid w:val="00F165F0"/>
    <w:rsid w:val="00F175D6"/>
    <w:rsid w:val="00F20CF4"/>
    <w:rsid w:val="00F256C8"/>
    <w:rsid w:val="00F269D7"/>
    <w:rsid w:val="00F26DDD"/>
    <w:rsid w:val="00F308C0"/>
    <w:rsid w:val="00F310E7"/>
    <w:rsid w:val="00F31C2E"/>
    <w:rsid w:val="00F31CE0"/>
    <w:rsid w:val="00F31D07"/>
    <w:rsid w:val="00F326D4"/>
    <w:rsid w:val="00F334F6"/>
    <w:rsid w:val="00F35358"/>
    <w:rsid w:val="00F35BD7"/>
    <w:rsid w:val="00F35C3F"/>
    <w:rsid w:val="00F361F1"/>
    <w:rsid w:val="00F40647"/>
    <w:rsid w:val="00F42696"/>
    <w:rsid w:val="00F4428E"/>
    <w:rsid w:val="00F5042F"/>
    <w:rsid w:val="00F513AE"/>
    <w:rsid w:val="00F5182A"/>
    <w:rsid w:val="00F52F30"/>
    <w:rsid w:val="00F53674"/>
    <w:rsid w:val="00F5454B"/>
    <w:rsid w:val="00F5561F"/>
    <w:rsid w:val="00F5600F"/>
    <w:rsid w:val="00F5690C"/>
    <w:rsid w:val="00F5746F"/>
    <w:rsid w:val="00F6154F"/>
    <w:rsid w:val="00F64613"/>
    <w:rsid w:val="00F65037"/>
    <w:rsid w:val="00F65589"/>
    <w:rsid w:val="00F65926"/>
    <w:rsid w:val="00F659FD"/>
    <w:rsid w:val="00F65A85"/>
    <w:rsid w:val="00F65E8A"/>
    <w:rsid w:val="00F66F17"/>
    <w:rsid w:val="00F67549"/>
    <w:rsid w:val="00F7015E"/>
    <w:rsid w:val="00F72D5C"/>
    <w:rsid w:val="00F74230"/>
    <w:rsid w:val="00F77BA6"/>
    <w:rsid w:val="00F819EC"/>
    <w:rsid w:val="00F81E52"/>
    <w:rsid w:val="00F8296F"/>
    <w:rsid w:val="00F82FED"/>
    <w:rsid w:val="00F83079"/>
    <w:rsid w:val="00F8339C"/>
    <w:rsid w:val="00F8530D"/>
    <w:rsid w:val="00F86199"/>
    <w:rsid w:val="00F86DE7"/>
    <w:rsid w:val="00F9006B"/>
    <w:rsid w:val="00F912A8"/>
    <w:rsid w:val="00F91F93"/>
    <w:rsid w:val="00F926E2"/>
    <w:rsid w:val="00F93E7D"/>
    <w:rsid w:val="00F97AE8"/>
    <w:rsid w:val="00FA0E0E"/>
    <w:rsid w:val="00FA3D5B"/>
    <w:rsid w:val="00FA5971"/>
    <w:rsid w:val="00FA7945"/>
    <w:rsid w:val="00FB3DE4"/>
    <w:rsid w:val="00FB52F3"/>
    <w:rsid w:val="00FB7A51"/>
    <w:rsid w:val="00FC1423"/>
    <w:rsid w:val="00FC1509"/>
    <w:rsid w:val="00FC1907"/>
    <w:rsid w:val="00FC1EB4"/>
    <w:rsid w:val="00FC2238"/>
    <w:rsid w:val="00FC37A3"/>
    <w:rsid w:val="00FC4BD0"/>
    <w:rsid w:val="00FC4BD8"/>
    <w:rsid w:val="00FC4D33"/>
    <w:rsid w:val="00FC5A0E"/>
    <w:rsid w:val="00FC654A"/>
    <w:rsid w:val="00FC7220"/>
    <w:rsid w:val="00FD5531"/>
    <w:rsid w:val="00FD5F26"/>
    <w:rsid w:val="00FD62FB"/>
    <w:rsid w:val="00FD7707"/>
    <w:rsid w:val="00FD7DDC"/>
    <w:rsid w:val="00FE223F"/>
    <w:rsid w:val="00FE416A"/>
    <w:rsid w:val="00FE45BC"/>
    <w:rsid w:val="00FE57E5"/>
    <w:rsid w:val="00FE6A32"/>
    <w:rsid w:val="00FE7403"/>
    <w:rsid w:val="00FE7FE6"/>
    <w:rsid w:val="00FF1A2D"/>
    <w:rsid w:val="00FF2297"/>
    <w:rsid w:val="00FF3A6F"/>
    <w:rsid w:val="00FF6605"/>
    <w:rsid w:val="00FF6D10"/>
    <w:rsid w:val="00FF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3054AA6"/>
  <w15:docId w15:val="{86337538-909C-4DDE-A846-B9FB0695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0D3"/>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B415C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B415C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B415C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B415C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B415CA"/>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B415CA"/>
    <w:pPr>
      <w:keepNext/>
      <w:numPr>
        <w:ilvl w:val="5"/>
        <w:numId w:val="7"/>
      </w:numPr>
      <w:spacing w:after="120" w:line="240" w:lineRule="auto"/>
      <w:outlineLvl w:val="5"/>
    </w:pPr>
  </w:style>
  <w:style w:type="paragraph" w:styleId="Heading7">
    <w:name w:val="heading 7"/>
    <w:basedOn w:val="Normal"/>
    <w:next w:val="Normal"/>
    <w:link w:val="Heading7Char"/>
    <w:semiHidden/>
    <w:qFormat/>
    <w:rsid w:val="00B415CA"/>
    <w:pPr>
      <w:keepNext/>
      <w:numPr>
        <w:ilvl w:val="6"/>
        <w:numId w:val="7"/>
      </w:numPr>
      <w:spacing w:after="120" w:line="240" w:lineRule="auto"/>
      <w:outlineLvl w:val="6"/>
    </w:pPr>
  </w:style>
  <w:style w:type="paragraph" w:styleId="Heading8">
    <w:name w:val="heading 8"/>
    <w:basedOn w:val="Normal"/>
    <w:next w:val="Normal"/>
    <w:link w:val="Heading8Char"/>
    <w:semiHidden/>
    <w:qFormat/>
    <w:rsid w:val="00B415CA"/>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rsid w:val="00B415CA"/>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415CA"/>
    <w:rPr>
      <w:rFonts w:ascii="Arial Black" w:eastAsia="Times New Roman" w:hAnsi="Arial Black" w:cs="Times New Roman"/>
      <w:szCs w:val="20"/>
    </w:rPr>
  </w:style>
  <w:style w:type="paragraph" w:customStyle="1" w:styleId="NormalSS">
    <w:name w:val="NormalSS"/>
    <w:basedOn w:val="Normal"/>
    <w:link w:val="NormalSSChar"/>
    <w:qFormat/>
    <w:rsid w:val="00B415CA"/>
    <w:pPr>
      <w:spacing w:after="240" w:line="240" w:lineRule="auto"/>
    </w:pPr>
  </w:style>
  <w:style w:type="paragraph" w:styleId="FootnoteText">
    <w:name w:val="footnote text"/>
    <w:aliases w:val="F1,FOOTNOTE"/>
    <w:basedOn w:val="Normal"/>
    <w:link w:val="FootnoteTextChar"/>
    <w:qFormat/>
    <w:rsid w:val="00B415CA"/>
    <w:pPr>
      <w:spacing w:after="120" w:line="240" w:lineRule="auto"/>
      <w:ind w:firstLine="0"/>
    </w:pPr>
    <w:rPr>
      <w:sz w:val="20"/>
    </w:rPr>
  </w:style>
  <w:style w:type="character" w:customStyle="1" w:styleId="FootnoteTextChar">
    <w:name w:val="Footnote Text Char"/>
    <w:aliases w:val="F1 Char,FOOTNOTE Char"/>
    <w:basedOn w:val="DefaultParagraphFont"/>
    <w:link w:val="FootnoteText"/>
    <w:rsid w:val="00B415CA"/>
    <w:rPr>
      <w:rFonts w:ascii="Times New Roman" w:eastAsia="Times New Roman" w:hAnsi="Times New Roman" w:cs="Times New Roman"/>
      <w:sz w:val="20"/>
      <w:szCs w:val="20"/>
    </w:rPr>
  </w:style>
  <w:style w:type="character" w:styleId="FootnoteReference">
    <w:name w:val="footnote reference"/>
    <w:aliases w:val="*Footnote Reference"/>
    <w:basedOn w:val="DefaultParagraphFont"/>
    <w:qFormat/>
    <w:rsid w:val="00B415CA"/>
    <w:rPr>
      <w:rFonts w:ascii="Times New Roman" w:hAnsi="Times New Roman"/>
      <w:color w:val="auto"/>
      <w:spacing w:val="0"/>
      <w:position w:val="0"/>
      <w:sz w:val="24"/>
      <w:u w:color="000080"/>
      <w:effect w:val="none"/>
      <w:vertAlign w:val="superscript"/>
    </w:rPr>
  </w:style>
  <w:style w:type="character" w:styleId="EndnoteReference">
    <w:name w:val="endnote reference"/>
    <w:basedOn w:val="DefaultParagraphFont"/>
    <w:uiPriority w:val="99"/>
    <w:semiHidden/>
    <w:rsid w:val="00CE7F1A"/>
    <w:rPr>
      <w:vertAlign w:val="superscript"/>
    </w:rPr>
  </w:style>
  <w:style w:type="paragraph" w:customStyle="1" w:styleId="disclosure">
    <w:name w:val="disclosure"/>
    <w:basedOn w:val="Footer"/>
    <w:qFormat/>
    <w:rsid w:val="007F6623"/>
    <w:pPr>
      <w:pBdr>
        <w:bottom w:val="none" w:sz="0" w:space="0" w:color="auto"/>
      </w:pBdr>
      <w:tabs>
        <w:tab w:val="clear" w:pos="4320"/>
        <w:tab w:val="center" w:pos="4770"/>
      </w:tabs>
      <w:spacing w:before="120"/>
      <w:jc w:val="center"/>
    </w:pPr>
    <w:rPr>
      <w:sz w:val="17"/>
    </w:rPr>
  </w:style>
  <w:style w:type="paragraph" w:customStyle="1" w:styleId="TableText">
    <w:name w:val="Table Text"/>
    <w:basedOn w:val="Normal"/>
    <w:qFormat/>
    <w:rsid w:val="00B415CA"/>
    <w:pPr>
      <w:spacing w:line="240" w:lineRule="auto"/>
      <w:ind w:firstLine="0"/>
    </w:pPr>
    <w:rPr>
      <w:rFonts w:ascii="Arial" w:hAnsi="Arial"/>
      <w:sz w:val="18"/>
    </w:rPr>
  </w:style>
  <w:style w:type="table" w:customStyle="1" w:styleId="SMPRTableRed">
    <w:name w:val="SMPR_Table_Red"/>
    <w:basedOn w:val="TableNormal"/>
    <w:uiPriority w:val="99"/>
    <w:rsid w:val="00CE7F1A"/>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NormalSSChar">
    <w:name w:val="NormalSS Char"/>
    <w:basedOn w:val="DefaultParagraphFont"/>
    <w:link w:val="NormalSS"/>
    <w:locked/>
    <w:rsid w:val="00CE7F1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CE7F1A"/>
    <w:rPr>
      <w:sz w:val="16"/>
      <w:szCs w:val="16"/>
    </w:rPr>
  </w:style>
  <w:style w:type="paragraph" w:styleId="CommentText">
    <w:name w:val="annotation text"/>
    <w:basedOn w:val="Normal"/>
    <w:link w:val="CommentTextChar"/>
    <w:uiPriority w:val="99"/>
    <w:unhideWhenUsed/>
    <w:rsid w:val="00CE7F1A"/>
    <w:pPr>
      <w:spacing w:line="240" w:lineRule="auto"/>
    </w:pPr>
    <w:rPr>
      <w:sz w:val="20"/>
    </w:rPr>
  </w:style>
  <w:style w:type="character" w:customStyle="1" w:styleId="CommentTextChar">
    <w:name w:val="Comment Text Char"/>
    <w:basedOn w:val="DefaultParagraphFont"/>
    <w:link w:val="CommentText"/>
    <w:uiPriority w:val="99"/>
    <w:rsid w:val="00CE7F1A"/>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B415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5C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72D5C"/>
    <w:rPr>
      <w:b/>
      <w:bCs/>
    </w:rPr>
  </w:style>
  <w:style w:type="character" w:customStyle="1" w:styleId="CommentSubjectChar">
    <w:name w:val="Comment Subject Char"/>
    <w:basedOn w:val="CommentTextChar"/>
    <w:link w:val="CommentSubject"/>
    <w:uiPriority w:val="99"/>
    <w:semiHidden/>
    <w:rsid w:val="00F72D5C"/>
    <w:rPr>
      <w:rFonts w:ascii="Garamond" w:eastAsia="Times New Roman" w:hAnsi="Garamond" w:cs="Times New Roman"/>
      <w:b/>
      <w:bCs/>
      <w:sz w:val="20"/>
      <w:szCs w:val="20"/>
    </w:rPr>
  </w:style>
  <w:style w:type="table" w:styleId="TableGrid">
    <w:name w:val="Table Grid"/>
    <w:basedOn w:val="TableNormal"/>
    <w:uiPriority w:val="59"/>
    <w:rsid w:val="00B415C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9A3"/>
    <w:rPr>
      <w:color w:val="0563C1" w:themeColor="hyperlink"/>
      <w:u w:val="single"/>
    </w:rPr>
  </w:style>
  <w:style w:type="character" w:styleId="FollowedHyperlink">
    <w:name w:val="FollowedHyperlink"/>
    <w:basedOn w:val="DefaultParagraphFont"/>
    <w:uiPriority w:val="99"/>
    <w:semiHidden/>
    <w:unhideWhenUsed/>
    <w:rsid w:val="00507897"/>
    <w:rPr>
      <w:color w:val="954F72" w:themeColor="followedHyperlink"/>
      <w:u w:val="single"/>
    </w:rPr>
  </w:style>
  <w:style w:type="paragraph" w:customStyle="1" w:styleId="NumberedBullet">
    <w:name w:val="Numbered Bullet"/>
    <w:basedOn w:val="Normal"/>
    <w:link w:val="NumberedBulletChar"/>
    <w:qFormat/>
    <w:rsid w:val="00FE6A32"/>
    <w:pPr>
      <w:numPr>
        <w:numId w:val="8"/>
      </w:numPr>
      <w:tabs>
        <w:tab w:val="left" w:pos="432"/>
      </w:tabs>
      <w:spacing w:after="120" w:line="240" w:lineRule="auto"/>
      <w:ind w:left="432" w:hanging="432"/>
    </w:pPr>
  </w:style>
  <w:style w:type="character" w:styleId="Strong">
    <w:name w:val="Strong"/>
    <w:basedOn w:val="DefaultParagraphFont"/>
    <w:uiPriority w:val="22"/>
    <w:qFormat/>
    <w:rsid w:val="00361233"/>
    <w:rPr>
      <w:b/>
      <w:bCs/>
    </w:rPr>
  </w:style>
  <w:style w:type="paragraph" w:styleId="Revision">
    <w:name w:val="Revision"/>
    <w:hidden/>
    <w:uiPriority w:val="99"/>
    <w:semiHidden/>
    <w:rsid w:val="000E17B4"/>
    <w:pPr>
      <w:spacing w:after="0" w:line="240" w:lineRule="auto"/>
    </w:pPr>
    <w:rPr>
      <w:rFonts w:ascii="Garamond" w:eastAsia="Times New Roman" w:hAnsi="Garamond" w:cs="Times New Roman"/>
      <w:sz w:val="24"/>
      <w:szCs w:val="24"/>
    </w:rPr>
  </w:style>
  <w:style w:type="paragraph" w:styleId="Header">
    <w:name w:val="header"/>
    <w:basedOn w:val="Normal"/>
    <w:link w:val="HeaderChar"/>
    <w:qFormat/>
    <w:rsid w:val="00B415C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B415CA"/>
    <w:rPr>
      <w:rFonts w:ascii="Arial" w:eastAsia="Times New Roman" w:hAnsi="Arial" w:cs="Times New Roman"/>
      <w:caps/>
      <w:sz w:val="16"/>
      <w:szCs w:val="20"/>
    </w:rPr>
  </w:style>
  <w:style w:type="paragraph" w:styleId="Footer">
    <w:name w:val="footer"/>
    <w:basedOn w:val="Normal"/>
    <w:link w:val="FooterChar"/>
    <w:uiPriority w:val="99"/>
    <w:qFormat/>
    <w:rsid w:val="00B415C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B415CA"/>
    <w:rPr>
      <w:rFonts w:ascii="Arial" w:eastAsia="Times New Roman" w:hAnsi="Arial" w:cs="Times New Roman"/>
      <w:sz w:val="20"/>
      <w:szCs w:val="20"/>
    </w:rPr>
  </w:style>
  <w:style w:type="character" w:customStyle="1" w:styleId="Heading1Char">
    <w:name w:val="Heading 1 Char"/>
    <w:basedOn w:val="DefaultParagraphFont"/>
    <w:link w:val="Heading1"/>
    <w:rsid w:val="00B415C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B415CA"/>
    <w:rPr>
      <w:rFonts w:ascii="Arial Black" w:eastAsia="Times New Roman" w:hAnsi="Arial Black" w:cs="Times New Roman"/>
      <w:caps/>
      <w:szCs w:val="20"/>
    </w:rPr>
  </w:style>
  <w:style w:type="character" w:customStyle="1" w:styleId="Heading4Char">
    <w:name w:val="Heading 4 Char"/>
    <w:basedOn w:val="DefaultParagraphFont"/>
    <w:link w:val="Heading4"/>
    <w:semiHidden/>
    <w:rsid w:val="00B415CA"/>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B415C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B415C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B415C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B415C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B415C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B415C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A84B0B"/>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A84B0B"/>
    <w:pPr>
      <w:numPr>
        <w:numId w:val="2"/>
      </w:numPr>
      <w:tabs>
        <w:tab w:val="clear" w:pos="432"/>
      </w:tabs>
      <w:spacing w:after="240"/>
      <w:ind w:left="450" w:hanging="450"/>
    </w:pPr>
  </w:style>
  <w:style w:type="paragraph" w:customStyle="1" w:styleId="BulletLastDS">
    <w:name w:val="Bullet (Last DS)"/>
    <w:basedOn w:val="Bullet"/>
    <w:next w:val="Normal"/>
    <w:qFormat/>
    <w:rsid w:val="00B415CA"/>
    <w:pPr>
      <w:numPr>
        <w:numId w:val="3"/>
      </w:numPr>
      <w:spacing w:after="320"/>
      <w:ind w:left="432" w:hanging="432"/>
    </w:pPr>
  </w:style>
  <w:style w:type="paragraph" w:customStyle="1" w:styleId="Center">
    <w:name w:val="Center"/>
    <w:basedOn w:val="Normal"/>
    <w:semiHidden/>
    <w:unhideWhenUsed/>
    <w:rsid w:val="00B415CA"/>
    <w:pPr>
      <w:ind w:firstLine="0"/>
      <w:jc w:val="center"/>
    </w:pPr>
  </w:style>
  <w:style w:type="paragraph" w:customStyle="1" w:styleId="Dash">
    <w:name w:val="Dash"/>
    <w:basedOn w:val="Normal"/>
    <w:qFormat/>
    <w:rsid w:val="00B415CA"/>
    <w:pPr>
      <w:numPr>
        <w:numId w:val="4"/>
      </w:numPr>
      <w:tabs>
        <w:tab w:val="left" w:pos="288"/>
      </w:tabs>
      <w:spacing w:after="120" w:line="240" w:lineRule="auto"/>
    </w:pPr>
  </w:style>
  <w:style w:type="paragraph" w:customStyle="1" w:styleId="DashLASTSS">
    <w:name w:val="Dash (LAST SS)"/>
    <w:basedOn w:val="Dash"/>
    <w:next w:val="NormalSS"/>
    <w:qFormat/>
    <w:rsid w:val="00B415CA"/>
    <w:pPr>
      <w:numPr>
        <w:numId w:val="5"/>
      </w:numPr>
      <w:spacing w:after="240"/>
    </w:pPr>
  </w:style>
  <w:style w:type="paragraph" w:customStyle="1" w:styleId="DashLASTDS">
    <w:name w:val="Dash (LAST DS)"/>
    <w:basedOn w:val="Dash"/>
    <w:next w:val="Normal"/>
    <w:qFormat/>
    <w:rsid w:val="00B415CA"/>
    <w:pPr>
      <w:spacing w:after="320"/>
    </w:pPr>
    <w:rPr>
      <w:szCs w:val="24"/>
    </w:rPr>
  </w:style>
  <w:style w:type="paragraph" w:styleId="DocumentMap">
    <w:name w:val="Document Map"/>
    <w:basedOn w:val="Normal"/>
    <w:link w:val="DocumentMapChar"/>
    <w:semiHidden/>
    <w:unhideWhenUsed/>
    <w:rsid w:val="00B415C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B415CA"/>
    <w:rPr>
      <w:rFonts w:asciiTheme="majorHAnsi" w:eastAsia="Times New Roman" w:hAnsiTheme="majorHAnsi" w:cs="Times New Roman"/>
      <w:sz w:val="24"/>
      <w:szCs w:val="20"/>
    </w:rPr>
  </w:style>
  <w:style w:type="paragraph" w:customStyle="1" w:styleId="Heading3NoTOC">
    <w:name w:val="Heading 3_No TOC"/>
    <w:basedOn w:val="Normal"/>
    <w:next w:val="NormalSS"/>
    <w:semiHidden/>
    <w:qFormat/>
    <w:rsid w:val="00B415C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B415CA"/>
    <w:pPr>
      <w:outlineLvl w:val="9"/>
    </w:pPr>
  </w:style>
  <w:style w:type="paragraph" w:customStyle="1" w:styleId="MarkforAppendixTitle">
    <w:name w:val="Mark for Appendix Title"/>
    <w:basedOn w:val="Normal"/>
    <w:next w:val="Normal"/>
    <w:qFormat/>
    <w:rsid w:val="00B415C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B415C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B415CA"/>
  </w:style>
  <w:style w:type="paragraph" w:customStyle="1" w:styleId="MarkforTableTitle">
    <w:name w:val="Mark for Table Title"/>
    <w:basedOn w:val="Normal"/>
    <w:next w:val="NormalSS"/>
    <w:qFormat/>
    <w:rsid w:val="00B415C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B415CA"/>
  </w:style>
  <w:style w:type="numbering" w:customStyle="1" w:styleId="MPROutline">
    <w:name w:val="MPROutline"/>
    <w:uiPriority w:val="99"/>
    <w:locked/>
    <w:rsid w:val="00B415CA"/>
    <w:pPr>
      <w:numPr>
        <w:numId w:val="6"/>
      </w:numPr>
    </w:pPr>
  </w:style>
  <w:style w:type="character" w:customStyle="1" w:styleId="MTEquationSection">
    <w:name w:val="MTEquationSection"/>
    <w:basedOn w:val="DefaultParagraphFont"/>
    <w:rsid w:val="00B415CA"/>
    <w:rPr>
      <w:rFonts w:ascii="Arial" w:hAnsi="Arial"/>
      <w:vanish w:val="0"/>
      <w:color w:val="auto"/>
      <w:sz w:val="18"/>
    </w:rPr>
  </w:style>
  <w:style w:type="paragraph" w:customStyle="1" w:styleId="Normalcontinued">
    <w:name w:val="Normal (continued)"/>
    <w:basedOn w:val="Normal"/>
    <w:next w:val="Normal"/>
    <w:qFormat/>
    <w:rsid w:val="00B415CA"/>
    <w:pPr>
      <w:ind w:firstLine="0"/>
    </w:pPr>
  </w:style>
  <w:style w:type="paragraph" w:customStyle="1" w:styleId="NormalSScontinued">
    <w:name w:val="NormalSS (continued)"/>
    <w:basedOn w:val="NormalSS"/>
    <w:next w:val="NormalSS"/>
    <w:qFormat/>
    <w:rsid w:val="00B415CA"/>
    <w:pPr>
      <w:ind w:firstLine="0"/>
    </w:pPr>
  </w:style>
  <w:style w:type="paragraph" w:customStyle="1" w:styleId="Outline">
    <w:name w:val="Outline"/>
    <w:basedOn w:val="Normal"/>
    <w:semiHidden/>
    <w:unhideWhenUsed/>
    <w:qFormat/>
    <w:rsid w:val="00B415CA"/>
    <w:pPr>
      <w:spacing w:after="240" w:line="240" w:lineRule="auto"/>
      <w:ind w:left="720" w:hanging="720"/>
    </w:pPr>
  </w:style>
  <w:style w:type="character" w:styleId="PageNumber">
    <w:name w:val="page number"/>
    <w:basedOn w:val="DefaultParagraphFont"/>
    <w:semiHidden/>
    <w:qFormat/>
    <w:rsid w:val="00B415CA"/>
    <w:rPr>
      <w:rFonts w:ascii="Arial" w:hAnsi="Arial"/>
      <w:color w:val="auto"/>
      <w:sz w:val="20"/>
      <w:bdr w:val="none" w:sz="0" w:space="0" w:color="auto"/>
    </w:rPr>
  </w:style>
  <w:style w:type="paragraph" w:customStyle="1" w:styleId="References">
    <w:name w:val="References"/>
    <w:basedOn w:val="Normal"/>
    <w:qFormat/>
    <w:rsid w:val="00B415CA"/>
    <w:pPr>
      <w:keepLines/>
      <w:spacing w:after="240" w:line="240" w:lineRule="auto"/>
      <w:ind w:left="432" w:hanging="432"/>
    </w:pPr>
  </w:style>
  <w:style w:type="paragraph" w:customStyle="1" w:styleId="TableFootnoteCaption">
    <w:name w:val="Table Footnote_Caption"/>
    <w:qFormat/>
    <w:rsid w:val="00B415CA"/>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B415CA"/>
    <w:pPr>
      <w:spacing w:before="120" w:after="60"/>
    </w:pPr>
    <w:rPr>
      <w:b/>
      <w:color w:val="FFFFFF" w:themeColor="background1"/>
    </w:rPr>
  </w:style>
  <w:style w:type="paragraph" w:customStyle="1" w:styleId="TableHeaderCenter">
    <w:name w:val="Table Header Center"/>
    <w:basedOn w:val="TableHeaderLeft"/>
    <w:qFormat/>
    <w:rsid w:val="00B415CA"/>
    <w:pPr>
      <w:jc w:val="center"/>
    </w:pPr>
  </w:style>
  <w:style w:type="paragraph" w:styleId="TableofFigures">
    <w:name w:val="table of figures"/>
    <w:basedOn w:val="Normal"/>
    <w:next w:val="Normal"/>
    <w:uiPriority w:val="99"/>
    <w:rsid w:val="00B415CA"/>
    <w:pPr>
      <w:tabs>
        <w:tab w:val="right" w:leader="dot" w:pos="9360"/>
      </w:tabs>
      <w:spacing w:after="180" w:line="240" w:lineRule="exact"/>
      <w:ind w:left="720" w:right="720" w:hanging="720"/>
    </w:pPr>
    <w:rPr>
      <w:rFonts w:ascii="Arial" w:hAnsi="Arial"/>
      <w:sz w:val="20"/>
    </w:rPr>
  </w:style>
  <w:style w:type="paragraph" w:customStyle="1" w:styleId="TableSourceCaption">
    <w:name w:val="Table Source_Caption"/>
    <w:qFormat/>
    <w:rsid w:val="00B415C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B415CA"/>
  </w:style>
  <w:style w:type="paragraph" w:customStyle="1" w:styleId="Tabletext8">
    <w:name w:val="Table text 8"/>
    <w:basedOn w:val="TableText"/>
    <w:qFormat/>
    <w:rsid w:val="00B415CA"/>
    <w:rPr>
      <w:snapToGrid w:val="0"/>
      <w:sz w:val="16"/>
      <w:szCs w:val="16"/>
    </w:rPr>
  </w:style>
  <w:style w:type="paragraph" w:customStyle="1" w:styleId="TableSpace">
    <w:name w:val="TableSpace"/>
    <w:basedOn w:val="TableSourceCaption"/>
    <w:next w:val="TableFootnoteCaption"/>
    <w:semiHidden/>
    <w:qFormat/>
    <w:rsid w:val="00B415CA"/>
  </w:style>
  <w:style w:type="paragraph" w:styleId="Title">
    <w:name w:val="Title"/>
    <w:basedOn w:val="Normal"/>
    <w:next w:val="Normal"/>
    <w:link w:val="TitleChar"/>
    <w:rsid w:val="00B415CA"/>
    <w:pPr>
      <w:pBdr>
        <w:bottom w:val="single" w:sz="8" w:space="4" w:color="0B2949"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B415C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B415C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B415CA"/>
    <w:pPr>
      <w:spacing w:before="0" w:after="160"/>
    </w:pPr>
  </w:style>
  <w:style w:type="paragraph" w:customStyle="1" w:styleId="TitleofDocumentNoPhoto">
    <w:name w:val="Title of Document No Photo"/>
    <w:basedOn w:val="TitleofDocumentHorizontal"/>
    <w:semiHidden/>
    <w:qFormat/>
    <w:rsid w:val="00B415CA"/>
  </w:style>
  <w:style w:type="paragraph" w:styleId="TOC1">
    <w:name w:val="toc 1"/>
    <w:next w:val="Normalcontinued"/>
    <w:autoRedefine/>
    <w:uiPriority w:val="39"/>
    <w:qFormat/>
    <w:rsid w:val="004E71E8"/>
    <w:pPr>
      <w:tabs>
        <w:tab w:val="right" w:leader="dot" w:pos="9360"/>
      </w:tabs>
      <w:spacing w:after="180" w:line="240" w:lineRule="exact"/>
      <w:ind w:left="720" w:right="720" w:hanging="720"/>
    </w:pPr>
    <w:rPr>
      <w:rFonts w:ascii="Arial" w:eastAsia="Times New Roman" w:hAnsi="Arial" w:cs="Times New Roman"/>
      <w:b/>
      <w:bCs/>
      <w:caps/>
      <w:noProof/>
      <w:sz w:val="20"/>
      <w:szCs w:val="20"/>
    </w:rPr>
  </w:style>
  <w:style w:type="paragraph" w:styleId="TOC2">
    <w:name w:val="toc 2"/>
    <w:next w:val="Normal"/>
    <w:autoRedefine/>
    <w:uiPriority w:val="39"/>
    <w:qFormat/>
    <w:rsid w:val="003A0175"/>
    <w:pPr>
      <w:tabs>
        <w:tab w:val="right" w:leader="dot" w:pos="9360"/>
      </w:tabs>
      <w:spacing w:after="180" w:line="240" w:lineRule="exact"/>
      <w:ind w:left="1080" w:right="720" w:hanging="630"/>
    </w:pPr>
    <w:rPr>
      <w:rFonts w:ascii="Arial" w:eastAsia="Times New Roman" w:hAnsi="Arial" w:cs="Times New Roman"/>
      <w:bCs/>
      <w:noProof/>
      <w:sz w:val="20"/>
      <w:szCs w:val="20"/>
    </w:rPr>
  </w:style>
  <w:style w:type="paragraph" w:styleId="TOC3">
    <w:name w:val="toc 3"/>
    <w:basedOn w:val="TOC2"/>
    <w:next w:val="Normal"/>
    <w:autoRedefine/>
    <w:uiPriority w:val="39"/>
    <w:qFormat/>
    <w:rsid w:val="00381D09"/>
    <w:pPr>
      <w:tabs>
        <w:tab w:val="left" w:pos="1440"/>
      </w:tabs>
      <w:spacing w:after="120"/>
      <w:ind w:left="1440" w:hanging="360"/>
    </w:pPr>
  </w:style>
  <w:style w:type="paragraph" w:styleId="TOC4">
    <w:name w:val="toc 4"/>
    <w:next w:val="Normal"/>
    <w:autoRedefine/>
    <w:qFormat/>
    <w:rsid w:val="00B415C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381D09"/>
    <w:pPr>
      <w:tabs>
        <w:tab w:val="right" w:leader="dot" w:pos="9360"/>
      </w:tabs>
      <w:spacing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B415CA"/>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E6A32"/>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B415CA"/>
    <w:pPr>
      <w:spacing w:after="320"/>
    </w:pPr>
  </w:style>
  <w:style w:type="paragraph" w:customStyle="1" w:styleId="NumberedBulletLastSS">
    <w:name w:val="Numbered Bullet (Last SS)"/>
    <w:basedOn w:val="NumberedBulletLastDS"/>
    <w:next w:val="NormalSS"/>
    <w:qFormat/>
    <w:rsid w:val="00B415CA"/>
    <w:pPr>
      <w:spacing w:after="240"/>
    </w:pPr>
  </w:style>
  <w:style w:type="table" w:styleId="LightList">
    <w:name w:val="Light List"/>
    <w:basedOn w:val="TableNormal"/>
    <w:uiPriority w:val="61"/>
    <w:rsid w:val="00B415C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B415C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B415CA"/>
    <w:pPr>
      <w:ind w:left="720"/>
      <w:contextualSpacing/>
    </w:pPr>
  </w:style>
  <w:style w:type="paragraph" w:customStyle="1" w:styleId="H1Title">
    <w:name w:val="H1_Title"/>
    <w:basedOn w:val="Normal"/>
    <w:next w:val="Normal"/>
    <w:link w:val="H1TitleChar"/>
    <w:qFormat/>
    <w:rsid w:val="00B415C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B415CA"/>
    <w:pPr>
      <w:ind w:left="432" w:hanging="432"/>
      <w:outlineLvl w:val="1"/>
    </w:pPr>
  </w:style>
  <w:style w:type="character" w:customStyle="1" w:styleId="H1TitleChar">
    <w:name w:val="H1_Title Char"/>
    <w:basedOn w:val="DefaultParagraphFont"/>
    <w:link w:val="H1Title"/>
    <w:rsid w:val="00B415C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B415C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B415C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B415CA"/>
    <w:pPr>
      <w:outlineLvl w:val="9"/>
    </w:pPr>
  </w:style>
  <w:style w:type="character" w:customStyle="1" w:styleId="H3AlphaChar">
    <w:name w:val="H3_Alpha Char"/>
    <w:basedOn w:val="Heading2Char"/>
    <w:link w:val="H3Alpha"/>
    <w:rsid w:val="00B415CA"/>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B415CA"/>
    <w:pPr>
      <w:outlineLvl w:val="3"/>
    </w:pPr>
    <w:rPr>
      <w:rFonts w:ascii="Times New Roman" w:hAnsi="Times New Roman"/>
      <w:b/>
      <w:sz w:val="24"/>
    </w:rPr>
  </w:style>
  <w:style w:type="character" w:customStyle="1" w:styleId="H3AlphaNoTOCChar">
    <w:name w:val="H3_Alpha_No TOC Char"/>
    <w:basedOn w:val="H3AlphaChar"/>
    <w:link w:val="H3AlphaNoTOC"/>
    <w:rsid w:val="00B415CA"/>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B415CA"/>
    <w:pPr>
      <w:outlineLvl w:val="9"/>
    </w:pPr>
  </w:style>
  <w:style w:type="character" w:customStyle="1" w:styleId="H4NumberChar">
    <w:name w:val="H4_Number Char"/>
    <w:basedOn w:val="Heading3Char"/>
    <w:link w:val="H4Number"/>
    <w:rsid w:val="00B415C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B415CA"/>
    <w:pPr>
      <w:outlineLvl w:val="4"/>
    </w:pPr>
  </w:style>
  <w:style w:type="character" w:customStyle="1" w:styleId="H4NumberNoTOCChar">
    <w:name w:val="H4_Number_No TOC Char"/>
    <w:basedOn w:val="H4NumberChar"/>
    <w:link w:val="H4NumberNoTOC"/>
    <w:rsid w:val="00B415CA"/>
    <w:rPr>
      <w:rFonts w:ascii="Times New Roman" w:eastAsia="Times New Roman" w:hAnsi="Times New Roman" w:cs="Times New Roman"/>
      <w:b/>
      <w:sz w:val="24"/>
      <w:szCs w:val="20"/>
    </w:rPr>
  </w:style>
  <w:style w:type="character" w:customStyle="1" w:styleId="H5LowerChar">
    <w:name w:val="H5_Lower Char"/>
    <w:basedOn w:val="Heading4Char"/>
    <w:link w:val="H5Lower"/>
    <w:rsid w:val="00B415CA"/>
    <w:rPr>
      <w:rFonts w:ascii="Times New Roman" w:eastAsia="Times New Roman" w:hAnsi="Times New Roman" w:cs="Times New Roman"/>
      <w:b/>
      <w:sz w:val="24"/>
      <w:szCs w:val="20"/>
    </w:rPr>
  </w:style>
  <w:style w:type="paragraph" w:customStyle="1" w:styleId="ProprietaryStatement">
    <w:name w:val="Proprietary Statement"/>
    <w:basedOn w:val="NormalSS"/>
    <w:qFormat/>
    <w:rsid w:val="008117D4"/>
    <w:pPr>
      <w:spacing w:before="120" w:after="0"/>
      <w:ind w:firstLine="0"/>
    </w:pPr>
    <w:rPr>
      <w:rFonts w:ascii="Arial" w:hAnsi="Arial" w:cs="Arial"/>
      <w:sz w:val="16"/>
      <w:szCs w:val="16"/>
    </w:rPr>
  </w:style>
  <w:style w:type="paragraph" w:customStyle="1" w:styleId="backcovercities">
    <w:name w:val="back cover cities"/>
    <w:basedOn w:val="Normal"/>
    <w:qFormat/>
    <w:rsid w:val="008117D4"/>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8117D4"/>
    <w:pPr>
      <w:pBdr>
        <w:top w:val="single" w:sz="4" w:space="5" w:color="auto"/>
        <w:bottom w:val="single" w:sz="4" w:space="5" w:color="auto"/>
      </w:pBdr>
      <w:spacing w:after="184" w:line="280" w:lineRule="exact"/>
      <w:ind w:firstLine="0"/>
    </w:pPr>
    <w:rPr>
      <w:rFonts w:ascii="Arial Black" w:hAnsi="Arial Black"/>
      <w:noProof/>
      <w:color w:val="E70033"/>
      <w:szCs w:val="26"/>
    </w:rPr>
  </w:style>
  <w:style w:type="table" w:customStyle="1" w:styleId="TableGrid1">
    <w:name w:val="Table Grid1"/>
    <w:basedOn w:val="TableNormal"/>
    <w:next w:val="TableGrid"/>
    <w:uiPriority w:val="39"/>
    <w:rsid w:val="00CC4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53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53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PRBaseTable1">
    <w:name w:val="MPR Base Table1"/>
    <w:basedOn w:val="TableNormal"/>
    <w:uiPriority w:val="99"/>
    <w:rsid w:val="00C655C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Anchor">
    <w:name w:val="Anchor"/>
    <w:uiPriority w:val="1"/>
    <w:qFormat/>
    <w:rsid w:val="00DD3104"/>
    <w:pPr>
      <w:spacing w:after="240" w:line="20" w:lineRule="exact"/>
    </w:pPr>
    <w:rPr>
      <w:rFonts w:ascii="Arial" w:eastAsia="Times New Roman" w:hAnsi="Arial" w:cs="Times New Roman"/>
      <w:noProof/>
      <w:color w:val="FFFFFF" w:themeColor="background1"/>
      <w:sz w:val="2"/>
      <w:szCs w:val="20"/>
      <w:vertAlign w:val="superscript"/>
    </w:rPr>
  </w:style>
  <w:style w:type="paragraph" w:customStyle="1" w:styleId="CoverTitle">
    <w:name w:val="Cover Title"/>
    <w:basedOn w:val="Normal"/>
    <w:qFormat/>
    <w:rsid w:val="00DD3104"/>
    <w:pPr>
      <w:suppressAutoHyphens/>
      <w:autoSpaceDE w:val="0"/>
      <w:autoSpaceDN w:val="0"/>
      <w:adjustRightInd w:val="0"/>
      <w:spacing w:before="360" w:after="720" w:line="240" w:lineRule="auto"/>
      <w:ind w:firstLine="0"/>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DD3104"/>
    <w:pPr>
      <w:tabs>
        <w:tab w:val="right" w:pos="9360"/>
        <w:tab w:val="right" w:pos="10800"/>
      </w:tabs>
      <w:spacing w:before="720" w:after="290" w:line="264" w:lineRule="auto"/>
      <w:ind w:firstLine="0"/>
    </w:pPr>
    <w:rPr>
      <w:rFonts w:asciiTheme="majorHAnsi" w:hAnsiTheme="majorHAnsi"/>
      <w:b/>
      <w:color w:val="0B2949" w:themeColor="accent1"/>
    </w:rPr>
  </w:style>
  <w:style w:type="paragraph" w:customStyle="1" w:styleId="CoverAuthor">
    <w:name w:val="Cover Author"/>
    <w:basedOn w:val="Normal"/>
    <w:qFormat/>
    <w:rsid w:val="00DD3104"/>
    <w:pPr>
      <w:suppressAutoHyphens/>
      <w:autoSpaceDE w:val="0"/>
      <w:autoSpaceDN w:val="0"/>
      <w:adjustRightInd w:val="0"/>
      <w:spacing w:before="280" w:after="600" w:line="288" w:lineRule="auto"/>
      <w:ind w:firstLine="0"/>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D3104"/>
    <w:pPr>
      <w:autoSpaceDE w:val="0"/>
      <w:autoSpaceDN w:val="0"/>
      <w:adjustRightInd w:val="0"/>
      <w:spacing w:after="90" w:line="276" w:lineRule="auto"/>
      <w:ind w:firstLine="0"/>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DD3104"/>
    <w:pPr>
      <w:spacing w:after="300" w:line="276" w:lineRule="auto"/>
      <w:ind w:firstLine="0"/>
      <w:contextualSpacing/>
    </w:pPr>
    <w:rPr>
      <w:rFonts w:ascii="Georgia" w:eastAsiaTheme="minorHAnsi" w:hAnsi="Georgia" w:cstheme="minorBidi"/>
      <w:color w:val="0B2949"/>
      <w:sz w:val="20"/>
    </w:rPr>
  </w:style>
  <w:style w:type="paragraph" w:customStyle="1" w:styleId="CoverSubtitle">
    <w:name w:val="Cover Subtitle"/>
    <w:basedOn w:val="CoverTitle"/>
    <w:uiPriority w:val="1"/>
    <w:qFormat/>
    <w:rsid w:val="00DD3104"/>
    <w:pPr>
      <w:spacing w:before="720" w:after="240"/>
    </w:pPr>
    <w:rPr>
      <w:sz w:val="34"/>
    </w:rPr>
  </w:style>
  <w:style w:type="paragraph" w:styleId="Date">
    <w:name w:val="Date"/>
    <w:basedOn w:val="Normal"/>
    <w:next w:val="Normal"/>
    <w:link w:val="DateChar"/>
    <w:uiPriority w:val="99"/>
    <w:semiHidden/>
    <w:unhideWhenUsed/>
    <w:rsid w:val="00DD3104"/>
  </w:style>
  <w:style w:type="character" w:customStyle="1" w:styleId="DateChar">
    <w:name w:val="Date Char"/>
    <w:basedOn w:val="DefaultParagraphFont"/>
    <w:link w:val="Date"/>
    <w:uiPriority w:val="99"/>
    <w:semiHidden/>
    <w:rsid w:val="00DD3104"/>
    <w:rPr>
      <w:rFonts w:ascii="Times New Roman" w:eastAsia="Times New Roman" w:hAnsi="Times New Roman" w:cs="Times New Roman"/>
      <w:sz w:val="24"/>
      <w:szCs w:val="20"/>
    </w:rPr>
  </w:style>
  <w:style w:type="character" w:customStyle="1" w:styleId="UnresolvedMention">
    <w:name w:val="Unresolved Mention"/>
    <w:basedOn w:val="DefaultParagraphFont"/>
    <w:uiPriority w:val="99"/>
    <w:semiHidden/>
    <w:unhideWhenUsed/>
    <w:rsid w:val="00D04E96"/>
    <w:rPr>
      <w:color w:val="605E5C"/>
      <w:shd w:val="clear" w:color="auto" w:fill="E1DFDD"/>
    </w:rPr>
  </w:style>
  <w:style w:type="paragraph" w:customStyle="1" w:styleId="BulletBlack">
    <w:name w:val="Bullet_Black"/>
    <w:basedOn w:val="Normal"/>
    <w:uiPriority w:val="99"/>
    <w:qFormat/>
    <w:rsid w:val="00E757E2"/>
    <w:pPr>
      <w:tabs>
        <w:tab w:val="left" w:pos="360"/>
      </w:tabs>
      <w:spacing w:after="120" w:line="240" w:lineRule="auto"/>
      <w:ind w:right="360" w:firstLine="0"/>
      <w:jc w:val="both"/>
    </w:pPr>
    <w:rPr>
      <w:rFonts w:ascii="Garamond" w:hAnsi="Garamon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544">
      <w:bodyDiv w:val="1"/>
      <w:marLeft w:val="0"/>
      <w:marRight w:val="0"/>
      <w:marTop w:val="0"/>
      <w:marBottom w:val="0"/>
      <w:divBdr>
        <w:top w:val="none" w:sz="0" w:space="0" w:color="auto"/>
        <w:left w:val="none" w:sz="0" w:space="0" w:color="auto"/>
        <w:bottom w:val="none" w:sz="0" w:space="0" w:color="auto"/>
        <w:right w:val="none" w:sz="0" w:space="0" w:color="auto"/>
      </w:divBdr>
    </w:div>
    <w:div w:id="127288235">
      <w:bodyDiv w:val="1"/>
      <w:marLeft w:val="0"/>
      <w:marRight w:val="0"/>
      <w:marTop w:val="0"/>
      <w:marBottom w:val="0"/>
      <w:divBdr>
        <w:top w:val="none" w:sz="0" w:space="0" w:color="auto"/>
        <w:left w:val="none" w:sz="0" w:space="0" w:color="auto"/>
        <w:bottom w:val="none" w:sz="0" w:space="0" w:color="auto"/>
        <w:right w:val="none" w:sz="0" w:space="0" w:color="auto"/>
      </w:divBdr>
    </w:div>
    <w:div w:id="161435075">
      <w:bodyDiv w:val="1"/>
      <w:marLeft w:val="0"/>
      <w:marRight w:val="0"/>
      <w:marTop w:val="0"/>
      <w:marBottom w:val="0"/>
      <w:divBdr>
        <w:top w:val="none" w:sz="0" w:space="0" w:color="auto"/>
        <w:left w:val="none" w:sz="0" w:space="0" w:color="auto"/>
        <w:bottom w:val="none" w:sz="0" w:space="0" w:color="auto"/>
        <w:right w:val="none" w:sz="0" w:space="0" w:color="auto"/>
      </w:divBdr>
    </w:div>
    <w:div w:id="172497194">
      <w:bodyDiv w:val="1"/>
      <w:marLeft w:val="0"/>
      <w:marRight w:val="0"/>
      <w:marTop w:val="0"/>
      <w:marBottom w:val="0"/>
      <w:divBdr>
        <w:top w:val="none" w:sz="0" w:space="0" w:color="auto"/>
        <w:left w:val="none" w:sz="0" w:space="0" w:color="auto"/>
        <w:bottom w:val="none" w:sz="0" w:space="0" w:color="auto"/>
        <w:right w:val="none" w:sz="0" w:space="0" w:color="auto"/>
      </w:divBdr>
    </w:div>
    <w:div w:id="184633559">
      <w:bodyDiv w:val="1"/>
      <w:marLeft w:val="0"/>
      <w:marRight w:val="0"/>
      <w:marTop w:val="0"/>
      <w:marBottom w:val="0"/>
      <w:divBdr>
        <w:top w:val="none" w:sz="0" w:space="0" w:color="auto"/>
        <w:left w:val="none" w:sz="0" w:space="0" w:color="auto"/>
        <w:bottom w:val="none" w:sz="0" w:space="0" w:color="auto"/>
        <w:right w:val="none" w:sz="0" w:space="0" w:color="auto"/>
      </w:divBdr>
    </w:div>
    <w:div w:id="309677309">
      <w:bodyDiv w:val="1"/>
      <w:marLeft w:val="0"/>
      <w:marRight w:val="0"/>
      <w:marTop w:val="0"/>
      <w:marBottom w:val="0"/>
      <w:divBdr>
        <w:top w:val="none" w:sz="0" w:space="0" w:color="auto"/>
        <w:left w:val="none" w:sz="0" w:space="0" w:color="auto"/>
        <w:bottom w:val="none" w:sz="0" w:space="0" w:color="auto"/>
        <w:right w:val="none" w:sz="0" w:space="0" w:color="auto"/>
      </w:divBdr>
    </w:div>
    <w:div w:id="352608757">
      <w:bodyDiv w:val="1"/>
      <w:marLeft w:val="0"/>
      <w:marRight w:val="0"/>
      <w:marTop w:val="0"/>
      <w:marBottom w:val="0"/>
      <w:divBdr>
        <w:top w:val="none" w:sz="0" w:space="0" w:color="auto"/>
        <w:left w:val="none" w:sz="0" w:space="0" w:color="auto"/>
        <w:bottom w:val="none" w:sz="0" w:space="0" w:color="auto"/>
        <w:right w:val="none" w:sz="0" w:space="0" w:color="auto"/>
      </w:divBdr>
    </w:div>
    <w:div w:id="380180398">
      <w:bodyDiv w:val="1"/>
      <w:marLeft w:val="0"/>
      <w:marRight w:val="0"/>
      <w:marTop w:val="0"/>
      <w:marBottom w:val="0"/>
      <w:divBdr>
        <w:top w:val="none" w:sz="0" w:space="0" w:color="auto"/>
        <w:left w:val="none" w:sz="0" w:space="0" w:color="auto"/>
        <w:bottom w:val="none" w:sz="0" w:space="0" w:color="auto"/>
        <w:right w:val="none" w:sz="0" w:space="0" w:color="auto"/>
      </w:divBdr>
    </w:div>
    <w:div w:id="479808337">
      <w:bodyDiv w:val="1"/>
      <w:marLeft w:val="0"/>
      <w:marRight w:val="0"/>
      <w:marTop w:val="0"/>
      <w:marBottom w:val="0"/>
      <w:divBdr>
        <w:top w:val="none" w:sz="0" w:space="0" w:color="auto"/>
        <w:left w:val="none" w:sz="0" w:space="0" w:color="auto"/>
        <w:bottom w:val="none" w:sz="0" w:space="0" w:color="auto"/>
        <w:right w:val="none" w:sz="0" w:space="0" w:color="auto"/>
      </w:divBdr>
    </w:div>
    <w:div w:id="511720710">
      <w:bodyDiv w:val="1"/>
      <w:marLeft w:val="0"/>
      <w:marRight w:val="0"/>
      <w:marTop w:val="0"/>
      <w:marBottom w:val="0"/>
      <w:divBdr>
        <w:top w:val="none" w:sz="0" w:space="0" w:color="auto"/>
        <w:left w:val="none" w:sz="0" w:space="0" w:color="auto"/>
        <w:bottom w:val="none" w:sz="0" w:space="0" w:color="auto"/>
        <w:right w:val="none" w:sz="0" w:space="0" w:color="auto"/>
      </w:divBdr>
    </w:div>
    <w:div w:id="516698756">
      <w:bodyDiv w:val="1"/>
      <w:marLeft w:val="0"/>
      <w:marRight w:val="0"/>
      <w:marTop w:val="0"/>
      <w:marBottom w:val="0"/>
      <w:divBdr>
        <w:top w:val="none" w:sz="0" w:space="0" w:color="auto"/>
        <w:left w:val="none" w:sz="0" w:space="0" w:color="auto"/>
        <w:bottom w:val="none" w:sz="0" w:space="0" w:color="auto"/>
        <w:right w:val="none" w:sz="0" w:space="0" w:color="auto"/>
      </w:divBdr>
    </w:div>
    <w:div w:id="531194172">
      <w:bodyDiv w:val="1"/>
      <w:marLeft w:val="0"/>
      <w:marRight w:val="0"/>
      <w:marTop w:val="0"/>
      <w:marBottom w:val="0"/>
      <w:divBdr>
        <w:top w:val="none" w:sz="0" w:space="0" w:color="auto"/>
        <w:left w:val="none" w:sz="0" w:space="0" w:color="auto"/>
        <w:bottom w:val="none" w:sz="0" w:space="0" w:color="auto"/>
        <w:right w:val="none" w:sz="0" w:space="0" w:color="auto"/>
      </w:divBdr>
    </w:div>
    <w:div w:id="536702807">
      <w:bodyDiv w:val="1"/>
      <w:marLeft w:val="0"/>
      <w:marRight w:val="0"/>
      <w:marTop w:val="0"/>
      <w:marBottom w:val="0"/>
      <w:divBdr>
        <w:top w:val="none" w:sz="0" w:space="0" w:color="auto"/>
        <w:left w:val="none" w:sz="0" w:space="0" w:color="auto"/>
        <w:bottom w:val="none" w:sz="0" w:space="0" w:color="auto"/>
        <w:right w:val="none" w:sz="0" w:space="0" w:color="auto"/>
      </w:divBdr>
    </w:div>
    <w:div w:id="557277802">
      <w:bodyDiv w:val="1"/>
      <w:marLeft w:val="0"/>
      <w:marRight w:val="0"/>
      <w:marTop w:val="0"/>
      <w:marBottom w:val="0"/>
      <w:divBdr>
        <w:top w:val="none" w:sz="0" w:space="0" w:color="auto"/>
        <w:left w:val="none" w:sz="0" w:space="0" w:color="auto"/>
        <w:bottom w:val="none" w:sz="0" w:space="0" w:color="auto"/>
        <w:right w:val="none" w:sz="0" w:space="0" w:color="auto"/>
      </w:divBdr>
    </w:div>
    <w:div w:id="559441846">
      <w:bodyDiv w:val="1"/>
      <w:marLeft w:val="0"/>
      <w:marRight w:val="0"/>
      <w:marTop w:val="0"/>
      <w:marBottom w:val="0"/>
      <w:divBdr>
        <w:top w:val="none" w:sz="0" w:space="0" w:color="auto"/>
        <w:left w:val="none" w:sz="0" w:space="0" w:color="auto"/>
        <w:bottom w:val="none" w:sz="0" w:space="0" w:color="auto"/>
        <w:right w:val="none" w:sz="0" w:space="0" w:color="auto"/>
      </w:divBdr>
    </w:div>
    <w:div w:id="594559754">
      <w:bodyDiv w:val="1"/>
      <w:marLeft w:val="0"/>
      <w:marRight w:val="0"/>
      <w:marTop w:val="0"/>
      <w:marBottom w:val="0"/>
      <w:divBdr>
        <w:top w:val="none" w:sz="0" w:space="0" w:color="auto"/>
        <w:left w:val="none" w:sz="0" w:space="0" w:color="auto"/>
        <w:bottom w:val="none" w:sz="0" w:space="0" w:color="auto"/>
        <w:right w:val="none" w:sz="0" w:space="0" w:color="auto"/>
      </w:divBdr>
    </w:div>
    <w:div w:id="818157772">
      <w:bodyDiv w:val="1"/>
      <w:marLeft w:val="0"/>
      <w:marRight w:val="0"/>
      <w:marTop w:val="0"/>
      <w:marBottom w:val="0"/>
      <w:divBdr>
        <w:top w:val="none" w:sz="0" w:space="0" w:color="auto"/>
        <w:left w:val="none" w:sz="0" w:space="0" w:color="auto"/>
        <w:bottom w:val="none" w:sz="0" w:space="0" w:color="auto"/>
        <w:right w:val="none" w:sz="0" w:space="0" w:color="auto"/>
      </w:divBdr>
    </w:div>
    <w:div w:id="971666567">
      <w:bodyDiv w:val="1"/>
      <w:marLeft w:val="0"/>
      <w:marRight w:val="0"/>
      <w:marTop w:val="0"/>
      <w:marBottom w:val="0"/>
      <w:divBdr>
        <w:top w:val="none" w:sz="0" w:space="0" w:color="auto"/>
        <w:left w:val="none" w:sz="0" w:space="0" w:color="auto"/>
        <w:bottom w:val="none" w:sz="0" w:space="0" w:color="auto"/>
        <w:right w:val="none" w:sz="0" w:space="0" w:color="auto"/>
      </w:divBdr>
    </w:div>
    <w:div w:id="1100756790">
      <w:bodyDiv w:val="1"/>
      <w:marLeft w:val="0"/>
      <w:marRight w:val="0"/>
      <w:marTop w:val="0"/>
      <w:marBottom w:val="0"/>
      <w:divBdr>
        <w:top w:val="none" w:sz="0" w:space="0" w:color="auto"/>
        <w:left w:val="none" w:sz="0" w:space="0" w:color="auto"/>
        <w:bottom w:val="none" w:sz="0" w:space="0" w:color="auto"/>
        <w:right w:val="none" w:sz="0" w:space="0" w:color="auto"/>
      </w:divBdr>
    </w:div>
    <w:div w:id="1142234081">
      <w:bodyDiv w:val="1"/>
      <w:marLeft w:val="0"/>
      <w:marRight w:val="0"/>
      <w:marTop w:val="0"/>
      <w:marBottom w:val="0"/>
      <w:divBdr>
        <w:top w:val="none" w:sz="0" w:space="0" w:color="auto"/>
        <w:left w:val="none" w:sz="0" w:space="0" w:color="auto"/>
        <w:bottom w:val="none" w:sz="0" w:space="0" w:color="auto"/>
        <w:right w:val="none" w:sz="0" w:space="0" w:color="auto"/>
      </w:divBdr>
    </w:div>
    <w:div w:id="1176193685">
      <w:bodyDiv w:val="1"/>
      <w:marLeft w:val="0"/>
      <w:marRight w:val="0"/>
      <w:marTop w:val="0"/>
      <w:marBottom w:val="0"/>
      <w:divBdr>
        <w:top w:val="none" w:sz="0" w:space="0" w:color="auto"/>
        <w:left w:val="none" w:sz="0" w:space="0" w:color="auto"/>
        <w:bottom w:val="none" w:sz="0" w:space="0" w:color="auto"/>
        <w:right w:val="none" w:sz="0" w:space="0" w:color="auto"/>
      </w:divBdr>
    </w:div>
    <w:div w:id="1196037173">
      <w:bodyDiv w:val="1"/>
      <w:marLeft w:val="0"/>
      <w:marRight w:val="0"/>
      <w:marTop w:val="0"/>
      <w:marBottom w:val="0"/>
      <w:divBdr>
        <w:top w:val="none" w:sz="0" w:space="0" w:color="auto"/>
        <w:left w:val="none" w:sz="0" w:space="0" w:color="auto"/>
        <w:bottom w:val="none" w:sz="0" w:space="0" w:color="auto"/>
        <w:right w:val="none" w:sz="0" w:space="0" w:color="auto"/>
      </w:divBdr>
    </w:div>
    <w:div w:id="1485705286">
      <w:bodyDiv w:val="1"/>
      <w:marLeft w:val="0"/>
      <w:marRight w:val="0"/>
      <w:marTop w:val="0"/>
      <w:marBottom w:val="0"/>
      <w:divBdr>
        <w:top w:val="none" w:sz="0" w:space="0" w:color="auto"/>
        <w:left w:val="none" w:sz="0" w:space="0" w:color="auto"/>
        <w:bottom w:val="none" w:sz="0" w:space="0" w:color="auto"/>
        <w:right w:val="none" w:sz="0" w:space="0" w:color="auto"/>
      </w:divBdr>
    </w:div>
    <w:div w:id="1564680408">
      <w:bodyDiv w:val="1"/>
      <w:marLeft w:val="0"/>
      <w:marRight w:val="0"/>
      <w:marTop w:val="0"/>
      <w:marBottom w:val="0"/>
      <w:divBdr>
        <w:top w:val="none" w:sz="0" w:space="0" w:color="auto"/>
        <w:left w:val="none" w:sz="0" w:space="0" w:color="auto"/>
        <w:bottom w:val="none" w:sz="0" w:space="0" w:color="auto"/>
        <w:right w:val="none" w:sz="0" w:space="0" w:color="auto"/>
      </w:divBdr>
    </w:div>
    <w:div w:id="1583374658">
      <w:bodyDiv w:val="1"/>
      <w:marLeft w:val="0"/>
      <w:marRight w:val="0"/>
      <w:marTop w:val="0"/>
      <w:marBottom w:val="0"/>
      <w:divBdr>
        <w:top w:val="none" w:sz="0" w:space="0" w:color="auto"/>
        <w:left w:val="none" w:sz="0" w:space="0" w:color="auto"/>
        <w:bottom w:val="none" w:sz="0" w:space="0" w:color="auto"/>
        <w:right w:val="none" w:sz="0" w:space="0" w:color="auto"/>
      </w:divBdr>
    </w:div>
    <w:div w:id="1761173997">
      <w:bodyDiv w:val="1"/>
      <w:marLeft w:val="0"/>
      <w:marRight w:val="0"/>
      <w:marTop w:val="0"/>
      <w:marBottom w:val="0"/>
      <w:divBdr>
        <w:top w:val="none" w:sz="0" w:space="0" w:color="auto"/>
        <w:left w:val="none" w:sz="0" w:space="0" w:color="auto"/>
        <w:bottom w:val="none" w:sz="0" w:space="0" w:color="auto"/>
        <w:right w:val="none" w:sz="0" w:space="0" w:color="auto"/>
      </w:divBdr>
    </w:div>
    <w:div w:id="1790120642">
      <w:bodyDiv w:val="1"/>
      <w:marLeft w:val="0"/>
      <w:marRight w:val="0"/>
      <w:marTop w:val="0"/>
      <w:marBottom w:val="0"/>
      <w:divBdr>
        <w:top w:val="none" w:sz="0" w:space="0" w:color="auto"/>
        <w:left w:val="none" w:sz="0" w:space="0" w:color="auto"/>
        <w:bottom w:val="none" w:sz="0" w:space="0" w:color="auto"/>
        <w:right w:val="none" w:sz="0" w:space="0" w:color="auto"/>
      </w:divBdr>
    </w:div>
    <w:div w:id="1793666093">
      <w:bodyDiv w:val="1"/>
      <w:marLeft w:val="0"/>
      <w:marRight w:val="0"/>
      <w:marTop w:val="0"/>
      <w:marBottom w:val="0"/>
      <w:divBdr>
        <w:top w:val="none" w:sz="0" w:space="0" w:color="auto"/>
        <w:left w:val="none" w:sz="0" w:space="0" w:color="auto"/>
        <w:bottom w:val="none" w:sz="0" w:space="0" w:color="auto"/>
        <w:right w:val="none" w:sz="0" w:space="0" w:color="auto"/>
      </w:divBdr>
    </w:div>
    <w:div w:id="1813448399">
      <w:bodyDiv w:val="1"/>
      <w:marLeft w:val="0"/>
      <w:marRight w:val="0"/>
      <w:marTop w:val="0"/>
      <w:marBottom w:val="0"/>
      <w:divBdr>
        <w:top w:val="none" w:sz="0" w:space="0" w:color="auto"/>
        <w:left w:val="none" w:sz="0" w:space="0" w:color="auto"/>
        <w:bottom w:val="none" w:sz="0" w:space="0" w:color="auto"/>
        <w:right w:val="none" w:sz="0" w:space="0" w:color="auto"/>
      </w:divBdr>
    </w:div>
    <w:div w:id="1909340393">
      <w:bodyDiv w:val="1"/>
      <w:marLeft w:val="0"/>
      <w:marRight w:val="0"/>
      <w:marTop w:val="0"/>
      <w:marBottom w:val="0"/>
      <w:divBdr>
        <w:top w:val="none" w:sz="0" w:space="0" w:color="auto"/>
        <w:left w:val="none" w:sz="0" w:space="0" w:color="auto"/>
        <w:bottom w:val="none" w:sz="0" w:space="0" w:color="auto"/>
        <w:right w:val="none" w:sz="0" w:space="0" w:color="auto"/>
      </w:divBdr>
    </w:div>
    <w:div w:id="198642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osh2.nr0.htm" TargetMode="External"/><Relationship Id="rId18" Type="http://schemas.openxmlformats.org/officeDocument/2006/relationships/hyperlink" Target="javascrip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150.statcan.gc.ca/n1/en/pub/12-001-x/2017001/article/14836-eng.pdf?st=UIIot_RI" TargetMode="Externa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20" Type="http://schemas.openxmlformats.org/officeDocument/2006/relationships/hyperlink" Target="http://www.nap.edu/read/10206/chapter/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ls.gov/oes/current/oes211015.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javascript:;" TargetMode="External"/><Relationship Id="rId86"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119151.htm"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odep/topics/SAW-RTW/RETAIN-Phase-1-Recipient-Snapshot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A8AEA6B862674A89859351EC2BD247" ma:contentTypeVersion="0" ma:contentTypeDescription="Create a new document." ma:contentTypeScope="" ma:versionID="5440742d494fd7d91a0de60e8007bd7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09839-EA11-445D-8F9B-6C16779C0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A6D3332-5402-4A16-BEF3-74DE9350470B}">
  <ds:schemaRefs>
    <ds:schemaRef ds:uri="http://schemas.microsoft.com/sharepoint/v3/contenttype/forms"/>
  </ds:schemaRefs>
</ds:datastoreItem>
</file>

<file path=customXml/itemProps3.xml><?xml version="1.0" encoding="utf-8"?>
<ds:datastoreItem xmlns:ds="http://schemas.openxmlformats.org/officeDocument/2006/customXml" ds:itemID="{A2A12F86-0389-4739-A65B-0B778964046D}">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5EADC75-8CF0-45EA-9A24-3BC7E0103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19</Pages>
  <Words>8041</Words>
  <Characters>45837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RETAIN OMB Data Collection Package</vt:lpstr>
    </vt:vector>
  </TitlesOfParts>
  <Company/>
  <LinksUpToDate>false</LinksUpToDate>
  <CharactersWithSpaces>53771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RETAIN OMB Data Collection Package</dc:title>
  <dc:subject/>
  <dc:creator>MATHEMATICA</dc:creator>
  <cp:keywords/>
  <dc:description/>
  <cp:lastModifiedBy>Naomi Sipple</cp:lastModifiedBy>
  <cp:revision>2</cp:revision>
  <cp:lastPrinted>2020-02-24T22:31:00Z</cp:lastPrinted>
  <dcterms:created xsi:type="dcterms:W3CDTF">2021-03-22T20:11:00Z</dcterms:created>
  <dcterms:modified xsi:type="dcterms:W3CDTF">2021-03-22T20:11:00Z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0x010100D8A8AEA6B862674A89859351EC2BD247</vt:lpwstr>
  </property>
  <property fmtid="{D5CDD505-2E9C-101B-9397-08002B2CF9AE}" pid="3" name="_NewReviewCycle">
    <vt:lpwstr/>
  </property>
  <property fmtid="{D5CDD505-2E9C-101B-9397-08002B2CF9AE}" pid="4" name="_AdHocReviewCycleID">
    <vt:i4>-127645956</vt:i4>
  </property>
  <property fmtid="{D5CDD505-2E9C-101B-9397-08002B2CF9AE}" pid="5" name="_EmailSubject">
    <vt:lpwstr>RETAIN OMB PRA Package</vt:lpwstr>
  </property>
  <property fmtid="{D5CDD505-2E9C-101B-9397-08002B2CF9AE}" pid="6" name="_AuthorEmail">
    <vt:lpwstr>Jackson.Costa@ssa.gov</vt:lpwstr>
  </property>
  <property fmtid="{D5CDD505-2E9C-101B-9397-08002B2CF9AE}" pid="7" name="_AuthorEmailDisplayName">
    <vt:lpwstr>Costa, Jackson</vt:lpwstr>
  </property>
  <property fmtid="{D5CDD505-2E9C-101B-9397-08002B2CF9AE}" pid="8" name="_ReviewingToolsShownOnce">
    <vt:lpwstr/>
  </property>
</Properties>
</file>