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257F6" w:rsidR="0005680D" w:rsidP="00417924" w:rsidRDefault="0005680D" w14:paraId="7B098020" w14:textId="5DF375F9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bCs/>
          <w:sz w:val="22"/>
          <w:szCs w:val="22"/>
        </w:rPr>
        <w:t>To:</w:t>
      </w:r>
      <w:r w:rsidRPr="00B257F6">
        <w:rPr>
          <w:rFonts w:ascii="Lato" w:hAnsi="Lato"/>
          <w:sz w:val="22"/>
          <w:szCs w:val="22"/>
        </w:rPr>
        <w:tab/>
      </w:r>
      <w:r w:rsidRPr="00B257F6" w:rsidR="00E47123">
        <w:rPr>
          <w:rFonts w:ascii="Lato" w:hAnsi="Lato"/>
          <w:sz w:val="22"/>
          <w:szCs w:val="22"/>
        </w:rPr>
        <w:t>Jordan Cohen</w:t>
      </w:r>
    </w:p>
    <w:p w:rsidRPr="00B257F6" w:rsidR="0005680D" w:rsidP="00417924" w:rsidRDefault="0005680D" w14:paraId="36853E0B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bCs/>
          <w:sz w:val="22"/>
          <w:szCs w:val="22"/>
        </w:rPr>
        <w:tab/>
      </w:r>
      <w:r w:rsidRPr="00B257F6">
        <w:rPr>
          <w:rFonts w:ascii="Lato" w:hAnsi="Lato"/>
          <w:sz w:val="22"/>
          <w:szCs w:val="22"/>
        </w:rPr>
        <w:t>Office of Information and Regulatory Affairs (OIRA)</w:t>
      </w:r>
    </w:p>
    <w:p w:rsidRPr="00B257F6" w:rsidR="0005680D" w:rsidP="00417924" w:rsidRDefault="0005680D" w14:paraId="30A9ED8F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ab/>
        <w:t>Office of Management and Budget (OMB)</w:t>
      </w:r>
    </w:p>
    <w:p w:rsidRPr="00B257F6" w:rsidR="0005680D" w:rsidP="00417924" w:rsidRDefault="0005680D" w14:paraId="020B5E52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</w:p>
    <w:p w:rsidRPr="00B257F6" w:rsidR="0005680D" w:rsidP="00417924" w:rsidRDefault="0005680D" w14:paraId="092E1B53" w14:textId="4A7B622F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bCs/>
          <w:sz w:val="22"/>
          <w:szCs w:val="22"/>
        </w:rPr>
        <w:t>From:</w:t>
      </w:r>
      <w:r w:rsidRPr="00B257F6">
        <w:rPr>
          <w:rFonts w:ascii="Lato" w:hAnsi="Lato"/>
          <w:sz w:val="22"/>
          <w:szCs w:val="22"/>
        </w:rPr>
        <w:tab/>
      </w:r>
      <w:r w:rsidRPr="00B257F6" w:rsidR="00E973DC">
        <w:rPr>
          <w:rFonts w:ascii="Lato" w:hAnsi="Lato"/>
          <w:sz w:val="22"/>
          <w:szCs w:val="22"/>
        </w:rPr>
        <w:t>Maria Woolverton</w:t>
      </w:r>
      <w:r w:rsidRPr="00B257F6" w:rsidR="00D175E2">
        <w:rPr>
          <w:rFonts w:ascii="Lato" w:hAnsi="Lato"/>
          <w:sz w:val="22"/>
          <w:szCs w:val="22"/>
        </w:rPr>
        <w:t xml:space="preserve"> and </w:t>
      </w:r>
      <w:r w:rsidRPr="00B257F6" w:rsidR="00E973DC">
        <w:rPr>
          <w:rFonts w:ascii="Lato" w:hAnsi="Lato"/>
          <w:sz w:val="22"/>
          <w:szCs w:val="22"/>
        </w:rPr>
        <w:t>Kelly McKenzie</w:t>
      </w:r>
    </w:p>
    <w:p w:rsidRPr="00B257F6" w:rsidR="0005680D" w:rsidP="00417924" w:rsidRDefault="0005680D" w14:paraId="48DB0716" w14:textId="2BE48544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bCs/>
          <w:sz w:val="22"/>
          <w:szCs w:val="22"/>
        </w:rPr>
        <w:tab/>
      </w:r>
      <w:r w:rsidRPr="00B257F6">
        <w:rPr>
          <w:rFonts w:ascii="Lato" w:hAnsi="Lato"/>
          <w:sz w:val="22"/>
          <w:szCs w:val="22"/>
        </w:rPr>
        <w:t>Office of Planning, Research</w:t>
      </w:r>
      <w:r w:rsidR="008D54F3">
        <w:rPr>
          <w:rFonts w:ascii="Lato" w:hAnsi="Lato"/>
          <w:sz w:val="22"/>
          <w:szCs w:val="22"/>
        </w:rPr>
        <w:t>,</w:t>
      </w:r>
      <w:r w:rsidRPr="00B257F6">
        <w:rPr>
          <w:rFonts w:ascii="Lato" w:hAnsi="Lato"/>
          <w:sz w:val="22"/>
          <w:szCs w:val="22"/>
        </w:rPr>
        <w:t xml:space="preserve"> and Evaluation (OPRE)</w:t>
      </w:r>
    </w:p>
    <w:p w:rsidRPr="00B257F6" w:rsidR="0005680D" w:rsidP="00417924" w:rsidRDefault="0005680D" w14:paraId="15ABAFDA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ab/>
        <w:t>Administration for Children and Families (ACF)</w:t>
      </w:r>
    </w:p>
    <w:p w:rsidRPr="00B257F6" w:rsidR="0005680D" w:rsidP="00417924" w:rsidRDefault="0005680D" w14:paraId="7685F2B8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</w:p>
    <w:p w:rsidRPr="00B257F6" w:rsidR="0005680D" w:rsidP="00417924" w:rsidRDefault="76CC4F04" w14:paraId="0BBD6359" w14:textId="0089BD43">
      <w:pPr>
        <w:tabs>
          <w:tab w:val="left" w:pos="1080"/>
        </w:tabs>
        <w:rPr>
          <w:rFonts w:ascii="Lato" w:hAnsi="Lato"/>
          <w:sz w:val="22"/>
          <w:szCs w:val="22"/>
        </w:rPr>
      </w:pPr>
      <w:r w:rsidRPr="76CC4F04">
        <w:rPr>
          <w:rFonts w:ascii="Lato" w:hAnsi="Lato"/>
          <w:b/>
          <w:bCs/>
          <w:sz w:val="22"/>
          <w:szCs w:val="22"/>
        </w:rPr>
        <w:t>Date:</w:t>
      </w:r>
      <w:r w:rsidR="0005680D">
        <w:tab/>
      </w:r>
      <w:r w:rsidR="00E37D89">
        <w:rPr>
          <w:rFonts w:ascii="Lato" w:hAnsi="Lato"/>
          <w:sz w:val="22"/>
          <w:szCs w:val="22"/>
        </w:rPr>
        <w:t xml:space="preserve">March </w:t>
      </w:r>
      <w:r w:rsidR="001B2D40">
        <w:rPr>
          <w:rFonts w:ascii="Lato" w:hAnsi="Lato"/>
          <w:sz w:val="22"/>
          <w:szCs w:val="22"/>
        </w:rPr>
        <w:t>3</w:t>
      </w:r>
      <w:r w:rsidR="00E37D89">
        <w:rPr>
          <w:rFonts w:ascii="Lato" w:hAnsi="Lato"/>
          <w:sz w:val="22"/>
          <w:szCs w:val="22"/>
        </w:rPr>
        <w:t>,</w:t>
      </w:r>
      <w:r w:rsidR="00760637">
        <w:rPr>
          <w:rFonts w:ascii="Lato" w:hAnsi="Lato"/>
          <w:sz w:val="22"/>
          <w:szCs w:val="22"/>
        </w:rPr>
        <w:t xml:space="preserve"> </w:t>
      </w:r>
      <w:r w:rsidRPr="76CC4F04">
        <w:rPr>
          <w:rFonts w:ascii="Lato" w:hAnsi="Lato"/>
          <w:sz w:val="22"/>
          <w:szCs w:val="22"/>
        </w:rPr>
        <w:t>2021</w:t>
      </w:r>
    </w:p>
    <w:p w:rsidRPr="00B257F6" w:rsidR="0005680D" w:rsidP="00417924" w:rsidRDefault="0005680D" w14:paraId="7B991363" w14:textId="77777777">
      <w:pPr>
        <w:tabs>
          <w:tab w:val="left" w:pos="1080"/>
        </w:tabs>
        <w:rPr>
          <w:rFonts w:ascii="Lato" w:hAnsi="Lato"/>
          <w:sz w:val="22"/>
          <w:szCs w:val="22"/>
        </w:rPr>
      </w:pPr>
    </w:p>
    <w:p w:rsidRPr="00B257F6" w:rsidR="0005680D" w:rsidP="00417924" w:rsidRDefault="0005680D" w14:paraId="3A89B6CD" w14:textId="4A6D8488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bCs/>
          <w:sz w:val="22"/>
          <w:szCs w:val="22"/>
        </w:rPr>
        <w:t>Subject:</w:t>
      </w:r>
      <w:r w:rsidRPr="00B257F6">
        <w:rPr>
          <w:rFonts w:ascii="Lato" w:hAnsi="Lato"/>
          <w:sz w:val="22"/>
          <w:szCs w:val="22"/>
        </w:rPr>
        <w:tab/>
        <w:t>Non</w:t>
      </w:r>
      <w:r w:rsidRPr="00B257F6" w:rsidR="005E22F6">
        <w:rPr>
          <w:rFonts w:ascii="Lato" w:hAnsi="Lato"/>
          <w:sz w:val="22"/>
          <w:szCs w:val="22"/>
        </w:rPr>
        <w:t>-</w:t>
      </w:r>
      <w:r w:rsidRPr="00B257F6">
        <w:rPr>
          <w:rFonts w:ascii="Lato" w:hAnsi="Lato"/>
          <w:sz w:val="22"/>
          <w:szCs w:val="22"/>
        </w:rPr>
        <w:t xml:space="preserve">Substantive Change Request – </w:t>
      </w:r>
      <w:r w:rsidRPr="00B257F6" w:rsidR="005E22F6">
        <w:rPr>
          <w:rFonts w:ascii="Lato" w:hAnsi="Lato"/>
          <w:sz w:val="22"/>
          <w:szCs w:val="22"/>
        </w:rPr>
        <w:t xml:space="preserve">Phase II Evaluation Activities for Implementing a Next Generation Evaluation Agenda for the Chafee Foster Care Program for Successful Transition to Adulthood: A Study of the Use of the Family Unification Program (FUP) for Youth who have Experienced Foster Care </w:t>
      </w:r>
      <w:r w:rsidRPr="00B257F6" w:rsidR="00D175E2">
        <w:rPr>
          <w:rFonts w:ascii="Lato" w:hAnsi="Lato"/>
          <w:sz w:val="22"/>
          <w:szCs w:val="22"/>
        </w:rPr>
        <w:t>(OMB #</w:t>
      </w:r>
      <w:r w:rsidRPr="00B257F6" w:rsidR="005E22F6">
        <w:rPr>
          <w:rFonts w:ascii="Lato" w:hAnsi="Lato"/>
          <w:sz w:val="22"/>
          <w:szCs w:val="22"/>
        </w:rPr>
        <w:t>0970-0544</w:t>
      </w:r>
      <w:r w:rsidRPr="00B257F6" w:rsidR="00D175E2">
        <w:rPr>
          <w:rFonts w:ascii="Lato" w:hAnsi="Lato"/>
          <w:sz w:val="22"/>
          <w:szCs w:val="22"/>
        </w:rPr>
        <w:t xml:space="preserve">) </w:t>
      </w:r>
    </w:p>
    <w:p w:rsidRPr="00B257F6" w:rsidR="0005680D" w:rsidP="00417924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</w:p>
    <w:p w:rsidRPr="00B257F6" w:rsidR="0005680D" w:rsidP="00417924" w:rsidRDefault="0005680D" w14:paraId="595C69AB" w14:textId="77777777">
      <w:pPr>
        <w:tabs>
          <w:tab w:val="left" w:pos="1080"/>
        </w:tabs>
        <w:ind w:left="1080" w:hanging="1080"/>
        <w:rPr>
          <w:rFonts w:ascii="Lato" w:hAnsi="Lato"/>
          <w:sz w:val="22"/>
          <w:szCs w:val="22"/>
        </w:rPr>
      </w:pPr>
    </w:p>
    <w:p w:rsidRPr="00B257F6" w:rsidR="00E525D4" w:rsidP="00417924" w:rsidRDefault="0005680D" w14:paraId="494EB7FC" w14:textId="507528D6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This memo requests approval of non</w:t>
      </w:r>
      <w:r w:rsidRPr="00B257F6" w:rsidR="000B545D">
        <w:rPr>
          <w:rFonts w:ascii="Lato" w:hAnsi="Lato"/>
          <w:sz w:val="22"/>
          <w:szCs w:val="22"/>
        </w:rPr>
        <w:t>-</w:t>
      </w:r>
      <w:r w:rsidRPr="00B257F6">
        <w:rPr>
          <w:rFonts w:ascii="Lato" w:hAnsi="Lato"/>
          <w:sz w:val="22"/>
          <w:szCs w:val="22"/>
        </w:rPr>
        <w:t xml:space="preserve">substantive changes to the approved information collection, </w:t>
      </w:r>
      <w:r w:rsidRPr="00B257F6" w:rsidR="00E973DC">
        <w:rPr>
          <w:rFonts w:ascii="Lato" w:hAnsi="Lato"/>
          <w:sz w:val="22"/>
          <w:szCs w:val="22"/>
        </w:rPr>
        <w:t xml:space="preserve">Phase II Evaluation Activities for Implementing a Next Generation Evaluation Agenda for the Chafee Foster Care </w:t>
      </w:r>
      <w:r w:rsidRPr="00B257F6" w:rsidR="000B545D">
        <w:rPr>
          <w:rFonts w:ascii="Lato" w:hAnsi="Lato"/>
          <w:sz w:val="22"/>
          <w:szCs w:val="22"/>
        </w:rPr>
        <w:t>Program for Successful transition to Adulthood: A Study of the Use of the Family Unification Program (FUP) for Youth who have Experienced Foster Care</w:t>
      </w:r>
      <w:r w:rsidRPr="00B257F6" w:rsidDel="0091767D" w:rsidR="00D175E2">
        <w:rPr>
          <w:rFonts w:ascii="Lato" w:hAnsi="Lato"/>
          <w:sz w:val="22"/>
          <w:szCs w:val="22"/>
        </w:rPr>
        <w:t xml:space="preserve"> </w:t>
      </w:r>
      <w:r w:rsidRPr="00B257F6" w:rsidR="00D175E2">
        <w:rPr>
          <w:rFonts w:ascii="Lato" w:hAnsi="Lato"/>
          <w:sz w:val="22"/>
          <w:szCs w:val="22"/>
        </w:rPr>
        <w:t>(OMB #0970-</w:t>
      </w:r>
      <w:r w:rsidRPr="00B257F6" w:rsidR="000B545D">
        <w:rPr>
          <w:rFonts w:ascii="Lato" w:hAnsi="Lato"/>
          <w:sz w:val="22"/>
          <w:szCs w:val="22"/>
        </w:rPr>
        <w:t>0544</w:t>
      </w:r>
      <w:r w:rsidRPr="00B257F6" w:rsidR="00D175E2">
        <w:rPr>
          <w:rFonts w:ascii="Lato" w:hAnsi="Lato"/>
          <w:sz w:val="22"/>
          <w:szCs w:val="22"/>
        </w:rPr>
        <w:t>).</w:t>
      </w:r>
    </w:p>
    <w:p w:rsidRPr="00B257F6" w:rsidR="00417924" w:rsidP="00417924" w:rsidRDefault="00417924" w14:paraId="79A024EF" w14:textId="77777777">
      <w:pPr>
        <w:rPr>
          <w:rFonts w:ascii="Lato" w:hAnsi="Lato"/>
          <w:sz w:val="22"/>
          <w:szCs w:val="22"/>
        </w:rPr>
      </w:pPr>
    </w:p>
    <w:p w:rsidRPr="00B257F6" w:rsidR="00417924" w:rsidP="00417924" w:rsidRDefault="0005680D" w14:paraId="4F041207" w14:textId="6A347EB1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b/>
          <w:i/>
          <w:sz w:val="22"/>
          <w:szCs w:val="22"/>
        </w:rPr>
        <w:t>Background</w:t>
      </w:r>
    </w:p>
    <w:p w:rsidRPr="00B257F6" w:rsidR="00CA42AE" w:rsidP="00417924" w:rsidRDefault="000B545D" w14:paraId="1031ABA8" w14:textId="0014A991">
      <w:pPr>
        <w:pStyle w:val="CommentText"/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 xml:space="preserve">The FUP for Youth </w:t>
      </w:r>
      <w:r w:rsidRPr="00B257F6" w:rsidR="00D175E2">
        <w:rPr>
          <w:rFonts w:ascii="Lato" w:hAnsi="Lato"/>
          <w:sz w:val="22"/>
          <w:szCs w:val="22"/>
        </w:rPr>
        <w:t xml:space="preserve">study </w:t>
      </w:r>
      <w:r w:rsidRPr="00B257F6" w:rsidR="00CA42AE">
        <w:rPr>
          <w:rFonts w:ascii="Lato" w:hAnsi="Lato"/>
          <w:sz w:val="22"/>
          <w:szCs w:val="22"/>
        </w:rPr>
        <w:t xml:space="preserve">is a descriptive study that </w:t>
      </w:r>
      <w:r w:rsidRPr="00B257F6">
        <w:rPr>
          <w:rFonts w:ascii="Lato" w:hAnsi="Lato"/>
          <w:sz w:val="22"/>
          <w:szCs w:val="22"/>
        </w:rPr>
        <w:t xml:space="preserve">builds on prior research </w:t>
      </w:r>
      <w:r w:rsidRPr="00B257F6" w:rsidR="00CA42AE">
        <w:rPr>
          <w:rFonts w:ascii="Lato" w:hAnsi="Lato"/>
          <w:sz w:val="22"/>
          <w:szCs w:val="22"/>
        </w:rPr>
        <w:t>to increase our understanding of the procedures, successes, and challenges of implementing FUP to support the housing needs of youth previously and currently in foster care. T</w:t>
      </w:r>
      <w:r w:rsidRPr="00B257F6" w:rsidR="00BA7A00">
        <w:rPr>
          <w:rFonts w:ascii="Lato" w:hAnsi="Lato"/>
          <w:sz w:val="22"/>
          <w:szCs w:val="22"/>
        </w:rPr>
        <w:t>his study is intended to provide a</w:t>
      </w:r>
      <w:r w:rsidRPr="00B257F6" w:rsidR="00CA42AE">
        <w:rPr>
          <w:rFonts w:ascii="Lato" w:hAnsi="Lato"/>
          <w:sz w:val="22"/>
          <w:szCs w:val="22"/>
        </w:rPr>
        <w:t>n</w:t>
      </w:r>
      <w:r w:rsidRPr="00B257F6" w:rsidR="00BA7A00">
        <w:rPr>
          <w:rFonts w:ascii="Lato" w:hAnsi="Lato"/>
          <w:sz w:val="22"/>
          <w:szCs w:val="22"/>
        </w:rPr>
        <w:t xml:space="preserve"> updated view of how FUP is used to serve youth in practice after substantial changes to program requirements. </w:t>
      </w:r>
    </w:p>
    <w:p w:rsidRPr="00B257F6" w:rsidR="00CA42AE" w:rsidP="00417924" w:rsidRDefault="00CA42AE" w14:paraId="11F5E6A6" w14:textId="77777777">
      <w:pPr>
        <w:pStyle w:val="CommentText"/>
        <w:rPr>
          <w:rFonts w:ascii="Lato" w:hAnsi="Lato"/>
          <w:sz w:val="22"/>
          <w:szCs w:val="22"/>
        </w:rPr>
      </w:pPr>
    </w:p>
    <w:p w:rsidRPr="00B257F6" w:rsidR="00D175E2" w:rsidP="00CA42AE" w:rsidRDefault="00A63A29" w14:paraId="768E37A0" w14:textId="0675C74C">
      <w:pPr>
        <w:pStyle w:val="CommentTex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Project activities</w:t>
      </w:r>
      <w:r w:rsidRPr="00B257F6" w:rsidR="00BA7A00">
        <w:rPr>
          <w:rFonts w:ascii="Lato" w:hAnsi="Lato"/>
          <w:sz w:val="22"/>
          <w:szCs w:val="22"/>
        </w:rPr>
        <w:t xml:space="preserve"> involve a </w:t>
      </w:r>
      <w:r w:rsidRPr="00B257F6" w:rsidR="00CA42AE">
        <w:rPr>
          <w:rFonts w:ascii="Lato" w:hAnsi="Lato"/>
          <w:sz w:val="22"/>
          <w:szCs w:val="22"/>
        </w:rPr>
        <w:t xml:space="preserve">web-based </w:t>
      </w:r>
      <w:r w:rsidRPr="00B257F6" w:rsidR="00BA7A00">
        <w:rPr>
          <w:rFonts w:ascii="Lato" w:hAnsi="Lato"/>
          <w:sz w:val="22"/>
          <w:szCs w:val="22"/>
        </w:rPr>
        <w:t xml:space="preserve">survey of </w:t>
      </w:r>
      <w:r w:rsidRPr="00B257F6" w:rsidR="00B456C7">
        <w:rPr>
          <w:rFonts w:ascii="Lato" w:hAnsi="Lato"/>
          <w:sz w:val="22"/>
          <w:szCs w:val="22"/>
        </w:rPr>
        <w:t>public housing authorities (PHAs), public child welfare agencies (PCWAs), and Continuums of Care (</w:t>
      </w:r>
      <w:proofErr w:type="spellStart"/>
      <w:r w:rsidRPr="00B257F6" w:rsidR="00B456C7">
        <w:rPr>
          <w:rFonts w:ascii="Lato" w:hAnsi="Lato"/>
          <w:sz w:val="22"/>
          <w:szCs w:val="22"/>
        </w:rPr>
        <w:t>CoCs</w:t>
      </w:r>
      <w:proofErr w:type="spellEnd"/>
      <w:r w:rsidRPr="00B257F6" w:rsidR="00B456C7">
        <w:rPr>
          <w:rFonts w:ascii="Lato" w:hAnsi="Lato"/>
          <w:sz w:val="22"/>
          <w:szCs w:val="22"/>
        </w:rPr>
        <w:t>) that were awarded FUP Housing Choice Vouchers in 2018 and 2019.</w:t>
      </w:r>
      <w:r w:rsidRPr="00B257F6" w:rsidR="00B257F6">
        <w:rPr>
          <w:rFonts w:ascii="Lato" w:hAnsi="Lato"/>
          <w:sz w:val="22"/>
          <w:szCs w:val="22"/>
        </w:rPr>
        <w:t xml:space="preserve"> </w:t>
      </w:r>
      <w:r w:rsidRPr="00B257F6" w:rsidR="00B456C7">
        <w:rPr>
          <w:rFonts w:ascii="Lato" w:hAnsi="Lato"/>
          <w:sz w:val="22"/>
          <w:szCs w:val="22"/>
        </w:rPr>
        <w:t>It also includes site visits with</w:t>
      </w:r>
      <w:r w:rsidR="00054282">
        <w:rPr>
          <w:rFonts w:ascii="Lato" w:hAnsi="Lato"/>
          <w:sz w:val="22"/>
          <w:szCs w:val="22"/>
        </w:rPr>
        <w:t xml:space="preserve"> a subset of</w:t>
      </w:r>
      <w:r w:rsidRPr="00B257F6" w:rsidR="00B456C7">
        <w:rPr>
          <w:rFonts w:ascii="Lato" w:hAnsi="Lato"/>
          <w:sz w:val="22"/>
          <w:szCs w:val="22"/>
        </w:rPr>
        <w:t xml:space="preserve"> sites that use FUP to serve youth, including </w:t>
      </w:r>
      <w:r w:rsidRPr="00B257F6" w:rsidR="00BA7A00">
        <w:rPr>
          <w:rFonts w:ascii="Lato" w:hAnsi="Lato"/>
          <w:sz w:val="22"/>
          <w:szCs w:val="22"/>
        </w:rPr>
        <w:t>interviews and focus groups with key staff and focus groups with youth who have leased up with FUP vouchers.</w:t>
      </w:r>
      <w:r w:rsidRPr="00B257F6" w:rsidR="00B257F6">
        <w:rPr>
          <w:rFonts w:ascii="Lato" w:hAnsi="Lato"/>
          <w:sz w:val="22"/>
          <w:szCs w:val="22"/>
        </w:rPr>
        <w:t xml:space="preserve"> </w:t>
      </w:r>
      <w:r w:rsidRPr="00B257F6" w:rsidR="00B456C7">
        <w:rPr>
          <w:rFonts w:ascii="Lato" w:hAnsi="Lato"/>
          <w:sz w:val="22"/>
          <w:szCs w:val="22"/>
        </w:rPr>
        <w:t xml:space="preserve">To date, the team has </w:t>
      </w:r>
      <w:r w:rsidR="00054282">
        <w:rPr>
          <w:rFonts w:ascii="Lato" w:hAnsi="Lato"/>
          <w:sz w:val="22"/>
          <w:szCs w:val="22"/>
        </w:rPr>
        <w:t>administered</w:t>
      </w:r>
      <w:r w:rsidRPr="00B257F6" w:rsidR="00B456C7">
        <w:rPr>
          <w:rFonts w:ascii="Lato" w:hAnsi="Lato"/>
          <w:sz w:val="22"/>
          <w:szCs w:val="22"/>
        </w:rPr>
        <w:t xml:space="preserve"> the web-based survey to the 2018 </w:t>
      </w:r>
      <w:r w:rsidR="001F10A8">
        <w:rPr>
          <w:rFonts w:ascii="Lato" w:hAnsi="Lato"/>
          <w:sz w:val="22"/>
          <w:szCs w:val="22"/>
        </w:rPr>
        <w:t xml:space="preserve">FUP </w:t>
      </w:r>
      <w:r w:rsidRPr="00B257F6" w:rsidR="00B456C7">
        <w:rPr>
          <w:rFonts w:ascii="Lato" w:hAnsi="Lato"/>
          <w:sz w:val="22"/>
          <w:szCs w:val="22"/>
        </w:rPr>
        <w:t>grantees and ha</w:t>
      </w:r>
      <w:r w:rsidR="00815165">
        <w:rPr>
          <w:rFonts w:ascii="Lato" w:hAnsi="Lato"/>
          <w:sz w:val="22"/>
          <w:szCs w:val="22"/>
        </w:rPr>
        <w:t>s</w:t>
      </w:r>
      <w:r w:rsidRPr="00B257F6" w:rsidR="00B456C7">
        <w:rPr>
          <w:rFonts w:ascii="Lato" w:hAnsi="Lato"/>
          <w:sz w:val="22"/>
          <w:szCs w:val="22"/>
        </w:rPr>
        <w:t xml:space="preserve"> selected eight diverse sites for </w:t>
      </w:r>
      <w:r w:rsidR="003A117C">
        <w:rPr>
          <w:rFonts w:ascii="Lato" w:hAnsi="Lato"/>
          <w:sz w:val="22"/>
          <w:szCs w:val="22"/>
        </w:rPr>
        <w:t xml:space="preserve">the </w:t>
      </w:r>
      <w:r w:rsidR="00DE2C9B">
        <w:rPr>
          <w:rFonts w:ascii="Lato" w:hAnsi="Lato"/>
          <w:sz w:val="22"/>
          <w:szCs w:val="22"/>
        </w:rPr>
        <w:t>proposed</w:t>
      </w:r>
      <w:r w:rsidRPr="00B257F6" w:rsidR="00B456C7">
        <w:rPr>
          <w:rFonts w:ascii="Lato" w:hAnsi="Lato"/>
          <w:sz w:val="22"/>
          <w:szCs w:val="22"/>
        </w:rPr>
        <w:t xml:space="preserve"> site visits. </w:t>
      </w:r>
    </w:p>
    <w:p w:rsidRPr="00B257F6" w:rsidR="00CA42AE" w:rsidP="00CA42AE" w:rsidRDefault="00CA42AE" w14:paraId="699799F4" w14:textId="77FA0A91">
      <w:pPr>
        <w:pStyle w:val="CommentText"/>
        <w:rPr>
          <w:rFonts w:ascii="Lato" w:hAnsi="Lato"/>
          <w:sz w:val="22"/>
          <w:szCs w:val="22"/>
        </w:rPr>
      </w:pPr>
    </w:p>
    <w:p w:rsidRPr="00B257F6" w:rsidR="001D0986" w:rsidP="008D54F3" w:rsidRDefault="4F192026" w14:paraId="528F7B42" w14:textId="616DCE17">
      <w:pPr>
        <w:pStyle w:val="CommentText"/>
        <w:rPr>
          <w:rFonts w:ascii="Lato" w:hAnsi="Lato"/>
          <w:sz w:val="22"/>
          <w:szCs w:val="22"/>
        </w:rPr>
      </w:pPr>
      <w:r w:rsidRPr="4F192026">
        <w:rPr>
          <w:rFonts w:ascii="Lato" w:hAnsi="Lato"/>
          <w:sz w:val="22"/>
          <w:szCs w:val="22"/>
        </w:rPr>
        <w:t xml:space="preserve">The activities included in the FUP for Youth study have not altered. </w:t>
      </w:r>
      <w:bookmarkStart w:name="_GoBack" w:id="0"/>
      <w:r w:rsidRPr="4F192026">
        <w:rPr>
          <w:rFonts w:ascii="Lato" w:hAnsi="Lato"/>
          <w:sz w:val="22"/>
          <w:szCs w:val="22"/>
        </w:rPr>
        <w:t xml:space="preserve">We are requesting a non-substantive change to our proposed plan for the site visits. All interviews and focus groups included in these site visits were intended to take place in-person. However, due to the COVID pandemic, we now need to have the option to conduct the interviews and focus groups virtually </w:t>
      </w:r>
      <w:proofErr w:type="gramStart"/>
      <w:r w:rsidRPr="4F192026">
        <w:rPr>
          <w:rFonts w:ascii="Lato" w:hAnsi="Lato"/>
          <w:sz w:val="22"/>
          <w:szCs w:val="22"/>
        </w:rPr>
        <w:t>or</w:t>
      </w:r>
      <w:proofErr w:type="gramEnd"/>
      <w:r w:rsidRPr="4F192026">
        <w:rPr>
          <w:rFonts w:ascii="Lato" w:hAnsi="Lato"/>
          <w:sz w:val="22"/>
          <w:szCs w:val="22"/>
        </w:rPr>
        <w:t xml:space="preserve"> in person, depending on how COVID-19 develops. This non-substantive change will allow our team to comply with the travel and safety recommendations present at the time of the site visits.</w:t>
      </w:r>
    </w:p>
    <w:bookmarkEnd w:id="0"/>
    <w:p w:rsidRPr="00B257F6" w:rsidR="001D0986" w:rsidP="00417924" w:rsidRDefault="001D0986" w14:paraId="5ADBF51B" w14:textId="4356E3F3">
      <w:pPr>
        <w:rPr>
          <w:rFonts w:ascii="Lato" w:hAnsi="Lato"/>
          <w:sz w:val="22"/>
          <w:szCs w:val="22"/>
        </w:rPr>
      </w:pPr>
    </w:p>
    <w:p w:rsidRPr="00B257F6" w:rsidR="001D0986" w:rsidP="00417924" w:rsidRDefault="76CC4F04" w14:paraId="7773C4A1" w14:textId="1387BB26">
      <w:pPr>
        <w:rPr>
          <w:rFonts w:ascii="Lato" w:hAnsi="Lato"/>
          <w:sz w:val="22"/>
          <w:szCs w:val="22"/>
        </w:rPr>
      </w:pPr>
      <w:r w:rsidRPr="76CC4F04">
        <w:rPr>
          <w:rFonts w:ascii="Lato" w:hAnsi="Lato"/>
          <w:sz w:val="22"/>
          <w:szCs w:val="22"/>
        </w:rPr>
        <w:t xml:space="preserve"> </w:t>
      </w:r>
    </w:p>
    <w:p w:rsidRPr="00B257F6" w:rsidR="0005680D" w:rsidP="00207C8F" w:rsidRDefault="0005680D" w14:paraId="5CC77B63" w14:textId="77777777">
      <w:pPr>
        <w:spacing w:after="120"/>
        <w:rPr>
          <w:rFonts w:ascii="Lato" w:hAnsi="Lato"/>
          <w:b/>
          <w:i/>
          <w:sz w:val="22"/>
          <w:szCs w:val="22"/>
        </w:rPr>
      </w:pPr>
      <w:r w:rsidRPr="00B257F6">
        <w:rPr>
          <w:rFonts w:ascii="Lato" w:hAnsi="Lato"/>
          <w:b/>
          <w:i/>
          <w:sz w:val="22"/>
          <w:szCs w:val="22"/>
        </w:rPr>
        <w:t>Overview of Requested Changes</w:t>
      </w:r>
    </w:p>
    <w:p w:rsidRPr="00B257F6" w:rsidR="00417924" w:rsidP="00207C8F" w:rsidRDefault="001E1C68" w14:paraId="7E672E81" w14:textId="0FB5D43F">
      <w:pPr>
        <w:spacing w:after="60"/>
        <w:rPr>
          <w:rFonts w:ascii="Lato" w:hAnsi="Lato"/>
          <w:sz w:val="22"/>
          <w:szCs w:val="22"/>
          <w:u w:val="single"/>
        </w:rPr>
      </w:pPr>
      <w:r w:rsidRPr="00B257F6">
        <w:rPr>
          <w:rFonts w:ascii="Lato" w:hAnsi="Lato"/>
          <w:sz w:val="22"/>
          <w:szCs w:val="22"/>
          <w:u w:val="single"/>
        </w:rPr>
        <w:t xml:space="preserve">Virtual </w:t>
      </w:r>
      <w:r w:rsidRPr="00B257F6" w:rsidR="00442F93">
        <w:rPr>
          <w:rFonts w:ascii="Lato" w:hAnsi="Lato"/>
          <w:sz w:val="22"/>
          <w:szCs w:val="22"/>
          <w:u w:val="single"/>
        </w:rPr>
        <w:t>Site Visits (Interviews &amp; Focus Groups)</w:t>
      </w:r>
    </w:p>
    <w:p w:rsidR="00806A57" w:rsidP="00417924" w:rsidRDefault="00417924" w14:paraId="19CFB036" w14:textId="54D070EE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 xml:space="preserve">Given travel restrictions and ongoing safety concerns related to the coronavirus pandemic (COVID-19), we are requesting approval to conduct project activities virtually to ensure compliance with </w:t>
      </w:r>
      <w:r w:rsidRPr="00B257F6" w:rsidR="00743FA7">
        <w:rPr>
          <w:rFonts w:ascii="Lato" w:hAnsi="Lato"/>
          <w:sz w:val="22"/>
          <w:szCs w:val="22"/>
        </w:rPr>
        <w:t>current</w:t>
      </w:r>
      <w:r w:rsidRPr="00B257F6">
        <w:rPr>
          <w:rFonts w:ascii="Lato" w:hAnsi="Lato"/>
          <w:sz w:val="22"/>
          <w:szCs w:val="22"/>
        </w:rPr>
        <w:t xml:space="preserve"> recommendations. </w:t>
      </w:r>
      <w:r w:rsidR="00207C8F">
        <w:rPr>
          <w:rFonts w:ascii="Lato" w:hAnsi="Lato"/>
          <w:sz w:val="22"/>
          <w:szCs w:val="22"/>
        </w:rPr>
        <w:t>Data collection activities</w:t>
      </w:r>
      <w:r w:rsidRPr="00B257F6">
        <w:rPr>
          <w:rFonts w:ascii="Lato" w:hAnsi="Lato"/>
          <w:sz w:val="22"/>
          <w:szCs w:val="22"/>
        </w:rPr>
        <w:t xml:space="preserve"> impacted by this change </w:t>
      </w:r>
      <w:r w:rsidRPr="00B257F6">
        <w:rPr>
          <w:rFonts w:ascii="Lato" w:hAnsi="Lato"/>
          <w:sz w:val="22"/>
          <w:szCs w:val="22"/>
        </w:rPr>
        <w:lastRenderedPageBreak/>
        <w:t>include site visits</w:t>
      </w:r>
      <w:r w:rsidRPr="00B257F6" w:rsidR="009C5B7B">
        <w:rPr>
          <w:rFonts w:ascii="Lato" w:hAnsi="Lato"/>
          <w:sz w:val="22"/>
          <w:szCs w:val="22"/>
        </w:rPr>
        <w:t xml:space="preserve"> with programs</w:t>
      </w:r>
      <w:r w:rsidRPr="00B257F6">
        <w:rPr>
          <w:rFonts w:ascii="Lato" w:hAnsi="Lato"/>
          <w:sz w:val="22"/>
          <w:szCs w:val="22"/>
        </w:rPr>
        <w:t>,</w:t>
      </w:r>
      <w:r w:rsidRPr="00B257F6" w:rsidR="009C5B7B">
        <w:rPr>
          <w:rFonts w:ascii="Lato" w:hAnsi="Lato"/>
          <w:sz w:val="22"/>
          <w:szCs w:val="22"/>
        </w:rPr>
        <w:t xml:space="preserve"> as well as</w:t>
      </w:r>
      <w:r w:rsidRPr="00B257F6">
        <w:rPr>
          <w:rFonts w:ascii="Lato" w:hAnsi="Lato"/>
          <w:sz w:val="22"/>
          <w:szCs w:val="22"/>
        </w:rPr>
        <w:t xml:space="preserve"> interviews and focus groups with</w:t>
      </w:r>
      <w:r w:rsidR="001378BB">
        <w:rPr>
          <w:rFonts w:ascii="Lato" w:hAnsi="Lato"/>
          <w:sz w:val="22"/>
          <w:szCs w:val="22"/>
        </w:rPr>
        <w:t xml:space="preserve"> youth and the</w:t>
      </w:r>
      <w:r w:rsidRPr="00B257F6">
        <w:rPr>
          <w:rFonts w:ascii="Lato" w:hAnsi="Lato"/>
          <w:sz w:val="22"/>
          <w:szCs w:val="22"/>
        </w:rPr>
        <w:t xml:space="preserve"> key stakeholders </w:t>
      </w:r>
      <w:r w:rsidRPr="00B257F6" w:rsidR="009C5B7B">
        <w:rPr>
          <w:rFonts w:ascii="Lato" w:hAnsi="Lato"/>
          <w:sz w:val="22"/>
          <w:szCs w:val="22"/>
        </w:rPr>
        <w:t>responsible for implementing</w:t>
      </w:r>
      <w:r w:rsidRPr="00B257F6">
        <w:rPr>
          <w:rFonts w:ascii="Lato" w:hAnsi="Lato"/>
          <w:sz w:val="22"/>
          <w:szCs w:val="22"/>
        </w:rPr>
        <w:t xml:space="preserve"> FUP.</w:t>
      </w:r>
      <w:r w:rsidR="0065756D">
        <w:rPr>
          <w:rFonts w:ascii="Lato" w:hAnsi="Lato"/>
          <w:sz w:val="22"/>
          <w:szCs w:val="22"/>
        </w:rPr>
        <w:t xml:space="preserve"> </w:t>
      </w:r>
    </w:p>
    <w:p w:rsidR="00806A57" w:rsidP="00417924" w:rsidRDefault="00806A57" w14:paraId="6FBBC528" w14:textId="77777777">
      <w:pPr>
        <w:rPr>
          <w:rFonts w:ascii="Lato" w:hAnsi="Lato"/>
          <w:sz w:val="22"/>
          <w:szCs w:val="22"/>
        </w:rPr>
      </w:pPr>
    </w:p>
    <w:p w:rsidR="009C5B7B" w:rsidP="00417924" w:rsidRDefault="00417924" w14:paraId="0FCE0B4D" w14:textId="118786AC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We propose updates to the Supporting Statements</w:t>
      </w:r>
      <w:r w:rsidR="00806A57">
        <w:rPr>
          <w:rFonts w:ascii="Lato" w:hAnsi="Lato"/>
          <w:sz w:val="22"/>
          <w:szCs w:val="22"/>
        </w:rPr>
        <w:t xml:space="preserve"> </w:t>
      </w:r>
      <w:r w:rsidRPr="00B257F6">
        <w:rPr>
          <w:rFonts w:ascii="Lato" w:hAnsi="Lato"/>
          <w:sz w:val="22"/>
          <w:szCs w:val="22"/>
        </w:rPr>
        <w:t>to adjust the description of interview and focus group procedures to include an option to conduct these virtually.</w:t>
      </w:r>
      <w:r w:rsidRPr="00806A57" w:rsidR="00806A57">
        <w:t xml:space="preserve"> </w:t>
      </w:r>
      <w:r w:rsidRPr="00B257F6" w:rsidR="009C5B7B">
        <w:rPr>
          <w:rFonts w:ascii="Lato" w:hAnsi="Lato"/>
          <w:sz w:val="22"/>
          <w:szCs w:val="22"/>
        </w:rPr>
        <w:t>These changes include:</w:t>
      </w:r>
    </w:p>
    <w:p w:rsidRPr="00B257F6" w:rsidR="00806A57" w:rsidP="00417924" w:rsidRDefault="00806A57" w14:paraId="174620C5" w14:textId="77777777">
      <w:pPr>
        <w:rPr>
          <w:rFonts w:ascii="Lato" w:hAnsi="Lato"/>
          <w:sz w:val="22"/>
          <w:szCs w:val="22"/>
        </w:rPr>
      </w:pPr>
    </w:p>
    <w:p w:rsidRPr="00B257F6" w:rsidR="009C5B7B" w:rsidP="002773D3" w:rsidRDefault="002773D3" w14:paraId="6FD4A539" w14:textId="5CF25976">
      <w:pPr>
        <w:pStyle w:val="ListParagraph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Site visits – focus group</w:t>
      </w:r>
      <w:r w:rsidRPr="00B257F6" w:rsidR="00112979">
        <w:rPr>
          <w:rFonts w:ascii="Lato" w:hAnsi="Lato"/>
          <w:sz w:val="22"/>
          <w:szCs w:val="22"/>
        </w:rPr>
        <w:t>s</w:t>
      </w:r>
    </w:p>
    <w:p w:rsidRPr="00B257F6" w:rsidR="002773D3" w:rsidP="004718DA" w:rsidRDefault="004718DA" w14:paraId="3CDFEB09" w14:textId="4BE37AE8">
      <w:pPr>
        <w:pStyle w:val="ListParagraph"/>
        <w:numPr>
          <w:ilvl w:val="1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 xml:space="preserve">Mode has changed to include </w:t>
      </w:r>
      <w:r w:rsidR="00F20AE9">
        <w:rPr>
          <w:rFonts w:ascii="Lato" w:hAnsi="Lato"/>
          <w:sz w:val="22"/>
          <w:szCs w:val="22"/>
        </w:rPr>
        <w:t xml:space="preserve">an </w:t>
      </w:r>
      <w:r w:rsidRPr="00B257F6">
        <w:rPr>
          <w:rFonts w:ascii="Lato" w:hAnsi="Lato"/>
          <w:sz w:val="22"/>
          <w:szCs w:val="22"/>
        </w:rPr>
        <w:t>option to conduct focus groups via video conference or phone.</w:t>
      </w:r>
    </w:p>
    <w:p w:rsidRPr="00B257F6" w:rsidR="002773D3" w:rsidP="002773D3" w:rsidRDefault="002773D3" w14:paraId="0119F999" w14:textId="02552F79">
      <w:pPr>
        <w:pStyle w:val="ListParagraph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Site visits – interviews</w:t>
      </w:r>
    </w:p>
    <w:p w:rsidRPr="00B257F6" w:rsidR="002773D3" w:rsidP="002773D3" w:rsidRDefault="004718DA" w14:paraId="190AD5EE" w14:textId="79787DA9">
      <w:pPr>
        <w:pStyle w:val="ListParagraph"/>
        <w:numPr>
          <w:ilvl w:val="1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Mode has changed to include</w:t>
      </w:r>
      <w:r w:rsidR="00F20AE9">
        <w:rPr>
          <w:rFonts w:ascii="Lato" w:hAnsi="Lato"/>
          <w:sz w:val="22"/>
          <w:szCs w:val="22"/>
        </w:rPr>
        <w:t xml:space="preserve"> an</w:t>
      </w:r>
      <w:r w:rsidRPr="00B257F6">
        <w:rPr>
          <w:rFonts w:ascii="Lato" w:hAnsi="Lato"/>
          <w:sz w:val="22"/>
          <w:szCs w:val="22"/>
        </w:rPr>
        <w:t xml:space="preserve"> option to conduct </w:t>
      </w:r>
      <w:r w:rsidR="00F20AE9">
        <w:rPr>
          <w:rFonts w:ascii="Lato" w:hAnsi="Lato"/>
          <w:sz w:val="22"/>
          <w:szCs w:val="22"/>
        </w:rPr>
        <w:t>interviews</w:t>
      </w:r>
      <w:r w:rsidRPr="00B257F6">
        <w:rPr>
          <w:rFonts w:ascii="Lato" w:hAnsi="Lato"/>
          <w:sz w:val="22"/>
          <w:szCs w:val="22"/>
        </w:rPr>
        <w:t xml:space="preserve"> via video conference or phone.</w:t>
      </w:r>
    </w:p>
    <w:p w:rsidRPr="00B257F6" w:rsidR="002773D3" w:rsidP="002773D3" w:rsidRDefault="002773D3" w14:paraId="58EA5CAD" w14:textId="4E37CEB7">
      <w:pPr>
        <w:pStyle w:val="ListParagraph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 xml:space="preserve">Site visits – focus group </w:t>
      </w:r>
      <w:r w:rsidRPr="00B257F6" w:rsidR="00112979">
        <w:rPr>
          <w:rFonts w:ascii="Lato" w:hAnsi="Lato"/>
          <w:sz w:val="22"/>
          <w:szCs w:val="22"/>
        </w:rPr>
        <w:t>i</w:t>
      </w:r>
      <w:r w:rsidRPr="00B257F6">
        <w:rPr>
          <w:rFonts w:ascii="Lato" w:hAnsi="Lato"/>
          <w:sz w:val="22"/>
          <w:szCs w:val="22"/>
        </w:rPr>
        <w:t>ncentives</w:t>
      </w:r>
    </w:p>
    <w:p w:rsidRPr="00B257F6" w:rsidR="002773D3" w:rsidP="002773D3" w:rsidRDefault="002773D3" w14:paraId="3EC4712A" w14:textId="2030AC99">
      <w:pPr>
        <w:pStyle w:val="ListParagraph"/>
        <w:numPr>
          <w:ilvl w:val="1"/>
          <w:numId w:val="6"/>
        </w:num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Should a focus group be conducted virtually, participants will be given a $25 e-gift card.</w:t>
      </w:r>
    </w:p>
    <w:p w:rsidRPr="00B257F6" w:rsidR="009C5B7B" w:rsidP="00417924" w:rsidRDefault="009C5B7B" w14:paraId="4619ADE2" w14:textId="77777777">
      <w:pPr>
        <w:rPr>
          <w:rFonts w:ascii="Lato" w:hAnsi="Lato"/>
          <w:sz w:val="22"/>
          <w:szCs w:val="22"/>
        </w:rPr>
      </w:pPr>
    </w:p>
    <w:p w:rsidRPr="00B257F6" w:rsidR="00417924" w:rsidP="00417924" w:rsidRDefault="00914CAA" w14:paraId="23A367E2" w14:textId="2ADCC6B1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>Language contained in the required protocols have been updated to include explanation</w:t>
      </w:r>
      <w:r w:rsidR="004454D5">
        <w:rPr>
          <w:rFonts w:ascii="Lato" w:hAnsi="Lato"/>
          <w:sz w:val="22"/>
          <w:szCs w:val="22"/>
        </w:rPr>
        <w:t>s</w:t>
      </w:r>
      <w:r w:rsidRPr="00B257F6">
        <w:rPr>
          <w:rFonts w:ascii="Lato" w:hAnsi="Lato"/>
          <w:sz w:val="22"/>
          <w:szCs w:val="22"/>
        </w:rPr>
        <w:t xml:space="preserve"> relevant to conducting these interviews and focus groups virtually.</w:t>
      </w:r>
      <w:r w:rsidRPr="00B257F6" w:rsidR="000848BC">
        <w:rPr>
          <w:rFonts w:ascii="Lato" w:hAnsi="Lato"/>
          <w:sz w:val="22"/>
          <w:szCs w:val="22"/>
        </w:rPr>
        <w:t xml:space="preserve"> </w:t>
      </w:r>
      <w:r w:rsidRPr="00B257F6">
        <w:rPr>
          <w:rFonts w:ascii="Lato" w:hAnsi="Lato"/>
          <w:sz w:val="22"/>
          <w:szCs w:val="22"/>
        </w:rPr>
        <w:t xml:space="preserve">These updates can be found in </w:t>
      </w:r>
      <w:r w:rsidR="00BE12C1">
        <w:rPr>
          <w:rFonts w:ascii="Lato" w:hAnsi="Lato"/>
          <w:sz w:val="22"/>
          <w:szCs w:val="22"/>
        </w:rPr>
        <w:t>Appendi</w:t>
      </w:r>
      <w:r w:rsidR="007A442F">
        <w:rPr>
          <w:rFonts w:ascii="Lato" w:hAnsi="Lato"/>
          <w:sz w:val="22"/>
          <w:szCs w:val="22"/>
        </w:rPr>
        <w:t>ces</w:t>
      </w:r>
      <w:r w:rsidRPr="00B257F6" w:rsidR="00BE12C1">
        <w:rPr>
          <w:rFonts w:ascii="Lato" w:hAnsi="Lato"/>
          <w:sz w:val="22"/>
          <w:szCs w:val="22"/>
        </w:rPr>
        <w:t xml:space="preserve"> </w:t>
      </w:r>
      <w:r w:rsidR="00BE12C1">
        <w:rPr>
          <w:rFonts w:ascii="Lato" w:hAnsi="Lato"/>
          <w:sz w:val="22"/>
          <w:szCs w:val="22"/>
        </w:rPr>
        <w:t>E</w:t>
      </w:r>
      <w:r w:rsidR="007A442F">
        <w:rPr>
          <w:rFonts w:ascii="Lato" w:hAnsi="Lato"/>
          <w:sz w:val="22"/>
          <w:szCs w:val="22"/>
        </w:rPr>
        <w:t>,</w:t>
      </w:r>
      <w:r w:rsidR="00BE12C1">
        <w:rPr>
          <w:rFonts w:ascii="Lato" w:hAnsi="Lato"/>
          <w:sz w:val="22"/>
          <w:szCs w:val="22"/>
        </w:rPr>
        <w:t xml:space="preserve"> F</w:t>
      </w:r>
      <w:r w:rsidR="007A442F">
        <w:rPr>
          <w:rFonts w:ascii="Lato" w:hAnsi="Lato"/>
          <w:sz w:val="22"/>
          <w:szCs w:val="22"/>
        </w:rPr>
        <w:t xml:space="preserve">, </w:t>
      </w:r>
      <w:r w:rsidR="007C6E99">
        <w:rPr>
          <w:rFonts w:ascii="Lato" w:hAnsi="Lato"/>
          <w:sz w:val="22"/>
          <w:szCs w:val="22"/>
        </w:rPr>
        <w:t>G, and H</w:t>
      </w:r>
      <w:r w:rsidRPr="00B257F6">
        <w:rPr>
          <w:rFonts w:ascii="Lato" w:hAnsi="Lato"/>
          <w:sz w:val="22"/>
          <w:szCs w:val="22"/>
        </w:rPr>
        <w:t>.</w:t>
      </w:r>
      <w:r w:rsidRPr="00B257F6" w:rsidR="00B257F6">
        <w:rPr>
          <w:rFonts w:ascii="Lato" w:hAnsi="Lato"/>
          <w:sz w:val="22"/>
          <w:szCs w:val="22"/>
        </w:rPr>
        <w:t xml:space="preserve"> </w:t>
      </w:r>
      <w:r w:rsidRPr="00B257F6" w:rsidR="000848BC">
        <w:rPr>
          <w:rFonts w:ascii="Lato" w:hAnsi="Lato"/>
          <w:sz w:val="22"/>
          <w:szCs w:val="22"/>
        </w:rPr>
        <w:t xml:space="preserve">Should </w:t>
      </w:r>
      <w:r w:rsidRPr="00B257F6" w:rsidR="00417924">
        <w:rPr>
          <w:rFonts w:ascii="Lato" w:hAnsi="Lato"/>
          <w:sz w:val="22"/>
          <w:szCs w:val="22"/>
        </w:rPr>
        <w:t>in-person interview</w:t>
      </w:r>
      <w:r w:rsidRPr="00B257F6" w:rsidR="000848BC">
        <w:rPr>
          <w:rFonts w:ascii="Lato" w:hAnsi="Lato"/>
          <w:sz w:val="22"/>
          <w:szCs w:val="22"/>
        </w:rPr>
        <w:t>s</w:t>
      </w:r>
      <w:r w:rsidRPr="00B257F6" w:rsidR="00417924">
        <w:rPr>
          <w:rFonts w:ascii="Lato" w:hAnsi="Lato"/>
          <w:sz w:val="22"/>
          <w:szCs w:val="22"/>
        </w:rPr>
        <w:t xml:space="preserve"> and focus group</w:t>
      </w:r>
      <w:r w:rsidRPr="00B257F6" w:rsidR="000848BC">
        <w:rPr>
          <w:rFonts w:ascii="Lato" w:hAnsi="Lato"/>
          <w:sz w:val="22"/>
          <w:szCs w:val="22"/>
        </w:rPr>
        <w:t xml:space="preserve">s </w:t>
      </w:r>
      <w:r w:rsidRPr="00B257F6" w:rsidR="001D0986">
        <w:rPr>
          <w:rFonts w:ascii="Lato" w:hAnsi="Lato"/>
          <w:sz w:val="22"/>
          <w:szCs w:val="22"/>
        </w:rPr>
        <w:t xml:space="preserve">become feasible in later months, the previously approved </w:t>
      </w:r>
      <w:r w:rsidRPr="00B257F6" w:rsidR="00417924">
        <w:rPr>
          <w:rFonts w:ascii="Lato" w:hAnsi="Lato"/>
          <w:sz w:val="22"/>
          <w:szCs w:val="22"/>
        </w:rPr>
        <w:t xml:space="preserve">procedures </w:t>
      </w:r>
      <w:r w:rsidRPr="00B257F6" w:rsidR="001D0986">
        <w:rPr>
          <w:rFonts w:ascii="Lato" w:hAnsi="Lato"/>
          <w:sz w:val="22"/>
          <w:szCs w:val="22"/>
        </w:rPr>
        <w:t>will be followed and remain listed in the Supporting Statements.</w:t>
      </w:r>
      <w:r w:rsidR="005C5888">
        <w:rPr>
          <w:rFonts w:ascii="Lato" w:hAnsi="Lato"/>
          <w:sz w:val="22"/>
          <w:szCs w:val="22"/>
        </w:rPr>
        <w:t xml:space="preserve"> No changes were required for the instruments included in the study</w:t>
      </w:r>
      <w:r w:rsidR="00B8050F">
        <w:rPr>
          <w:rFonts w:ascii="Lato" w:hAnsi="Lato"/>
          <w:sz w:val="22"/>
          <w:szCs w:val="22"/>
        </w:rPr>
        <w:t xml:space="preserve"> as these materials did not contain commentary on the mode of delivery (i.e., in-person vs. virtual)</w:t>
      </w:r>
      <w:r w:rsidR="005C5888">
        <w:rPr>
          <w:rFonts w:ascii="Lato" w:hAnsi="Lato"/>
          <w:sz w:val="22"/>
          <w:szCs w:val="22"/>
        </w:rPr>
        <w:t>.</w:t>
      </w:r>
    </w:p>
    <w:p w:rsidRPr="00B257F6" w:rsidR="006473BD" w:rsidP="00417924" w:rsidRDefault="006473BD" w14:paraId="339898FE" w14:textId="18AEE6B8">
      <w:pPr>
        <w:rPr>
          <w:rFonts w:ascii="Lato" w:hAnsi="Lato"/>
          <w:sz w:val="22"/>
          <w:szCs w:val="22"/>
        </w:rPr>
      </w:pPr>
    </w:p>
    <w:p w:rsidRPr="00B257F6" w:rsidR="00417924" w:rsidP="00417924" w:rsidRDefault="00417924" w14:paraId="08D5E9AE" w14:textId="77777777">
      <w:pPr>
        <w:rPr>
          <w:rFonts w:ascii="Lato" w:hAnsi="Lato"/>
          <w:sz w:val="22"/>
          <w:szCs w:val="22"/>
        </w:rPr>
      </w:pPr>
    </w:p>
    <w:p w:rsidRPr="00B257F6" w:rsidR="0005680D" w:rsidP="00207C8F" w:rsidRDefault="0005680D" w14:paraId="7DBC6097" w14:textId="135163B5">
      <w:pPr>
        <w:spacing w:after="120"/>
        <w:rPr>
          <w:rFonts w:ascii="Lato" w:hAnsi="Lato"/>
          <w:b/>
          <w:i/>
          <w:sz w:val="22"/>
          <w:szCs w:val="22"/>
        </w:rPr>
      </w:pPr>
      <w:r w:rsidRPr="00B257F6">
        <w:rPr>
          <w:rFonts w:ascii="Lato" w:hAnsi="Lato"/>
          <w:b/>
          <w:i/>
          <w:sz w:val="22"/>
          <w:szCs w:val="22"/>
        </w:rPr>
        <w:t xml:space="preserve">Time Sensitivities </w:t>
      </w:r>
    </w:p>
    <w:p w:rsidRPr="00B257F6" w:rsidR="0036686F" w:rsidP="00417924" w:rsidRDefault="006473BD" w14:paraId="7F4C66EA" w14:textId="52558843">
      <w:pPr>
        <w:rPr>
          <w:rFonts w:ascii="Lato" w:hAnsi="Lato"/>
          <w:sz w:val="22"/>
          <w:szCs w:val="22"/>
        </w:rPr>
      </w:pPr>
      <w:r w:rsidRPr="00B257F6">
        <w:rPr>
          <w:rFonts w:ascii="Lato" w:hAnsi="Lato"/>
          <w:sz w:val="22"/>
          <w:szCs w:val="22"/>
        </w:rPr>
        <w:t xml:space="preserve">This work is time sensitive. We are planning </w:t>
      </w:r>
      <w:r w:rsidRPr="00B257F6" w:rsidR="0036686F">
        <w:rPr>
          <w:rFonts w:ascii="Lato" w:hAnsi="Lato"/>
          <w:sz w:val="22"/>
          <w:szCs w:val="22"/>
        </w:rPr>
        <w:t>our virtual interviews as soon as possible</w:t>
      </w:r>
      <w:r w:rsidRPr="00B257F6" w:rsidR="007559AA">
        <w:rPr>
          <w:rFonts w:ascii="Lato" w:hAnsi="Lato"/>
          <w:sz w:val="22"/>
          <w:szCs w:val="22"/>
        </w:rPr>
        <w:t>, to prevent any additional delays to data collection for this project.</w:t>
      </w:r>
    </w:p>
    <w:p w:rsidRPr="00B257F6" w:rsidR="006473BD" w:rsidP="00417924" w:rsidRDefault="006473BD" w14:paraId="64249E4C" w14:textId="77777777">
      <w:pPr>
        <w:rPr>
          <w:rFonts w:ascii="Lato" w:hAnsi="Lato"/>
          <w:b/>
          <w:i/>
          <w:sz w:val="22"/>
          <w:szCs w:val="22"/>
        </w:rPr>
      </w:pPr>
    </w:p>
    <w:sectPr w:rsidRPr="00B257F6" w:rsidR="006473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1BEB" w16cex:dateUtc="2020-12-15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29274" w16cid:durableId="23CBE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BD6A9" w14:textId="77777777" w:rsidR="005B58A4" w:rsidRDefault="005B58A4" w:rsidP="00FF671B">
      <w:r>
        <w:separator/>
      </w:r>
    </w:p>
  </w:endnote>
  <w:endnote w:type="continuationSeparator" w:id="0">
    <w:p w14:paraId="1CEB6462" w14:textId="77777777" w:rsidR="005B58A4" w:rsidRDefault="005B58A4" w:rsidP="00FF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201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52DAF" w14:textId="6C5802DB" w:rsidR="00FF671B" w:rsidRDefault="00FF6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97665" w14:textId="77777777" w:rsidR="00FF671B" w:rsidRDefault="00FF6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104A" w14:textId="77777777" w:rsidR="005B58A4" w:rsidRDefault="005B58A4" w:rsidP="00FF671B">
      <w:r>
        <w:separator/>
      </w:r>
    </w:p>
  </w:footnote>
  <w:footnote w:type="continuationSeparator" w:id="0">
    <w:p w14:paraId="3B4CEC9E" w14:textId="77777777" w:rsidR="005B58A4" w:rsidRDefault="005B58A4" w:rsidP="00FF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1EB9"/>
    <w:multiLevelType w:val="hybridMultilevel"/>
    <w:tmpl w:val="CB8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315B"/>
    <w:multiLevelType w:val="hybridMultilevel"/>
    <w:tmpl w:val="3A9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6BAC"/>
    <w:multiLevelType w:val="hybridMultilevel"/>
    <w:tmpl w:val="6EF2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45C73"/>
    <w:multiLevelType w:val="hybridMultilevel"/>
    <w:tmpl w:val="8940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75D46"/>
    <w:multiLevelType w:val="hybridMultilevel"/>
    <w:tmpl w:val="407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322D"/>
    <w:rsid w:val="00032584"/>
    <w:rsid w:val="0004103B"/>
    <w:rsid w:val="00054282"/>
    <w:rsid w:val="0005680D"/>
    <w:rsid w:val="000848BC"/>
    <w:rsid w:val="000A4DA7"/>
    <w:rsid w:val="000B545D"/>
    <w:rsid w:val="000E6448"/>
    <w:rsid w:val="00112979"/>
    <w:rsid w:val="001378BB"/>
    <w:rsid w:val="00172A19"/>
    <w:rsid w:val="0017517E"/>
    <w:rsid w:val="00196B82"/>
    <w:rsid w:val="001B2D40"/>
    <w:rsid w:val="001C08DB"/>
    <w:rsid w:val="001C45D0"/>
    <w:rsid w:val="001D0986"/>
    <w:rsid w:val="001D7B3C"/>
    <w:rsid w:val="001E1C68"/>
    <w:rsid w:val="001F10A8"/>
    <w:rsid w:val="00201D4A"/>
    <w:rsid w:val="00207C8F"/>
    <w:rsid w:val="00217970"/>
    <w:rsid w:val="002456B1"/>
    <w:rsid w:val="00253DF6"/>
    <w:rsid w:val="00266FD1"/>
    <w:rsid w:val="002773D3"/>
    <w:rsid w:val="002F722F"/>
    <w:rsid w:val="00311D35"/>
    <w:rsid w:val="003463F4"/>
    <w:rsid w:val="0036686F"/>
    <w:rsid w:val="00381EA0"/>
    <w:rsid w:val="003A117C"/>
    <w:rsid w:val="003C3592"/>
    <w:rsid w:val="00400094"/>
    <w:rsid w:val="00403651"/>
    <w:rsid w:val="00416E1B"/>
    <w:rsid w:val="00417924"/>
    <w:rsid w:val="00442F93"/>
    <w:rsid w:val="004454D5"/>
    <w:rsid w:val="004464BB"/>
    <w:rsid w:val="004575B6"/>
    <w:rsid w:val="004718DA"/>
    <w:rsid w:val="004879E2"/>
    <w:rsid w:val="004C1CC3"/>
    <w:rsid w:val="004F051F"/>
    <w:rsid w:val="00536561"/>
    <w:rsid w:val="00547030"/>
    <w:rsid w:val="005728AB"/>
    <w:rsid w:val="0058498A"/>
    <w:rsid w:val="00595270"/>
    <w:rsid w:val="005A096A"/>
    <w:rsid w:val="005B58A4"/>
    <w:rsid w:val="005C5888"/>
    <w:rsid w:val="005D07A5"/>
    <w:rsid w:val="005D26A0"/>
    <w:rsid w:val="005E22F6"/>
    <w:rsid w:val="006152FF"/>
    <w:rsid w:val="00640E46"/>
    <w:rsid w:val="006473BD"/>
    <w:rsid w:val="006525F9"/>
    <w:rsid w:val="00653FA1"/>
    <w:rsid w:val="006551AE"/>
    <w:rsid w:val="0065653A"/>
    <w:rsid w:val="0065756D"/>
    <w:rsid w:val="006643B9"/>
    <w:rsid w:val="00680140"/>
    <w:rsid w:val="006978C1"/>
    <w:rsid w:val="006C6B2E"/>
    <w:rsid w:val="0070496F"/>
    <w:rsid w:val="00743FA7"/>
    <w:rsid w:val="007559AA"/>
    <w:rsid w:val="00757772"/>
    <w:rsid w:val="00760637"/>
    <w:rsid w:val="007975C8"/>
    <w:rsid w:val="007A442F"/>
    <w:rsid w:val="007B78E1"/>
    <w:rsid w:val="007C6E99"/>
    <w:rsid w:val="00806A57"/>
    <w:rsid w:val="00814112"/>
    <w:rsid w:val="00815165"/>
    <w:rsid w:val="008227D2"/>
    <w:rsid w:val="00826918"/>
    <w:rsid w:val="00870BBA"/>
    <w:rsid w:val="008C3B23"/>
    <w:rsid w:val="008C6DBC"/>
    <w:rsid w:val="008D3C6B"/>
    <w:rsid w:val="008D54F3"/>
    <w:rsid w:val="00903F44"/>
    <w:rsid w:val="00914CAA"/>
    <w:rsid w:val="009153E9"/>
    <w:rsid w:val="00966256"/>
    <w:rsid w:val="00970642"/>
    <w:rsid w:val="00985D12"/>
    <w:rsid w:val="00995018"/>
    <w:rsid w:val="009C5B7B"/>
    <w:rsid w:val="009D2DAB"/>
    <w:rsid w:val="009E3ACD"/>
    <w:rsid w:val="00A44387"/>
    <w:rsid w:val="00A63A29"/>
    <w:rsid w:val="00A675E7"/>
    <w:rsid w:val="00A73145"/>
    <w:rsid w:val="00A81296"/>
    <w:rsid w:val="00A82FB3"/>
    <w:rsid w:val="00A841FF"/>
    <w:rsid w:val="00A9111B"/>
    <w:rsid w:val="00B1254C"/>
    <w:rsid w:val="00B2065D"/>
    <w:rsid w:val="00B257F6"/>
    <w:rsid w:val="00B27600"/>
    <w:rsid w:val="00B40FE8"/>
    <w:rsid w:val="00B456C7"/>
    <w:rsid w:val="00B54B6F"/>
    <w:rsid w:val="00B56CC7"/>
    <w:rsid w:val="00B8050F"/>
    <w:rsid w:val="00BA7A00"/>
    <w:rsid w:val="00BB0BAC"/>
    <w:rsid w:val="00BE12C1"/>
    <w:rsid w:val="00BF3BF7"/>
    <w:rsid w:val="00C60154"/>
    <w:rsid w:val="00CA42AE"/>
    <w:rsid w:val="00CB54E6"/>
    <w:rsid w:val="00CC43CD"/>
    <w:rsid w:val="00CD0FD9"/>
    <w:rsid w:val="00D175E2"/>
    <w:rsid w:val="00D22DA1"/>
    <w:rsid w:val="00D3177C"/>
    <w:rsid w:val="00D74C7D"/>
    <w:rsid w:val="00DD7B43"/>
    <w:rsid w:val="00DE2C9B"/>
    <w:rsid w:val="00E37D89"/>
    <w:rsid w:val="00E47123"/>
    <w:rsid w:val="00E525D4"/>
    <w:rsid w:val="00E7170A"/>
    <w:rsid w:val="00E75E6C"/>
    <w:rsid w:val="00E973DC"/>
    <w:rsid w:val="00F01DF9"/>
    <w:rsid w:val="00F20AE9"/>
    <w:rsid w:val="00F566A9"/>
    <w:rsid w:val="00F616F4"/>
    <w:rsid w:val="00F82B4E"/>
    <w:rsid w:val="00F96268"/>
    <w:rsid w:val="00FD65DB"/>
    <w:rsid w:val="00FF671B"/>
    <w:rsid w:val="4F192026"/>
    <w:rsid w:val="76C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3BD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42F93"/>
    <w:pPr>
      <w:widowControl/>
      <w:suppressAutoHyphens w:val="0"/>
      <w:spacing w:after="180" w:line="276" w:lineRule="auto"/>
    </w:pPr>
    <w:rPr>
      <w:rFonts w:ascii="Lato" w:eastAsia="Times New Roman" w:hAnsi="Lato" w:cstheme="minorBidi"/>
      <w:bCs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42F93"/>
    <w:rPr>
      <w:rFonts w:ascii="Lato" w:eastAsia="Times New Roman" w:hAnsi="Lato"/>
      <w:bCs/>
    </w:rPr>
  </w:style>
  <w:style w:type="paragraph" w:styleId="Header">
    <w:name w:val="header"/>
    <w:basedOn w:val="Normal"/>
    <w:link w:val="HeaderChar"/>
    <w:uiPriority w:val="99"/>
    <w:unhideWhenUsed/>
    <w:rsid w:val="00FF6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71B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71B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2021-03-01T18:10:00Z</dcterms:created>
  <dcterms:modified xsi:type="dcterms:W3CDTF">2021-03-03T19:59:00Z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