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8697F" w:rsidR="00AF7585" w:rsidP="00793425" w:rsidRDefault="00AF7585" w14:paraId="2D70BBE2" w14:textId="2052D2A4">
      <w:pPr>
        <w:rPr>
          <w:b/>
          <w:bCs/>
        </w:rPr>
      </w:pPr>
      <w:r w:rsidRPr="00C8697F">
        <w:rPr>
          <w:b/>
          <w:bCs/>
        </w:rPr>
        <w:t>SUPPORTING STATEMENT</w:t>
      </w:r>
      <w:r w:rsidRPr="00C8697F" w:rsidR="00787478">
        <w:rPr>
          <w:b/>
          <w:bCs/>
        </w:rPr>
        <w:t xml:space="preserve"> </w:t>
      </w:r>
      <w:r w:rsidRPr="00C8697F" w:rsidR="00004857">
        <w:rPr>
          <w:b/>
          <w:bCs/>
        </w:rPr>
        <w:t>– Part A</w:t>
      </w:r>
    </w:p>
    <w:p w:rsidRPr="00C8697F" w:rsidR="0058091B" w:rsidP="00793425" w:rsidRDefault="0058091B" w14:paraId="58E49A47" w14:textId="77777777">
      <w:pPr>
        <w:rPr>
          <w:b/>
          <w:bCs/>
        </w:rPr>
      </w:pPr>
    </w:p>
    <w:p w:rsidRPr="00C8697F" w:rsidR="00AF7585" w:rsidP="00793425" w:rsidRDefault="00BE1D09" w14:paraId="54FF7314" w14:textId="42B55D7A">
      <w:pPr>
        <w:rPr>
          <w:b/>
          <w:bCs/>
        </w:rPr>
      </w:pPr>
      <w:r w:rsidRPr="00C8697F">
        <w:rPr>
          <w:b/>
          <w:bCs/>
        </w:rPr>
        <w:t>Census of Publicly Funded Forensic Crime Laboratories (CPFFCL)</w:t>
      </w:r>
    </w:p>
    <w:p w:rsidRPr="00C8697F" w:rsidR="00323365" w:rsidP="00793425" w:rsidRDefault="00323365" w14:paraId="66EEA593" w14:textId="77777777">
      <w:pPr>
        <w:rPr>
          <w:b/>
          <w:bCs/>
        </w:rPr>
      </w:pPr>
    </w:p>
    <w:p w:rsidRPr="00C8697F" w:rsidR="00323365" w:rsidP="00793425" w:rsidRDefault="00323365" w14:paraId="6C52D40A" w14:textId="77777777">
      <w:pPr>
        <w:rPr>
          <w:b/>
          <w:bCs/>
          <w:i/>
        </w:rPr>
      </w:pPr>
      <w:r w:rsidRPr="00C8697F">
        <w:rPr>
          <w:b/>
          <w:bCs/>
          <w:i/>
        </w:rPr>
        <w:t>Overview</w:t>
      </w:r>
    </w:p>
    <w:p w:rsidRPr="00C8697F" w:rsidR="00AF7585" w:rsidP="00793425" w:rsidRDefault="00AF7585" w14:paraId="409D6317" w14:textId="77777777">
      <w:pPr>
        <w:rPr>
          <w:highlight w:val="yellow"/>
        </w:rPr>
      </w:pPr>
    </w:p>
    <w:p w:rsidRPr="00C8697F" w:rsidR="00484098" w:rsidP="00793425" w:rsidRDefault="00AF7585" w14:paraId="0E89C72A" w14:textId="7E7DFDFF">
      <w:r w:rsidRPr="00C8697F">
        <w:t xml:space="preserve">The Bureau of Justice Statistics (BJS) </w:t>
      </w:r>
      <w:r w:rsidRPr="00C8697F" w:rsidR="007B229F">
        <w:t xml:space="preserve">seeks clearance </w:t>
      </w:r>
      <w:r w:rsidRPr="00C8697F">
        <w:t xml:space="preserve">to implement the </w:t>
      </w:r>
      <w:r w:rsidRPr="00C8697F" w:rsidR="00727A91">
        <w:rPr>
          <w:b/>
          <w:bCs/>
        </w:rPr>
        <w:t>20</w:t>
      </w:r>
      <w:r w:rsidRPr="00C8697F" w:rsidR="00F07A77">
        <w:rPr>
          <w:b/>
          <w:bCs/>
        </w:rPr>
        <w:t>20</w:t>
      </w:r>
      <w:r w:rsidRPr="00C8697F" w:rsidR="00727A91">
        <w:rPr>
          <w:b/>
          <w:bCs/>
        </w:rPr>
        <w:t xml:space="preserve"> Census </w:t>
      </w:r>
      <w:r w:rsidRPr="00C8697F" w:rsidR="00BE1D09">
        <w:rPr>
          <w:b/>
          <w:bCs/>
        </w:rPr>
        <w:t>of Publicly Funded Forensic Crime Laboratories (CPFFCL)</w:t>
      </w:r>
      <w:r w:rsidRPr="00C8697F">
        <w:t>.</w:t>
      </w:r>
      <w:r w:rsidRPr="00C8697F" w:rsidR="00745932">
        <w:t xml:space="preserve"> </w:t>
      </w:r>
      <w:r w:rsidRPr="00C8697F">
        <w:t xml:space="preserve">The </w:t>
      </w:r>
      <w:r w:rsidR="0022266C">
        <w:t>data collection will build</w:t>
      </w:r>
      <w:r w:rsidRPr="00C8697F" w:rsidR="00E64815">
        <w:t xml:space="preserve"> on the</w:t>
      </w:r>
      <w:r w:rsidRPr="00C8697F" w:rsidR="00CA5D1D">
        <w:t xml:space="preserve"> previous </w:t>
      </w:r>
      <w:r w:rsidR="00C95515">
        <w:t>administration</w:t>
      </w:r>
      <w:r w:rsidRPr="00C8697F" w:rsidR="00CA5D1D">
        <w:t xml:space="preserve">s of the survey (referencing 2002, 2005, 2009, and </w:t>
      </w:r>
      <w:r w:rsidRPr="00C8697F" w:rsidR="00530679">
        <w:t>201</w:t>
      </w:r>
      <w:r w:rsidR="00530679">
        <w:t>4</w:t>
      </w:r>
      <w:r w:rsidRPr="00C8697F" w:rsidR="00CA5D1D">
        <w:t xml:space="preserve">), a </w:t>
      </w:r>
      <w:r w:rsidRPr="00C8697F" w:rsidR="00E64815">
        <w:t>focus group conducted at the 201</w:t>
      </w:r>
      <w:r w:rsidRPr="00C8697F" w:rsidR="003D48B8">
        <w:t>9</w:t>
      </w:r>
      <w:r w:rsidRPr="00C8697F" w:rsidR="00E64815">
        <w:t xml:space="preserve"> A</w:t>
      </w:r>
      <w:r w:rsidRPr="00C8697F" w:rsidR="003D48B8">
        <w:t xml:space="preserve">merican </w:t>
      </w:r>
      <w:r w:rsidRPr="00C8697F" w:rsidR="00E64815">
        <w:t>S</w:t>
      </w:r>
      <w:r w:rsidRPr="00C8697F" w:rsidR="003D48B8">
        <w:t xml:space="preserve">ociety of </w:t>
      </w:r>
      <w:r w:rsidRPr="00C8697F" w:rsidR="00E64815">
        <w:t>C</w:t>
      </w:r>
      <w:r w:rsidRPr="00C8697F" w:rsidR="003D48B8">
        <w:t xml:space="preserve">rime </w:t>
      </w:r>
      <w:r w:rsidRPr="00C8697F" w:rsidR="00E64815">
        <w:t>L</w:t>
      </w:r>
      <w:r w:rsidRPr="00C8697F" w:rsidR="003D48B8">
        <w:t xml:space="preserve">aboratory </w:t>
      </w:r>
      <w:r w:rsidRPr="00C8697F" w:rsidR="00E64815">
        <w:t>D</w:t>
      </w:r>
      <w:r w:rsidRPr="00C8697F" w:rsidR="003D48B8">
        <w:t>irectors</w:t>
      </w:r>
      <w:r w:rsidRPr="00C8697F" w:rsidR="00E64815">
        <w:t xml:space="preserve"> Symposium</w:t>
      </w:r>
      <w:r w:rsidRPr="00C8697F" w:rsidR="003D48B8">
        <w:t>, and an expert panel convened in August 2019</w:t>
      </w:r>
      <w:r w:rsidRPr="00C8697F" w:rsidR="00897D66">
        <w:t xml:space="preserve">. </w:t>
      </w:r>
      <w:r w:rsidRPr="00C8697F" w:rsidR="00F07A77">
        <w:t>The instrument was cognitively tested during fall 2020</w:t>
      </w:r>
      <w:r w:rsidR="00EB18D2">
        <w:t xml:space="preserve"> under BJS’s generic clearance (OMB Control No. 1121-0339)</w:t>
      </w:r>
      <w:r w:rsidRPr="00C8697F" w:rsidR="00F07A77">
        <w:t xml:space="preserve">. </w:t>
      </w:r>
      <w:r w:rsidRPr="00C8697F" w:rsidR="005A1A15">
        <w:t xml:space="preserve">BJS plans to field the </w:t>
      </w:r>
      <w:r w:rsidRPr="00C8697F" w:rsidR="00E64815">
        <w:t>20</w:t>
      </w:r>
      <w:r w:rsidRPr="00C8697F" w:rsidR="00F07A77">
        <w:t>20</w:t>
      </w:r>
      <w:r w:rsidRPr="00C8697F" w:rsidR="00E64815">
        <w:t xml:space="preserve"> CPFFCL from </w:t>
      </w:r>
      <w:r w:rsidRPr="00C8697F" w:rsidR="00F07A77">
        <w:t>April</w:t>
      </w:r>
      <w:r w:rsidRPr="00C8697F" w:rsidR="00530679">
        <w:t xml:space="preserve"> </w:t>
      </w:r>
      <w:r w:rsidRPr="00C8697F" w:rsidR="00E64815">
        <w:t xml:space="preserve">through </w:t>
      </w:r>
      <w:r w:rsidRPr="00C8697F" w:rsidR="005179A8">
        <w:t>Octo</w:t>
      </w:r>
      <w:r w:rsidRPr="00C8697F" w:rsidR="00E64815">
        <w:t xml:space="preserve">ber </w:t>
      </w:r>
      <w:r w:rsidRPr="00C8697F" w:rsidR="00530679">
        <w:t>202</w:t>
      </w:r>
      <w:r w:rsidR="00530679">
        <w:t>1</w:t>
      </w:r>
      <w:r w:rsidRPr="00C8697F" w:rsidR="00E67530">
        <w:t xml:space="preserve">. </w:t>
      </w:r>
      <w:r w:rsidRPr="00C8697F" w:rsidR="00CA5D1D">
        <w:t>Like the 2014 CPFFCL data collection, the 2020 CPFFCL includes all publicly funded laboratories in the United States</w:t>
      </w:r>
      <w:r w:rsidR="0022266C">
        <w:t xml:space="preserve"> within the scope of this data collection.</w:t>
      </w:r>
    </w:p>
    <w:p w:rsidRPr="00C8697F" w:rsidR="00AF7585" w:rsidP="00793425" w:rsidRDefault="00AF7585" w14:paraId="28530B6C" w14:textId="77777777"/>
    <w:p w:rsidRPr="00C8697F" w:rsidR="00E64815" w:rsidP="00793425" w:rsidRDefault="006A1732" w14:paraId="5204AB63" w14:textId="42862828">
      <w:r w:rsidRPr="00C8697F">
        <w:t>In the U</w:t>
      </w:r>
      <w:r w:rsidRPr="00C8697F" w:rsidR="00FB3FE9">
        <w:t xml:space="preserve">nited </w:t>
      </w:r>
      <w:r w:rsidRPr="00C8697F">
        <w:t>S</w:t>
      </w:r>
      <w:r w:rsidRPr="00C8697F" w:rsidR="00FB3FE9">
        <w:t>tates</w:t>
      </w:r>
      <w:r w:rsidRPr="00C8697F">
        <w:t xml:space="preserve">, </w:t>
      </w:r>
      <w:r w:rsidRPr="00C8697F" w:rsidR="00E64815">
        <w:t xml:space="preserve">public forensic crime laboratories are funded by federal, state, and local governments, which legislate their operational jurisdiction of criminal cases and their legal authority to process, analyze, and render results and interpretations concerning physical </w:t>
      </w:r>
      <w:r w:rsidR="00EB18D2">
        <w:t xml:space="preserve">and digital </w:t>
      </w:r>
      <w:r w:rsidRPr="00C8697F" w:rsidR="00E64815">
        <w:t>evidence to its jurisdictional court systems and sometimes beyond. Publicly funded crime laboratories are part of the criminal justice system, taking roles in law enforcement investigations, court proceedings, corrections</w:t>
      </w:r>
      <w:r w:rsidR="00EB18D2">
        <w:t>,</w:t>
      </w:r>
      <w:r w:rsidRPr="00C8697F" w:rsidR="00E64815">
        <w:t xml:space="preserve"> and public safety. </w:t>
      </w:r>
      <w:r w:rsidRPr="00C8697F" w:rsidR="003D48B8">
        <w:t>Although key to the</w:t>
      </w:r>
      <w:r w:rsidRPr="00C8697F" w:rsidR="00E64815">
        <w:t xml:space="preserve"> criminal justice system, they often contend with issues that challenge efficienc</w:t>
      </w:r>
      <w:r w:rsidR="00C424C5">
        <w:t>y</w:t>
      </w:r>
      <w:r w:rsidRPr="00C8697F" w:rsidR="00E64815">
        <w:t xml:space="preserve">, effectiveness, operational excellence, and capacity. More </w:t>
      </w:r>
      <w:r w:rsidRPr="00C8697F" w:rsidR="003D48B8">
        <w:t>and continued data are</w:t>
      </w:r>
      <w:r w:rsidRPr="00C8697F" w:rsidR="00E64815">
        <w:t xml:space="preserve"> needed to understand the need for resources</w:t>
      </w:r>
      <w:r w:rsidRPr="00C8697F" w:rsidR="00DE0C90">
        <w:t xml:space="preserve"> (e.g., adequate staffing and equipment)</w:t>
      </w:r>
      <w:r w:rsidRPr="00C8697F" w:rsidR="00E64815">
        <w:t xml:space="preserve">, funding, training and </w:t>
      </w:r>
      <w:r w:rsidRPr="00C8697F" w:rsidR="00DE0C90">
        <w:t xml:space="preserve">continuing education opportunities, costs, and impact of forensic evidence analysis. </w:t>
      </w:r>
      <w:r w:rsidRPr="00C8697F" w:rsidR="00E64815">
        <w:t xml:space="preserve"> </w:t>
      </w:r>
    </w:p>
    <w:p w:rsidRPr="00C8697F" w:rsidR="00CA5D1D" w:rsidP="00793425" w:rsidRDefault="00CA5D1D" w14:paraId="3658A9D0" w14:textId="0277690F"/>
    <w:p w:rsidRPr="00C8697F" w:rsidR="00CD4518" w:rsidP="00793425" w:rsidRDefault="00CA5D1D" w14:paraId="5644253F" w14:textId="08846D17">
      <w:r w:rsidRPr="00C8697F">
        <w:t>Through</w:t>
      </w:r>
      <w:r w:rsidRPr="00C8697F" w:rsidR="00014B7D">
        <w:t xml:space="preserve"> surveying the approximate</w:t>
      </w:r>
      <w:r w:rsidR="00C424C5">
        <w:t>ly</w:t>
      </w:r>
      <w:r w:rsidRPr="00C8697F" w:rsidR="00014B7D">
        <w:t xml:space="preserve"> 500 </w:t>
      </w:r>
      <w:r w:rsidR="0022266C">
        <w:t xml:space="preserve">publicly funded forensic </w:t>
      </w:r>
      <w:r w:rsidRPr="00C8697F" w:rsidR="00014B7D">
        <w:t xml:space="preserve">crime laboratories </w:t>
      </w:r>
      <w:r w:rsidR="0022266C">
        <w:t>operating in the United States in 2020</w:t>
      </w:r>
      <w:r w:rsidRPr="00C8697F">
        <w:t xml:space="preserve">, </w:t>
      </w:r>
      <w:r w:rsidRPr="00C8697F" w:rsidR="00014B7D">
        <w:t>t</w:t>
      </w:r>
      <w:r w:rsidRPr="00C8697F" w:rsidR="00CD4518">
        <w:t xml:space="preserve">he </w:t>
      </w:r>
      <w:r w:rsidRPr="00C8697F" w:rsidR="00F07A77">
        <w:t>2020</w:t>
      </w:r>
      <w:r w:rsidRPr="00C8697F" w:rsidR="00CD4518">
        <w:t xml:space="preserve"> CPFFCL aims to provide a comprehensive understanding of </w:t>
      </w:r>
      <w:r w:rsidR="0022266C">
        <w:t>these lab</w:t>
      </w:r>
      <w:r w:rsidR="00C424C5">
        <w:t>oratorie</w:t>
      </w:r>
      <w:r w:rsidR="0022266C">
        <w:t>s’ workloads, operations, policies, and procedures</w:t>
      </w:r>
      <w:r w:rsidRPr="00C8697F" w:rsidR="00CD4518">
        <w:t xml:space="preserve">. </w:t>
      </w:r>
      <w:r w:rsidRPr="00C8697F" w:rsidR="00887D18">
        <w:t>The 2020 CPFFCL goals include collecting data on the:</w:t>
      </w:r>
    </w:p>
    <w:p w:rsidRPr="00C8697F" w:rsidR="00887D18" w:rsidP="00793425" w:rsidRDefault="00887D18" w14:paraId="32C0F2DD" w14:textId="77777777">
      <w:pPr>
        <w:rPr>
          <w:color w:val="000000"/>
        </w:rPr>
      </w:pPr>
    </w:p>
    <w:p w:rsidRPr="00C8697F" w:rsidR="00CD4518" w:rsidP="00793425" w:rsidRDefault="00CD4518" w14:paraId="0F55D428" w14:textId="75C94E90">
      <w:pPr>
        <w:pStyle w:val="ListParagraph"/>
        <w:numPr>
          <w:ilvl w:val="0"/>
          <w:numId w:val="7"/>
        </w:numPr>
      </w:pPr>
      <w:r w:rsidRPr="00C8697F">
        <w:t>administrative characteristics of crime laboratories (e.g., staffing, training, population served, resources, and caseload)</w:t>
      </w:r>
      <w:r w:rsidRPr="00C8697F" w:rsidR="00014B7D">
        <w:t>;</w:t>
      </w:r>
    </w:p>
    <w:p w:rsidRPr="00C8697F" w:rsidR="00CD4518" w:rsidP="00793425" w:rsidRDefault="00CD4518" w14:paraId="6AB8B614" w14:textId="56FF4AB8">
      <w:pPr>
        <w:pStyle w:val="ListParagraph"/>
        <w:numPr>
          <w:ilvl w:val="0"/>
          <w:numId w:val="7"/>
        </w:numPr>
      </w:pPr>
      <w:r w:rsidRPr="00C8697F">
        <w:t>policies related to data, records, and evidence retention</w:t>
      </w:r>
      <w:r w:rsidRPr="00C8697F" w:rsidR="00014B7D">
        <w:t>;</w:t>
      </w:r>
    </w:p>
    <w:p w:rsidRPr="00C8697F" w:rsidR="00CD4518" w:rsidP="00793425" w:rsidRDefault="00CD4518" w14:paraId="42FF5856" w14:textId="549BC7FD">
      <w:pPr>
        <w:pStyle w:val="ListParagraph"/>
        <w:numPr>
          <w:ilvl w:val="0"/>
          <w:numId w:val="7"/>
        </w:numPr>
      </w:pPr>
      <w:r w:rsidRPr="00C8697F">
        <w:t xml:space="preserve">changes in demands on crime laboratories and other emerging trends in the field. </w:t>
      </w:r>
    </w:p>
    <w:p w:rsidRPr="00C8697F" w:rsidR="00CD4518" w:rsidP="00793425" w:rsidRDefault="00CD4518" w14:paraId="3D723ED6" w14:textId="62E16B10"/>
    <w:p w:rsidRPr="00C8697F" w:rsidR="006444FE" w:rsidP="00793425" w:rsidRDefault="00DE0C90" w14:paraId="5A226B54" w14:textId="48449F6F">
      <w:r w:rsidRPr="00C8697F">
        <w:t xml:space="preserve">The </w:t>
      </w:r>
      <w:r w:rsidRPr="00C8697F" w:rsidR="00F07A77">
        <w:t>2020</w:t>
      </w:r>
      <w:r w:rsidRPr="00C8697F">
        <w:t xml:space="preserve"> CPFFCL will capture important topics for forensic crime laboratories</w:t>
      </w:r>
      <w:r w:rsidRPr="00C8697F" w:rsidR="00F206C0">
        <w:t>, including: organizational structure/control, forensic functions, characteristics of the laboratory information management system (LIMS), budget, staffing characteristics (e.g., full-time, part-time, salary by position), case and workload,</w:t>
      </w:r>
      <w:r w:rsidR="00C95515">
        <w:t xml:space="preserve"> backlogs,</w:t>
      </w:r>
      <w:r w:rsidRPr="00C8697F" w:rsidR="00F206C0">
        <w:t xml:space="preserve"> laboratory outsourcing needs and practices, and quality assurance measures in the laboratory.</w:t>
      </w:r>
    </w:p>
    <w:p w:rsidRPr="00C8697F" w:rsidR="001D6A0D" w:rsidP="00793425" w:rsidRDefault="001D6A0D" w14:paraId="6CC6C64D" w14:textId="77777777"/>
    <w:p w:rsidRPr="00C8697F" w:rsidR="009D2BDD" w:rsidP="00793425" w:rsidRDefault="00F206C0" w14:paraId="21A47CED" w14:textId="522E15D6">
      <w:r w:rsidRPr="00C8697F">
        <w:t>CPFFCL</w:t>
      </w:r>
      <w:r w:rsidRPr="00C8697F" w:rsidR="004835E3">
        <w:t xml:space="preserve"> is part of </w:t>
      </w:r>
      <w:r w:rsidRPr="00C8697F" w:rsidR="001D6A0D">
        <w:t>BJS</w:t>
      </w:r>
      <w:r w:rsidRPr="00C8697F" w:rsidR="00484098">
        <w:t>’s</w:t>
      </w:r>
      <w:r w:rsidRPr="00C8697F" w:rsidR="001D6A0D">
        <w:t xml:space="preserve"> </w:t>
      </w:r>
      <w:r w:rsidRPr="00C8697F" w:rsidR="004835E3">
        <w:t>law enforcement statistics</w:t>
      </w:r>
      <w:r w:rsidRPr="00C8697F" w:rsidR="00EE6992">
        <w:t xml:space="preserve"> program</w:t>
      </w:r>
      <w:r w:rsidRPr="00C8697F" w:rsidR="00484098">
        <w:t xml:space="preserve">. </w:t>
      </w:r>
      <w:r w:rsidRPr="00C8697F" w:rsidR="00284B86">
        <w:t xml:space="preserve">The Law Enforcement </w:t>
      </w:r>
      <w:r w:rsidR="00C424C5">
        <w:t xml:space="preserve">Statistics </w:t>
      </w:r>
      <w:r w:rsidRPr="00C8697F" w:rsidR="00284B86">
        <w:t>Unit within BJS</w:t>
      </w:r>
      <w:r w:rsidRPr="00C8697F" w:rsidR="004835E3">
        <w:t xml:space="preserve"> </w:t>
      </w:r>
      <w:r w:rsidRPr="00C8697F" w:rsidR="00284B86">
        <w:t>emphasizes</w:t>
      </w:r>
      <w:r w:rsidRPr="00C8697F" w:rsidR="004835E3">
        <w:t xml:space="preserve"> surveys of organizations</w:t>
      </w:r>
      <w:r w:rsidRPr="00C8697F" w:rsidR="008535CC">
        <w:t xml:space="preserve"> </w:t>
      </w:r>
      <w:r w:rsidRPr="00C8697F" w:rsidR="00484098">
        <w:t>for</w:t>
      </w:r>
      <w:r w:rsidRPr="00C8697F" w:rsidR="008535CC">
        <w:t xml:space="preserve"> collecting and analyzing statistical information </w:t>
      </w:r>
      <w:r w:rsidRPr="00C8697F" w:rsidR="00484098">
        <w:t xml:space="preserve">about </w:t>
      </w:r>
      <w:r w:rsidRPr="00C8697F" w:rsidR="008535CC">
        <w:t xml:space="preserve">the operations of the criminal justice system, </w:t>
      </w:r>
      <w:r w:rsidRPr="00C8697F" w:rsidR="00EE6992">
        <w:t xml:space="preserve">which reflects and is </w:t>
      </w:r>
      <w:r w:rsidRPr="00C8697F" w:rsidR="008535CC">
        <w:t xml:space="preserve">consistent </w:t>
      </w:r>
      <w:r w:rsidRPr="00C8697F" w:rsidR="008535CC">
        <w:lastRenderedPageBreak/>
        <w:t xml:space="preserve">with BJS’s authorizing statute (see </w:t>
      </w:r>
      <w:r w:rsidR="00C424C5">
        <w:t>34</w:t>
      </w:r>
      <w:r w:rsidRPr="00C8697F" w:rsidR="008535CC">
        <w:t xml:space="preserve"> USC § </w:t>
      </w:r>
      <w:r w:rsidR="00C424C5">
        <w:t>101</w:t>
      </w:r>
      <w:r w:rsidRPr="00C8697F" w:rsidR="008535CC">
        <w:t>32(c)(4)</w:t>
      </w:r>
      <w:r w:rsidRPr="00C8697F" w:rsidR="001B1CD8">
        <w:t xml:space="preserve">; </w:t>
      </w:r>
      <w:r w:rsidRPr="00535C02" w:rsidR="001B1CD8">
        <w:rPr>
          <w:b/>
        </w:rPr>
        <w:t>Attachment 1</w:t>
      </w:r>
      <w:r w:rsidRPr="00C8697F" w:rsidR="00692A5D">
        <w:t>)</w:t>
      </w:r>
      <w:r w:rsidRPr="00C8697F" w:rsidR="008535CC">
        <w:t>.</w:t>
      </w:r>
      <w:r w:rsidRPr="00C8697F" w:rsidR="00745932">
        <w:t xml:space="preserve"> </w:t>
      </w:r>
      <w:r w:rsidRPr="00C8697F" w:rsidR="00014B7D">
        <w:t>The CPFFCL complements BJS’s Census of Medical Examiner and Coroner Offices (OMB</w:t>
      </w:r>
      <w:r w:rsidR="007C2AAD">
        <w:t xml:space="preserve"> Control No.</w:t>
      </w:r>
      <w:r w:rsidRPr="00C8697F" w:rsidR="00014B7D">
        <w:t xml:space="preserve"> 1</w:t>
      </w:r>
      <w:r w:rsidR="00C424C5">
        <w:t>1</w:t>
      </w:r>
      <w:r w:rsidRPr="00C8697F" w:rsidR="00014B7D">
        <w:t>21-0296)</w:t>
      </w:r>
      <w:r w:rsidRPr="00C8697F" w:rsidR="004423CC">
        <w:t>, which gathers information about the organizational structure and operations of coroner and medical offices, staffing, employee training, and certification; resources, including budget, information technology, and examination capabilities; workload; policies and procedures for investigations and disposition of remains; participation in information sharing efforts; accreditation status; autopsy and toxicology outsourcing costs, policies, and practices; and access to databases, trainings, and support services.</w:t>
      </w:r>
    </w:p>
    <w:p w:rsidRPr="00C8697F" w:rsidR="009D2BDD" w:rsidP="00793425" w:rsidRDefault="009D2BDD" w14:paraId="01992F0B" w14:textId="77777777"/>
    <w:p w:rsidR="004423CC" w:rsidP="00793425" w:rsidRDefault="004423CC" w14:paraId="58D5EEBF" w14:textId="5BACE5CF">
      <w:pPr>
        <w:autoSpaceDE w:val="0"/>
        <w:autoSpaceDN w:val="0"/>
        <w:adjustRightInd w:val="0"/>
      </w:pPr>
      <w:r w:rsidRPr="00C8697F">
        <w:t xml:space="preserve">BJS has modified the format and design of several items from the 2014 </w:t>
      </w:r>
      <w:r w:rsidR="0022266C">
        <w:t>CPFFCL</w:t>
      </w:r>
      <w:r w:rsidRPr="00C8697F" w:rsidR="0022266C">
        <w:t xml:space="preserve"> </w:t>
      </w:r>
      <w:r w:rsidRPr="00C8697F">
        <w:t>to improve</w:t>
      </w:r>
      <w:r w:rsidR="0022266C">
        <w:t xml:space="preserve"> </w:t>
      </w:r>
      <w:r w:rsidRPr="00C8697F">
        <w:t>measurement and ease respondent burden. Central questions concerning budget, staffing, and</w:t>
      </w:r>
      <w:r w:rsidR="0022266C">
        <w:t xml:space="preserve"> </w:t>
      </w:r>
      <w:r w:rsidRPr="00C8697F">
        <w:t>caseload were modified to increase clarity based on expert panel and cognitive interview</w:t>
      </w:r>
      <w:r w:rsidR="0022266C">
        <w:t xml:space="preserve"> </w:t>
      </w:r>
      <w:r w:rsidRPr="00C8697F">
        <w:t xml:space="preserve">feedback with an eye toward preserving </w:t>
      </w:r>
      <w:r w:rsidR="00C95515">
        <w:t>BJS’</w:t>
      </w:r>
      <w:r w:rsidR="00C424C5">
        <w:t>s</w:t>
      </w:r>
      <w:r w:rsidRPr="00C8697F">
        <w:t xml:space="preserve"> ability to compare previous administration results. </w:t>
      </w:r>
    </w:p>
    <w:p w:rsidRPr="00C8697F" w:rsidR="0022266C" w:rsidP="00793425" w:rsidRDefault="0022266C" w14:paraId="077F9F75" w14:textId="77777777">
      <w:pPr>
        <w:autoSpaceDE w:val="0"/>
        <w:autoSpaceDN w:val="0"/>
        <w:adjustRightInd w:val="0"/>
      </w:pPr>
    </w:p>
    <w:p w:rsidR="0022266C" w:rsidP="00793425" w:rsidRDefault="00C95496" w14:paraId="1017BB1C" w14:textId="7C84F2E6">
      <w:r w:rsidRPr="00C8697F">
        <w:t xml:space="preserve">The </w:t>
      </w:r>
      <w:r w:rsidRPr="00C8697F" w:rsidR="00F07A77">
        <w:t>2020</w:t>
      </w:r>
      <w:r w:rsidRPr="00C8697F">
        <w:t xml:space="preserve"> </w:t>
      </w:r>
      <w:r w:rsidRPr="00C8697F" w:rsidR="00F86DFB">
        <w:t>C</w:t>
      </w:r>
      <w:r w:rsidRPr="00C8697F" w:rsidR="00D67484">
        <w:t>PFFCL</w:t>
      </w:r>
      <w:r w:rsidRPr="00C8697F">
        <w:t xml:space="preserve"> will </w:t>
      </w:r>
      <w:r w:rsidR="00C424C5">
        <w:t>maintain</w:t>
      </w:r>
      <w:r w:rsidRPr="00C8697F" w:rsidR="00C424C5">
        <w:t xml:space="preserve"> </w:t>
      </w:r>
      <w:r w:rsidRPr="00C8697F" w:rsidR="00D67484">
        <w:t>a focus on</w:t>
      </w:r>
      <w:r w:rsidRPr="00C8697F">
        <w:t xml:space="preserve"> </w:t>
      </w:r>
      <w:r w:rsidRPr="00C8697F" w:rsidR="00A91699">
        <w:t>administrative</w:t>
      </w:r>
      <w:r w:rsidRPr="00C8697F" w:rsidR="00D67484">
        <w:t xml:space="preserve"> and organizational structure</w:t>
      </w:r>
      <w:r w:rsidRPr="00C8697F" w:rsidR="00A91699">
        <w:t xml:space="preserve">, budget, </w:t>
      </w:r>
      <w:r w:rsidRPr="00C8697F" w:rsidR="00D67484">
        <w:t xml:space="preserve">laboratory function, outsourcing, staffing, </w:t>
      </w:r>
      <w:r w:rsidR="00C95515">
        <w:t>and workload</w:t>
      </w:r>
      <w:r w:rsidR="00C424C5">
        <w:t xml:space="preserve"> found in</w:t>
      </w:r>
      <w:r w:rsidRPr="00C8697F" w:rsidR="00A91699">
        <w:t xml:space="preserve"> the</w:t>
      </w:r>
      <w:r w:rsidRPr="00C8697F" w:rsidR="00D67484">
        <w:t xml:space="preserve"> 2014</w:t>
      </w:r>
      <w:r w:rsidRPr="00C8697F" w:rsidR="00A91699">
        <w:t xml:space="preserve"> Census</w:t>
      </w:r>
      <w:r w:rsidRPr="00C8697F" w:rsidR="00D67484">
        <w:t xml:space="preserve">. </w:t>
      </w:r>
      <w:r w:rsidRPr="00C8697F" w:rsidR="004423CC">
        <w:t>BJS has refined questions and response options to reflect 2020 operations, nomenclature, and relevant topic to the forensic laboratory community. See the discussion of the differences in the instruments in “Section 5. Efforts to Minimize Burden.</w:t>
      </w:r>
      <w:r w:rsidR="0022266C">
        <w:t>”</w:t>
      </w:r>
    </w:p>
    <w:p w:rsidR="0022266C" w:rsidP="00793425" w:rsidRDefault="0022266C" w14:paraId="1F50D1F8" w14:textId="77777777"/>
    <w:p w:rsidR="0022266C" w:rsidP="00793425" w:rsidRDefault="004423CC" w14:paraId="39320C8C" w14:textId="04E125DB">
      <w:r w:rsidRPr="00C8697F">
        <w:t>The design of the 2020 CPFFCL survey instrument is consistent with best practices of survey design including several design elements intended to increase the ease of reading and</w:t>
      </w:r>
      <w:r w:rsidR="0022266C">
        <w:t xml:space="preserve"> </w:t>
      </w:r>
      <w:r w:rsidRPr="00C8697F">
        <w:t>understanding the questionnaire</w:t>
      </w:r>
      <w:r w:rsidR="004E415A">
        <w:t>.</w:t>
      </w:r>
      <w:r w:rsidR="004E415A">
        <w:rPr>
          <w:rStyle w:val="FootnoteReference"/>
        </w:rPr>
        <w:footnoteReference w:id="1"/>
      </w:r>
      <w:r w:rsidR="003F0A11">
        <w:t xml:space="preserve"> </w:t>
      </w:r>
      <w:r w:rsidRPr="00C8697F" w:rsidR="00360E99">
        <w:t>First, related questions are grouped together in topical sections. In addition, the survey instrument begins with the most salient items, as respondents can sometimes lose focus and attention towards the end of a questionnaire. Questions and</w:t>
      </w:r>
      <w:r w:rsidRPr="00C8697F" w:rsidR="00ED1074">
        <w:t xml:space="preserve"> instructions</w:t>
      </w:r>
      <w:r w:rsidRPr="00C8697F" w:rsidR="00360E99">
        <w:t xml:space="preserve"> are presented in a consistent manner on each page </w:t>
      </w:r>
      <w:r w:rsidRPr="00C8697F" w:rsidR="00C95496">
        <w:t>to</w:t>
      </w:r>
      <w:r w:rsidRPr="00C8697F" w:rsidR="00360E99">
        <w:t xml:space="preserve"> </w:t>
      </w:r>
      <w:r w:rsidRPr="00C8697F" w:rsidR="00C95496">
        <w:t xml:space="preserve">facilitate </w:t>
      </w:r>
      <w:r w:rsidRPr="00C8697F" w:rsidR="00360E99">
        <w:t>comprehen</w:t>
      </w:r>
      <w:r w:rsidRPr="00C8697F" w:rsidR="00C95496">
        <w:t>sion</w:t>
      </w:r>
      <w:r w:rsidRPr="00C8697F" w:rsidR="00360E99">
        <w:t xml:space="preserve">. </w:t>
      </w:r>
      <w:r w:rsidRPr="00C8697F" w:rsidR="00A44D81">
        <w:t>On both web and paper survey administrations, p</w:t>
      </w:r>
      <w:r w:rsidRPr="00C8697F" w:rsidR="00360E99">
        <w:t xml:space="preserve">roper alignment and vertical spacing </w:t>
      </w:r>
      <w:r w:rsidRPr="00C8697F" w:rsidR="00DB4937">
        <w:t>are</w:t>
      </w:r>
      <w:r w:rsidRPr="00C8697F" w:rsidR="00360E99">
        <w:t xml:space="preserve"> used to help respondents mentally categorize the information on the page and to aid in a neat, well-organized presentation. </w:t>
      </w:r>
    </w:p>
    <w:p w:rsidR="0022266C" w:rsidP="00793425" w:rsidRDefault="0022266C" w14:paraId="49452964" w14:textId="77777777"/>
    <w:p w:rsidRPr="00C8697F" w:rsidR="00360E99" w:rsidP="00793425" w:rsidRDefault="00360E99" w14:paraId="41CD1878" w14:textId="13676CD9">
      <w:r w:rsidRPr="00C8697F">
        <w:t xml:space="preserve">The </w:t>
      </w:r>
      <w:r w:rsidR="004B6F72">
        <w:t xml:space="preserve">survey </w:t>
      </w:r>
      <w:r w:rsidRPr="00C8697F">
        <w:t xml:space="preserve">design uses </w:t>
      </w:r>
      <w:r w:rsidRPr="00C8697F" w:rsidR="00C95496">
        <w:t xml:space="preserve">informative </w:t>
      </w:r>
      <w:r w:rsidRPr="00C8697F">
        <w:t xml:space="preserve">section headers to assist respondents in recognizing different </w:t>
      </w:r>
      <w:r w:rsidR="004B6F72">
        <w:t>sets of questions</w:t>
      </w:r>
      <w:r w:rsidRPr="00C8697F">
        <w:t xml:space="preserve">. </w:t>
      </w:r>
      <w:r w:rsidRPr="00C8697F" w:rsidR="00C95496">
        <w:t>Clear i</w:t>
      </w:r>
      <w:r w:rsidRPr="00C8697F">
        <w:t xml:space="preserve">nstructions regarding skip patterns assist the respondent in navigating the survey. Finally, in choosing a method for asking questions, the use of complex matrices has been minimized. When a matrix-type question cannot be avoided, it is presented simplistically and with straightforward directions to </w:t>
      </w:r>
      <w:r w:rsidRPr="00C8697F" w:rsidR="00C95496">
        <w:t xml:space="preserve">help </w:t>
      </w:r>
      <w:r w:rsidRPr="00C8697F">
        <w:t>ensure that respondents understand the question being asked and the available answer choices.</w:t>
      </w:r>
      <w:r w:rsidRPr="00C8697F" w:rsidR="00745932">
        <w:t xml:space="preserve"> </w:t>
      </w:r>
    </w:p>
    <w:p w:rsidRPr="00C8697F" w:rsidR="00360E99" w:rsidP="00793425" w:rsidRDefault="00360E99" w14:paraId="74308BDB" w14:textId="27CBE376">
      <w:pPr>
        <w:rPr>
          <w:highlight w:val="yellow"/>
        </w:rPr>
      </w:pPr>
    </w:p>
    <w:p w:rsidR="004B6F72" w:rsidP="00793425" w:rsidRDefault="00F0485F" w14:paraId="6582C19D" w14:textId="5FA29FE2">
      <w:pPr>
        <w:autoSpaceDE w:val="0"/>
        <w:autoSpaceDN w:val="0"/>
        <w:adjustRightInd w:val="0"/>
        <w:rPr>
          <w:color w:val="000000"/>
        </w:rPr>
      </w:pPr>
      <w:r w:rsidRPr="00C8697F">
        <w:rPr>
          <w:color w:val="000000"/>
        </w:rPr>
        <w:t xml:space="preserve">In collecting the </w:t>
      </w:r>
      <w:r w:rsidRPr="00C8697F" w:rsidR="00F07A77">
        <w:t>2020</w:t>
      </w:r>
      <w:r w:rsidRPr="00C8697F" w:rsidR="009802EA">
        <w:rPr>
          <w:color w:val="000000"/>
        </w:rPr>
        <w:t xml:space="preserve"> CPFFCL</w:t>
      </w:r>
      <w:r w:rsidRPr="00C8697F">
        <w:rPr>
          <w:color w:val="000000"/>
        </w:rPr>
        <w:t xml:space="preserve"> data, BJS </w:t>
      </w:r>
      <w:r w:rsidRPr="00C8697F" w:rsidR="00BF357D">
        <w:rPr>
          <w:color w:val="000000"/>
        </w:rPr>
        <w:t xml:space="preserve">will </w:t>
      </w:r>
      <w:r w:rsidRPr="00C8697F">
        <w:rPr>
          <w:color w:val="000000"/>
        </w:rPr>
        <w:t xml:space="preserve">use </w:t>
      </w:r>
      <w:r w:rsidRPr="00C8697F" w:rsidR="00BF357D">
        <w:rPr>
          <w:color w:val="000000"/>
        </w:rPr>
        <w:t xml:space="preserve">a multi-mode </w:t>
      </w:r>
      <w:r w:rsidRPr="00C8697F">
        <w:rPr>
          <w:color w:val="000000"/>
        </w:rPr>
        <w:t xml:space="preserve">approach </w:t>
      </w:r>
      <w:r w:rsidRPr="00C8697F" w:rsidR="00BF357D">
        <w:rPr>
          <w:color w:val="000000"/>
        </w:rPr>
        <w:t xml:space="preserve">in which respondents </w:t>
      </w:r>
      <w:r w:rsidRPr="00C8697F" w:rsidR="00F80C83">
        <w:rPr>
          <w:color w:val="000000"/>
        </w:rPr>
        <w:t xml:space="preserve">are </w:t>
      </w:r>
      <w:r w:rsidRPr="00C8697F" w:rsidR="00BF357D">
        <w:rPr>
          <w:color w:val="000000"/>
        </w:rPr>
        <w:t xml:space="preserve">directed to </w:t>
      </w:r>
      <w:r w:rsidRPr="00C8697F">
        <w:rPr>
          <w:color w:val="000000"/>
        </w:rPr>
        <w:t xml:space="preserve">a </w:t>
      </w:r>
      <w:r w:rsidRPr="00C8697F" w:rsidR="00BD43E6">
        <w:rPr>
          <w:color w:val="000000"/>
        </w:rPr>
        <w:t>w</w:t>
      </w:r>
      <w:r w:rsidRPr="00C8697F">
        <w:rPr>
          <w:color w:val="000000"/>
        </w:rPr>
        <w:t xml:space="preserve">eb-based format as </w:t>
      </w:r>
      <w:r w:rsidRPr="00C8697F" w:rsidR="00BF357D">
        <w:rPr>
          <w:color w:val="000000"/>
        </w:rPr>
        <w:t>the primary mode of data collection</w:t>
      </w:r>
      <w:r w:rsidRPr="00C8697F">
        <w:rPr>
          <w:color w:val="000000"/>
        </w:rPr>
        <w:t>.</w:t>
      </w:r>
      <w:r w:rsidRPr="00C8697F" w:rsidR="00745932">
        <w:rPr>
          <w:color w:val="000000"/>
        </w:rPr>
        <w:t xml:space="preserve"> </w:t>
      </w:r>
      <w:r w:rsidRPr="00C8697F">
        <w:rPr>
          <w:color w:val="000000"/>
        </w:rPr>
        <w:t xml:space="preserve">BJS prefers a </w:t>
      </w:r>
      <w:r w:rsidRPr="00C8697F" w:rsidR="00BD43E6">
        <w:t>w</w:t>
      </w:r>
      <w:r w:rsidRPr="00C8697F" w:rsidR="00293C39">
        <w:t xml:space="preserve">eb-based collection </w:t>
      </w:r>
      <w:r w:rsidRPr="00C8697F" w:rsidR="00F07566">
        <w:t>to</w:t>
      </w:r>
      <w:r w:rsidRPr="00C8697F">
        <w:t xml:space="preserve"> increase </w:t>
      </w:r>
      <w:r w:rsidRPr="00C8697F" w:rsidR="00293C39">
        <w:t>response rates, expedite the data collection process, simplify data verification,</w:t>
      </w:r>
      <w:r w:rsidRPr="00C8697F" w:rsidR="00F07A30">
        <w:t xml:space="preserve"> enhance data quality by using validation checks</w:t>
      </w:r>
      <w:r w:rsidRPr="00C8697F" w:rsidR="00A44D81">
        <w:t>, reduc</w:t>
      </w:r>
      <w:r w:rsidRPr="00C8697F" w:rsidR="004423CC">
        <w:t>e</w:t>
      </w:r>
      <w:r w:rsidRPr="00C8697F" w:rsidR="00A44D81">
        <w:t xml:space="preserve"> burden by using automated skip logic</w:t>
      </w:r>
      <w:r w:rsidRPr="00C8697F" w:rsidR="00F07A30">
        <w:t xml:space="preserve">, </w:t>
      </w:r>
      <w:r w:rsidRPr="00C8697F" w:rsidR="00293C39">
        <w:t xml:space="preserve">and facilitate report preparation. </w:t>
      </w:r>
      <w:r w:rsidRPr="00C8697F" w:rsidR="00387A54">
        <w:t xml:space="preserve">Due to increased capabilities of the </w:t>
      </w:r>
      <w:r w:rsidRPr="00C8697F" w:rsidR="005179A8">
        <w:t xml:space="preserve">forensic </w:t>
      </w:r>
      <w:r w:rsidRPr="00C8697F" w:rsidR="005179A8">
        <w:lastRenderedPageBreak/>
        <w:t>laboratory community</w:t>
      </w:r>
      <w:r w:rsidRPr="00C8697F" w:rsidR="00C96246">
        <w:t xml:space="preserve"> </w:t>
      </w:r>
      <w:r w:rsidRPr="00C8697F" w:rsidR="00387A54">
        <w:t>and the project</w:t>
      </w:r>
      <w:r w:rsidRPr="00C8697F" w:rsidR="00EE6992">
        <w:t xml:space="preserve"> team</w:t>
      </w:r>
      <w:r w:rsidRPr="00C8697F" w:rsidR="00387A54">
        <w:t xml:space="preserve">’s strong encouragement to </w:t>
      </w:r>
      <w:r w:rsidRPr="00C8697F" w:rsidR="000443BC">
        <w:t xml:space="preserve">respond using the web-based data collection tool, </w:t>
      </w:r>
      <w:r w:rsidRPr="00C8697F">
        <w:t xml:space="preserve">BJS </w:t>
      </w:r>
      <w:r w:rsidR="00C424C5">
        <w:t>expects</w:t>
      </w:r>
      <w:r w:rsidRPr="00C8697F" w:rsidR="00C424C5">
        <w:t xml:space="preserve"> </w:t>
      </w:r>
      <w:r w:rsidRPr="00C8697F" w:rsidR="007D7EC4">
        <w:t xml:space="preserve">that </w:t>
      </w:r>
      <w:r w:rsidRPr="00C8697F" w:rsidR="00F07566">
        <w:t xml:space="preserve">most </w:t>
      </w:r>
      <w:r w:rsidRPr="00C8697F" w:rsidR="00D83CB4">
        <w:t>agencies</w:t>
      </w:r>
      <w:r w:rsidRPr="00C8697F" w:rsidR="007D7EC4">
        <w:t xml:space="preserve"> </w:t>
      </w:r>
      <w:r w:rsidRPr="00C8697F" w:rsidR="00F07566">
        <w:t xml:space="preserve">will use this option for </w:t>
      </w:r>
      <w:r w:rsidRPr="00C8697F" w:rsidR="007D7EC4">
        <w:t xml:space="preserve">the </w:t>
      </w:r>
      <w:r w:rsidRPr="00C8697F" w:rsidR="005179A8">
        <w:t>2020 CPFFCL</w:t>
      </w:r>
      <w:r w:rsidRPr="00C8697F" w:rsidR="007D7EC4">
        <w:t xml:space="preserve">. </w:t>
      </w:r>
      <w:r w:rsidRPr="00C8697F" w:rsidR="00C86CEB">
        <w:rPr>
          <w:color w:val="000000"/>
        </w:rPr>
        <w:t xml:space="preserve">However, </w:t>
      </w:r>
      <w:r w:rsidRPr="00C8697F" w:rsidR="00F07566">
        <w:rPr>
          <w:color w:val="000000"/>
        </w:rPr>
        <w:t xml:space="preserve">hard copy </w:t>
      </w:r>
      <w:r w:rsidRPr="00C8697F" w:rsidR="00C86CEB">
        <w:rPr>
          <w:color w:val="000000"/>
        </w:rPr>
        <w:t>question</w:t>
      </w:r>
      <w:r w:rsidRPr="00C8697F" w:rsidR="00CC2784">
        <w:rPr>
          <w:color w:val="000000"/>
        </w:rPr>
        <w:t>n</w:t>
      </w:r>
      <w:r w:rsidRPr="00C8697F" w:rsidR="00C86CEB">
        <w:rPr>
          <w:color w:val="000000"/>
        </w:rPr>
        <w:t xml:space="preserve">aires </w:t>
      </w:r>
      <w:r w:rsidRPr="00C8697F" w:rsidR="00F07566">
        <w:rPr>
          <w:color w:val="000000"/>
        </w:rPr>
        <w:t xml:space="preserve">will be available to </w:t>
      </w:r>
      <w:r w:rsidRPr="00C8697F" w:rsidR="00D83CB4">
        <w:rPr>
          <w:color w:val="000000"/>
        </w:rPr>
        <w:t>agencies</w:t>
      </w:r>
      <w:r w:rsidRPr="00C8697F" w:rsidR="00F07566">
        <w:rPr>
          <w:color w:val="000000"/>
        </w:rPr>
        <w:t xml:space="preserve"> as an alternative mode for response.</w:t>
      </w:r>
      <w:r w:rsidRPr="00C8697F" w:rsidR="004A16A1">
        <w:rPr>
          <w:color w:val="000000"/>
        </w:rPr>
        <w:t xml:space="preserve"> </w:t>
      </w:r>
    </w:p>
    <w:p w:rsidR="004B6F72" w:rsidP="00793425" w:rsidRDefault="004B6F72" w14:paraId="6196A518" w14:textId="77777777">
      <w:pPr>
        <w:autoSpaceDE w:val="0"/>
        <w:autoSpaceDN w:val="0"/>
        <w:adjustRightInd w:val="0"/>
      </w:pPr>
    </w:p>
    <w:p w:rsidRPr="00C8697F" w:rsidR="00D7079B" w:rsidP="00793425" w:rsidRDefault="00BD43E6" w14:paraId="05724FB7" w14:textId="6D2C7034">
      <w:pPr>
        <w:autoSpaceDE w:val="0"/>
        <w:autoSpaceDN w:val="0"/>
        <w:adjustRightInd w:val="0"/>
      </w:pPr>
      <w:r w:rsidRPr="00C8697F">
        <w:t>RTI</w:t>
      </w:r>
      <w:r w:rsidRPr="00C8697F" w:rsidR="000551BB">
        <w:t xml:space="preserve"> International, BJS’s data collection agent for the 20</w:t>
      </w:r>
      <w:r w:rsidRPr="00C8697F" w:rsidR="0065284E">
        <w:t>20</w:t>
      </w:r>
      <w:r w:rsidRPr="00C8697F" w:rsidR="000551BB">
        <w:t xml:space="preserve"> C</w:t>
      </w:r>
      <w:r w:rsidRPr="00C8697F" w:rsidR="0065284E">
        <w:t>PFFCL</w:t>
      </w:r>
      <w:r w:rsidRPr="00C8697F" w:rsidR="000551BB">
        <w:t>,</w:t>
      </w:r>
      <w:r w:rsidRPr="00C8697F">
        <w:t xml:space="preserve"> is a well-established federal contractor </w:t>
      </w:r>
      <w:r w:rsidRPr="00C8697F" w:rsidR="000551BB">
        <w:t>that has</w:t>
      </w:r>
      <w:r w:rsidRPr="00C8697F">
        <w:t xml:space="preserve"> successfully conducted several BJS surveys</w:t>
      </w:r>
      <w:r w:rsidRPr="00C8697F" w:rsidR="00F07566">
        <w:t xml:space="preserve"> including </w:t>
      </w:r>
      <w:r w:rsidRPr="00C8697F" w:rsidR="0065284E">
        <w:t>the 2018 Census of Medical Examiner and Coroner Offices</w:t>
      </w:r>
      <w:r w:rsidRPr="00C8697F" w:rsidR="00A44D81">
        <w:t>,</w:t>
      </w:r>
      <w:r w:rsidRPr="00C8697F" w:rsidR="00F07566">
        <w:t xml:space="preserve"> 20</w:t>
      </w:r>
      <w:r w:rsidR="00C424C5">
        <w:t>20</w:t>
      </w:r>
      <w:r w:rsidRPr="00C8697F" w:rsidR="00F07566">
        <w:t xml:space="preserve"> L</w:t>
      </w:r>
      <w:r w:rsidRPr="00C8697F" w:rsidR="000551BB">
        <w:t xml:space="preserve">aw </w:t>
      </w:r>
      <w:r w:rsidRPr="00C8697F" w:rsidR="00F07566">
        <w:t>E</w:t>
      </w:r>
      <w:r w:rsidRPr="00C8697F" w:rsidR="000551BB">
        <w:t xml:space="preserve">nforcement </w:t>
      </w:r>
      <w:r w:rsidRPr="00C8697F" w:rsidR="00F07566">
        <w:t>M</w:t>
      </w:r>
      <w:r w:rsidRPr="00C8697F" w:rsidR="000551BB">
        <w:t xml:space="preserve">anagement and </w:t>
      </w:r>
      <w:r w:rsidRPr="00C8697F" w:rsidR="00F07566">
        <w:t>A</w:t>
      </w:r>
      <w:r w:rsidRPr="00C8697F" w:rsidR="000551BB">
        <w:t xml:space="preserve">dministrative </w:t>
      </w:r>
      <w:r w:rsidRPr="00C8697F" w:rsidR="00F07566">
        <w:t>S</w:t>
      </w:r>
      <w:r w:rsidRPr="00C8697F" w:rsidR="000551BB">
        <w:t>tatistics</w:t>
      </w:r>
      <w:r w:rsidRPr="00C8697F" w:rsidR="00F66562">
        <w:t xml:space="preserve"> (OMB</w:t>
      </w:r>
      <w:r w:rsidR="00C755B6">
        <w:t xml:space="preserve"> Control No.</w:t>
      </w:r>
      <w:r w:rsidRPr="00C8697F" w:rsidR="00F66562">
        <w:t>1121-0240)</w:t>
      </w:r>
      <w:r w:rsidRPr="00C8697F" w:rsidR="00D83CB4">
        <w:t>, 2018 C</w:t>
      </w:r>
      <w:r w:rsidRPr="00C8697F" w:rsidR="000551BB">
        <w:t xml:space="preserve">ensus of </w:t>
      </w:r>
      <w:r w:rsidRPr="00C8697F" w:rsidR="00D83CB4">
        <w:t>S</w:t>
      </w:r>
      <w:r w:rsidRPr="00C8697F" w:rsidR="000551BB">
        <w:t xml:space="preserve">tate and </w:t>
      </w:r>
      <w:r w:rsidRPr="00C8697F" w:rsidR="00D83CB4">
        <w:t>L</w:t>
      </w:r>
      <w:r w:rsidRPr="00C8697F" w:rsidR="000551BB">
        <w:t xml:space="preserve">ocal </w:t>
      </w:r>
      <w:r w:rsidRPr="00C8697F" w:rsidR="00D83CB4">
        <w:t>L</w:t>
      </w:r>
      <w:r w:rsidRPr="00C8697F" w:rsidR="000551BB">
        <w:t xml:space="preserve">aw </w:t>
      </w:r>
      <w:r w:rsidRPr="00C8697F" w:rsidR="00D83CB4">
        <w:t>E</w:t>
      </w:r>
      <w:r w:rsidRPr="00C8697F" w:rsidR="000551BB">
        <w:t xml:space="preserve">nforcement </w:t>
      </w:r>
      <w:r w:rsidRPr="00C8697F" w:rsidR="00D83CB4">
        <w:t>A</w:t>
      </w:r>
      <w:r w:rsidRPr="00C8697F" w:rsidR="000551BB">
        <w:t>gencies</w:t>
      </w:r>
      <w:r w:rsidRPr="00C8697F" w:rsidR="004423CC">
        <w:t xml:space="preserve"> (OMB </w:t>
      </w:r>
      <w:r w:rsidR="00C755B6">
        <w:t xml:space="preserve">Control No. </w:t>
      </w:r>
      <w:r w:rsidRPr="00C8697F" w:rsidR="004423CC">
        <w:t>1121-0346)</w:t>
      </w:r>
      <w:r w:rsidRPr="00C8697F" w:rsidR="00D83CB4">
        <w:t>, and 2018 C</w:t>
      </w:r>
      <w:r w:rsidRPr="00C8697F" w:rsidR="000551BB">
        <w:t xml:space="preserve">ensus of </w:t>
      </w:r>
      <w:r w:rsidRPr="00C8697F" w:rsidR="00D83CB4">
        <w:t>L</w:t>
      </w:r>
      <w:r w:rsidRPr="00C8697F" w:rsidR="000551BB">
        <w:t xml:space="preserve">aw </w:t>
      </w:r>
      <w:r w:rsidRPr="00C8697F" w:rsidR="00D83CB4">
        <w:t>E</w:t>
      </w:r>
      <w:r w:rsidRPr="00C8697F" w:rsidR="000551BB">
        <w:t xml:space="preserve">nforcement </w:t>
      </w:r>
      <w:r w:rsidRPr="00C8697F" w:rsidR="00D83CB4">
        <w:t>T</w:t>
      </w:r>
      <w:r w:rsidRPr="00C8697F" w:rsidR="000551BB">
        <w:t xml:space="preserve">raining </w:t>
      </w:r>
      <w:r w:rsidRPr="00C8697F" w:rsidR="00D83CB4">
        <w:t>A</w:t>
      </w:r>
      <w:r w:rsidRPr="00C8697F" w:rsidR="000551BB">
        <w:t>cademies</w:t>
      </w:r>
      <w:r w:rsidRPr="00C8697F" w:rsidR="004423CC">
        <w:t xml:space="preserve"> (OMB </w:t>
      </w:r>
      <w:r w:rsidR="00C755B6">
        <w:t xml:space="preserve">Control No. </w:t>
      </w:r>
      <w:r w:rsidRPr="00C8697F" w:rsidR="004423CC">
        <w:t>1121-0255)</w:t>
      </w:r>
      <w:r w:rsidRPr="00C8697F" w:rsidR="00F07566">
        <w:t xml:space="preserve"> survey</w:t>
      </w:r>
      <w:r w:rsidRPr="00C8697F" w:rsidR="00D83CB4">
        <w:t>s</w:t>
      </w:r>
      <w:r w:rsidRPr="00C8697F">
        <w:t>.</w:t>
      </w:r>
    </w:p>
    <w:p w:rsidRPr="00C8697F" w:rsidR="00F66562" w:rsidP="00793425" w:rsidRDefault="00F66562" w14:paraId="49694A54" w14:textId="77777777">
      <w:pPr>
        <w:rPr>
          <w:b/>
          <w:bCs/>
        </w:rPr>
      </w:pPr>
    </w:p>
    <w:p w:rsidRPr="00C8697F" w:rsidR="00AF7585" w:rsidP="00793425" w:rsidRDefault="00AF7585" w14:paraId="54131C36" w14:textId="1B77439B">
      <w:r w:rsidRPr="00C8697F">
        <w:rPr>
          <w:b/>
          <w:bCs/>
        </w:rPr>
        <w:t>A.</w:t>
      </w:r>
      <w:r w:rsidRPr="00C8697F" w:rsidR="00745932">
        <w:rPr>
          <w:b/>
          <w:bCs/>
        </w:rPr>
        <w:t xml:space="preserve"> </w:t>
      </w:r>
      <w:r w:rsidRPr="00C8697F">
        <w:rPr>
          <w:b/>
          <w:bCs/>
        </w:rPr>
        <w:t>Justification</w:t>
      </w:r>
      <w:r w:rsidRPr="00C8697F">
        <w:t xml:space="preserve"> </w:t>
      </w:r>
    </w:p>
    <w:p w:rsidRPr="00C8697F" w:rsidR="00AF7585" w:rsidP="00793425" w:rsidRDefault="00AF7585" w14:paraId="7C2E1C1B" w14:textId="77777777"/>
    <w:p w:rsidRPr="00C8697F" w:rsidR="00AF7585" w:rsidP="00793425" w:rsidRDefault="00AF7585" w14:paraId="0FF92582" w14:textId="77777777">
      <w:pPr>
        <w:pStyle w:val="ListParagraph"/>
        <w:numPr>
          <w:ilvl w:val="0"/>
          <w:numId w:val="1"/>
        </w:numPr>
        <w:ind w:left="720"/>
        <w:rPr>
          <w:b/>
          <w:u w:val="single"/>
        </w:rPr>
      </w:pPr>
      <w:r w:rsidRPr="00C8697F">
        <w:rPr>
          <w:b/>
          <w:u w:val="single"/>
        </w:rPr>
        <w:t>Necessity of Information Collection</w:t>
      </w:r>
    </w:p>
    <w:p w:rsidRPr="00C8697F" w:rsidR="00AF7585" w:rsidP="00793425" w:rsidRDefault="00AF7585" w14:paraId="64209CB4" w14:textId="77777777">
      <w:pPr>
        <w:rPr>
          <w:highlight w:val="yellow"/>
        </w:rPr>
      </w:pPr>
    </w:p>
    <w:p w:rsidRPr="00C8697F" w:rsidR="00992538" w:rsidP="00793425" w:rsidRDefault="00736BE3" w14:paraId="75D207A3" w14:textId="7DDFD04D">
      <w:pPr>
        <w:numPr>
          <w:ilvl w:val="12"/>
          <w:numId w:val="0"/>
        </w:numPr>
        <w:shd w:val="solid" w:color="FFFFFF" w:fill="FFFFFF"/>
      </w:pPr>
      <w:r w:rsidRPr="00C8697F">
        <w:t xml:space="preserve">Under Title 34, United States Code, Section 10132, the Bureau of Justice Statistics (BJS) is directed to collect and analyze statistical information concerning the operation of the criminal justice system at the federal, state, tribal, and local levels. </w:t>
      </w:r>
      <w:bookmarkStart w:name="_Hlk528425842" w:id="0"/>
      <w:r w:rsidRPr="00C8697F" w:rsidR="00395931">
        <w:t>BJS</w:t>
      </w:r>
      <w:r w:rsidRPr="00C8697F">
        <w:t xml:space="preserve"> disseminates high quality information and statistics to inform policy makers, researchers, criminal justice practitioners, and the general public. </w:t>
      </w:r>
      <w:r w:rsidRPr="00C8697F" w:rsidR="00395931">
        <w:t xml:space="preserve">The </w:t>
      </w:r>
      <w:r w:rsidRPr="00C8697F" w:rsidR="009802EA">
        <w:t>CPFFCL</w:t>
      </w:r>
      <w:r w:rsidRPr="00C8697F" w:rsidR="00395931">
        <w:t xml:space="preserve"> furthers the Department of Justice’s mission by providing insight into the nation’s </w:t>
      </w:r>
      <w:r w:rsidRPr="00C8697F" w:rsidR="00992538">
        <w:t>forensic crime laboratory</w:t>
      </w:r>
      <w:r w:rsidRPr="00C8697F" w:rsidR="00395931">
        <w:t xml:space="preserve"> system </w:t>
      </w:r>
      <w:r w:rsidRPr="00C8697F" w:rsidR="00DF66B8">
        <w:t>infrastructure</w:t>
      </w:r>
      <w:r w:rsidRPr="00C8697F" w:rsidR="00992538">
        <w:t xml:space="preserve">, functions, needs and challenges. </w:t>
      </w:r>
    </w:p>
    <w:bookmarkEnd w:id="0"/>
    <w:p w:rsidRPr="00C8697F" w:rsidR="00642850" w:rsidP="00793425" w:rsidRDefault="00642850" w14:paraId="6D201C05" w14:textId="77777777">
      <w:pPr>
        <w:numPr>
          <w:ilvl w:val="12"/>
          <w:numId w:val="0"/>
        </w:numPr>
        <w:shd w:val="solid" w:color="FFFFFF" w:fill="FFFFFF"/>
      </w:pPr>
    </w:p>
    <w:p w:rsidRPr="00C8697F" w:rsidR="00736BE3" w:rsidP="00793425" w:rsidRDefault="00887D18" w14:paraId="2868E209" w14:textId="1C1AF23E">
      <w:r w:rsidRPr="00C8697F">
        <w:t xml:space="preserve">Crime </w:t>
      </w:r>
      <w:r w:rsidR="00661B61">
        <w:t>data</w:t>
      </w:r>
      <w:r w:rsidRPr="00C8697F" w:rsidR="00661B61">
        <w:t xml:space="preserve"> </w:t>
      </w:r>
      <w:r w:rsidRPr="00C8697F">
        <w:t xml:space="preserve">reported by the FBI indicate that authorities received more than </w:t>
      </w:r>
      <w:r w:rsidR="001E127C">
        <w:t>8</w:t>
      </w:r>
      <w:r w:rsidRPr="00C8697F" w:rsidR="001E127C">
        <w:t xml:space="preserve"> </w:t>
      </w:r>
      <w:r w:rsidRPr="00C8697F">
        <w:t>million</w:t>
      </w:r>
      <w:r w:rsidR="001E127C">
        <w:t xml:space="preserve"> </w:t>
      </w:r>
      <w:r w:rsidRPr="00C8697F">
        <w:t xml:space="preserve">crime </w:t>
      </w:r>
      <w:r w:rsidR="00B758C8">
        <w:t>offenses reported</w:t>
      </w:r>
      <w:r w:rsidRPr="00C8697F" w:rsidR="00B758C8">
        <w:t xml:space="preserve"> </w:t>
      </w:r>
      <w:r w:rsidRPr="00C8697F">
        <w:t xml:space="preserve">nationally in </w:t>
      </w:r>
      <w:r w:rsidR="001E127C">
        <w:t>2019</w:t>
      </w:r>
      <w:r w:rsidRPr="00C8697F" w:rsidR="001E127C">
        <w:t xml:space="preserve"> </w:t>
      </w:r>
      <w:r w:rsidRPr="00C8697F">
        <w:t xml:space="preserve">(1.2 million violent </w:t>
      </w:r>
      <w:r w:rsidR="00B758C8">
        <w:t xml:space="preserve">crimes </w:t>
      </w:r>
      <w:r w:rsidRPr="00C8697F">
        <w:t xml:space="preserve">and </w:t>
      </w:r>
      <w:r w:rsidR="001E127C">
        <w:t>6.9</w:t>
      </w:r>
      <w:r w:rsidRPr="00C8697F">
        <w:t xml:space="preserve"> million property</w:t>
      </w:r>
      <w:r w:rsidR="00B758C8">
        <w:t xml:space="preserve"> crimes</w:t>
      </w:r>
      <w:r w:rsidRPr="00C8697F">
        <w:t>).</w:t>
      </w:r>
      <w:r w:rsidRPr="00C8697F">
        <w:rPr>
          <w:rStyle w:val="FootnoteReference"/>
        </w:rPr>
        <w:footnoteReference w:id="2"/>
      </w:r>
      <w:r w:rsidRPr="00C8697F">
        <w:t xml:space="preserve"> For decades, forensic laboratories have provided objective and scientific measurements to support or refute the outcomes of criminal cases</w:t>
      </w:r>
      <w:r w:rsidR="00851F68">
        <w:t>. Their</w:t>
      </w:r>
      <w:r w:rsidR="00672054">
        <w:t xml:space="preserve"> </w:t>
      </w:r>
      <w:r w:rsidRPr="00C8697F">
        <w:t xml:space="preserve">number </w:t>
      </w:r>
      <w:r w:rsidR="00851F68">
        <w:t>only modestly</w:t>
      </w:r>
      <w:r w:rsidRPr="00C8697F">
        <w:t xml:space="preserve"> increased </w:t>
      </w:r>
      <w:r w:rsidR="00851F68">
        <w:t xml:space="preserve">between the 2005 and 2014 CPFFCL administrations, rising from 389 in 2005 to 409 in 2014, while the number of requests they process </w:t>
      </w:r>
      <w:r w:rsidR="00672054">
        <w:t>grew</w:t>
      </w:r>
      <w:r w:rsidR="00851F68">
        <w:t xml:space="preserve"> by 1.1</w:t>
      </w:r>
      <w:r w:rsidR="001245D0">
        <w:t xml:space="preserve"> million</w:t>
      </w:r>
      <w:r w:rsidR="00851F68">
        <w:t xml:space="preserve"> during the same time period (from 2.7</w:t>
      </w:r>
      <w:r w:rsidR="001245D0">
        <w:t xml:space="preserve"> million</w:t>
      </w:r>
      <w:r w:rsidR="00851F68">
        <w:t xml:space="preserve"> in 2005 to 3.8</w:t>
      </w:r>
      <w:r w:rsidR="001245D0">
        <w:t xml:space="preserve"> million</w:t>
      </w:r>
      <w:r w:rsidR="00851F68">
        <w:t xml:space="preserve"> in 2014)</w:t>
      </w:r>
      <w:r w:rsidRPr="00C8697F">
        <w:t>.</w:t>
      </w:r>
      <w:r w:rsidRPr="00C8697F">
        <w:rPr>
          <w:rStyle w:val="FootnoteReference"/>
        </w:rPr>
        <w:footnoteReference w:id="3"/>
      </w:r>
      <w:r w:rsidRPr="00C8697F">
        <w:t xml:space="preserve"> </w:t>
      </w:r>
      <w:r w:rsidR="00851F68">
        <w:t xml:space="preserve">In recent years, the complexities associated with increased toxicology, digital evidence, and drug chemistry caseloads </w:t>
      </w:r>
      <w:r w:rsidR="00672054">
        <w:t xml:space="preserve">in particular </w:t>
      </w:r>
      <w:r w:rsidR="00851F68">
        <w:t xml:space="preserve">have greatly contributed to </w:t>
      </w:r>
      <w:r w:rsidR="00672054">
        <w:t>overall backlogs.</w:t>
      </w:r>
      <w:r w:rsidR="00672054">
        <w:rPr>
          <w:rStyle w:val="FootnoteReference"/>
        </w:rPr>
        <w:footnoteReference w:id="4"/>
      </w:r>
      <w:r w:rsidR="00672054">
        <w:t xml:space="preserve"> </w:t>
      </w:r>
      <w:r w:rsidRPr="00C8697F" w:rsidR="00F965CC">
        <w:t xml:space="preserve">Through processing, analyzing and communicating the testing results of forensic evidence to other criminal justice entities, crime laboratories are critical to the overall criminal justice process. </w:t>
      </w:r>
      <w:r w:rsidRPr="00C8697F">
        <w:t xml:space="preserve">Their involvement in the criminal justice system extends from law enforcement (aiding criminal investigations), court proceedings (attorney representation of plaintiff or defendant, judge, and jury), corrections, and public safety. </w:t>
      </w:r>
      <w:r w:rsidRPr="00C8697F" w:rsidR="00F965CC">
        <w:t xml:space="preserve">Therefore, it is beneficial </w:t>
      </w:r>
      <w:r w:rsidRPr="00C8697F" w:rsidR="00F965CC">
        <w:lastRenderedPageBreak/>
        <w:t xml:space="preserve">for crime laboratories to </w:t>
      </w:r>
      <w:r w:rsidR="00780F65">
        <w:t>understand</w:t>
      </w:r>
      <w:r w:rsidRPr="00C8697F" w:rsidR="00F965CC">
        <w:t xml:space="preserve"> the challenges that may be affecting the number of samples/pieces of evidence pending analysis, case turnaround time, and case resolution. </w:t>
      </w:r>
      <w:r w:rsidRPr="00C8697F" w:rsidR="002C7CBF">
        <w:t xml:space="preserve"> </w:t>
      </w:r>
    </w:p>
    <w:p w:rsidRPr="00C8697F" w:rsidR="00736BE3" w:rsidP="00793425" w:rsidRDefault="00736BE3" w14:paraId="4EA66362" w14:textId="77777777">
      <w:pPr>
        <w:rPr>
          <w:highlight w:val="yellow"/>
        </w:rPr>
      </w:pPr>
    </w:p>
    <w:p w:rsidRPr="00C8697F" w:rsidR="00887D18" w:rsidP="00793425" w:rsidRDefault="00887D18" w14:paraId="39EA3286" w14:textId="135C80F1">
      <w:r w:rsidRPr="00C8697F">
        <w:t xml:space="preserve">There are approximately 500 publicly funded crime laboratories that are charged with processing, analyzing, and providing results and interpretations of forensic physical evidence to criminal justice institutions within their jurisdiction. BJS is the only federal agency to collect administrative, budgetary, and staffing and related information from crime laboratories, which other </w:t>
      </w:r>
      <w:r w:rsidR="00780F65">
        <w:t>government</w:t>
      </w:r>
      <w:r w:rsidRPr="00C8697F" w:rsidR="00780F65">
        <w:t xml:space="preserve"> </w:t>
      </w:r>
      <w:r w:rsidRPr="00C8697F">
        <w:t>agencies</w:t>
      </w:r>
      <w:r w:rsidR="00780F65">
        <w:t>,</w:t>
      </w:r>
      <w:r w:rsidRPr="00C8697F">
        <w:t xml:space="preserve"> such as the National Institute of Justice</w:t>
      </w:r>
      <w:r w:rsidR="00780F65">
        <w:t>,</w:t>
      </w:r>
      <w:r w:rsidRPr="00C8697F">
        <w:t xml:space="preserve"> use for context to inform criminal justice statistics, grants, and research. Thus, the 2020 CPFFCL will provide the only systematic basis to provide national estimates of personnel, resources, polices, and practices of forensic laboratories. </w:t>
      </w:r>
    </w:p>
    <w:p w:rsidRPr="00C8697F" w:rsidR="00887D18" w:rsidP="00793425" w:rsidRDefault="00887D18" w14:paraId="04D2338A" w14:textId="77777777"/>
    <w:p w:rsidRPr="00C8697F" w:rsidR="00887D18" w:rsidP="00793425" w:rsidRDefault="00887D18" w14:paraId="647A8704" w14:textId="1AC38390">
      <w:r w:rsidRPr="00C8697F">
        <w:t xml:space="preserve">Key findings from the 2014 CPFFCL revealed </w:t>
      </w:r>
      <w:r w:rsidR="00880162">
        <w:t>3</w:t>
      </w:r>
      <w:r w:rsidRPr="00C8697F">
        <w:t xml:space="preserve">.8 million forensic evidence processing requests in 2014, with 3.6 million </w:t>
      </w:r>
      <w:r w:rsidR="00880162">
        <w:t>requests</w:t>
      </w:r>
      <w:r w:rsidRPr="00C8697F" w:rsidR="00880162">
        <w:t xml:space="preserve"> </w:t>
      </w:r>
      <w:r w:rsidRPr="00C8697F">
        <w:t>completed and a backlog of 570,100 backlogged requests.</w:t>
      </w:r>
      <w:r w:rsidRPr="00C8697F">
        <w:rPr>
          <w:rStyle w:val="FootnoteReference"/>
        </w:rPr>
        <w:footnoteReference w:id="5"/>
      </w:r>
      <w:r w:rsidRPr="00C8697F">
        <w:t xml:space="preserve"> </w:t>
      </w:r>
      <w:r w:rsidRPr="00C8697F" w:rsidR="00880162">
        <w:t>DNA samples from convicted offenders and arrestees</w:t>
      </w:r>
      <w:r w:rsidRPr="00C8697F" w:rsidDel="00880162" w:rsidR="00880162">
        <w:t xml:space="preserve"> </w:t>
      </w:r>
      <w:r w:rsidRPr="00C8697F">
        <w:t xml:space="preserve">processed by these laboratories accounted for 39% of </w:t>
      </w:r>
      <w:r w:rsidR="00880162">
        <w:t>requests for analysis to</w:t>
      </w:r>
      <w:r w:rsidRPr="00C8697F">
        <w:t xml:space="preserve"> federal laboratories, 46% of </w:t>
      </w:r>
      <w:r w:rsidR="00880162">
        <w:t xml:space="preserve">requests to </w:t>
      </w:r>
      <w:r w:rsidRPr="00C8697F">
        <w:t>state laboratories and less than 5% of requests to county and municipal laboratories.</w:t>
      </w:r>
      <w:r w:rsidRPr="00C8697F">
        <w:rPr>
          <w:vertAlign w:val="superscript"/>
        </w:rPr>
        <w:t>3</w:t>
      </w:r>
      <w:r w:rsidRPr="00C8697F">
        <w:t xml:space="preserve"> Publicly funded crime laboratories had a combined operating budget of $1.7 billion and employed 14,300 full-time staff in 2014.</w:t>
      </w:r>
      <w:r w:rsidRPr="00C8697F">
        <w:rPr>
          <w:vertAlign w:val="superscript"/>
        </w:rPr>
        <w:t>3</w:t>
      </w:r>
      <w:r w:rsidRPr="00C8697F">
        <w:t xml:space="preserve"> </w:t>
      </w:r>
      <w:r w:rsidR="009A5CF5">
        <w:t>D</w:t>
      </w:r>
      <w:r w:rsidRPr="00C8697F" w:rsidR="00B328E1">
        <w:t>ata from the</w:t>
      </w:r>
      <w:r w:rsidRPr="00C8697F" w:rsidR="001B0F20">
        <w:t xml:space="preserve"> </w:t>
      </w:r>
      <w:r w:rsidRPr="00C8697F" w:rsidR="00F07A77">
        <w:t>2020</w:t>
      </w:r>
      <w:r w:rsidRPr="00C8697F" w:rsidR="001B0F20">
        <w:t xml:space="preserve"> </w:t>
      </w:r>
      <w:r w:rsidRPr="00C8697F" w:rsidR="00F86DFB">
        <w:t>C</w:t>
      </w:r>
      <w:r w:rsidRPr="00C8697F" w:rsidR="00B328E1">
        <w:t>PFFCL</w:t>
      </w:r>
      <w:r w:rsidRPr="00C8697F" w:rsidR="001B0F20">
        <w:t xml:space="preserve"> data </w:t>
      </w:r>
      <w:r w:rsidRPr="00C8697F" w:rsidR="00844BD1">
        <w:t xml:space="preserve">will allow for needed </w:t>
      </w:r>
      <w:r w:rsidRPr="00C8697F" w:rsidR="001B0F20">
        <w:t xml:space="preserve">comparisons with </w:t>
      </w:r>
      <w:r w:rsidRPr="00C8697F" w:rsidR="00D56D06">
        <w:t>the</w:t>
      </w:r>
      <w:r w:rsidRPr="00C8697F" w:rsidR="001B1CD8">
        <w:t xml:space="preserve"> </w:t>
      </w:r>
      <w:r w:rsidR="00780F65">
        <w:t>2014 CPFFCL</w:t>
      </w:r>
      <w:r w:rsidRPr="00C8697F" w:rsidR="00D56D06">
        <w:t xml:space="preserve">. </w:t>
      </w:r>
    </w:p>
    <w:p w:rsidRPr="00C8697F" w:rsidR="00887D18" w:rsidP="00793425" w:rsidRDefault="00887D18" w14:paraId="05C87CEC" w14:textId="77777777"/>
    <w:p w:rsidRPr="00C8697F" w:rsidR="00163B9A" w:rsidP="00793425" w:rsidRDefault="00163B9A" w14:paraId="68651049" w14:textId="71309E3C">
      <w:pPr>
        <w:rPr>
          <w:b/>
          <w:bCs/>
          <w:i/>
          <w:iCs/>
        </w:rPr>
      </w:pPr>
      <w:r w:rsidRPr="00C8697F">
        <w:rPr>
          <w:b/>
          <w:bCs/>
          <w:i/>
          <w:iCs/>
        </w:rPr>
        <w:t>Design of the 2020 CPFFCL Survey</w:t>
      </w:r>
    </w:p>
    <w:p w:rsidRPr="00C8697F" w:rsidR="00163B9A" w:rsidP="00793425" w:rsidRDefault="00163B9A" w14:paraId="5917C232" w14:textId="77777777"/>
    <w:p w:rsidRPr="00C8697F" w:rsidR="00163B9A" w:rsidP="00793425" w:rsidRDefault="000551BB" w14:paraId="77DE97C2" w14:textId="4447FD21">
      <w:r w:rsidRPr="00C8697F">
        <w:t>T</w:t>
      </w:r>
      <w:r w:rsidRPr="00C8697F" w:rsidR="001B2BD1">
        <w:t xml:space="preserve">he proposed </w:t>
      </w:r>
      <w:r w:rsidRPr="00C8697F" w:rsidR="00F07A77">
        <w:t>2020</w:t>
      </w:r>
      <w:r w:rsidRPr="00C8697F" w:rsidR="00B328E1">
        <w:t xml:space="preserve"> CPFFCL</w:t>
      </w:r>
      <w:r w:rsidRPr="00C8697F" w:rsidR="001B2BD1">
        <w:t xml:space="preserve"> instrument (</w:t>
      </w:r>
      <w:r w:rsidRPr="00C8697F" w:rsidR="001B2BD1">
        <w:rPr>
          <w:b/>
          <w:bCs/>
        </w:rPr>
        <w:t>Attachment</w:t>
      </w:r>
      <w:r w:rsidRPr="00C8697F" w:rsidR="0042238A">
        <w:rPr>
          <w:b/>
          <w:bCs/>
        </w:rPr>
        <w:t xml:space="preserve"> </w:t>
      </w:r>
      <w:r w:rsidRPr="00C8697F" w:rsidR="00A21A17">
        <w:rPr>
          <w:b/>
          <w:bCs/>
        </w:rPr>
        <w:t>2</w:t>
      </w:r>
      <w:r w:rsidRPr="00C8697F" w:rsidR="001B2BD1">
        <w:t xml:space="preserve">) </w:t>
      </w:r>
      <w:r w:rsidRPr="00C8697F" w:rsidR="00E45254">
        <w:t>has been revised to include modifications and new items stemm</w:t>
      </w:r>
      <w:r w:rsidRPr="00C8697F" w:rsidR="001B2BD1">
        <w:t>ing from a</w:t>
      </w:r>
      <w:r w:rsidRPr="00C8697F" w:rsidR="00423A51">
        <w:t>n</w:t>
      </w:r>
      <w:r w:rsidRPr="00C8697F" w:rsidR="001B2BD1">
        <w:t xml:space="preserve"> </w:t>
      </w:r>
      <w:r w:rsidRPr="00C8697F" w:rsidR="00D56D06">
        <w:t xml:space="preserve">expert </w:t>
      </w:r>
      <w:r w:rsidRPr="00C8697F" w:rsidR="00B328E1">
        <w:t xml:space="preserve">panel </w:t>
      </w:r>
      <w:r w:rsidRPr="00C8697F" w:rsidR="00D56D06">
        <w:t xml:space="preserve">and </w:t>
      </w:r>
      <w:r w:rsidRPr="00C8697F" w:rsidR="001B2BD1">
        <w:t xml:space="preserve">methodological review </w:t>
      </w:r>
      <w:r w:rsidRPr="00C8697F" w:rsidR="00F8637E">
        <w:t xml:space="preserve">and </w:t>
      </w:r>
      <w:r w:rsidRPr="00C8697F" w:rsidR="00D56D06">
        <w:t>cognitive</w:t>
      </w:r>
      <w:r w:rsidRPr="00C8697F" w:rsidR="00F8637E">
        <w:t xml:space="preserve"> testing </w:t>
      </w:r>
      <w:r w:rsidRPr="00C8697F" w:rsidR="001B2BD1">
        <w:t xml:space="preserve">of the survey instructions, question wording, and hard copy format. </w:t>
      </w:r>
      <w:r w:rsidRPr="00C8697F" w:rsidR="00163B9A">
        <w:t>Based on the previous administrations of the survey, feedback from a focus group convened in 2019 at the American Society of Crime Laboratory Directors, and an expert panel convened in August 2019, the topics for the 2020 CPFFCL include the types of forensic functions performed; annual operating budget; total number of employees</w:t>
      </w:r>
      <w:r w:rsidR="009A5CF5">
        <w:t>, including the use of consultants and interns</w:t>
      </w:r>
      <w:r w:rsidRPr="00C8697F" w:rsidR="00163B9A">
        <w:t xml:space="preserve">; number of forensic requests received and completed during the year; types of proficiency tests performed; </w:t>
      </w:r>
      <w:r w:rsidR="009A5CF5">
        <w:t xml:space="preserve">and </w:t>
      </w:r>
      <w:r w:rsidRPr="00C8697F" w:rsidR="00163B9A">
        <w:t>types of professional accreditations and staff certifications.</w:t>
      </w:r>
    </w:p>
    <w:p w:rsidRPr="00C8697F" w:rsidR="00163B9A" w:rsidP="00793425" w:rsidRDefault="00163B9A" w14:paraId="58099EC8" w14:textId="041D3BB9"/>
    <w:p w:rsidRPr="00C8697F" w:rsidR="00163B9A" w:rsidP="00793425" w:rsidRDefault="00163B9A" w14:paraId="7088CC3F" w14:textId="2A07C784">
      <w:r w:rsidRPr="00C8697F">
        <w:t xml:space="preserve">The 2020 CPFFCL data will allow for needed comparisons with </w:t>
      </w:r>
      <w:r w:rsidR="00780F65">
        <w:t xml:space="preserve">prior </w:t>
      </w:r>
      <w:r w:rsidRPr="00C8697F">
        <w:t>CPFFCL</w:t>
      </w:r>
      <w:r w:rsidR="00780F65">
        <w:t xml:space="preserve"> data collections</w:t>
      </w:r>
      <w:r w:rsidRPr="00C8697F">
        <w:t>. BJS will evaluate all comments and suggestions for improvement provided by respondents to the 2020 CPFFCL for possible incorporation into the next CPFFCL survey.</w:t>
      </w:r>
    </w:p>
    <w:p w:rsidRPr="00C8697F" w:rsidR="00163B9A" w:rsidP="00793425" w:rsidRDefault="00163B9A" w14:paraId="54D69878" w14:textId="77777777"/>
    <w:p w:rsidRPr="00C8697F" w:rsidR="001B2BD1" w:rsidP="00793425" w:rsidRDefault="001B2BD1" w14:paraId="332B30C3" w14:textId="03F9A768">
      <w:r w:rsidRPr="00C8697F">
        <w:t xml:space="preserve">The instrument has </w:t>
      </w:r>
      <w:r w:rsidRPr="00C8697F" w:rsidR="00B960E1">
        <w:t>49</w:t>
      </w:r>
      <w:r w:rsidRPr="00C8697F">
        <w:t xml:space="preserve"> items that fall into </w:t>
      </w:r>
      <w:r w:rsidRPr="00C8697F" w:rsidR="00B960E1">
        <w:t xml:space="preserve">seven </w:t>
      </w:r>
      <w:r w:rsidRPr="00C8697F">
        <w:t>categories:</w:t>
      </w:r>
    </w:p>
    <w:p w:rsidRPr="00C8697F" w:rsidR="000551BB" w:rsidP="00793425" w:rsidRDefault="000551BB" w14:paraId="642A26A2" w14:textId="77777777"/>
    <w:p w:rsidRPr="00C8697F" w:rsidR="001B2BD1" w:rsidP="00793425" w:rsidRDefault="00A21A17" w14:paraId="1AFA7FE9" w14:textId="077DDA37">
      <w:pPr>
        <w:pStyle w:val="ListParagraph"/>
        <w:numPr>
          <w:ilvl w:val="0"/>
          <w:numId w:val="3"/>
        </w:numPr>
      </w:pPr>
      <w:r w:rsidRPr="00C8697F">
        <w:t xml:space="preserve">Section A - </w:t>
      </w:r>
      <w:r w:rsidRPr="00C8697F" w:rsidR="00B960E1">
        <w:t>Organization</w:t>
      </w:r>
      <w:r w:rsidRPr="00C8697F" w:rsidR="001B2BD1">
        <w:t xml:space="preserve"> (</w:t>
      </w:r>
      <w:r w:rsidRPr="00C8697F" w:rsidR="00B960E1">
        <w:t>A</w:t>
      </w:r>
      <w:r w:rsidRPr="00C8697F" w:rsidR="001B2BD1">
        <w:t>1-</w:t>
      </w:r>
      <w:r w:rsidRPr="00C8697F" w:rsidR="00721AE3">
        <w:t>A</w:t>
      </w:r>
      <w:r w:rsidR="00721AE3">
        <w:t>24</w:t>
      </w:r>
      <w:r w:rsidRPr="00C8697F" w:rsidR="001B2BD1">
        <w:t>)</w:t>
      </w:r>
    </w:p>
    <w:p w:rsidRPr="00C8697F" w:rsidR="00A21A17" w:rsidP="00793425" w:rsidRDefault="00A21A17" w14:paraId="270EEA64" w14:textId="3A763307">
      <w:pPr>
        <w:pStyle w:val="ListParagraph"/>
      </w:pPr>
    </w:p>
    <w:p w:rsidRPr="00C8697F" w:rsidR="00A21A17" w:rsidP="00793425" w:rsidRDefault="00A21A17" w14:paraId="59129F4D" w14:textId="0E38D5B5">
      <w:pPr>
        <w:pStyle w:val="ListParagraph"/>
      </w:pPr>
      <w:r w:rsidRPr="00C8697F">
        <w:t>This section collects information on the level of government under which the laboratory operates (i.e., city/borough/town/village, county or parish, state, Federal)</w:t>
      </w:r>
      <w:r w:rsidR="009A5CF5">
        <w:t>;</w:t>
      </w:r>
      <w:r w:rsidRPr="00C8697F">
        <w:t xml:space="preserve"> the type of </w:t>
      </w:r>
      <w:r w:rsidRPr="00C8697F">
        <w:lastRenderedPageBreak/>
        <w:t>agency or government body with laboratory oversight (i.e., law enforcement, department or division of forensic science, government attorney’s office, public health agency, other-specify)</w:t>
      </w:r>
      <w:r w:rsidR="009A5CF5">
        <w:t>;</w:t>
      </w:r>
      <w:r w:rsidRPr="00C8697F">
        <w:t xml:space="preserve"> </w:t>
      </w:r>
      <w:r w:rsidRPr="00C8697F" w:rsidR="00B973FC">
        <w:t>whether the laboratory was part of a laboratory system</w:t>
      </w:r>
      <w:r w:rsidR="009A5CF5">
        <w:t>;</w:t>
      </w:r>
      <w:r w:rsidRPr="00C8697F" w:rsidR="00B973FC">
        <w:t xml:space="preserve"> the types of agencies from which they received forensic requests (i.e., i.e., city/borough/town/village, county or parish, state, Federal, Tribal lands)</w:t>
      </w:r>
      <w:r w:rsidR="009A5CF5">
        <w:t>;</w:t>
      </w:r>
      <w:r w:rsidRPr="00C8697F" w:rsidR="00B973FC">
        <w:t xml:space="preserve"> and the types of forensic functions performed during 2020.</w:t>
      </w:r>
      <w:r w:rsidRPr="00C8697F">
        <w:t xml:space="preserve"> This information will be used for future frame development and allows BJS to make comparisons between types of </w:t>
      </w:r>
      <w:r w:rsidRPr="00C8697F" w:rsidR="00B973FC">
        <w:t>laboratories</w:t>
      </w:r>
      <w:r w:rsidRPr="00C8697F">
        <w:t xml:space="preserve"> and to link the population of jurisdictions back to the </w:t>
      </w:r>
      <w:r w:rsidR="003F776A">
        <w:t>laboratory</w:t>
      </w:r>
      <w:r w:rsidRPr="00C8697F">
        <w:t xml:space="preserve"> that serves them.</w:t>
      </w:r>
    </w:p>
    <w:p w:rsidRPr="00C8697F" w:rsidR="00B973FC" w:rsidP="00793425" w:rsidRDefault="00B973FC" w14:paraId="0F84B3B9" w14:textId="77777777">
      <w:pPr>
        <w:pStyle w:val="ListParagraph"/>
      </w:pPr>
    </w:p>
    <w:p w:rsidRPr="00C8697F" w:rsidR="001B2BD1" w:rsidP="00793425" w:rsidRDefault="00A21A17" w14:paraId="1709C3AC" w14:textId="670BCFD3">
      <w:pPr>
        <w:pStyle w:val="ListParagraph"/>
        <w:numPr>
          <w:ilvl w:val="0"/>
          <w:numId w:val="3"/>
        </w:numPr>
      </w:pPr>
      <w:r w:rsidRPr="00C8697F">
        <w:t xml:space="preserve">Section B - </w:t>
      </w:r>
      <w:r w:rsidRPr="00C8697F" w:rsidR="00B960E1">
        <w:t>Budget</w:t>
      </w:r>
      <w:r w:rsidRPr="00C8697F" w:rsidR="001B2BD1">
        <w:t xml:space="preserve"> (</w:t>
      </w:r>
      <w:r w:rsidRPr="00C8697F" w:rsidR="00B960E1">
        <w:t>B1-B2</w:t>
      </w:r>
      <w:r w:rsidRPr="00C8697F" w:rsidR="001B2BD1">
        <w:t>)</w:t>
      </w:r>
    </w:p>
    <w:p w:rsidRPr="00C8697F" w:rsidR="00A21A17" w:rsidP="00793425" w:rsidRDefault="00A21A17" w14:paraId="4B30CB69" w14:textId="5FE7E959"/>
    <w:p w:rsidRPr="00C8697F" w:rsidR="00A21A17" w:rsidP="00793425" w:rsidRDefault="00A21A17" w14:paraId="5EEFE1FB" w14:textId="3D4F1DC0">
      <w:pPr>
        <w:ind w:left="720"/>
      </w:pPr>
      <w:r w:rsidRPr="00C8697F">
        <w:t>This section collects information on overall budgets available to</w:t>
      </w:r>
      <w:r w:rsidRPr="00C8697F" w:rsidR="00B973FC">
        <w:t xml:space="preserve"> the laboratories</w:t>
      </w:r>
      <w:r w:rsidR="009A5CF5">
        <w:t>;</w:t>
      </w:r>
      <w:r w:rsidRPr="00C8697F" w:rsidR="00B973FC">
        <w:t xml:space="preserve"> sources of funding (i.e., asset forfeitures, donations, fees, grants, partnerships, private foundations, and task force funding)</w:t>
      </w:r>
      <w:r w:rsidR="009A5CF5">
        <w:t>;</w:t>
      </w:r>
      <w:r w:rsidRPr="00C8697F" w:rsidR="00B973FC">
        <w:t xml:space="preserve"> and fiscal year information for context.</w:t>
      </w:r>
    </w:p>
    <w:p w:rsidRPr="00C8697F" w:rsidR="00A21A17" w:rsidP="00793425" w:rsidRDefault="00A21A17" w14:paraId="016123BA" w14:textId="77777777"/>
    <w:p w:rsidRPr="00C8697F" w:rsidR="00B973FC" w:rsidP="00793425" w:rsidRDefault="00A21A17" w14:paraId="0D98A47E" w14:textId="368EDA59">
      <w:pPr>
        <w:pStyle w:val="ListParagraph"/>
        <w:numPr>
          <w:ilvl w:val="0"/>
          <w:numId w:val="3"/>
        </w:numPr>
      </w:pPr>
      <w:r w:rsidRPr="00C8697F">
        <w:t xml:space="preserve">Section C - </w:t>
      </w:r>
      <w:r w:rsidRPr="00C8697F" w:rsidR="00B960E1">
        <w:t>Staffing (C1-C5)</w:t>
      </w:r>
    </w:p>
    <w:p w:rsidRPr="00C8697F" w:rsidR="00B973FC" w:rsidP="00793425" w:rsidRDefault="00B973FC" w14:paraId="215B4E18" w14:textId="64A63525"/>
    <w:p w:rsidRPr="00C8697F" w:rsidR="00B973FC" w:rsidP="00793425" w:rsidRDefault="00B973FC" w14:paraId="5751C7B3" w14:textId="38D9E410">
      <w:pPr>
        <w:ind w:left="720"/>
      </w:pPr>
      <w:r w:rsidRPr="00C8697F">
        <w:t>Section C collects information on the number of full-time, part-time, and vacant positions held in 2020</w:t>
      </w:r>
      <w:r w:rsidR="009A5CF5">
        <w:t>;</w:t>
      </w:r>
      <w:r w:rsidRPr="00C8697F">
        <w:t xml:space="preserve"> personnel with the status of contractors/consultants and interns</w:t>
      </w:r>
      <w:r w:rsidR="009A5CF5">
        <w:t>;</w:t>
      </w:r>
      <w:r w:rsidRPr="00C8697F">
        <w:t xml:space="preserve"> the number of hires and separations in 2020</w:t>
      </w:r>
      <w:r w:rsidR="009A5CF5">
        <w:t>;</w:t>
      </w:r>
      <w:r w:rsidRPr="00C8697F">
        <w:t xml:space="preserve"> and the number of full-time analysis/examiners with particular types of certifications. The data c</w:t>
      </w:r>
      <w:r w:rsidR="009A5CF5">
        <w:t>ollected</w:t>
      </w:r>
      <w:r w:rsidRPr="00C8697F">
        <w:t xml:space="preserve"> from this section will provide BJS with the ability to describe any staffing shortages and provide a national picture of how many analysts hold certifications, which are critical to maintain integrity of forensic science work</w:t>
      </w:r>
      <w:r w:rsidR="009A5CF5">
        <w:t xml:space="preserve"> within the criminal legal system</w:t>
      </w:r>
      <w:r w:rsidRPr="00C8697F">
        <w:t>.</w:t>
      </w:r>
    </w:p>
    <w:p w:rsidRPr="00C8697F" w:rsidR="00B973FC" w:rsidP="00793425" w:rsidRDefault="00B973FC" w14:paraId="632C64CB" w14:textId="77777777"/>
    <w:p w:rsidRPr="00C8697F" w:rsidR="00B960E1" w:rsidP="00793425" w:rsidRDefault="00A21A17" w14:paraId="0583FB1A" w14:textId="7E85BEA9">
      <w:pPr>
        <w:pStyle w:val="ListParagraph"/>
        <w:numPr>
          <w:ilvl w:val="0"/>
          <w:numId w:val="3"/>
        </w:numPr>
      </w:pPr>
      <w:r w:rsidRPr="00C8697F">
        <w:t xml:space="preserve">Section D - </w:t>
      </w:r>
      <w:r w:rsidRPr="00C8697F" w:rsidR="00B960E1">
        <w:t>Workload (</w:t>
      </w:r>
      <w:r w:rsidRPr="00C8697F">
        <w:t>D</w:t>
      </w:r>
      <w:r w:rsidRPr="00C8697F" w:rsidR="00B960E1">
        <w:t>1-D18)</w:t>
      </w:r>
    </w:p>
    <w:p w:rsidRPr="00C8697F" w:rsidR="00A21A17" w:rsidP="00793425" w:rsidRDefault="00A21A17" w14:paraId="7A162F96" w14:textId="266AD87D">
      <w:pPr>
        <w:ind w:left="360"/>
      </w:pPr>
    </w:p>
    <w:p w:rsidRPr="00C8697F" w:rsidR="00A21A17" w:rsidP="00793425" w:rsidRDefault="00A21A17" w14:paraId="6C00065A" w14:textId="1A11E5E3">
      <w:pPr>
        <w:ind w:left="720"/>
      </w:pPr>
      <w:r w:rsidRPr="00C8697F">
        <w:t xml:space="preserve">This section collects information </w:t>
      </w:r>
      <w:r w:rsidRPr="00C8697F" w:rsidR="00B973FC">
        <w:t>about the individual laboratory’s workload across cases, requests, items, and backlogged items by forensic discipline</w:t>
      </w:r>
      <w:r w:rsidRPr="00C8697F">
        <w:t xml:space="preserve">. </w:t>
      </w:r>
      <w:r w:rsidRPr="00C8697F" w:rsidR="00B973FC">
        <w:t xml:space="preserve">Two items in this section will provide important information about the digital evidence, including length of evidence retention and the storage capacity for laboratories to store this type of evidence. </w:t>
      </w:r>
      <w:r w:rsidRPr="00C8697F">
        <w:t>Information from this section will allow BJS to describe the</w:t>
      </w:r>
      <w:r w:rsidRPr="00C8697F" w:rsidR="00B973FC">
        <w:t xml:space="preserve"> </w:t>
      </w:r>
      <w:r w:rsidRPr="00C8697F">
        <w:t xml:space="preserve">amount of work </w:t>
      </w:r>
      <w:r w:rsidRPr="00C8697F" w:rsidR="00B973FC">
        <w:t>laboratories</w:t>
      </w:r>
      <w:r w:rsidRPr="00C8697F">
        <w:t xml:space="preserve"> undertook in 20</w:t>
      </w:r>
      <w:r w:rsidRPr="00C8697F" w:rsidR="00B973FC">
        <w:t>20 an</w:t>
      </w:r>
      <w:r w:rsidRPr="00C8697F" w:rsidR="002D0C34">
        <w:t xml:space="preserve">d provide information about digital evidence on a national scale that has not yet been collected. </w:t>
      </w:r>
    </w:p>
    <w:p w:rsidRPr="00C8697F" w:rsidR="00A21A17" w:rsidP="00793425" w:rsidRDefault="00A21A17" w14:paraId="2D192656" w14:textId="77777777">
      <w:pPr>
        <w:ind w:left="360"/>
      </w:pPr>
    </w:p>
    <w:p w:rsidRPr="00C8697F" w:rsidR="00B960E1" w:rsidP="00793425" w:rsidRDefault="00B960E1" w14:paraId="4013EB68" w14:textId="2611E816">
      <w:pPr>
        <w:pStyle w:val="ListParagraph"/>
        <w:numPr>
          <w:ilvl w:val="0"/>
          <w:numId w:val="3"/>
        </w:numPr>
      </w:pPr>
      <w:r w:rsidRPr="00C8697F">
        <w:t>Outsourcing (E1-E5)</w:t>
      </w:r>
    </w:p>
    <w:p w:rsidRPr="00C8697F" w:rsidR="002D0C34" w:rsidP="00793425" w:rsidRDefault="002D0C34" w14:paraId="1801594E" w14:textId="3CA727BA"/>
    <w:p w:rsidRPr="00C8697F" w:rsidR="002D0C34" w:rsidP="00793425" w:rsidRDefault="002D0C34" w14:paraId="73ABD5F2" w14:textId="0377C100">
      <w:pPr>
        <w:ind w:left="720"/>
      </w:pPr>
      <w:r w:rsidRPr="00C8697F">
        <w:t>Section E will collect information about whether the laboratory outsourced any type of forensic evidence in 2020 and if so, a skip pattern will ask which types of reference laborator</w:t>
      </w:r>
      <w:r w:rsidR="00D4398C">
        <w:t>ies</w:t>
      </w:r>
      <w:r w:rsidRPr="00C8697F">
        <w:t xml:space="preserve"> </w:t>
      </w:r>
      <w:r w:rsidR="00065355">
        <w:t>were</w:t>
      </w:r>
      <w:r w:rsidRPr="00C8697F" w:rsidR="00065355">
        <w:t xml:space="preserve"> </w:t>
      </w:r>
      <w:r w:rsidRPr="00C8697F">
        <w:t xml:space="preserve">used (i.e., commercial or private laboratory, publicly funded laboratory, and university laboratory), which forensic disciplines required outsourcing, and the outsourcing total cost in 2020. The section concludes with a question about the use of consultants or contractors to complete forensic analyses. Given the prevalence of outsourcing in laboratories, this section will provide an important window into the additional expenses and work forensic laboratories </w:t>
      </w:r>
      <w:r w:rsidR="009A7500">
        <w:t xml:space="preserve">incurred </w:t>
      </w:r>
      <w:r w:rsidR="009A5CF5">
        <w:t>in 2020</w:t>
      </w:r>
      <w:r w:rsidRPr="00C8697F">
        <w:t xml:space="preserve">. </w:t>
      </w:r>
    </w:p>
    <w:p w:rsidRPr="00C8697F" w:rsidR="002D0C34" w:rsidP="00793425" w:rsidRDefault="002D0C34" w14:paraId="63AD937E" w14:textId="77777777"/>
    <w:p w:rsidRPr="00C8697F" w:rsidR="00B960E1" w:rsidP="00793425" w:rsidRDefault="00B960E1" w14:paraId="0C942B12" w14:textId="2FF35ABA">
      <w:pPr>
        <w:pStyle w:val="ListParagraph"/>
        <w:numPr>
          <w:ilvl w:val="0"/>
          <w:numId w:val="3"/>
        </w:numPr>
      </w:pPr>
      <w:r w:rsidRPr="00C8697F">
        <w:lastRenderedPageBreak/>
        <w:t>Quality Assurance (F1-F12)</w:t>
      </w:r>
    </w:p>
    <w:p w:rsidRPr="00C8697F" w:rsidR="002D0C34" w:rsidP="00793425" w:rsidRDefault="002D0C34" w14:paraId="25EC54C8" w14:textId="418D770E"/>
    <w:p w:rsidRPr="00C8697F" w:rsidR="002D0C34" w:rsidP="00793425" w:rsidRDefault="002D0C34" w14:paraId="6B1D3C9C" w14:textId="7DD9F392">
      <w:pPr>
        <w:ind w:left="720"/>
      </w:pPr>
      <w:r w:rsidRPr="00C8697F">
        <w:t>Section F collects information about whether laboratories were required to be accredited and which forensic disciplines within the laboratory were accredited and by which accreditation bodies. The section also includes questions about having resources dedicated to research activities, proficiency testing, competency testing, whether the laboratory has a written code of ethics, whether the laboratory performs technical reviews, and whether the laboratories have or use a small set of processes or resources (e.g., written standard operating procedures; performance verification checks, structured training programs; mental health debriefs).</w:t>
      </w:r>
    </w:p>
    <w:p w:rsidRPr="00C8697F" w:rsidR="002D0C34" w:rsidP="00793425" w:rsidRDefault="002D0C34" w14:paraId="2D6235BB" w14:textId="77777777">
      <w:pPr>
        <w:ind w:left="720"/>
      </w:pPr>
    </w:p>
    <w:p w:rsidRPr="00C8697F" w:rsidR="00B960E1" w:rsidP="00793425" w:rsidRDefault="00B960E1" w14:paraId="7A5CEE6C" w14:textId="1E6C68AA">
      <w:pPr>
        <w:pStyle w:val="ListParagraph"/>
        <w:numPr>
          <w:ilvl w:val="0"/>
          <w:numId w:val="3"/>
        </w:numPr>
      </w:pPr>
      <w:r w:rsidRPr="00C8697F">
        <w:t>Feedback and Submission (G1)</w:t>
      </w:r>
    </w:p>
    <w:p w:rsidRPr="00C8697F" w:rsidR="002D0C34" w:rsidP="00793425" w:rsidRDefault="002D0C34" w14:paraId="3C4A4268" w14:textId="77777777">
      <w:pPr>
        <w:ind w:left="720"/>
        <w:rPr>
          <w:highlight w:val="yellow"/>
        </w:rPr>
      </w:pPr>
    </w:p>
    <w:p w:rsidRPr="00C8697F" w:rsidR="001B2BD1" w:rsidP="00793425" w:rsidRDefault="002D0C34" w14:paraId="134AAF13" w14:textId="67B23FE6">
      <w:pPr>
        <w:ind w:left="720"/>
      </w:pPr>
      <w:r w:rsidRPr="00C8697F">
        <w:t>Section G provides a place for respondents to share any comments to BJS regarding the survey or any other applicable information.</w:t>
      </w:r>
    </w:p>
    <w:p w:rsidR="002D0C34" w:rsidP="00793425" w:rsidRDefault="002D0C34" w14:paraId="0AB1F0E7" w14:textId="07E2602F">
      <w:pPr>
        <w:ind w:left="720"/>
        <w:rPr>
          <w:highlight w:val="yellow"/>
        </w:rPr>
      </w:pPr>
    </w:p>
    <w:p w:rsidR="002D0C34" w:rsidP="00793425" w:rsidRDefault="002D0C34" w14:paraId="799B0EBF" w14:textId="7C783894">
      <w:r>
        <w:t xml:space="preserve">BJS plans to conduct a census rather than a sample survey for the 2020 CPFFCL. The universe of forensic laboratories is small (about 500) relative to the size needed for a representative sample with stratification dimensions needed to address variations by agency type, size, and jurisdictional characteristics. Interest among other federal, state, and local agencies in data collected through CPFFCL relies on the study to ascertain the basic needs of forensic laboratories nationwide since these data have not been collected since reference year 2014. Since the last CPFFCL, there is a known shortage of staff </w:t>
      </w:r>
      <w:r w:rsidR="00D4398C">
        <w:t xml:space="preserve">in forensic crime laboratories </w:t>
      </w:r>
      <w:r>
        <w:t>nationwide</w:t>
      </w:r>
      <w:r w:rsidR="00C8697F">
        <w:rPr>
          <w:rStyle w:val="FootnoteReference"/>
        </w:rPr>
        <w:footnoteReference w:id="6"/>
      </w:r>
      <w:r w:rsidR="00C8697F">
        <w:t xml:space="preserve"> and the financial and staffing burden caused by the ongoing opioid epidemic.</w:t>
      </w:r>
      <w:r w:rsidR="00C8697F">
        <w:rPr>
          <w:rStyle w:val="FootnoteReference"/>
        </w:rPr>
        <w:footnoteReference w:id="7"/>
      </w:r>
      <w:r>
        <w:t xml:space="preserve"> A </w:t>
      </w:r>
      <w:r w:rsidR="00780F65">
        <w:t xml:space="preserve">primary </w:t>
      </w:r>
      <w:r>
        <w:t xml:space="preserve">goal of the </w:t>
      </w:r>
      <w:r w:rsidR="00C8697F">
        <w:t>2020</w:t>
      </w:r>
      <w:r>
        <w:t xml:space="preserve"> Census is to identify the national</w:t>
      </w:r>
      <w:r w:rsidR="00C8697F">
        <w:t xml:space="preserve"> </w:t>
      </w:r>
      <w:r>
        <w:t xml:space="preserve">caseload of </w:t>
      </w:r>
      <w:r w:rsidR="00780F65">
        <w:t xml:space="preserve">forensic requests </w:t>
      </w:r>
      <w:r>
        <w:t>and the staffing in place to address this caseload. With a census design, these data will</w:t>
      </w:r>
      <w:r w:rsidR="00C8697F">
        <w:t xml:space="preserve"> </w:t>
      </w:r>
      <w:r>
        <w:t>comprehensively inform national, state, and local policy-making</w:t>
      </w:r>
      <w:r w:rsidR="009A5CF5">
        <w:t>, grants,</w:t>
      </w:r>
      <w:r>
        <w:t xml:space="preserve"> and budget planning.</w:t>
      </w:r>
      <w:r w:rsidR="00C8697F">
        <w:t xml:space="preserve"> </w:t>
      </w:r>
    </w:p>
    <w:p w:rsidR="00C8697F" w:rsidP="00793425" w:rsidRDefault="00C8697F" w14:paraId="4F0E3B60" w14:textId="77777777"/>
    <w:p w:rsidR="002D0C34" w:rsidP="00793425" w:rsidRDefault="002D0C34" w14:paraId="4C919D03" w14:textId="754CE123">
      <w:r>
        <w:t>The 20</w:t>
      </w:r>
      <w:r w:rsidR="003F776A">
        <w:t>20</w:t>
      </w:r>
      <w:r>
        <w:t xml:space="preserve"> </w:t>
      </w:r>
      <w:r w:rsidR="003F776A">
        <w:t>CPFFCL</w:t>
      </w:r>
      <w:r>
        <w:t xml:space="preserve"> will update and document any changes in </w:t>
      </w:r>
      <w:r w:rsidR="003F776A">
        <w:t>laboratories</w:t>
      </w:r>
      <w:r>
        <w:t xml:space="preserve"> that have occurred</w:t>
      </w:r>
    </w:p>
    <w:p w:rsidR="002D0C34" w:rsidP="00793425" w:rsidRDefault="002D0C34" w14:paraId="09415E06" w14:textId="604364AB">
      <w:r>
        <w:t>since the 20</w:t>
      </w:r>
      <w:r w:rsidR="003F776A">
        <w:t>1</w:t>
      </w:r>
      <w:r>
        <w:t xml:space="preserve">4 </w:t>
      </w:r>
      <w:r w:rsidR="003F776A">
        <w:t>CPFFCL</w:t>
      </w:r>
      <w:r>
        <w:t xml:space="preserve">. Information generated by the </w:t>
      </w:r>
      <w:r w:rsidR="003F776A">
        <w:t>2020</w:t>
      </w:r>
      <w:r>
        <w:t xml:space="preserve"> </w:t>
      </w:r>
      <w:r w:rsidR="003F776A">
        <w:t>CPFFCL</w:t>
      </w:r>
      <w:r>
        <w:t xml:space="preserve"> will help to improve our</w:t>
      </w:r>
    </w:p>
    <w:p w:rsidR="002D0C34" w:rsidP="00793425" w:rsidRDefault="002D0C34" w14:paraId="12909ABB" w14:textId="2B1F77E2">
      <w:pPr>
        <w:rPr>
          <w:highlight w:val="yellow"/>
        </w:rPr>
      </w:pPr>
      <w:r>
        <w:t xml:space="preserve">national understanding of </w:t>
      </w:r>
      <w:r w:rsidR="003F776A">
        <w:t>laboratories</w:t>
      </w:r>
      <w:r>
        <w:t xml:space="preserve"> and their operations. The information will be useful for federal,</w:t>
      </w:r>
      <w:r w:rsidR="003F776A">
        <w:t xml:space="preserve"> </w:t>
      </w:r>
      <w:r>
        <w:t>state and local governments to assess the areas in which additional resources for development,</w:t>
      </w:r>
      <w:r w:rsidR="003F776A">
        <w:t xml:space="preserve"> </w:t>
      </w:r>
      <w:r>
        <w:t>improvement, or expansion of criminal justice investigation capabilities may be necessary.</w:t>
      </w:r>
    </w:p>
    <w:p w:rsidRPr="00B8502C" w:rsidR="002D0C34" w:rsidP="00793425" w:rsidRDefault="002D0C34" w14:paraId="429B0A28" w14:textId="77777777">
      <w:pPr>
        <w:ind w:left="720"/>
        <w:rPr>
          <w:highlight w:val="yellow"/>
        </w:rPr>
      </w:pPr>
    </w:p>
    <w:p w:rsidR="003B1F4D" w:rsidRDefault="003B1F4D" w14:paraId="42FF6D23" w14:textId="77777777">
      <w:pPr>
        <w:rPr>
          <w:b/>
          <w:u w:val="single"/>
        </w:rPr>
      </w:pPr>
      <w:r>
        <w:rPr>
          <w:b/>
          <w:u w:val="single"/>
        </w:rPr>
        <w:br w:type="page"/>
      </w:r>
    </w:p>
    <w:p w:rsidRPr="00B8502C" w:rsidR="00AF7585" w:rsidP="00793425" w:rsidRDefault="00AF7585" w14:paraId="7C89A670" w14:textId="28DD0B18">
      <w:pPr>
        <w:pStyle w:val="ListParagraph"/>
        <w:numPr>
          <w:ilvl w:val="0"/>
          <w:numId w:val="1"/>
        </w:numPr>
        <w:ind w:left="720"/>
        <w:rPr>
          <w:b/>
          <w:u w:val="single"/>
        </w:rPr>
      </w:pPr>
      <w:r w:rsidRPr="00B8502C">
        <w:rPr>
          <w:b/>
          <w:u w:val="single"/>
        </w:rPr>
        <w:lastRenderedPageBreak/>
        <w:t>Needs and Uses</w:t>
      </w:r>
    </w:p>
    <w:p w:rsidRPr="00B8502C" w:rsidR="00AF7585" w:rsidP="00793425" w:rsidRDefault="00AF7585" w14:paraId="47C30FB2" w14:textId="77777777">
      <w:pPr>
        <w:rPr>
          <w:i/>
        </w:rPr>
      </w:pPr>
    </w:p>
    <w:p w:rsidRPr="00B8502C" w:rsidR="0082388C" w:rsidP="00793425" w:rsidRDefault="0082388C" w14:paraId="213E06FE" w14:textId="77777777">
      <w:pPr>
        <w:rPr>
          <w:b/>
        </w:rPr>
      </w:pPr>
      <w:r w:rsidRPr="00B8502C">
        <w:rPr>
          <w:b/>
        </w:rPr>
        <w:t>BJS</w:t>
      </w:r>
      <w:r w:rsidRPr="00B8502C" w:rsidR="00CA74FF">
        <w:rPr>
          <w:b/>
        </w:rPr>
        <w:t xml:space="preserve">/OJP/DOJ </w:t>
      </w:r>
      <w:r w:rsidRPr="00B8502C">
        <w:rPr>
          <w:b/>
        </w:rPr>
        <w:t>Needs and Uses</w:t>
      </w:r>
    </w:p>
    <w:p w:rsidRPr="00B8502C" w:rsidR="0082388C" w:rsidP="00793425" w:rsidRDefault="0082388C" w14:paraId="639F0441" w14:textId="77777777"/>
    <w:p w:rsidR="00C8697F" w:rsidP="00793425" w:rsidRDefault="00E740C6" w14:paraId="1E4C1762" w14:textId="0D0347AA">
      <w:r>
        <w:t xml:space="preserve">The </w:t>
      </w:r>
      <w:r w:rsidR="0043047C">
        <w:t>CPFFCL</w:t>
      </w:r>
      <w:r>
        <w:t xml:space="preserve"> complements BJS’ other forensic collection</w:t>
      </w:r>
      <w:r w:rsidR="00F15060">
        <w:t>—</w:t>
      </w:r>
      <w:r>
        <w:t xml:space="preserve">the Census of </w:t>
      </w:r>
      <w:r w:rsidR="0043047C">
        <w:t>Medical Examiners and Coroners Offices</w:t>
      </w:r>
      <w:r w:rsidR="00F15060">
        <w:t>—</w:t>
      </w:r>
      <w:r>
        <w:t xml:space="preserve">as both </w:t>
      </w:r>
      <w:r w:rsidR="009A5CF5">
        <w:t>medical examiner offices</w:t>
      </w:r>
      <w:r w:rsidR="000C1F4B">
        <w:t xml:space="preserve"> and </w:t>
      </w:r>
      <w:r w:rsidR="009A5CF5">
        <w:t>f</w:t>
      </w:r>
      <w:r w:rsidR="000C1F4B">
        <w:t xml:space="preserve">orensic </w:t>
      </w:r>
      <w:r w:rsidR="009A5CF5">
        <w:t>l</w:t>
      </w:r>
      <w:r w:rsidR="000C1F4B">
        <w:t xml:space="preserve">aboratories </w:t>
      </w:r>
      <w:r>
        <w:t xml:space="preserve">serve as primary supportive agencies to law enforcement agencies and their operations. </w:t>
      </w:r>
      <w:r w:rsidRPr="00B8502C" w:rsidR="00A453B3">
        <w:t xml:space="preserve">BJS will use </w:t>
      </w:r>
      <w:r w:rsidR="00B048EF">
        <w:t>CPFFCL</w:t>
      </w:r>
      <w:r w:rsidRPr="00B8502C" w:rsidR="00B15FA4">
        <w:t xml:space="preserve"> </w:t>
      </w:r>
      <w:r w:rsidRPr="00B8502C" w:rsidR="00AF7585">
        <w:t xml:space="preserve">data </w:t>
      </w:r>
      <w:r w:rsidRPr="00B8502C" w:rsidR="00A453B3">
        <w:t xml:space="preserve">to </w:t>
      </w:r>
      <w:r w:rsidRPr="00B8502C" w:rsidR="00844BD1">
        <w:t xml:space="preserve">gain a basic understanding of the </w:t>
      </w:r>
      <w:r w:rsidR="00B048EF">
        <w:t>forensic functions withing publicly funded crime laboratories, staffing, infrastructure, resources, and technology available to process, analyze and interpret forensic evidence.</w:t>
      </w:r>
    </w:p>
    <w:p w:rsidR="00C8697F" w:rsidP="00793425" w:rsidRDefault="00C8697F" w14:paraId="276794AB" w14:textId="77777777"/>
    <w:p w:rsidRPr="002B44DB" w:rsidR="002B44DB" w:rsidP="00793425" w:rsidRDefault="002B44DB" w14:paraId="45028738" w14:textId="2E91A457">
      <w:r w:rsidRPr="002B44DB">
        <w:t xml:space="preserve">The </w:t>
      </w:r>
      <w:r w:rsidR="00C46A6D">
        <w:t>National Institute of Justice (</w:t>
      </w:r>
      <w:r>
        <w:t>NIJ</w:t>
      </w:r>
      <w:r w:rsidR="00C46A6D">
        <w:t>)</w:t>
      </w:r>
      <w:r>
        <w:t>’s 2019 report to Congress</w:t>
      </w:r>
      <w:r w:rsidR="00A030E3">
        <w:t xml:space="preserve">, </w:t>
      </w:r>
      <w:hyperlink w:history="1" r:id="rId8">
        <w:r w:rsidRPr="00C46A6D" w:rsidR="00A030E3">
          <w:rPr>
            <w:rStyle w:val="Hyperlink"/>
            <w:i/>
          </w:rPr>
          <w:t>Needs Assessment of Forensic Laboratories and Medical Examiner/Coroner Offices</w:t>
        </w:r>
      </w:hyperlink>
      <w:r w:rsidR="00A030E3">
        <w:rPr>
          <w:i/>
        </w:rPr>
        <w:t>,</w:t>
      </w:r>
      <w:r>
        <w:t xml:space="preserve"> outline</w:t>
      </w:r>
      <w:r w:rsidR="00C46A6D">
        <w:t>d</w:t>
      </w:r>
      <w:r>
        <w:t xml:space="preserve"> several needs in forensic science, including:</w:t>
      </w:r>
    </w:p>
    <w:p w:rsidR="002B44DB" w:rsidP="00793425" w:rsidRDefault="002B44DB" w14:paraId="18D1DB16" w14:textId="77777777"/>
    <w:p w:rsidR="002B44DB" w:rsidP="00793425" w:rsidRDefault="002B44DB" w14:paraId="02B2E873" w14:textId="2C178A5E">
      <w:pPr>
        <w:pStyle w:val="ListParagraph"/>
        <w:numPr>
          <w:ilvl w:val="0"/>
          <w:numId w:val="9"/>
        </w:numPr>
      </w:pPr>
      <w:bookmarkStart w:name="_Hlk58394810" w:id="1"/>
      <w:r>
        <w:t>Sufficient and consistent funding and strategic planning to process increasing amounts of forensic evidence and to address fluctuations in evidence submissions driven by the supply of and demand for forensic services;</w:t>
      </w:r>
    </w:p>
    <w:p w:rsidR="002B44DB" w:rsidP="00793425" w:rsidRDefault="002B44DB" w14:paraId="261B98D7" w14:textId="241B24D1">
      <w:pPr>
        <w:pStyle w:val="ListParagraph"/>
        <w:numPr>
          <w:ilvl w:val="0"/>
          <w:numId w:val="8"/>
        </w:numPr>
      </w:pPr>
      <w:r>
        <w:t>Sufficient and consistent funding and strategic planning to address the impact of the opioid crisis on forensic laboratories;</w:t>
      </w:r>
    </w:p>
    <w:p w:rsidR="002B44DB" w:rsidP="00793425" w:rsidRDefault="002B44DB" w14:paraId="40603DF8" w14:textId="2B0FED5B">
      <w:pPr>
        <w:pStyle w:val="ListParagraph"/>
        <w:numPr>
          <w:ilvl w:val="0"/>
          <w:numId w:val="8"/>
        </w:numPr>
      </w:pPr>
      <w:r>
        <w:t>Sufficient and consistent funding and strategic planning to address workforce and workload challenges;</w:t>
      </w:r>
    </w:p>
    <w:p w:rsidR="002B44DB" w:rsidP="00793425" w:rsidRDefault="002B44DB" w14:paraId="1D1174EE" w14:textId="0474FD58">
      <w:pPr>
        <w:pStyle w:val="ListParagraph"/>
        <w:numPr>
          <w:ilvl w:val="0"/>
          <w:numId w:val="8"/>
        </w:numPr>
      </w:pPr>
      <w:r w:rsidRPr="002B44DB">
        <w:t>Sufficient and consistent funding for forensic practitioner training</w:t>
      </w:r>
      <w:r>
        <w:t>;</w:t>
      </w:r>
    </w:p>
    <w:p w:rsidR="002B44DB" w:rsidP="00793425" w:rsidRDefault="002B44DB" w14:paraId="1727D5E3" w14:textId="6E9CB72D">
      <w:pPr>
        <w:pStyle w:val="ListParagraph"/>
        <w:numPr>
          <w:ilvl w:val="0"/>
          <w:numId w:val="8"/>
        </w:numPr>
      </w:pPr>
      <w:r>
        <w:t>Improvement in the personnel pipeline from education through hiring and training, particularly in disciplines that are facing critical personnel shortages;</w:t>
      </w:r>
    </w:p>
    <w:p w:rsidR="002B44DB" w:rsidP="00793425" w:rsidRDefault="002B44DB" w14:paraId="3F617E9E" w14:textId="245A63BE">
      <w:pPr>
        <w:pStyle w:val="ListParagraph"/>
        <w:numPr>
          <w:ilvl w:val="0"/>
          <w:numId w:val="8"/>
        </w:numPr>
      </w:pPr>
      <w:r>
        <w:t xml:space="preserve">Sufficient supply of graduates from academic programs who are prepared to seek </w:t>
      </w:r>
      <w:r w:rsidR="00C46A6D">
        <w:t>and obtain</w:t>
      </w:r>
      <w:r>
        <w:t xml:space="preserve"> employment in forensic science fields upon program completion;</w:t>
      </w:r>
    </w:p>
    <w:p w:rsidR="002B44DB" w:rsidP="00793425" w:rsidRDefault="002B44DB" w14:paraId="621DACFF" w14:textId="51E0EFEA">
      <w:pPr>
        <w:pStyle w:val="ListParagraph"/>
        <w:numPr>
          <w:ilvl w:val="0"/>
          <w:numId w:val="8"/>
        </w:numPr>
      </w:pPr>
      <w:r>
        <w:t xml:space="preserve">Continued efforts to strengthen quality assurance measures, limit preventable nonconformities, and maintain a healthy workforce in the forensic sciences; </w:t>
      </w:r>
    </w:p>
    <w:p w:rsidR="002B44DB" w:rsidP="00793425" w:rsidRDefault="002B44DB" w14:paraId="5D62F566" w14:textId="66557A0D">
      <w:pPr>
        <w:pStyle w:val="ListParagraph"/>
        <w:numPr>
          <w:ilvl w:val="0"/>
          <w:numId w:val="8"/>
        </w:numPr>
      </w:pPr>
      <w:r>
        <w:t>Efforts to maintain a resilient forensic workforce; and</w:t>
      </w:r>
    </w:p>
    <w:p w:rsidR="002B44DB" w:rsidP="00793425" w:rsidRDefault="002B44DB" w14:paraId="0A8FE4CD" w14:textId="1BA8F921">
      <w:pPr>
        <w:pStyle w:val="ListParagraph"/>
        <w:numPr>
          <w:ilvl w:val="0"/>
          <w:numId w:val="8"/>
        </w:numPr>
      </w:pPr>
      <w:r>
        <w:t>Overcoming infrastructure challenging, including outdated technology and physical capacity constraints.</w:t>
      </w:r>
    </w:p>
    <w:p w:rsidR="002B44DB" w:rsidP="00793425" w:rsidRDefault="002B44DB" w14:paraId="0F7D2F90" w14:textId="77777777"/>
    <w:p w:rsidR="002B44DB" w:rsidP="00793425" w:rsidRDefault="002B44DB" w14:paraId="244B57C6" w14:textId="20D23B80">
      <w:r>
        <w:t>The 20</w:t>
      </w:r>
      <w:r w:rsidR="003F776A">
        <w:t>20</w:t>
      </w:r>
      <w:r>
        <w:t xml:space="preserve"> </w:t>
      </w:r>
      <w:r w:rsidR="003F776A">
        <w:t>CPFFCL</w:t>
      </w:r>
      <w:r>
        <w:t xml:space="preserve"> supports </w:t>
      </w:r>
      <w:r w:rsidR="00D457A2">
        <w:t>this effort</w:t>
      </w:r>
      <w:r>
        <w:t xml:space="preserve"> by providing data that will speak to many of these areas (</w:t>
      </w:r>
      <w:r w:rsidR="00E813BF">
        <w:t>the</w:t>
      </w:r>
      <w:r>
        <w:t xml:space="preserve"> comprehensive list of topics that will be covered in the 20</w:t>
      </w:r>
      <w:r w:rsidR="003F776A">
        <w:t>20</w:t>
      </w:r>
      <w:r>
        <w:t xml:space="preserve"> </w:t>
      </w:r>
      <w:r w:rsidR="003F776A">
        <w:t>CPFFCL</w:t>
      </w:r>
      <w:r>
        <w:t xml:space="preserve"> </w:t>
      </w:r>
      <w:r w:rsidR="00E813BF">
        <w:t xml:space="preserve">are presented </w:t>
      </w:r>
      <w:r>
        <w:t xml:space="preserve">in the </w:t>
      </w:r>
      <w:r w:rsidRPr="00D457A2">
        <w:rPr>
          <w:i/>
          <w:iCs/>
        </w:rPr>
        <w:t xml:space="preserve">Overview </w:t>
      </w:r>
      <w:r>
        <w:t xml:space="preserve">section) and provide relevant data to inform </w:t>
      </w:r>
      <w:r w:rsidR="00C46A6D">
        <w:t>policy discussions at the local, state, and federal levels about</w:t>
      </w:r>
      <w:r>
        <w:t xml:space="preserve"> appropriate next steps in terms of budgets, planning, needs, and areas for program growth and outreach. The key types of information that the CPFFCL will make available include—</w:t>
      </w:r>
    </w:p>
    <w:p w:rsidR="003F776A" w:rsidP="00793425" w:rsidRDefault="003F776A" w14:paraId="551A8337" w14:textId="77777777"/>
    <w:p w:rsidR="002B44DB" w:rsidP="00793425" w:rsidRDefault="002B44DB" w14:paraId="4DE897D4" w14:textId="425B59CE">
      <w:pPr>
        <w:pStyle w:val="ListParagraph"/>
        <w:numPr>
          <w:ilvl w:val="0"/>
          <w:numId w:val="8"/>
        </w:numPr>
      </w:pPr>
      <w:r>
        <w:t>Number of full-time and part-time personnel and vacancies</w:t>
      </w:r>
    </w:p>
    <w:p w:rsidR="002B44DB" w:rsidP="00793425" w:rsidRDefault="002B44DB" w14:paraId="6F157C40" w14:textId="1A0D257A">
      <w:pPr>
        <w:pStyle w:val="ListParagraph"/>
        <w:numPr>
          <w:ilvl w:val="0"/>
          <w:numId w:val="8"/>
        </w:numPr>
      </w:pPr>
      <w:r>
        <w:t>Average total operating budgets</w:t>
      </w:r>
    </w:p>
    <w:p w:rsidR="002B44DB" w:rsidP="00793425" w:rsidRDefault="002B44DB" w14:paraId="6956310D" w14:textId="43EEAA6C">
      <w:pPr>
        <w:pStyle w:val="ListParagraph"/>
        <w:numPr>
          <w:ilvl w:val="0"/>
          <w:numId w:val="8"/>
        </w:numPr>
      </w:pPr>
      <w:r>
        <w:t>Workload metrics, including caseload, outsourcing, and backlogs</w:t>
      </w:r>
    </w:p>
    <w:p w:rsidR="002B44DB" w:rsidP="00793425" w:rsidRDefault="002B44DB" w14:paraId="62DA2579" w14:textId="60C9468C">
      <w:pPr>
        <w:pStyle w:val="ListParagraph"/>
        <w:numPr>
          <w:ilvl w:val="0"/>
          <w:numId w:val="8"/>
        </w:numPr>
      </w:pPr>
      <w:r>
        <w:t>Certifications, accreditation, and quality assurance metrics</w:t>
      </w:r>
    </w:p>
    <w:p w:rsidR="003F776A" w:rsidP="00793425" w:rsidRDefault="003F776A" w14:paraId="5D309500" w14:textId="77777777"/>
    <w:p w:rsidR="002B44DB" w:rsidP="00793425" w:rsidRDefault="002B44DB" w14:paraId="21D60FB3" w14:textId="2EB31359">
      <w:r>
        <w:lastRenderedPageBreak/>
        <w:t xml:space="preserve">BJS will use the data gathered by the 2020 CPFFCL to disseminate information about the forensic laboratories to the public. Previous BJS reports using CPFFCL data include </w:t>
      </w:r>
      <w:hyperlink w:history="1" r:id="rId9">
        <w:r w:rsidRPr="00A310C8">
          <w:rPr>
            <w:rStyle w:val="Hyperlink"/>
            <w:i/>
            <w:iCs/>
          </w:rPr>
          <w:t>Publicly Funded Forensic Crime Laboratories: Resources And Services, 2014</w:t>
        </w:r>
      </w:hyperlink>
      <w:r>
        <w:t xml:space="preserve"> and</w:t>
      </w:r>
      <w:r w:rsidR="00A310C8">
        <w:rPr>
          <w:i/>
          <w:iCs/>
        </w:rPr>
        <w:t xml:space="preserve"> </w:t>
      </w:r>
      <w:hyperlink w:history="1" r:id="rId10">
        <w:r w:rsidRPr="00D321EB">
          <w:rPr>
            <w:rStyle w:val="Hyperlink"/>
            <w:i/>
            <w:iCs/>
          </w:rPr>
          <w:t>Publicly Funded Forensic Crime</w:t>
        </w:r>
        <w:r w:rsidRPr="00D321EB" w:rsidR="00A310C8">
          <w:rPr>
            <w:rStyle w:val="Hyperlink"/>
            <w:i/>
            <w:iCs/>
          </w:rPr>
          <w:t xml:space="preserve"> </w:t>
        </w:r>
        <w:r w:rsidRPr="00D321EB">
          <w:rPr>
            <w:rStyle w:val="Hyperlink"/>
            <w:i/>
            <w:iCs/>
          </w:rPr>
          <w:t>Laboratories: Quality Assurance</w:t>
        </w:r>
        <w:r w:rsidRPr="00D321EB" w:rsidR="00A310C8">
          <w:rPr>
            <w:rStyle w:val="Hyperlink"/>
            <w:i/>
            <w:iCs/>
          </w:rPr>
          <w:t xml:space="preserve"> </w:t>
        </w:r>
        <w:r w:rsidRPr="00D321EB">
          <w:rPr>
            <w:rStyle w:val="Hyperlink"/>
            <w:i/>
            <w:iCs/>
          </w:rPr>
          <w:t>Practices, 2014</w:t>
        </w:r>
      </w:hyperlink>
      <w:r>
        <w:t>.</w:t>
      </w:r>
    </w:p>
    <w:p w:rsidR="002B44DB" w:rsidP="00793425" w:rsidRDefault="002B44DB" w14:paraId="63417A43" w14:textId="77777777">
      <w:pPr>
        <w:rPr>
          <w:b/>
        </w:rPr>
      </w:pPr>
    </w:p>
    <w:p w:rsidRPr="00B8502C" w:rsidR="00665E36" w:rsidP="00793425" w:rsidRDefault="00C21CF5" w14:paraId="73931955" w14:textId="5633222C">
      <w:pPr>
        <w:rPr>
          <w:b/>
        </w:rPr>
      </w:pPr>
      <w:r w:rsidRPr="00B8502C">
        <w:rPr>
          <w:b/>
        </w:rPr>
        <w:t xml:space="preserve">Uses of the </w:t>
      </w:r>
      <w:r w:rsidR="002B44DB">
        <w:rPr>
          <w:b/>
        </w:rPr>
        <w:t>CPFFCL</w:t>
      </w:r>
      <w:r w:rsidRPr="00B8502C">
        <w:rPr>
          <w:b/>
        </w:rPr>
        <w:t xml:space="preserve"> by others</w:t>
      </w:r>
    </w:p>
    <w:p w:rsidRPr="00B8502C" w:rsidR="00665E36" w:rsidP="00793425" w:rsidRDefault="00665E36" w14:paraId="6D3FD8F9" w14:textId="77777777"/>
    <w:p w:rsidRPr="00B8502C" w:rsidR="00665E36" w:rsidP="00793425" w:rsidRDefault="00B048EF" w14:paraId="4573B57A" w14:textId="26FA01BE">
      <w:r>
        <w:t xml:space="preserve">Data </w:t>
      </w:r>
      <w:r w:rsidRPr="00B8502C" w:rsidR="00665E36">
        <w:t xml:space="preserve">generated from </w:t>
      </w:r>
      <w:r w:rsidR="00C7671A">
        <w:t>CPFFCL</w:t>
      </w:r>
      <w:r w:rsidRPr="00B8502C" w:rsidR="00665E36">
        <w:t xml:space="preserve"> surveys is relevant to the work of law enforcement </w:t>
      </w:r>
      <w:r w:rsidR="00C7671A">
        <w:t xml:space="preserve">and other criminal justice </w:t>
      </w:r>
      <w:r w:rsidRPr="00B8502C" w:rsidR="00665E36">
        <w:t>practitioners,</w:t>
      </w:r>
      <w:r w:rsidR="00C7671A">
        <w:t xml:space="preserve"> </w:t>
      </w:r>
      <w:r w:rsidRPr="00B8502C" w:rsidR="00665E36">
        <w:t xml:space="preserve">the research community, Department of Justice officials, and </w:t>
      </w:r>
      <w:r w:rsidR="00C7671A">
        <w:t>public safety</w:t>
      </w:r>
      <w:r w:rsidRPr="00B8502C" w:rsidR="004E681E">
        <w:t xml:space="preserve"> agencies</w:t>
      </w:r>
      <w:r w:rsidRPr="00B8502C" w:rsidR="00665E36">
        <w:t xml:space="preserve"> as </w:t>
      </w:r>
      <w:r w:rsidR="009E40AA">
        <w:t>the collection</w:t>
      </w:r>
      <w:r w:rsidRPr="00B8502C" w:rsidR="00B73650">
        <w:t xml:space="preserve"> provides </w:t>
      </w:r>
      <w:r w:rsidRPr="00B8502C" w:rsidR="00665E36">
        <w:t xml:space="preserve">authoritative statistics on </w:t>
      </w:r>
      <w:r w:rsidRPr="00B8502C" w:rsidR="004E681E">
        <w:t>the</w:t>
      </w:r>
      <w:r w:rsidRPr="00B8502C" w:rsidR="000A662A">
        <w:t xml:space="preserve"> staffing, budget, resources, </w:t>
      </w:r>
      <w:r w:rsidRPr="00B8502C" w:rsidR="004E681E">
        <w:t>infrastructure</w:t>
      </w:r>
      <w:r w:rsidR="00A17DD4">
        <w:t>, and technology</w:t>
      </w:r>
      <w:r w:rsidRPr="00B8502C" w:rsidR="004E681E">
        <w:t xml:space="preserve"> </w:t>
      </w:r>
      <w:r w:rsidR="00A17DD4">
        <w:t xml:space="preserve">used to process and analyze forensic evidence. </w:t>
      </w:r>
    </w:p>
    <w:p w:rsidRPr="00B8502C" w:rsidR="00665E36" w:rsidP="00793425" w:rsidRDefault="00665E36" w14:paraId="0305EE41" w14:textId="77777777"/>
    <w:p w:rsidRPr="00A45A08" w:rsidR="00981C30" w:rsidP="00793425" w:rsidRDefault="00184E09" w14:paraId="33354D42" w14:textId="22B00D1F">
      <w:pPr>
        <w:rPr>
          <w:color w:val="FF0000"/>
        </w:rPr>
      </w:pPr>
      <w:r w:rsidRPr="00D1226F">
        <w:t xml:space="preserve">Officials from </w:t>
      </w:r>
      <w:r w:rsidRPr="00D1226F" w:rsidR="004E681E">
        <w:t>federal, state, and local</w:t>
      </w:r>
      <w:r w:rsidRPr="00D1226F">
        <w:t xml:space="preserve"> agencies</w:t>
      </w:r>
      <w:r w:rsidRPr="00D1226F" w:rsidR="004E681E">
        <w:t xml:space="preserve"> have</w:t>
      </w:r>
      <w:r w:rsidRPr="00D1226F">
        <w:t xml:space="preserve"> </w:t>
      </w:r>
      <w:r w:rsidRPr="00D1226F" w:rsidR="00665E36">
        <w:t>use</w:t>
      </w:r>
      <w:r w:rsidRPr="00D1226F" w:rsidR="004E681E">
        <w:t>d</w:t>
      </w:r>
      <w:r w:rsidRPr="00D1226F" w:rsidR="00665E36">
        <w:t xml:space="preserve"> </w:t>
      </w:r>
      <w:r w:rsidRPr="00D1226F" w:rsidR="004E681E">
        <w:t xml:space="preserve">the </w:t>
      </w:r>
      <w:r w:rsidR="00E813BF">
        <w:t>2014 CPFFCL data</w:t>
      </w:r>
      <w:r w:rsidRPr="00D1226F" w:rsidR="001B1CD8">
        <w:t xml:space="preserve"> </w:t>
      </w:r>
      <w:r w:rsidRPr="00D1226F" w:rsidR="004E681E">
        <w:t>for comparative statistical purposes and to leverage for more funding or resources</w:t>
      </w:r>
      <w:r w:rsidRPr="00D1226F" w:rsidR="00C92733">
        <w:t xml:space="preserve">. </w:t>
      </w:r>
      <w:r w:rsidRPr="00D1226F" w:rsidR="00152419">
        <w:t>Although</w:t>
      </w:r>
      <w:r w:rsidRPr="00D1226F" w:rsidR="001B1CD8">
        <w:t xml:space="preserve"> the 20</w:t>
      </w:r>
      <w:r w:rsidRPr="00D1226F" w:rsidR="00D1226F">
        <w:t>1</w:t>
      </w:r>
      <w:r w:rsidRPr="00D1226F" w:rsidR="001B1CD8">
        <w:t xml:space="preserve">4 </w:t>
      </w:r>
      <w:r w:rsidR="00E813BF">
        <w:t>CPFFCL</w:t>
      </w:r>
      <w:r w:rsidRPr="00D1226F" w:rsidR="00E813BF">
        <w:t xml:space="preserve"> </w:t>
      </w:r>
      <w:r w:rsidRPr="00D1226F" w:rsidR="001B1CD8">
        <w:t xml:space="preserve">data are </w:t>
      </w:r>
      <w:r w:rsidR="00D321EB">
        <w:t>six years old</w:t>
      </w:r>
      <w:r w:rsidRPr="00D1226F" w:rsidR="00981C30">
        <w:t>,</w:t>
      </w:r>
      <w:r w:rsidRPr="00D1226F" w:rsidR="001B1CD8">
        <w:t xml:space="preserve"> the </w:t>
      </w:r>
      <w:r w:rsidRPr="00D1226F" w:rsidR="003F7C08">
        <w:t>impact on the field endur</w:t>
      </w:r>
      <w:r w:rsidRPr="00D1226F" w:rsidR="001B1CD8">
        <w:t>es</w:t>
      </w:r>
      <w:r w:rsidRPr="00D1226F" w:rsidR="003F7C08">
        <w:t xml:space="preserve">: </w:t>
      </w:r>
      <w:r w:rsidRPr="00D1226F" w:rsidR="001B1CD8">
        <w:t>the collection</w:t>
      </w:r>
      <w:r w:rsidRPr="00D1226F" w:rsidR="00981C30">
        <w:t xml:space="preserve"> remains highly cited and </w:t>
      </w:r>
      <w:r w:rsidRPr="00D1226F" w:rsidR="00632CB6">
        <w:t xml:space="preserve">is frequently </w:t>
      </w:r>
      <w:r w:rsidRPr="00D1226F" w:rsidR="00981C30">
        <w:t xml:space="preserve">used among the government, research, public health, and </w:t>
      </w:r>
      <w:r w:rsidRPr="00D1226F" w:rsidR="00D1226F">
        <w:t>forensic</w:t>
      </w:r>
      <w:r w:rsidRPr="00D1226F" w:rsidR="00981C30">
        <w:t xml:space="preserve"> communities</w:t>
      </w:r>
      <w:r w:rsidRPr="00D1226F" w:rsidR="00FC4433">
        <w:t xml:space="preserve"> because it remains the definitive source regarding the state of the </w:t>
      </w:r>
      <w:r w:rsidRPr="00D1226F" w:rsidR="00D1226F">
        <w:t>U.S. crime laboratories</w:t>
      </w:r>
      <w:r w:rsidRPr="00D1226F" w:rsidR="00981C30">
        <w:t>. For example:</w:t>
      </w:r>
    </w:p>
    <w:p w:rsidRPr="00A45A08" w:rsidR="00981C30" w:rsidP="00793425" w:rsidRDefault="00981C30" w14:paraId="53D80246" w14:textId="77777777">
      <w:pPr>
        <w:rPr>
          <w:color w:val="FF0000"/>
        </w:rPr>
      </w:pPr>
    </w:p>
    <w:p w:rsidR="00A26B93" w:rsidP="00793425" w:rsidRDefault="00A26B93" w14:paraId="4750E135" w14:textId="6A741E58">
      <w:pPr>
        <w:pStyle w:val="ListParagraph"/>
        <w:numPr>
          <w:ilvl w:val="0"/>
          <w:numId w:val="4"/>
        </w:numPr>
      </w:pPr>
      <w:r>
        <w:t>Former American Society of Crime Laboratory Directors Matthew Gamette, speaking on behalf of the American Academy of Forensic Science, spoke before the U.S. House Committee on Science, Space, and Technology</w:t>
      </w:r>
      <w:r w:rsidR="00D457A2">
        <w:t xml:space="preserve"> and</w:t>
      </w:r>
      <w:r>
        <w:t xml:space="preserve"> referenced the accreditation statistics from the 2009 and 2014 CPFFCL reports.</w:t>
      </w:r>
      <w:r>
        <w:rPr>
          <w:rStyle w:val="FootnoteReference"/>
        </w:rPr>
        <w:footnoteReference w:id="8"/>
      </w:r>
      <w:r>
        <w:t xml:space="preserve"> </w:t>
      </w:r>
    </w:p>
    <w:p w:rsidRPr="00386CBC" w:rsidR="00CA4A15" w:rsidP="00793425" w:rsidRDefault="00386CBC" w14:paraId="7D78C7B5" w14:textId="03BCF907">
      <w:pPr>
        <w:pStyle w:val="ListParagraph"/>
        <w:numPr>
          <w:ilvl w:val="0"/>
          <w:numId w:val="4"/>
        </w:numPr>
      </w:pPr>
      <w:r w:rsidRPr="00386CBC">
        <w:t xml:space="preserve">In </w:t>
      </w:r>
      <w:r w:rsidR="00A26B93">
        <w:t>NIJ’s</w:t>
      </w:r>
      <w:r w:rsidRPr="00386CBC">
        <w:t xml:space="preserve"> </w:t>
      </w:r>
      <w:r w:rsidRPr="00386CBC" w:rsidR="00A26B93">
        <w:t xml:space="preserve">2019 </w:t>
      </w:r>
      <w:r w:rsidRPr="00386CBC" w:rsidR="00A26B93">
        <w:rPr>
          <w:i/>
          <w:iCs/>
        </w:rPr>
        <w:t xml:space="preserve">Needs Assessment of Forensic Laboratories and Medical Examiner/Coroner Offices </w:t>
      </w:r>
      <w:r>
        <w:t>report to Congress</w:t>
      </w:r>
      <w:r w:rsidRPr="00386CBC">
        <w:t>, t</w:t>
      </w:r>
      <w:r w:rsidRPr="00386CBC" w:rsidR="00CA4A15">
        <w:t xml:space="preserve">he </w:t>
      </w:r>
      <w:r w:rsidR="00A26B93">
        <w:t>authors</w:t>
      </w:r>
      <w:r w:rsidRPr="00386CBC" w:rsidR="00CA4A15">
        <w:t xml:space="preserve"> referenced the 2005, 2009, and 2014 CPFFCL </w:t>
      </w:r>
      <w:r w:rsidRPr="00386CBC">
        <w:t>findings.</w:t>
      </w:r>
      <w:r>
        <w:rPr>
          <w:rStyle w:val="FootnoteReference"/>
        </w:rPr>
        <w:footnoteReference w:id="9"/>
      </w:r>
      <w:r w:rsidRPr="00386CBC">
        <w:rPr>
          <w:i/>
          <w:iCs/>
        </w:rPr>
        <w:t xml:space="preserve"> </w:t>
      </w:r>
    </w:p>
    <w:p w:rsidRPr="00912B00" w:rsidR="003F7C08" w:rsidP="00793425" w:rsidRDefault="003F7C08" w14:paraId="3F9F757B" w14:textId="059DD878">
      <w:pPr>
        <w:pStyle w:val="ListParagraph"/>
        <w:numPr>
          <w:ilvl w:val="0"/>
          <w:numId w:val="4"/>
        </w:numPr>
      </w:pPr>
      <w:r w:rsidRPr="00D1226F">
        <w:t xml:space="preserve">In 2017, </w:t>
      </w:r>
      <w:r w:rsidRPr="00D1226F" w:rsidR="00214EC4">
        <w:t xml:space="preserve">NIJ published a report on FY2016 funding for DNA analysis, </w:t>
      </w:r>
      <w:r w:rsidR="00D457A2">
        <w:t>c</w:t>
      </w:r>
      <w:r w:rsidRPr="00D1226F" w:rsidR="00214EC4">
        <w:t xml:space="preserve">apacity </w:t>
      </w:r>
      <w:r w:rsidRPr="00912B00" w:rsidR="00214EC4">
        <w:t>enhancement, and other forensic activities</w:t>
      </w:r>
      <w:r w:rsidRPr="00912B00" w:rsidR="00D1226F">
        <w:t>.</w:t>
      </w:r>
      <w:r w:rsidRPr="00912B00" w:rsidR="00D1226F">
        <w:rPr>
          <w:rStyle w:val="FootnoteReference"/>
        </w:rPr>
        <w:footnoteReference w:id="10"/>
      </w:r>
      <w:r w:rsidRPr="00912B00" w:rsidR="00D1226F">
        <w:t xml:space="preserve"> The report referenced the 2014 </w:t>
      </w:r>
      <w:r w:rsidRPr="00912B00" w:rsidR="00214EC4">
        <w:t>CPFFCL</w:t>
      </w:r>
      <w:r w:rsidRPr="00912B00" w:rsidR="00632CB6">
        <w:t xml:space="preserve">’s finding </w:t>
      </w:r>
      <w:r w:rsidRPr="00912B00" w:rsidR="00D1226F">
        <w:t>that requests for DNA testing increased 28 percent while the tests completed increased 24 percent.</w:t>
      </w:r>
    </w:p>
    <w:p w:rsidR="00912B00" w:rsidP="00793425" w:rsidRDefault="00912B00" w14:paraId="3F9A50E8" w14:textId="7F236D4E">
      <w:pPr>
        <w:pStyle w:val="ListParagraph"/>
        <w:numPr>
          <w:ilvl w:val="0"/>
          <w:numId w:val="4"/>
        </w:numPr>
      </w:pPr>
      <w:r w:rsidRPr="00912B00">
        <w:t xml:space="preserve">Drawing in part from the 2014 CPFFCL findings, </w:t>
      </w:r>
      <w:r w:rsidR="00D457A2">
        <w:t>the NIJ</w:t>
      </w:r>
      <w:r w:rsidRPr="00912B00">
        <w:t xml:space="preserve"> produced a </w:t>
      </w:r>
      <w:r w:rsidR="0052334F">
        <w:t xml:space="preserve">2017 </w:t>
      </w:r>
      <w:r w:rsidRPr="00912B00">
        <w:t>report that examined sexual assault cases.</w:t>
      </w:r>
      <w:r>
        <w:rPr>
          <w:rStyle w:val="FootnoteReference"/>
        </w:rPr>
        <w:footnoteReference w:id="11"/>
      </w:r>
      <w:r w:rsidRPr="00912B00">
        <w:t xml:space="preserve"> </w:t>
      </w:r>
    </w:p>
    <w:p w:rsidRPr="00912B00" w:rsidR="0052334F" w:rsidP="00793425" w:rsidRDefault="0052334F" w14:paraId="0EF1E528" w14:textId="4CE96307">
      <w:pPr>
        <w:pStyle w:val="ListParagraph"/>
        <w:numPr>
          <w:ilvl w:val="0"/>
          <w:numId w:val="4"/>
        </w:numPr>
      </w:pPr>
      <w:r>
        <w:lastRenderedPageBreak/>
        <w:t>The NIJ Forensic Technology Center of Excellence has produced several reports that have referenced the 2014 CPFFCL, including the State Forensic Science Commissions report</w:t>
      </w:r>
      <w:r w:rsidR="00A610C2">
        <w:t>.</w:t>
      </w:r>
      <w:r>
        <w:rPr>
          <w:rStyle w:val="FootnoteReference"/>
        </w:rPr>
        <w:footnoteReference w:id="12"/>
      </w:r>
      <w:r>
        <w:t xml:space="preserve"> </w:t>
      </w:r>
    </w:p>
    <w:p w:rsidRPr="00912B00" w:rsidR="00C92733" w:rsidP="00793425" w:rsidRDefault="00C92733" w14:paraId="6DAD3678" w14:textId="2E45495B">
      <w:pPr>
        <w:pStyle w:val="ListParagraph"/>
        <w:numPr>
          <w:ilvl w:val="0"/>
          <w:numId w:val="4"/>
        </w:numPr>
      </w:pPr>
      <w:r w:rsidRPr="00912B00">
        <w:t xml:space="preserve">Dr. </w:t>
      </w:r>
      <w:r w:rsidRPr="00912B00" w:rsidR="00002E7E">
        <w:t>Victor Weedn referenced the 2014 CPFFCL in his testimony to Congress regarding the state of forensics in the U.S. on March 28, 2017.</w:t>
      </w:r>
      <w:r w:rsidRPr="00912B00" w:rsidR="00002E7E">
        <w:rPr>
          <w:rStyle w:val="FootnoteReference"/>
        </w:rPr>
        <w:footnoteReference w:id="13"/>
      </w:r>
    </w:p>
    <w:p w:rsidR="00981C30" w:rsidP="00793425" w:rsidRDefault="003A339A" w14:paraId="04960623" w14:textId="114189ED">
      <w:pPr>
        <w:pStyle w:val="ListParagraph"/>
        <w:numPr>
          <w:ilvl w:val="0"/>
          <w:numId w:val="4"/>
        </w:numPr>
      </w:pPr>
      <w:r w:rsidRPr="00912B00">
        <w:t>T</w:t>
      </w:r>
      <w:r w:rsidRPr="00912B00" w:rsidR="0032095F">
        <w:t xml:space="preserve">he </w:t>
      </w:r>
      <w:r w:rsidRPr="00912B00" w:rsidR="00214EC4">
        <w:t>2014 CPFFCL</w:t>
      </w:r>
      <w:r w:rsidRPr="00912B00" w:rsidR="00FD4010">
        <w:t xml:space="preserve"> final report</w:t>
      </w:r>
      <w:r w:rsidRPr="00912B00" w:rsidR="00214EC4">
        <w:t xml:space="preserve"> and </w:t>
      </w:r>
      <w:r w:rsidRPr="00214EC4" w:rsidR="00214EC4">
        <w:t>the public dataset</w:t>
      </w:r>
      <w:r w:rsidRPr="00214EC4" w:rsidR="0032095F">
        <w:t xml:space="preserve">, published in </w:t>
      </w:r>
      <w:r w:rsidRPr="00214EC4" w:rsidR="00214EC4">
        <w:t>2016</w:t>
      </w:r>
      <w:r w:rsidRPr="00214EC4" w:rsidR="0032095F">
        <w:t xml:space="preserve">, </w:t>
      </w:r>
      <w:r w:rsidRPr="00214EC4" w:rsidR="00214EC4">
        <w:t>are</w:t>
      </w:r>
      <w:r w:rsidRPr="00214EC4" w:rsidR="0032095F">
        <w:t xml:space="preserve"> referenced</w:t>
      </w:r>
      <w:r w:rsidRPr="00214EC4" w:rsidR="00FD4010">
        <w:t xml:space="preserve"> </w:t>
      </w:r>
      <w:r w:rsidRPr="00214EC4" w:rsidR="00214EC4">
        <w:t xml:space="preserve">or used </w:t>
      </w:r>
      <w:r w:rsidRPr="00214EC4" w:rsidR="00FD4010">
        <w:t xml:space="preserve">across a host of </w:t>
      </w:r>
      <w:r w:rsidRPr="00214EC4" w:rsidR="00E64F19">
        <w:t>journal articles</w:t>
      </w:r>
      <w:r w:rsidRPr="00214EC4">
        <w:t xml:space="preserve"> in the recent scientific literature</w:t>
      </w:r>
      <w:r w:rsidRPr="00214EC4" w:rsidR="00E64F19">
        <w:t>, for example</w:t>
      </w:r>
      <w:r w:rsidRPr="00214EC4" w:rsidR="00FD4010">
        <w:t>:</w:t>
      </w:r>
    </w:p>
    <w:p w:rsidRPr="00214EC4" w:rsidR="0052334F" w:rsidP="00793425" w:rsidRDefault="0052334F" w14:paraId="1A550E1C" w14:textId="77777777">
      <w:pPr>
        <w:pStyle w:val="ListParagraph"/>
      </w:pPr>
    </w:p>
    <w:p w:rsidRPr="0042064D" w:rsidR="0052334F" w:rsidP="00793425" w:rsidRDefault="0052334F" w14:paraId="4B15754B" w14:textId="77777777">
      <w:pPr>
        <w:pStyle w:val="ListParagraph"/>
        <w:numPr>
          <w:ilvl w:val="1"/>
          <w:numId w:val="6"/>
        </w:numPr>
        <w:rPr>
          <w:i/>
          <w:iCs/>
        </w:rPr>
      </w:pPr>
      <w:r w:rsidRPr="0042064D">
        <w:t xml:space="preserve">Whitford, A.B., Yates, J., Burchfield, A., Anastasopoulos, L.J., Anderson, D.M. (2020). The Adoption of Robotics by Government Agencies: Evidence from Crime Labs. </w:t>
      </w:r>
      <w:r w:rsidRPr="0042064D">
        <w:rPr>
          <w:i/>
          <w:iCs/>
        </w:rPr>
        <w:t>Public Administration Review.</w:t>
      </w:r>
    </w:p>
    <w:p w:rsidRPr="00F07A77" w:rsidR="00FD4010" w:rsidP="00793425" w:rsidRDefault="00F07A77" w14:paraId="1E3BBF1C" w14:textId="407B9DD5">
      <w:pPr>
        <w:pStyle w:val="ListParagraph"/>
        <w:numPr>
          <w:ilvl w:val="1"/>
          <w:numId w:val="6"/>
        </w:numPr>
      </w:pPr>
      <w:r w:rsidRPr="00F07A77">
        <w:t xml:space="preserve">Ropero-Miller, J.D., &amp; Speaker, P.J. (2019). The hidden costs of the opioid crisis and the implications for financial management in the public sector. </w:t>
      </w:r>
      <w:r w:rsidRPr="00214EC4">
        <w:rPr>
          <w:i/>
          <w:iCs/>
        </w:rPr>
        <w:t>Forensic Science International:</w:t>
      </w:r>
      <w:r w:rsidRPr="00F07A77">
        <w:t xml:space="preserve"> </w:t>
      </w:r>
      <w:r w:rsidRPr="00214EC4">
        <w:rPr>
          <w:i/>
          <w:iCs/>
        </w:rPr>
        <w:t>Synergy</w:t>
      </w:r>
      <w:r w:rsidRPr="00F07A77">
        <w:t xml:space="preserve">, </w:t>
      </w:r>
      <w:r w:rsidRPr="00214EC4">
        <w:rPr>
          <w:i/>
          <w:iCs/>
        </w:rPr>
        <w:t>1</w:t>
      </w:r>
      <w:r w:rsidRPr="00F07A77">
        <w:t>, 227-238.</w:t>
      </w:r>
    </w:p>
    <w:p w:rsidRPr="0052334F" w:rsidR="0042064D" w:rsidP="00793425" w:rsidRDefault="00D1226F" w14:paraId="2D254593" w14:textId="642053A4">
      <w:pPr>
        <w:pStyle w:val="ListParagraph"/>
        <w:numPr>
          <w:ilvl w:val="1"/>
          <w:numId w:val="6"/>
        </w:numPr>
        <w:rPr>
          <w:i/>
          <w:iCs/>
        </w:rPr>
      </w:pPr>
      <w:r w:rsidRPr="00CA4A15">
        <w:t>Gardner, B.O., Kelley, S., Murrie, D.C., &amp; Dror, I.E. (</w:t>
      </w:r>
      <w:r w:rsidRPr="00CA4A15" w:rsidR="00CA4A15">
        <w:t xml:space="preserve">2019). What do forensic analysts consider relevant to their decision making? </w:t>
      </w:r>
      <w:r w:rsidRPr="0042064D" w:rsidR="00CA4A15">
        <w:rPr>
          <w:i/>
          <w:iCs/>
        </w:rPr>
        <w:t>Science &amp; Justice, 59, 5</w:t>
      </w:r>
      <w:r w:rsidRPr="00CA4A15" w:rsidR="00CA4A15">
        <w:t>, 516-</w:t>
      </w:r>
      <w:r w:rsidRPr="0042064D" w:rsidR="00CA4A15">
        <w:t>523.</w:t>
      </w:r>
      <w:bookmarkEnd w:id="1"/>
    </w:p>
    <w:p w:rsidRPr="0052334F" w:rsidR="0052334F" w:rsidP="00793425" w:rsidRDefault="0052334F" w14:paraId="7250FC69" w14:textId="77777777">
      <w:pPr>
        <w:pStyle w:val="ListParagraph"/>
        <w:numPr>
          <w:ilvl w:val="1"/>
          <w:numId w:val="6"/>
        </w:numPr>
        <w:rPr>
          <w:i/>
          <w:iCs/>
        </w:rPr>
      </w:pPr>
      <w:r w:rsidRPr="0052334F">
        <w:t>Anderson, J.M., Matthies, C., Greathouse, S., &amp; Chari, A.V. (2018). The unrealized promise of forensic science – An empirical study of its production and use.</w:t>
      </w:r>
      <w:r w:rsidRPr="0052334F">
        <w:rPr>
          <w:i/>
          <w:iCs/>
        </w:rPr>
        <w:t xml:space="preserve"> SSRN. </w:t>
      </w:r>
      <w:r w:rsidRPr="0052334F">
        <w:t xml:space="preserve">Available as a download at: </w:t>
      </w:r>
      <w:hyperlink w:history="1" r:id="rId11">
        <w:r w:rsidRPr="0052334F">
          <w:rPr>
            <w:rStyle w:val="Hyperlink"/>
          </w:rPr>
          <w:t>www.ssrn.com</w:t>
        </w:r>
      </w:hyperlink>
    </w:p>
    <w:p w:rsidRPr="00721AE3" w:rsidR="0052334F" w:rsidP="00793425" w:rsidRDefault="0052334F" w14:paraId="27F042E1" w14:textId="093B8880">
      <w:pPr>
        <w:pStyle w:val="ListParagraph"/>
        <w:numPr>
          <w:ilvl w:val="1"/>
          <w:numId w:val="6"/>
        </w:numPr>
        <w:rPr>
          <w:i/>
          <w:iCs/>
        </w:rPr>
      </w:pPr>
      <w:r w:rsidRPr="0052334F">
        <w:t>King, W.R., Matusiak, M.C., &amp; Campbell, B.A. (2017). Organizational and environmental determinants of ballistics imaging productivity in United States crime laboratories.</w:t>
      </w:r>
      <w:r w:rsidRPr="0052334F">
        <w:rPr>
          <w:i/>
          <w:iCs/>
        </w:rPr>
        <w:t xml:space="preserve"> Journal of Crime and Justice, 41 (4), </w:t>
      </w:r>
      <w:r w:rsidRPr="0052334F">
        <w:t>450-462.</w:t>
      </w:r>
    </w:p>
    <w:p w:rsidRPr="00721AE3" w:rsidR="00721AE3" w:rsidP="00793425" w:rsidRDefault="00721AE3" w14:paraId="5D2D43A9" w14:textId="77777777">
      <w:pPr>
        <w:pStyle w:val="ListParagraph"/>
        <w:numPr>
          <w:ilvl w:val="1"/>
          <w:numId w:val="6"/>
        </w:numPr>
      </w:pPr>
      <w:r w:rsidRPr="00721AE3">
        <w:t xml:space="preserve">Matthew C. Matusiak, William R. King &amp; Bradley A. Campbell (2020) The multi-dimensional environment of publicly funded U.S. crime laboratories and its impact on lab priorities, Journal of Crime and Justice, 43:3, 362-376, DOI: 10.1080/0735648X.2019.1673792 </w:t>
      </w:r>
    </w:p>
    <w:p w:rsidRPr="00721AE3" w:rsidR="00721AE3" w:rsidP="00793425" w:rsidRDefault="00721AE3" w14:paraId="4BF04FAB" w14:textId="2C89A3DB">
      <w:pPr>
        <w:pStyle w:val="ListParagraph"/>
        <w:numPr>
          <w:ilvl w:val="1"/>
          <w:numId w:val="6"/>
        </w:numPr>
        <w:rPr>
          <w:i/>
          <w:iCs/>
        </w:rPr>
      </w:pPr>
      <w:r w:rsidRPr="00721AE3">
        <w:t xml:space="preserve">Campbell R. Fehler-Cabral G. (2020) “Just Bring Us the Real Ones”: The Role of Forensic Crime Laboratories in Guarding the Gateway to Justice for Sexual Assault Victims, Journal of Interpersonal Violence, DOI: </w:t>
      </w:r>
      <w:hyperlink w:history="1" r:id="rId12">
        <w:r w:rsidRPr="00721AE3">
          <w:rPr>
            <w:rStyle w:val="Hyperlink"/>
          </w:rPr>
          <w:t>10.1177/0886260520951303</w:t>
        </w:r>
      </w:hyperlink>
    </w:p>
    <w:p w:rsidRPr="00A45A08" w:rsidR="00533D24" w:rsidP="00793425" w:rsidRDefault="00533D24" w14:paraId="44703CF6" w14:textId="26489F56">
      <w:pPr>
        <w:pStyle w:val="ListParagraph"/>
        <w:ind w:left="1440"/>
        <w:rPr>
          <w:color w:val="FF0000"/>
        </w:rPr>
      </w:pPr>
    </w:p>
    <w:p w:rsidRPr="00912B00" w:rsidR="00FC4433" w:rsidP="00793425" w:rsidRDefault="00533D24" w14:paraId="41096BF4" w14:textId="380E21D3">
      <w:pPr>
        <w:pStyle w:val="ListParagraph"/>
        <w:ind w:left="0"/>
      </w:pPr>
      <w:r w:rsidRPr="00912B00">
        <w:t>Finally, 3</w:t>
      </w:r>
      <w:r w:rsidRPr="00912B00" w:rsidR="00FC4433">
        <w:t xml:space="preserve">-year usage data of the public use file archived at the National Archive of Criminal Justice Data (NACJD) show that </w:t>
      </w:r>
      <w:r w:rsidRPr="00912B00" w:rsidR="00174621">
        <w:t xml:space="preserve">the </w:t>
      </w:r>
      <w:r w:rsidR="003F776A">
        <w:t>CPFFCL</w:t>
      </w:r>
      <w:r w:rsidRPr="00912B00" w:rsidR="00FC4433">
        <w:t xml:space="preserve"> public use file is frequently downloaded. From </w:t>
      </w:r>
      <w:r w:rsidRPr="00912B00" w:rsidR="00A04C2F">
        <w:t>December 2017</w:t>
      </w:r>
      <w:r w:rsidRPr="00912B00" w:rsidR="00FC4433">
        <w:t xml:space="preserve"> to </w:t>
      </w:r>
      <w:r w:rsidRPr="00912B00" w:rsidR="00A04C2F">
        <w:t>December 2020</w:t>
      </w:r>
      <w:r w:rsidRPr="00912B00" w:rsidR="00FC4433">
        <w:t xml:space="preserve">, NACJD usage data show that the </w:t>
      </w:r>
      <w:r w:rsidRPr="00912B00" w:rsidR="00A04C2F">
        <w:t>2014 CPFFCL</w:t>
      </w:r>
      <w:r w:rsidRPr="00912B00" w:rsidR="00FC4433">
        <w:t xml:space="preserve"> data were downloaded 3</w:t>
      </w:r>
      <w:r w:rsidRPr="00912B00" w:rsidR="00A04C2F">
        <w:t>22</w:t>
      </w:r>
      <w:r w:rsidRPr="00912B00" w:rsidR="00FC4433">
        <w:t xml:space="preserve"> times across </w:t>
      </w:r>
      <w:r w:rsidRPr="00912B00" w:rsidR="00A04C2F">
        <w:t>157</w:t>
      </w:r>
      <w:r w:rsidRPr="00912B00" w:rsidR="00FC4433">
        <w:t xml:space="preserve"> unique users (including university faculty and staff</w:t>
      </w:r>
      <w:r w:rsidRPr="00912B00" w:rsidR="00A04C2F">
        <w:t xml:space="preserve"> across 10 </w:t>
      </w:r>
      <w:r w:rsidRPr="00912B00" w:rsidR="00A04C2F">
        <w:lastRenderedPageBreak/>
        <w:t>institutions</w:t>
      </w:r>
      <w:r w:rsidRPr="00912B00" w:rsidR="00FC4433">
        <w:t>).</w:t>
      </w:r>
      <w:r w:rsidRPr="00912B00" w:rsidR="00A44D81">
        <w:rPr>
          <w:rStyle w:val="FootnoteReference"/>
        </w:rPr>
        <w:footnoteReference w:id="14"/>
      </w:r>
      <w:r w:rsidRPr="00912B00" w:rsidR="00A04C2F">
        <w:t xml:space="preserve"> Researchers have used the 2014 public dataset for sampling purposes to drive studies regarding forensic familial DNA</w:t>
      </w:r>
      <w:r w:rsidRPr="00912B00" w:rsidR="00A04C2F">
        <w:rPr>
          <w:rStyle w:val="FootnoteReference"/>
        </w:rPr>
        <w:footnoteReference w:id="15"/>
      </w:r>
      <w:r w:rsidRPr="00912B00" w:rsidR="00A04C2F">
        <w:t xml:space="preserve"> and digital evidence.</w:t>
      </w:r>
      <w:r w:rsidRPr="00912B00" w:rsidR="00A04C2F">
        <w:rPr>
          <w:rStyle w:val="FootnoteReference"/>
        </w:rPr>
        <w:footnoteReference w:id="16"/>
      </w:r>
    </w:p>
    <w:p w:rsidRPr="00B8502C" w:rsidR="00152419" w:rsidP="00793425" w:rsidRDefault="00152419" w14:paraId="2601B831" w14:textId="77777777"/>
    <w:p w:rsidRPr="00330FA8" w:rsidR="00793C5A" w:rsidP="00793425" w:rsidRDefault="00AF7585" w14:paraId="34F6638A" w14:textId="77777777">
      <w:pPr>
        <w:pStyle w:val="ListParagraph"/>
        <w:numPr>
          <w:ilvl w:val="0"/>
          <w:numId w:val="2"/>
        </w:numPr>
        <w:rPr>
          <w:b/>
          <w:u w:val="single"/>
        </w:rPr>
      </w:pPr>
      <w:r w:rsidRPr="00330FA8">
        <w:rPr>
          <w:b/>
          <w:u w:val="single"/>
        </w:rPr>
        <w:t>Use of Information Technology</w:t>
      </w:r>
    </w:p>
    <w:p w:rsidRPr="00C77BF6" w:rsidR="00793C5A" w:rsidP="00793425" w:rsidRDefault="00793C5A" w14:paraId="6B557EE5" w14:textId="77777777">
      <w:pPr>
        <w:pStyle w:val="ListParagraph"/>
        <w:ind w:left="360"/>
        <w:rPr>
          <w:color w:val="FF0000"/>
          <w:u w:val="single"/>
        </w:rPr>
      </w:pPr>
    </w:p>
    <w:p w:rsidRPr="00330FA8" w:rsidR="00654D1B" w:rsidP="00793425" w:rsidRDefault="00FC1683" w14:paraId="67965F56" w14:textId="3264147F">
      <w:pPr>
        <w:keepNext/>
        <w:keepLines/>
      </w:pPr>
      <w:r w:rsidRPr="00330FA8">
        <w:t xml:space="preserve">The </w:t>
      </w:r>
      <w:r w:rsidRPr="00330FA8" w:rsidR="00330FA8">
        <w:t>2020 CPFFCL</w:t>
      </w:r>
      <w:r w:rsidRPr="00330FA8">
        <w:t xml:space="preserve"> </w:t>
      </w:r>
      <w:r w:rsidRPr="00330FA8" w:rsidR="00654D1B">
        <w:t xml:space="preserve">uses a multi-mode design in which respondents are directed to a web survey through mailed and emailed instructions. The web survey is hosted by BJS’ data collection agent RTI International (RTI). </w:t>
      </w:r>
    </w:p>
    <w:p w:rsidRPr="00330FA8" w:rsidR="00654D1B" w:rsidP="00793425" w:rsidRDefault="00654D1B" w14:paraId="057C3450" w14:textId="77777777">
      <w:pPr>
        <w:keepNext/>
        <w:keepLines/>
      </w:pPr>
    </w:p>
    <w:p w:rsidRPr="00330FA8" w:rsidR="00FC1683" w:rsidP="00793425" w:rsidRDefault="004E681E" w14:paraId="4E9EF36C" w14:textId="0DE9A4B1">
      <w:pPr>
        <w:keepNext/>
        <w:keepLines/>
      </w:pPr>
      <w:r w:rsidRPr="00330FA8">
        <w:t xml:space="preserve">The </w:t>
      </w:r>
      <w:r w:rsidRPr="00330FA8" w:rsidR="00330FA8">
        <w:t>CPFFCL</w:t>
      </w:r>
      <w:r w:rsidRPr="00330FA8">
        <w:t xml:space="preserve"> </w:t>
      </w:r>
      <w:r w:rsidRPr="00330FA8" w:rsidR="00654D1B">
        <w:t xml:space="preserve">instrument </w:t>
      </w:r>
      <w:r w:rsidRPr="00330FA8" w:rsidR="00FC1683">
        <w:t xml:space="preserve">has been designed for online data collection that will export survey data and paradata in various data formats specified by BJS. This software will allow RTI to send an email to respondents explaining the </w:t>
      </w:r>
      <w:r w:rsidRPr="00330FA8" w:rsidR="00330FA8">
        <w:t xml:space="preserve">CPFFCL respondents </w:t>
      </w:r>
      <w:r w:rsidRPr="00330FA8" w:rsidR="00FC1683">
        <w:t xml:space="preserve">and containing a hyperlink to the questionnaire. </w:t>
      </w:r>
      <w:r w:rsidRPr="00330FA8" w:rsidR="00DE6646">
        <w:t xml:space="preserve">Respondents will have a unique Personal Identification Number (PIN) and password provided by RTI to access the website to complete the census form. </w:t>
      </w:r>
      <w:r w:rsidRPr="00330FA8" w:rsidR="00FC1683">
        <w:t xml:space="preserve">Additionally, the software allows for real-time online tracking of respondents thereby allowing BJS to track the completion of each </w:t>
      </w:r>
      <w:r w:rsidR="003F776A">
        <w:t>laboratory</w:t>
      </w:r>
      <w:r w:rsidRPr="00330FA8" w:rsidR="00A320AC">
        <w:t>’s</w:t>
      </w:r>
      <w:r w:rsidRPr="00330FA8" w:rsidR="00FC1683">
        <w:t xml:space="preserve"> responses. </w:t>
      </w:r>
    </w:p>
    <w:p w:rsidRPr="00C77BF6" w:rsidR="00FC1683" w:rsidP="00793425" w:rsidRDefault="00FC1683" w14:paraId="42ED5A6A" w14:textId="77777777">
      <w:pPr>
        <w:rPr>
          <w:color w:val="FF0000"/>
        </w:rPr>
      </w:pPr>
    </w:p>
    <w:p w:rsidRPr="00330FA8" w:rsidR="00FC1683" w:rsidP="00793425" w:rsidRDefault="005C327D" w14:paraId="26B268BB" w14:textId="6BFEBB43">
      <w:r w:rsidRPr="00330FA8">
        <w:t xml:space="preserve">Agencies </w:t>
      </w:r>
      <w:r w:rsidRPr="00330FA8" w:rsidR="00FC1683">
        <w:t xml:space="preserve">may have </w:t>
      </w:r>
      <w:r w:rsidRPr="00330FA8" w:rsidR="00F01DC0">
        <w:t>several</w:t>
      </w:r>
      <w:r w:rsidRPr="00330FA8" w:rsidR="00FC1683">
        <w:t xml:space="preserve"> reasons why they do not respond via the internet</w:t>
      </w:r>
      <w:r w:rsidRPr="00330FA8" w:rsidR="001675A1">
        <w:t>;</w:t>
      </w:r>
      <w:r w:rsidRPr="00330FA8" w:rsidR="00FC1683">
        <w:t xml:space="preserve"> for example</w:t>
      </w:r>
      <w:r w:rsidRPr="00330FA8" w:rsidR="0004771E">
        <w:t>,</w:t>
      </w:r>
      <w:r w:rsidRPr="00330FA8" w:rsidR="00FC1683">
        <w:t xml:space="preserve"> some might find it difficult to complete online because of the complexity of the requested data or the need to involve multiple people in preparing the response.</w:t>
      </w:r>
      <w:r w:rsidRPr="00330FA8">
        <w:t xml:space="preserve"> Agencies</w:t>
      </w:r>
      <w:r w:rsidRPr="00330FA8" w:rsidR="00FC1683">
        <w:t xml:space="preserve"> that require </w:t>
      </w:r>
      <w:r w:rsidRPr="00330FA8" w:rsidR="001675A1">
        <w:t xml:space="preserve">printed versions of the census form </w:t>
      </w:r>
      <w:r w:rsidRPr="00330FA8" w:rsidR="00FC1683">
        <w:t xml:space="preserve">will have multiple methods of receiving paper versions of the instrument. </w:t>
      </w:r>
      <w:r w:rsidRPr="00330FA8" w:rsidR="002D53B8">
        <w:t xml:space="preserve">A </w:t>
      </w:r>
      <w:r w:rsidRPr="00330FA8" w:rsidR="001675A1">
        <w:t xml:space="preserve">paper </w:t>
      </w:r>
      <w:r w:rsidRPr="00330FA8" w:rsidR="002D53B8">
        <w:t>copy</w:t>
      </w:r>
      <w:r w:rsidRPr="00330FA8" w:rsidR="001675A1">
        <w:t xml:space="preserve"> of the</w:t>
      </w:r>
      <w:r w:rsidRPr="00330FA8" w:rsidR="002D53B8">
        <w:t xml:space="preserve"> questionnaire will be mailed </w:t>
      </w:r>
      <w:r w:rsidRPr="00330FA8">
        <w:t>in a reminder</w:t>
      </w:r>
      <w:r w:rsidRPr="00330FA8" w:rsidR="002D53B8">
        <w:t xml:space="preserve"> mailing</w:t>
      </w:r>
      <w:r w:rsidRPr="00330FA8" w:rsidR="0004771E">
        <w:t xml:space="preserve"> to </w:t>
      </w:r>
      <w:r w:rsidR="00B56FFC">
        <w:t>non-respondents</w:t>
      </w:r>
      <w:r w:rsidRPr="00330FA8" w:rsidR="002D53B8">
        <w:t xml:space="preserve">. </w:t>
      </w:r>
      <w:r w:rsidRPr="00330FA8">
        <w:t>In addition</w:t>
      </w:r>
      <w:r w:rsidRPr="00330FA8" w:rsidR="00FC1683">
        <w:t xml:space="preserve">, </w:t>
      </w:r>
      <w:r w:rsidRPr="00330FA8">
        <w:t>agencies</w:t>
      </w:r>
      <w:r w:rsidRPr="00330FA8" w:rsidR="00FC1683">
        <w:t xml:space="preserve"> will be able to download a PDF version of the survey from the survey </w:t>
      </w:r>
      <w:r w:rsidRPr="00330FA8" w:rsidR="001675A1">
        <w:t>web</w:t>
      </w:r>
      <w:r w:rsidRPr="00330FA8" w:rsidR="00FC1683">
        <w:t xml:space="preserve">site that can be printed or e-mailed to </w:t>
      </w:r>
      <w:r w:rsidR="00330FA8">
        <w:t>CPFFCL</w:t>
      </w:r>
      <w:r w:rsidRPr="00330FA8" w:rsidR="001675A1">
        <w:t xml:space="preserve"> </w:t>
      </w:r>
      <w:r w:rsidRPr="00330FA8" w:rsidR="00FC1683">
        <w:t xml:space="preserve">staff. Respondents can then complete the survey </w:t>
      </w:r>
      <w:r w:rsidRPr="00330FA8" w:rsidR="001675A1">
        <w:t>by hand</w:t>
      </w:r>
      <w:r w:rsidRPr="00330FA8" w:rsidR="00FC1683">
        <w:t xml:space="preserve"> and transcribe it to the online survey instrument</w:t>
      </w:r>
      <w:r w:rsidRPr="00330FA8" w:rsidR="00332524">
        <w:t xml:space="preserve">, </w:t>
      </w:r>
      <w:r w:rsidRPr="00330FA8" w:rsidR="00FC1683">
        <w:t xml:space="preserve">scan and return the completed form via </w:t>
      </w:r>
      <w:r w:rsidRPr="00330FA8" w:rsidR="00332524">
        <w:t xml:space="preserve">email, or return the completed form via </w:t>
      </w:r>
      <w:r w:rsidRPr="00330FA8" w:rsidR="00FC1683">
        <w:t xml:space="preserve">mail. </w:t>
      </w:r>
      <w:r w:rsidRPr="00330FA8" w:rsidR="00F07C30">
        <w:t xml:space="preserve">Completed hardcopy questionnaires will be data entered by RTI staff. </w:t>
      </w:r>
    </w:p>
    <w:p w:rsidRPr="00C77BF6" w:rsidR="00FC1683" w:rsidP="00793425" w:rsidRDefault="00FC1683" w14:paraId="256887B5" w14:textId="77777777">
      <w:pPr>
        <w:rPr>
          <w:color w:val="FF0000"/>
        </w:rPr>
      </w:pPr>
    </w:p>
    <w:p w:rsidRPr="002D41FE" w:rsidR="00FC1683" w:rsidP="00793425" w:rsidRDefault="00FC1683" w14:paraId="60E71BAE" w14:textId="3F1579E0">
      <w:r w:rsidRPr="00330FA8">
        <w:t xml:space="preserve">The dataset and supporting documentation will be made available without charge at the National Archive of Criminal Justice Data at the Inter-University Consortium for Political and Social Research (ICPSR). The BJS-produced findings from the </w:t>
      </w:r>
      <w:r w:rsidRPr="00330FA8" w:rsidR="00330FA8">
        <w:t>2020 CPFFCL</w:t>
      </w:r>
      <w:r w:rsidRPr="00330FA8">
        <w:t xml:space="preserve"> will be provided to the public </w:t>
      </w:r>
      <w:r w:rsidRPr="002D41FE">
        <w:t>in electronic format</w:t>
      </w:r>
      <w:r w:rsidRPr="002D41FE" w:rsidR="00FC4433">
        <w:t xml:space="preserve"> (e.g., Microsoft Excel or comma delimited files)</w:t>
      </w:r>
      <w:r w:rsidRPr="002D41FE">
        <w:t>. The</w:t>
      </w:r>
      <w:r w:rsidRPr="002D41FE" w:rsidR="00E64F19">
        <w:t xml:space="preserve"> survey</w:t>
      </w:r>
      <w:r w:rsidRPr="002D41FE">
        <w:t xml:space="preserve"> reports will be available on the BJS website as PDF files. </w:t>
      </w:r>
    </w:p>
    <w:p w:rsidRPr="002D41FE" w:rsidR="00AF7585" w:rsidP="00793425" w:rsidRDefault="00FC1683" w14:paraId="427CB981" w14:textId="7F4BA883">
      <w:pPr>
        <w:pStyle w:val="ListParagraph"/>
        <w:ind w:left="360"/>
      </w:pPr>
      <w:r w:rsidRPr="002D41FE" w:rsidDel="00FC1683">
        <w:t xml:space="preserve"> </w:t>
      </w:r>
    </w:p>
    <w:p w:rsidRPr="002D41FE" w:rsidR="00AF7585" w:rsidP="00793425" w:rsidRDefault="00AF7585" w14:paraId="45E56AD2" w14:textId="36911588">
      <w:pPr>
        <w:pStyle w:val="ListParagraph"/>
        <w:numPr>
          <w:ilvl w:val="0"/>
          <w:numId w:val="2"/>
        </w:numPr>
        <w:rPr>
          <w:b/>
          <w:u w:val="single"/>
        </w:rPr>
      </w:pPr>
      <w:r w:rsidRPr="002D41FE">
        <w:rPr>
          <w:b/>
          <w:u w:val="single"/>
        </w:rPr>
        <w:t xml:space="preserve">Efforts to Identify Duplication </w:t>
      </w:r>
    </w:p>
    <w:p w:rsidRPr="002D41FE" w:rsidR="00AF7585" w:rsidP="00793425" w:rsidRDefault="00AF7585" w14:paraId="0D3FD5C8" w14:textId="77777777"/>
    <w:p w:rsidRPr="008854A1" w:rsidR="00AF053F" w:rsidP="00793425" w:rsidRDefault="00685039" w14:paraId="79A6A200" w14:textId="5E0147B9">
      <w:r w:rsidRPr="008854A1">
        <w:t xml:space="preserve">BJS </w:t>
      </w:r>
      <w:r w:rsidRPr="008854A1" w:rsidR="00AF7585">
        <w:t>has determined that</w:t>
      </w:r>
      <w:r w:rsidRPr="008854A1" w:rsidR="00AF053F">
        <w:t>, by in large,</w:t>
      </w:r>
      <w:r w:rsidRPr="008854A1" w:rsidR="00AF7585">
        <w:t xml:space="preserve"> </w:t>
      </w:r>
      <w:r w:rsidRPr="008854A1" w:rsidR="00584C6A">
        <w:t xml:space="preserve">the </w:t>
      </w:r>
      <w:r w:rsidRPr="008854A1" w:rsidR="002D41FE">
        <w:t>2020 CPFFCL</w:t>
      </w:r>
      <w:r w:rsidRPr="008854A1" w:rsidR="00584C6A">
        <w:t xml:space="preserve"> </w:t>
      </w:r>
      <w:r w:rsidRPr="008854A1" w:rsidR="00B81A6B">
        <w:t xml:space="preserve">does not </w:t>
      </w:r>
      <w:r w:rsidRPr="008854A1" w:rsidR="00584C6A">
        <w:t>include</w:t>
      </w:r>
      <w:r w:rsidRPr="008854A1" w:rsidR="00EB144D">
        <w:t xml:space="preserve"> measures </w:t>
      </w:r>
      <w:r w:rsidRPr="008854A1" w:rsidR="00470BBE">
        <w:t xml:space="preserve">found </w:t>
      </w:r>
      <w:r w:rsidRPr="008854A1" w:rsidR="00EB144D">
        <w:t>in</w:t>
      </w:r>
      <w:r w:rsidRPr="008854A1" w:rsidR="00584C6A">
        <w:t xml:space="preserve"> </w:t>
      </w:r>
      <w:r w:rsidRPr="008854A1" w:rsidR="004A70AC">
        <w:t>survey</w:t>
      </w:r>
      <w:r w:rsidRPr="008854A1" w:rsidR="003E68F0">
        <w:t>s</w:t>
      </w:r>
      <w:r w:rsidRPr="008854A1" w:rsidR="004A70AC">
        <w:t xml:space="preserve"> </w:t>
      </w:r>
      <w:r w:rsidRPr="008854A1" w:rsidR="00B81A6B">
        <w:t xml:space="preserve">conducted </w:t>
      </w:r>
      <w:r w:rsidRPr="008854A1" w:rsidR="004A70AC">
        <w:t xml:space="preserve">by </w:t>
      </w:r>
      <w:r w:rsidRPr="008854A1" w:rsidR="00B81A6B">
        <w:t xml:space="preserve">any </w:t>
      </w:r>
      <w:r w:rsidRPr="008854A1" w:rsidR="004A70AC">
        <w:t>other Federal agencies</w:t>
      </w:r>
      <w:r w:rsidRPr="008854A1" w:rsidR="007E1256">
        <w:t xml:space="preserve">. </w:t>
      </w:r>
    </w:p>
    <w:p w:rsidRPr="008854A1" w:rsidR="00AF053F" w:rsidP="00793425" w:rsidRDefault="00AF053F" w14:paraId="439BD5E1" w14:textId="77777777"/>
    <w:p w:rsidR="008854A1" w:rsidP="00793425" w:rsidRDefault="00FE3AD7" w14:paraId="2E05CF57" w14:textId="3C930FC9">
      <w:pPr>
        <w:pStyle w:val="Default"/>
        <w:rPr>
          <w:rFonts w:ascii="Times New Roman" w:hAnsi="Times New Roman" w:cs="Times New Roman"/>
          <w:color w:val="auto"/>
        </w:rPr>
      </w:pPr>
      <w:r w:rsidRPr="008854A1">
        <w:rPr>
          <w:rFonts w:ascii="Times New Roman" w:hAnsi="Times New Roman" w:cs="Times New Roman"/>
          <w:color w:val="auto"/>
        </w:rPr>
        <w:lastRenderedPageBreak/>
        <w:t xml:space="preserve">The only </w:t>
      </w:r>
      <w:r w:rsidRPr="008854A1" w:rsidR="002D41FE">
        <w:rPr>
          <w:rFonts w:ascii="Times New Roman" w:hAnsi="Times New Roman" w:cs="Times New Roman"/>
          <w:color w:val="auto"/>
        </w:rPr>
        <w:t xml:space="preserve">federal surveys that target the crime laboratory community are the </w:t>
      </w:r>
      <w:r w:rsidRPr="008854A1" w:rsidR="00C64492">
        <w:rPr>
          <w:rFonts w:ascii="Times New Roman" w:hAnsi="Times New Roman" w:cs="Times New Roman"/>
          <w:color w:val="auto"/>
        </w:rPr>
        <w:t>Drug Enforcement Administration</w:t>
      </w:r>
      <w:r w:rsidRPr="008854A1" w:rsidR="00044847">
        <w:rPr>
          <w:rFonts w:ascii="Times New Roman" w:hAnsi="Times New Roman" w:cs="Times New Roman"/>
          <w:color w:val="auto"/>
        </w:rPr>
        <w:t xml:space="preserve">’s </w:t>
      </w:r>
      <w:r w:rsidRPr="008854A1" w:rsidR="002D41FE">
        <w:rPr>
          <w:rFonts w:ascii="Times New Roman" w:hAnsi="Times New Roman" w:cs="Times New Roman"/>
          <w:color w:val="auto"/>
        </w:rPr>
        <w:t>two</w:t>
      </w:r>
      <w:r w:rsidRPr="008854A1" w:rsidR="00C64492">
        <w:rPr>
          <w:rFonts w:ascii="Times New Roman" w:hAnsi="Times New Roman" w:cs="Times New Roman"/>
          <w:color w:val="auto"/>
        </w:rPr>
        <w:t xml:space="preserve"> National Forensic Laboratory Information System (NFLIS) survey</w:t>
      </w:r>
      <w:r w:rsidRPr="008854A1" w:rsidR="002D41FE">
        <w:rPr>
          <w:rFonts w:ascii="Times New Roman" w:hAnsi="Times New Roman" w:cs="Times New Roman"/>
          <w:color w:val="auto"/>
        </w:rPr>
        <w:t>s</w:t>
      </w:r>
      <w:r w:rsidRPr="008854A1" w:rsidR="008854A1">
        <w:rPr>
          <w:rFonts w:ascii="Times New Roman" w:hAnsi="Times New Roman" w:cs="Times New Roman"/>
          <w:color w:val="auto"/>
        </w:rPr>
        <w:t xml:space="preserve"> (OMB </w:t>
      </w:r>
      <w:r w:rsidR="00D57FD0">
        <w:rPr>
          <w:rFonts w:ascii="Times New Roman" w:hAnsi="Times New Roman" w:cs="Times New Roman"/>
          <w:color w:val="auto"/>
        </w:rPr>
        <w:t xml:space="preserve">Control No. </w:t>
      </w:r>
      <w:r w:rsidRPr="008854A1" w:rsidR="008854A1">
        <w:rPr>
          <w:rFonts w:ascii="Times New Roman" w:hAnsi="Times New Roman" w:cs="Times New Roman"/>
          <w:color w:val="auto"/>
        </w:rPr>
        <w:t>1117-0034)</w:t>
      </w:r>
      <w:r w:rsidRPr="008854A1" w:rsidR="00C46E13">
        <w:rPr>
          <w:rFonts w:ascii="Times New Roman" w:hAnsi="Times New Roman" w:cs="Times New Roman"/>
          <w:color w:val="auto"/>
        </w:rPr>
        <w:t xml:space="preserve">, which </w:t>
      </w:r>
      <w:r w:rsidRPr="008854A1" w:rsidR="002D41FE">
        <w:rPr>
          <w:rFonts w:ascii="Times New Roman" w:hAnsi="Times New Roman" w:cs="Times New Roman"/>
          <w:color w:val="auto"/>
        </w:rPr>
        <w:t>are</w:t>
      </w:r>
      <w:r w:rsidRPr="008854A1" w:rsidR="00C46E13">
        <w:rPr>
          <w:rFonts w:ascii="Times New Roman" w:hAnsi="Times New Roman" w:cs="Times New Roman"/>
          <w:color w:val="auto"/>
        </w:rPr>
        <w:t xml:space="preserve"> primarily focused on obtaining </w:t>
      </w:r>
      <w:r w:rsidRPr="008854A1" w:rsidR="002D41FE">
        <w:rPr>
          <w:rFonts w:ascii="Times New Roman" w:hAnsi="Times New Roman" w:cs="Times New Roman"/>
          <w:color w:val="auto"/>
        </w:rPr>
        <w:t>testing</w:t>
      </w:r>
      <w:r w:rsidRPr="008854A1" w:rsidR="00C46E13">
        <w:rPr>
          <w:rFonts w:ascii="Times New Roman" w:hAnsi="Times New Roman" w:cs="Times New Roman"/>
          <w:color w:val="auto"/>
        </w:rPr>
        <w:t xml:space="preserve"> policies and requesting practices</w:t>
      </w:r>
      <w:r w:rsidRPr="008854A1" w:rsidR="00174621">
        <w:rPr>
          <w:rFonts w:ascii="Times New Roman" w:hAnsi="Times New Roman" w:cs="Times New Roman"/>
          <w:color w:val="auto"/>
        </w:rPr>
        <w:t xml:space="preserve"> from</w:t>
      </w:r>
      <w:r w:rsidRPr="008854A1" w:rsidR="002D41FE">
        <w:rPr>
          <w:rFonts w:ascii="Times New Roman" w:hAnsi="Times New Roman" w:cs="Times New Roman"/>
          <w:color w:val="auto"/>
        </w:rPr>
        <w:t xml:space="preserve"> public</w:t>
      </w:r>
      <w:r w:rsidRPr="008854A1" w:rsidR="00174621">
        <w:rPr>
          <w:rFonts w:ascii="Times New Roman" w:hAnsi="Times New Roman" w:cs="Times New Roman"/>
          <w:color w:val="auto"/>
        </w:rPr>
        <w:t xml:space="preserve"> </w:t>
      </w:r>
      <w:r w:rsidRPr="008854A1" w:rsidR="002D41FE">
        <w:rPr>
          <w:rFonts w:ascii="Times New Roman" w:hAnsi="Times New Roman" w:cs="Times New Roman"/>
          <w:color w:val="auto"/>
        </w:rPr>
        <w:t>laboratories with drug chemistry sections (NFLIS-Drug) and public and</w:t>
      </w:r>
      <w:r w:rsidRPr="008854A1" w:rsidR="00174621">
        <w:rPr>
          <w:rFonts w:ascii="Times New Roman" w:hAnsi="Times New Roman" w:cs="Times New Roman"/>
          <w:color w:val="auto"/>
        </w:rPr>
        <w:t xml:space="preserve"> </w:t>
      </w:r>
      <w:r w:rsidRPr="008854A1" w:rsidR="002D41FE">
        <w:rPr>
          <w:rFonts w:ascii="Times New Roman" w:hAnsi="Times New Roman" w:cs="Times New Roman"/>
          <w:color w:val="auto"/>
        </w:rPr>
        <w:t xml:space="preserve">private toxicology laboratories (NFLIS-Tox) </w:t>
      </w:r>
      <w:r w:rsidRPr="008854A1" w:rsidR="00174621">
        <w:rPr>
          <w:rFonts w:ascii="Times New Roman" w:hAnsi="Times New Roman" w:cs="Times New Roman"/>
          <w:color w:val="auto"/>
        </w:rPr>
        <w:t>nationwi</w:t>
      </w:r>
      <w:r w:rsidRPr="008854A1" w:rsidR="00524953">
        <w:rPr>
          <w:rFonts w:ascii="Times New Roman" w:hAnsi="Times New Roman" w:cs="Times New Roman"/>
          <w:color w:val="auto"/>
        </w:rPr>
        <w:t>d</w:t>
      </w:r>
      <w:r w:rsidRPr="008854A1" w:rsidR="00174621">
        <w:rPr>
          <w:rFonts w:ascii="Times New Roman" w:hAnsi="Times New Roman" w:cs="Times New Roman"/>
          <w:color w:val="auto"/>
        </w:rPr>
        <w:t>e</w:t>
      </w:r>
      <w:r w:rsidRPr="008854A1" w:rsidR="00C64492">
        <w:rPr>
          <w:rFonts w:ascii="Times New Roman" w:hAnsi="Times New Roman" w:cs="Times New Roman"/>
          <w:color w:val="auto"/>
        </w:rPr>
        <w:t>.</w:t>
      </w:r>
      <w:r w:rsidRPr="008854A1" w:rsidR="00A610C2">
        <w:rPr>
          <w:rFonts w:ascii="Times New Roman" w:hAnsi="Times New Roman" w:cs="Times New Roman"/>
          <w:color w:val="auto"/>
        </w:rPr>
        <w:t xml:space="preserve"> </w:t>
      </w:r>
    </w:p>
    <w:p w:rsidR="008854A1" w:rsidP="00793425" w:rsidRDefault="008854A1" w14:paraId="2920FF02" w14:textId="77777777">
      <w:pPr>
        <w:pStyle w:val="Default"/>
        <w:rPr>
          <w:rFonts w:ascii="Times New Roman" w:hAnsi="Times New Roman" w:cs="Times New Roman"/>
          <w:color w:val="auto"/>
        </w:rPr>
      </w:pPr>
    </w:p>
    <w:p w:rsidR="00696184" w:rsidP="00793425" w:rsidRDefault="008854A1" w14:paraId="3D93E9FE" w14:textId="70D15C45">
      <w:pPr>
        <w:pStyle w:val="Default"/>
        <w:rPr>
          <w:rFonts w:ascii="Times New Roman" w:hAnsi="Times New Roman" w:cs="Times New Roman"/>
          <w:color w:val="auto"/>
        </w:rPr>
      </w:pPr>
      <w:r>
        <w:rPr>
          <w:rFonts w:ascii="Times New Roman" w:hAnsi="Times New Roman" w:cs="Times New Roman"/>
          <w:color w:val="auto"/>
        </w:rPr>
        <w:t>DEA lasted administered the N</w:t>
      </w:r>
      <w:r w:rsidRPr="008854A1">
        <w:rPr>
          <w:rFonts w:ascii="Times New Roman" w:hAnsi="Times New Roman" w:cs="Times New Roman"/>
          <w:color w:val="auto"/>
        </w:rPr>
        <w:t>FLIS-Drug Survey of Crime</w:t>
      </w:r>
      <w:r>
        <w:rPr>
          <w:rFonts w:ascii="Times New Roman" w:hAnsi="Times New Roman" w:cs="Times New Roman"/>
          <w:color w:val="auto"/>
        </w:rPr>
        <w:t xml:space="preserve"> </w:t>
      </w:r>
      <w:r w:rsidRPr="008854A1">
        <w:rPr>
          <w:rFonts w:ascii="Times New Roman" w:hAnsi="Times New Roman" w:cs="Times New Roman"/>
          <w:color w:val="auto"/>
        </w:rPr>
        <w:t>Laboratory Drug Chemistry</w:t>
      </w:r>
      <w:r>
        <w:rPr>
          <w:rFonts w:ascii="Times New Roman" w:hAnsi="Times New Roman" w:cs="Times New Roman"/>
          <w:color w:val="auto"/>
        </w:rPr>
        <w:t xml:space="preserve"> </w:t>
      </w:r>
      <w:r w:rsidRPr="008854A1">
        <w:rPr>
          <w:rFonts w:ascii="Times New Roman" w:hAnsi="Times New Roman" w:cs="Times New Roman"/>
          <w:color w:val="auto"/>
        </w:rPr>
        <w:t>Sections</w:t>
      </w:r>
      <w:r>
        <w:rPr>
          <w:rFonts w:ascii="Times New Roman" w:hAnsi="Times New Roman" w:cs="Times New Roman"/>
          <w:color w:val="auto"/>
        </w:rPr>
        <w:t xml:space="preserve"> in 2019 and yielded a response rate of 94% (see </w:t>
      </w:r>
      <w:hyperlink w:history="1" r:id="rId13">
        <w:r w:rsidRPr="008854A1">
          <w:rPr>
            <w:rStyle w:val="Hyperlink"/>
            <w:rFonts w:ascii="Times New Roman" w:hAnsi="Times New Roman"/>
          </w:rPr>
          <w:t>report here</w:t>
        </w:r>
      </w:hyperlink>
      <w:r>
        <w:rPr>
          <w:rFonts w:ascii="Times New Roman" w:hAnsi="Times New Roman" w:cs="Times New Roman"/>
          <w:color w:val="auto"/>
        </w:rPr>
        <w:t xml:space="preserve">). </w:t>
      </w:r>
      <w:r w:rsidRPr="008854A1" w:rsidR="00C64492">
        <w:rPr>
          <w:rFonts w:ascii="Times New Roman" w:hAnsi="Times New Roman" w:cs="Times New Roman"/>
          <w:color w:val="auto"/>
        </w:rPr>
        <w:t xml:space="preserve">The </w:t>
      </w:r>
      <w:r w:rsidRPr="008854A1" w:rsidR="00C46E13">
        <w:rPr>
          <w:rFonts w:ascii="Times New Roman" w:hAnsi="Times New Roman" w:cs="Times New Roman"/>
          <w:color w:val="auto"/>
        </w:rPr>
        <w:t>only</w:t>
      </w:r>
      <w:r w:rsidRPr="008854A1" w:rsidR="00C64492">
        <w:rPr>
          <w:rFonts w:ascii="Times New Roman" w:hAnsi="Times New Roman" w:cs="Times New Roman"/>
          <w:color w:val="auto"/>
        </w:rPr>
        <w:t xml:space="preserve"> topics covered in t</w:t>
      </w:r>
      <w:r w:rsidRPr="008854A1" w:rsidR="003A339A">
        <w:rPr>
          <w:rFonts w:ascii="Times New Roman" w:hAnsi="Times New Roman" w:cs="Times New Roman"/>
          <w:color w:val="auto"/>
        </w:rPr>
        <w:t xml:space="preserve">he </w:t>
      </w:r>
      <w:r>
        <w:rPr>
          <w:rFonts w:ascii="Times New Roman" w:hAnsi="Times New Roman" w:cs="Times New Roman"/>
          <w:color w:val="auto"/>
        </w:rPr>
        <w:t>201</w:t>
      </w:r>
      <w:r w:rsidR="00696184">
        <w:rPr>
          <w:rFonts w:ascii="Times New Roman" w:hAnsi="Times New Roman" w:cs="Times New Roman"/>
          <w:color w:val="auto"/>
        </w:rPr>
        <w:t>9</w:t>
      </w:r>
      <w:r>
        <w:rPr>
          <w:rFonts w:ascii="Times New Roman" w:hAnsi="Times New Roman" w:cs="Times New Roman"/>
          <w:color w:val="auto"/>
        </w:rPr>
        <w:t xml:space="preserve"> </w:t>
      </w:r>
      <w:r w:rsidRPr="008854A1" w:rsidR="003A339A">
        <w:rPr>
          <w:rFonts w:ascii="Times New Roman" w:hAnsi="Times New Roman" w:cs="Times New Roman"/>
          <w:color w:val="auto"/>
        </w:rPr>
        <w:t>NFLIS</w:t>
      </w:r>
      <w:r>
        <w:rPr>
          <w:rFonts w:ascii="Times New Roman" w:hAnsi="Times New Roman" w:cs="Times New Roman"/>
          <w:color w:val="auto"/>
        </w:rPr>
        <w:t>-Drug</w:t>
      </w:r>
      <w:r w:rsidRPr="008854A1" w:rsidR="003A339A">
        <w:rPr>
          <w:rFonts w:ascii="Times New Roman" w:hAnsi="Times New Roman" w:cs="Times New Roman"/>
          <w:color w:val="auto"/>
        </w:rPr>
        <w:t xml:space="preserve"> </w:t>
      </w:r>
      <w:r w:rsidRPr="008854A1" w:rsidR="00C64492">
        <w:rPr>
          <w:rFonts w:ascii="Times New Roman" w:hAnsi="Times New Roman" w:cs="Times New Roman"/>
          <w:color w:val="auto"/>
        </w:rPr>
        <w:t xml:space="preserve">data collection </w:t>
      </w:r>
      <w:r w:rsidRPr="008854A1" w:rsidR="003A339A">
        <w:rPr>
          <w:rFonts w:ascii="Times New Roman" w:hAnsi="Times New Roman" w:cs="Times New Roman"/>
          <w:color w:val="auto"/>
        </w:rPr>
        <w:t xml:space="preserve">effort </w:t>
      </w:r>
      <w:r w:rsidRPr="008854A1" w:rsidR="00AF053F">
        <w:rPr>
          <w:rFonts w:ascii="Times New Roman" w:hAnsi="Times New Roman" w:cs="Times New Roman"/>
          <w:color w:val="auto"/>
        </w:rPr>
        <w:t>th</w:t>
      </w:r>
      <w:r w:rsidRPr="008854A1" w:rsidR="00C46E13">
        <w:rPr>
          <w:rFonts w:ascii="Times New Roman" w:hAnsi="Times New Roman" w:cs="Times New Roman"/>
          <w:color w:val="auto"/>
        </w:rPr>
        <w:t>at</w:t>
      </w:r>
      <w:r w:rsidRPr="008854A1" w:rsidR="00AF053F">
        <w:rPr>
          <w:rFonts w:ascii="Times New Roman" w:hAnsi="Times New Roman" w:cs="Times New Roman"/>
          <w:color w:val="auto"/>
        </w:rPr>
        <w:t xml:space="preserve"> overlap with the </w:t>
      </w:r>
      <w:r>
        <w:rPr>
          <w:rFonts w:ascii="Times New Roman" w:hAnsi="Times New Roman" w:cs="Times New Roman"/>
          <w:color w:val="auto"/>
        </w:rPr>
        <w:t>2020 CPFFCL</w:t>
      </w:r>
      <w:r w:rsidRPr="008854A1" w:rsidR="00AF053F">
        <w:rPr>
          <w:rFonts w:ascii="Times New Roman" w:hAnsi="Times New Roman" w:cs="Times New Roman"/>
          <w:color w:val="auto"/>
        </w:rPr>
        <w:t xml:space="preserve"> </w:t>
      </w:r>
      <w:r w:rsidR="00D57FD0">
        <w:rPr>
          <w:rFonts w:ascii="Times New Roman" w:hAnsi="Times New Roman" w:cs="Times New Roman"/>
          <w:color w:val="auto"/>
        </w:rPr>
        <w:t>are</w:t>
      </w:r>
      <w:r>
        <w:rPr>
          <w:rFonts w:ascii="Times New Roman" w:hAnsi="Times New Roman" w:cs="Times New Roman"/>
          <w:color w:val="auto"/>
        </w:rPr>
        <w:t>:</w:t>
      </w:r>
      <w:r w:rsidRPr="008854A1" w:rsidR="00C64492">
        <w:rPr>
          <w:rFonts w:ascii="Times New Roman" w:hAnsi="Times New Roman" w:cs="Times New Roman"/>
          <w:color w:val="auto"/>
        </w:rPr>
        <w:t xml:space="preserve"> </w:t>
      </w:r>
    </w:p>
    <w:p w:rsidR="00696184" w:rsidP="00793425" w:rsidRDefault="00696184" w14:paraId="2E219390" w14:textId="77777777">
      <w:pPr>
        <w:pStyle w:val="Default"/>
        <w:rPr>
          <w:rFonts w:ascii="Times New Roman" w:hAnsi="Times New Roman" w:cs="Times New Roman"/>
          <w:color w:val="auto"/>
        </w:rPr>
      </w:pPr>
    </w:p>
    <w:p w:rsidR="00696184" w:rsidP="00793425" w:rsidRDefault="00C64492" w14:paraId="06222F63" w14:textId="59AB01F9">
      <w:pPr>
        <w:pStyle w:val="Default"/>
        <w:numPr>
          <w:ilvl w:val="0"/>
          <w:numId w:val="10"/>
        </w:numPr>
        <w:rPr>
          <w:rFonts w:ascii="Times New Roman" w:hAnsi="Times New Roman" w:cs="Times New Roman"/>
          <w:color w:val="auto"/>
        </w:rPr>
      </w:pPr>
      <w:r w:rsidRPr="008854A1">
        <w:rPr>
          <w:rFonts w:ascii="Times New Roman" w:hAnsi="Times New Roman" w:cs="Times New Roman"/>
          <w:color w:val="auto"/>
        </w:rPr>
        <w:t xml:space="preserve">basic administrative information (e.g., name of </w:t>
      </w:r>
      <w:r w:rsidRPr="008854A1" w:rsidR="00A610C2">
        <w:rPr>
          <w:rFonts w:ascii="Times New Roman" w:hAnsi="Times New Roman" w:cs="Times New Roman"/>
          <w:color w:val="auto"/>
        </w:rPr>
        <w:t>laboratory</w:t>
      </w:r>
      <w:r w:rsidR="008854A1">
        <w:rPr>
          <w:rFonts w:ascii="Times New Roman" w:hAnsi="Times New Roman" w:cs="Times New Roman"/>
          <w:color w:val="auto"/>
        </w:rPr>
        <w:t>,</w:t>
      </w:r>
      <w:r w:rsidRPr="008854A1" w:rsidR="008854A1">
        <w:t xml:space="preserve"> </w:t>
      </w:r>
      <w:r w:rsidRPr="008854A1" w:rsidR="008854A1">
        <w:rPr>
          <w:rFonts w:ascii="Times New Roman" w:hAnsi="Times New Roman" w:cs="Times New Roman"/>
          <w:color w:val="auto"/>
        </w:rPr>
        <w:t>level of government under which the laboratory operates</w:t>
      </w:r>
      <w:r w:rsidRPr="008854A1">
        <w:rPr>
          <w:rFonts w:ascii="Times New Roman" w:hAnsi="Times New Roman" w:cs="Times New Roman"/>
          <w:color w:val="auto"/>
        </w:rPr>
        <w:t>)</w:t>
      </w:r>
      <w:r w:rsidR="008854A1">
        <w:rPr>
          <w:rFonts w:ascii="Times New Roman" w:hAnsi="Times New Roman" w:cs="Times New Roman"/>
          <w:color w:val="auto"/>
        </w:rPr>
        <w:t>;</w:t>
      </w:r>
      <w:r w:rsidRPr="008854A1">
        <w:rPr>
          <w:rFonts w:ascii="Times New Roman" w:hAnsi="Times New Roman" w:cs="Times New Roman"/>
          <w:color w:val="auto"/>
        </w:rPr>
        <w:t xml:space="preserve"> </w:t>
      </w:r>
    </w:p>
    <w:p w:rsidR="00696184" w:rsidP="00793425" w:rsidRDefault="008854A1" w14:paraId="27C251F2" w14:textId="64CE6AE8">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the </w:t>
      </w:r>
      <w:r w:rsidRPr="008854A1" w:rsidR="00C64492">
        <w:rPr>
          <w:rFonts w:ascii="Times New Roman" w:hAnsi="Times New Roman" w:cs="Times New Roman"/>
          <w:color w:val="auto"/>
        </w:rPr>
        <w:t>caseload</w:t>
      </w:r>
      <w:r>
        <w:rPr>
          <w:rFonts w:ascii="Times New Roman" w:hAnsi="Times New Roman" w:cs="Times New Roman"/>
          <w:color w:val="auto"/>
        </w:rPr>
        <w:t xml:space="preserve"> and the number of items for the drug chemistry section; </w:t>
      </w:r>
    </w:p>
    <w:p w:rsidR="00696184" w:rsidP="00793425" w:rsidRDefault="008854A1" w14:paraId="19FE9332" w14:textId="7777777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the number of backlogged drug chemistry cases; </w:t>
      </w:r>
    </w:p>
    <w:p w:rsidR="00696184" w:rsidP="00793425" w:rsidRDefault="00696184" w14:paraId="7CE11271" w14:textId="791C37B3">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outsourcing </w:t>
      </w:r>
      <w:r w:rsidR="00D457A2">
        <w:rPr>
          <w:rFonts w:ascii="Times New Roman" w:hAnsi="Times New Roman" w:cs="Times New Roman"/>
          <w:color w:val="auto"/>
        </w:rPr>
        <w:t xml:space="preserve">needs </w:t>
      </w:r>
      <w:r>
        <w:rPr>
          <w:rFonts w:ascii="Times New Roman" w:hAnsi="Times New Roman" w:cs="Times New Roman"/>
          <w:color w:val="auto"/>
        </w:rPr>
        <w:t xml:space="preserve">for </w:t>
      </w:r>
      <w:r w:rsidR="00D457A2">
        <w:rPr>
          <w:rFonts w:ascii="Times New Roman" w:hAnsi="Times New Roman" w:cs="Times New Roman"/>
          <w:color w:val="auto"/>
        </w:rPr>
        <w:t xml:space="preserve">the </w:t>
      </w:r>
      <w:r>
        <w:rPr>
          <w:rFonts w:ascii="Times New Roman" w:hAnsi="Times New Roman" w:cs="Times New Roman"/>
          <w:color w:val="auto"/>
        </w:rPr>
        <w:t xml:space="preserve">drug chemistry caseload; and </w:t>
      </w:r>
    </w:p>
    <w:p w:rsidR="00696184" w:rsidP="00793425" w:rsidRDefault="008854A1" w14:paraId="082D09EC" w14:textId="77777777">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whether the laboratory had an </w:t>
      </w:r>
      <w:r w:rsidRPr="008854A1" w:rsidR="00044847">
        <w:rPr>
          <w:rFonts w:ascii="Times New Roman" w:hAnsi="Times New Roman" w:cs="Times New Roman"/>
          <w:color w:val="auto"/>
        </w:rPr>
        <w:t>information management system</w:t>
      </w:r>
      <w:r w:rsidR="00696184">
        <w:rPr>
          <w:rFonts w:ascii="Times New Roman" w:hAnsi="Times New Roman" w:cs="Times New Roman"/>
          <w:color w:val="auto"/>
        </w:rPr>
        <w:t xml:space="preserve">. </w:t>
      </w:r>
    </w:p>
    <w:p w:rsidR="00696184" w:rsidP="00793425" w:rsidRDefault="00696184" w14:paraId="017F36DE" w14:textId="77777777">
      <w:pPr>
        <w:pStyle w:val="Default"/>
        <w:rPr>
          <w:rFonts w:ascii="Times New Roman" w:hAnsi="Times New Roman" w:cs="Times New Roman"/>
          <w:color w:val="auto"/>
        </w:rPr>
      </w:pPr>
    </w:p>
    <w:p w:rsidR="00696184" w:rsidP="00793425" w:rsidRDefault="00696184" w14:paraId="13C56797" w14:textId="2ACDC37F">
      <w:pPr>
        <w:pStyle w:val="Default"/>
        <w:rPr>
          <w:rFonts w:ascii="Times New Roman" w:hAnsi="Times New Roman" w:cs="Times New Roman"/>
          <w:color w:val="auto"/>
        </w:rPr>
      </w:pPr>
      <w:r>
        <w:rPr>
          <w:rFonts w:ascii="Times New Roman" w:hAnsi="Times New Roman" w:cs="Times New Roman"/>
          <w:color w:val="auto"/>
        </w:rPr>
        <w:t xml:space="preserve">The rest of the 2019 NFLIS-Drug survey included </w:t>
      </w:r>
      <w:r w:rsidR="00541C32">
        <w:rPr>
          <w:rFonts w:ascii="Times New Roman" w:hAnsi="Times New Roman" w:cs="Times New Roman"/>
          <w:color w:val="auto"/>
        </w:rPr>
        <w:t xml:space="preserve">questions about </w:t>
      </w:r>
      <w:r>
        <w:rPr>
          <w:rFonts w:ascii="Times New Roman" w:hAnsi="Times New Roman" w:cs="Times New Roman"/>
          <w:color w:val="auto"/>
        </w:rPr>
        <w:t xml:space="preserve">laboratory drug chemistry polices and technical procedures, how laboratories are </w:t>
      </w:r>
      <w:r w:rsidR="00D457A2">
        <w:rPr>
          <w:rFonts w:ascii="Times New Roman" w:hAnsi="Times New Roman" w:cs="Times New Roman"/>
          <w:color w:val="auto"/>
        </w:rPr>
        <w:t>identifying new</w:t>
      </w:r>
      <w:r>
        <w:rPr>
          <w:rFonts w:ascii="Times New Roman" w:hAnsi="Times New Roman" w:cs="Times New Roman"/>
          <w:color w:val="auto"/>
        </w:rPr>
        <w:t xml:space="preserve"> and emerging drugs, and opinions regarding NFLIS activities. Notably, the NFLIS-Drug survey included the 2019 reference year, while the CPFFCL will use the 2020 reference year. </w:t>
      </w:r>
    </w:p>
    <w:p w:rsidR="00696184" w:rsidP="00793425" w:rsidRDefault="00696184" w14:paraId="50843C28" w14:textId="77777777">
      <w:pPr>
        <w:pStyle w:val="Default"/>
        <w:rPr>
          <w:rFonts w:ascii="Times New Roman" w:hAnsi="Times New Roman" w:cs="Times New Roman"/>
          <w:color w:val="auto"/>
        </w:rPr>
      </w:pPr>
    </w:p>
    <w:p w:rsidRPr="008854A1" w:rsidR="00C64492" w:rsidP="00793425" w:rsidRDefault="00696184" w14:paraId="034E26D7" w14:textId="2EE0CC77">
      <w:pPr>
        <w:pStyle w:val="Default"/>
        <w:rPr>
          <w:rFonts w:ascii="Times New Roman" w:hAnsi="Times New Roman" w:cs="Times New Roman"/>
          <w:color w:val="auto"/>
        </w:rPr>
      </w:pPr>
      <w:r>
        <w:rPr>
          <w:rFonts w:ascii="Times New Roman" w:hAnsi="Times New Roman" w:cs="Times New Roman"/>
          <w:color w:val="auto"/>
        </w:rPr>
        <w:t>Moreover, the frame for the 2020 CPFFCL includes all 500 publicly funded crime laboratories while the 2019 NFLIS-Drug survey included the 30</w:t>
      </w:r>
      <w:r w:rsidR="003F776A">
        <w:rPr>
          <w:rFonts w:ascii="Times New Roman" w:hAnsi="Times New Roman" w:cs="Times New Roman"/>
          <w:color w:val="auto"/>
        </w:rPr>
        <w:t>1</w:t>
      </w:r>
      <w:r>
        <w:rPr>
          <w:rFonts w:ascii="Times New Roman" w:hAnsi="Times New Roman" w:cs="Times New Roman"/>
          <w:color w:val="auto"/>
        </w:rPr>
        <w:t xml:space="preserve"> publicly funded crime laboratories and laboratory systems with drug chemistry sections. </w:t>
      </w:r>
      <w:r w:rsidRPr="00696184">
        <w:rPr>
          <w:rFonts w:ascii="Times New Roman" w:hAnsi="Times New Roman" w:cs="Times New Roman"/>
          <w:color w:val="auto"/>
        </w:rPr>
        <w:t xml:space="preserve">For </w:t>
      </w:r>
      <w:r w:rsidR="00E813BF">
        <w:rPr>
          <w:rFonts w:ascii="Times New Roman" w:hAnsi="Times New Roman" w:cs="Times New Roman"/>
          <w:color w:val="auto"/>
        </w:rPr>
        <w:t>state</w:t>
      </w:r>
      <w:r w:rsidRPr="00696184" w:rsidR="00E813BF">
        <w:rPr>
          <w:rFonts w:ascii="Times New Roman" w:hAnsi="Times New Roman" w:cs="Times New Roman"/>
          <w:color w:val="auto"/>
        </w:rPr>
        <w:t xml:space="preserve"> </w:t>
      </w:r>
      <w:r w:rsidRPr="00696184">
        <w:rPr>
          <w:rFonts w:ascii="Times New Roman" w:hAnsi="Times New Roman" w:cs="Times New Roman"/>
          <w:color w:val="auto"/>
        </w:rPr>
        <w:t xml:space="preserve">and local </w:t>
      </w:r>
      <w:r w:rsidR="00D457A2">
        <w:rPr>
          <w:rFonts w:ascii="Times New Roman" w:hAnsi="Times New Roman" w:cs="Times New Roman"/>
          <w:color w:val="auto"/>
        </w:rPr>
        <w:t xml:space="preserve">laboratory </w:t>
      </w:r>
      <w:r w:rsidRPr="00696184">
        <w:rPr>
          <w:rFonts w:ascii="Times New Roman" w:hAnsi="Times New Roman" w:cs="Times New Roman"/>
          <w:color w:val="auto"/>
        </w:rPr>
        <w:t xml:space="preserve">systems, </w:t>
      </w:r>
      <w:r>
        <w:rPr>
          <w:rFonts w:ascii="Times New Roman" w:hAnsi="Times New Roman" w:cs="Times New Roman"/>
          <w:color w:val="auto"/>
        </w:rPr>
        <w:t xml:space="preserve">NFLIS-Drug </w:t>
      </w:r>
      <w:r w:rsidRPr="00696184">
        <w:rPr>
          <w:rFonts w:ascii="Times New Roman" w:hAnsi="Times New Roman" w:cs="Times New Roman"/>
          <w:color w:val="auto"/>
        </w:rPr>
        <w:t xml:space="preserve">surveys were </w:t>
      </w:r>
      <w:r>
        <w:rPr>
          <w:rFonts w:ascii="Times New Roman" w:hAnsi="Times New Roman" w:cs="Times New Roman"/>
          <w:color w:val="auto"/>
        </w:rPr>
        <w:t xml:space="preserve">administered only </w:t>
      </w:r>
      <w:r w:rsidRPr="00696184">
        <w:rPr>
          <w:rFonts w:ascii="Times New Roman" w:hAnsi="Times New Roman" w:cs="Times New Roman"/>
          <w:color w:val="auto"/>
        </w:rPr>
        <w:t>to the</w:t>
      </w:r>
      <w:r>
        <w:rPr>
          <w:rFonts w:ascii="Times New Roman" w:hAnsi="Times New Roman" w:cs="Times New Roman"/>
          <w:color w:val="auto"/>
        </w:rPr>
        <w:t xml:space="preserve"> </w:t>
      </w:r>
      <w:r w:rsidRPr="00696184">
        <w:rPr>
          <w:rFonts w:ascii="Times New Roman" w:hAnsi="Times New Roman" w:cs="Times New Roman"/>
          <w:color w:val="auto"/>
        </w:rPr>
        <w:t>headquarters laboratory</w:t>
      </w:r>
      <w:r>
        <w:rPr>
          <w:rFonts w:ascii="Times New Roman" w:hAnsi="Times New Roman" w:cs="Times New Roman"/>
          <w:color w:val="auto"/>
        </w:rPr>
        <w:t xml:space="preserve">, which filled out </w:t>
      </w:r>
      <w:r w:rsidRPr="00696184">
        <w:rPr>
          <w:rFonts w:ascii="Times New Roman" w:hAnsi="Times New Roman" w:cs="Times New Roman"/>
          <w:color w:val="auto"/>
        </w:rPr>
        <w:t>the survey for all the laboratories in its system</w:t>
      </w:r>
      <w:r>
        <w:rPr>
          <w:rFonts w:ascii="Times New Roman" w:hAnsi="Times New Roman" w:cs="Times New Roman"/>
          <w:color w:val="auto"/>
        </w:rPr>
        <w:t>. Thus, there were 173 laboratories and laboratory systems that were identified for the NFLIS-Drug Survey. In contrast, the 2020 CPFFCL will be sent to all individual laboratories.</w:t>
      </w:r>
    </w:p>
    <w:p w:rsidR="002D41FE" w:rsidP="00793425" w:rsidRDefault="002D41FE" w14:paraId="7A29E631" w14:textId="3470E03C">
      <w:pPr>
        <w:rPr>
          <w:color w:val="FF0000"/>
        </w:rPr>
      </w:pPr>
    </w:p>
    <w:p w:rsidR="003F776A" w:rsidP="00793425" w:rsidRDefault="003F776A" w14:paraId="329145CE" w14:textId="3FBE0BDF">
      <w:r>
        <w:t xml:space="preserve">The forthcoming 2020 NFLIS-Tox survey also differs in terms of content and universe from the 2020 CPFFCL. The NFLIS-Tox 2020 survey includes measures that capture organizational </w:t>
      </w:r>
      <w:r w:rsidR="00672054">
        <w:t>characteristics (e.g., laboratory ownership type, laboratory system versus standalone laboratory)</w:t>
      </w:r>
      <w:r w:rsidR="00541C32">
        <w:t>,</w:t>
      </w:r>
      <w:r>
        <w:t xml:space="preserve"> toxicology caseload</w:t>
      </w:r>
      <w:r w:rsidR="00541C32">
        <w:t>,</w:t>
      </w:r>
      <w:r>
        <w:t xml:space="preserve"> toxicology testing practices</w:t>
      </w:r>
      <w:r w:rsidR="00541C32">
        <w:t>,</w:t>
      </w:r>
      <w:r>
        <w:t xml:space="preserve"> capability of the information management system to capture and report toxicology data</w:t>
      </w:r>
      <w:r w:rsidR="00541C32">
        <w:t>,</w:t>
      </w:r>
      <w:r>
        <w:t xml:space="preserve"> and resources needed for NFLIS participation. Thus, the overlap between the 2020 CPFFCL and the 2020 NFLIS-Tox survey is akin to the overlap described above for the 2019 NFLIS-Drug survey, including:</w:t>
      </w:r>
    </w:p>
    <w:p w:rsidR="003F776A" w:rsidP="00793425" w:rsidRDefault="003F776A" w14:paraId="0713A13E" w14:textId="77777777"/>
    <w:p w:rsidR="003F776A" w:rsidP="00793425" w:rsidRDefault="003F776A" w14:paraId="1465BB60" w14:textId="2B49A829">
      <w:pPr>
        <w:pStyle w:val="Default"/>
        <w:numPr>
          <w:ilvl w:val="0"/>
          <w:numId w:val="10"/>
        </w:numPr>
        <w:rPr>
          <w:rFonts w:ascii="Times New Roman" w:hAnsi="Times New Roman" w:cs="Times New Roman"/>
          <w:color w:val="auto"/>
        </w:rPr>
      </w:pPr>
      <w:r w:rsidRPr="008854A1">
        <w:rPr>
          <w:rFonts w:ascii="Times New Roman" w:hAnsi="Times New Roman" w:cs="Times New Roman"/>
          <w:color w:val="auto"/>
        </w:rPr>
        <w:t>basic administrative information (e.g., name of laboratory</w:t>
      </w:r>
      <w:r>
        <w:rPr>
          <w:rFonts w:ascii="Times New Roman" w:hAnsi="Times New Roman" w:cs="Times New Roman"/>
          <w:color w:val="auto"/>
        </w:rPr>
        <w:t>,</w:t>
      </w:r>
      <w:r w:rsidRPr="008854A1">
        <w:t xml:space="preserve"> </w:t>
      </w:r>
      <w:r w:rsidRPr="008854A1">
        <w:rPr>
          <w:rFonts w:ascii="Times New Roman" w:hAnsi="Times New Roman" w:cs="Times New Roman"/>
          <w:color w:val="auto"/>
        </w:rPr>
        <w:t>level of government under which the laboratory operates</w:t>
      </w:r>
      <w:r>
        <w:rPr>
          <w:rFonts w:ascii="Times New Roman" w:hAnsi="Times New Roman" w:cs="Times New Roman"/>
          <w:color w:val="auto"/>
        </w:rPr>
        <w:t>, but the NFLIS-Tox laboratory will also include private designations for laboratories</w:t>
      </w:r>
      <w:r w:rsidR="00D457A2">
        <w:rPr>
          <w:rFonts w:ascii="Times New Roman" w:hAnsi="Times New Roman" w:cs="Times New Roman"/>
          <w:color w:val="auto"/>
        </w:rPr>
        <w:t>)</w:t>
      </w:r>
      <w:r>
        <w:rPr>
          <w:rFonts w:ascii="Times New Roman" w:hAnsi="Times New Roman" w:cs="Times New Roman"/>
          <w:color w:val="auto"/>
        </w:rPr>
        <w:t>;</w:t>
      </w:r>
      <w:r w:rsidRPr="008854A1">
        <w:rPr>
          <w:rFonts w:ascii="Times New Roman" w:hAnsi="Times New Roman" w:cs="Times New Roman"/>
          <w:color w:val="auto"/>
        </w:rPr>
        <w:t xml:space="preserve"> </w:t>
      </w:r>
    </w:p>
    <w:p w:rsidR="003F776A" w:rsidP="00793425" w:rsidRDefault="003F776A" w14:paraId="1DD207D3" w14:textId="2BED74BB">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the </w:t>
      </w:r>
      <w:r w:rsidRPr="008854A1">
        <w:rPr>
          <w:rFonts w:ascii="Times New Roman" w:hAnsi="Times New Roman" w:cs="Times New Roman"/>
          <w:color w:val="auto"/>
        </w:rPr>
        <w:t>caseload</w:t>
      </w:r>
      <w:r>
        <w:rPr>
          <w:rFonts w:ascii="Times New Roman" w:hAnsi="Times New Roman" w:cs="Times New Roman"/>
          <w:color w:val="auto"/>
        </w:rPr>
        <w:t xml:space="preserve"> and the number of items for the toxico</w:t>
      </w:r>
      <w:r w:rsidR="001D5865">
        <w:rPr>
          <w:rFonts w:ascii="Times New Roman" w:hAnsi="Times New Roman" w:cs="Times New Roman"/>
          <w:color w:val="auto"/>
        </w:rPr>
        <w:t>lo</w:t>
      </w:r>
      <w:r>
        <w:rPr>
          <w:rFonts w:ascii="Times New Roman" w:hAnsi="Times New Roman" w:cs="Times New Roman"/>
          <w:color w:val="auto"/>
        </w:rPr>
        <w:t xml:space="preserve">gy section; </w:t>
      </w:r>
    </w:p>
    <w:p w:rsidR="003F776A" w:rsidP="00793425" w:rsidRDefault="003F776A" w14:paraId="1D82FB1A" w14:textId="6F8B5010">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the number of backlogged toxicology cases; </w:t>
      </w:r>
    </w:p>
    <w:p w:rsidR="003F776A" w:rsidP="00793425" w:rsidRDefault="003F776A" w14:paraId="44E7D8EE" w14:textId="269CAB2D">
      <w:pPr>
        <w:pStyle w:val="Default"/>
        <w:numPr>
          <w:ilvl w:val="0"/>
          <w:numId w:val="10"/>
        </w:numPr>
        <w:rPr>
          <w:rFonts w:ascii="Times New Roman" w:hAnsi="Times New Roman" w:cs="Times New Roman"/>
          <w:color w:val="auto"/>
        </w:rPr>
      </w:pPr>
      <w:r>
        <w:rPr>
          <w:rFonts w:ascii="Times New Roman" w:hAnsi="Times New Roman" w:cs="Times New Roman"/>
          <w:color w:val="auto"/>
        </w:rPr>
        <w:t xml:space="preserve">outsourcing </w:t>
      </w:r>
      <w:r w:rsidR="00D457A2">
        <w:rPr>
          <w:rFonts w:ascii="Times New Roman" w:hAnsi="Times New Roman" w:cs="Times New Roman"/>
          <w:color w:val="auto"/>
        </w:rPr>
        <w:t xml:space="preserve">needs </w:t>
      </w:r>
      <w:r>
        <w:rPr>
          <w:rFonts w:ascii="Times New Roman" w:hAnsi="Times New Roman" w:cs="Times New Roman"/>
          <w:color w:val="auto"/>
        </w:rPr>
        <w:t xml:space="preserve">for the toxicology caseload; and </w:t>
      </w:r>
    </w:p>
    <w:p w:rsidR="003F776A" w:rsidP="00793425" w:rsidRDefault="003F776A" w14:paraId="0D79FD0D" w14:textId="696B24F6">
      <w:pPr>
        <w:pStyle w:val="Default"/>
        <w:numPr>
          <w:ilvl w:val="0"/>
          <w:numId w:val="10"/>
        </w:numPr>
        <w:rPr>
          <w:rFonts w:ascii="Times New Roman" w:hAnsi="Times New Roman" w:cs="Times New Roman"/>
          <w:color w:val="auto"/>
        </w:rPr>
      </w:pPr>
      <w:r>
        <w:rPr>
          <w:rFonts w:ascii="Times New Roman" w:hAnsi="Times New Roman" w:cs="Times New Roman"/>
          <w:color w:val="auto"/>
        </w:rPr>
        <w:t>whether the laboratory ha</w:t>
      </w:r>
      <w:r w:rsidR="00D457A2">
        <w:rPr>
          <w:rFonts w:ascii="Times New Roman" w:hAnsi="Times New Roman" w:cs="Times New Roman"/>
          <w:color w:val="auto"/>
        </w:rPr>
        <w:t>s</w:t>
      </w:r>
      <w:r>
        <w:rPr>
          <w:rFonts w:ascii="Times New Roman" w:hAnsi="Times New Roman" w:cs="Times New Roman"/>
          <w:color w:val="auto"/>
        </w:rPr>
        <w:t xml:space="preserve"> an </w:t>
      </w:r>
      <w:r w:rsidRPr="008854A1">
        <w:rPr>
          <w:rFonts w:ascii="Times New Roman" w:hAnsi="Times New Roman" w:cs="Times New Roman"/>
          <w:color w:val="auto"/>
        </w:rPr>
        <w:t>information management system</w:t>
      </w:r>
      <w:r>
        <w:rPr>
          <w:rFonts w:ascii="Times New Roman" w:hAnsi="Times New Roman" w:cs="Times New Roman"/>
          <w:color w:val="auto"/>
        </w:rPr>
        <w:t xml:space="preserve">. </w:t>
      </w:r>
    </w:p>
    <w:p w:rsidR="003F776A" w:rsidP="00793425" w:rsidRDefault="003F776A" w14:paraId="79411648" w14:textId="77777777"/>
    <w:p w:rsidR="00D457A2" w:rsidP="00793425" w:rsidRDefault="00541C32" w14:paraId="5CF3F266" w14:textId="2833755A">
      <w:r>
        <w:lastRenderedPageBreak/>
        <w:t>T</w:t>
      </w:r>
      <w:r w:rsidR="002D41FE">
        <w:t xml:space="preserve">he </w:t>
      </w:r>
      <w:r w:rsidR="003F776A">
        <w:t xml:space="preserve">2020 </w:t>
      </w:r>
      <w:r w:rsidR="002D41FE">
        <w:t>NFLIS-</w:t>
      </w:r>
      <w:r w:rsidR="008854A1">
        <w:t>Tox</w:t>
      </w:r>
      <w:r w:rsidR="002D41FE">
        <w:t xml:space="preserve"> Survey includes private laboratories (which includes 149 private lab</w:t>
      </w:r>
      <w:r w:rsidR="00E26432">
        <w:t>oratorie</w:t>
      </w:r>
      <w:r w:rsidR="002D41FE">
        <w:t>s or lab</w:t>
      </w:r>
      <w:r w:rsidR="00E26432">
        <w:t>oratory</w:t>
      </w:r>
      <w:r w:rsidR="002D41FE">
        <w:t xml:space="preserve"> systems) as well as publicly funded laboratories with toxicology sections </w:t>
      </w:r>
      <w:r w:rsidR="00E26432">
        <w:t>of which there are</w:t>
      </w:r>
      <w:r w:rsidR="002D41FE">
        <w:t xml:space="preserve"> 176 lab</w:t>
      </w:r>
      <w:r w:rsidR="00E26432">
        <w:t>oratorie</w:t>
      </w:r>
      <w:r w:rsidR="002D41FE">
        <w:t>s or lab</w:t>
      </w:r>
      <w:r w:rsidR="00E26432">
        <w:t>oratory</w:t>
      </w:r>
      <w:r w:rsidR="002D41FE">
        <w:t xml:space="preserve"> systems).</w:t>
      </w:r>
      <w:r w:rsidR="003F776A">
        <w:t xml:space="preserve"> Like the 2019 NFLIS-Drug,</w:t>
      </w:r>
      <w:r w:rsidR="00E26432">
        <w:t xml:space="preserve"> NFLIS-Tox</w:t>
      </w:r>
      <w:r w:rsidR="003F776A">
        <w:t xml:space="preserve"> will only survey the headquarter lab</w:t>
      </w:r>
      <w:r w:rsidR="00E26432">
        <w:t>oratory where there are laboratory systems</w:t>
      </w:r>
      <w:r w:rsidR="003F776A">
        <w:t xml:space="preserve">. </w:t>
      </w:r>
    </w:p>
    <w:p w:rsidR="00D457A2" w:rsidP="00793425" w:rsidRDefault="00D457A2" w14:paraId="4813376B" w14:textId="77777777"/>
    <w:p w:rsidR="002D41FE" w:rsidP="00793425" w:rsidRDefault="002D41FE" w14:paraId="55378627" w14:textId="3F8751D6">
      <w:r>
        <w:t xml:space="preserve">Thus, the </w:t>
      </w:r>
      <w:r w:rsidR="003F776A">
        <w:t>three</w:t>
      </w:r>
      <w:r>
        <w:t xml:space="preserve"> survey</w:t>
      </w:r>
      <w:r w:rsidR="00D457A2">
        <w:t>s—i.e., 2020 CPFFCL, 2019 NFLIS-Drug, and 2020 NFLIS-Tox—</w:t>
      </w:r>
      <w:r>
        <w:t xml:space="preserve">are not congruent in terms of their </w:t>
      </w:r>
      <w:r w:rsidR="00D457A2">
        <w:t xml:space="preserve">universe </w:t>
      </w:r>
      <w:r>
        <w:t xml:space="preserve">coverage or in terms of their topical areas. </w:t>
      </w:r>
    </w:p>
    <w:p w:rsidR="00D457A2" w:rsidP="00793425" w:rsidRDefault="00D457A2" w14:paraId="1BECB4CB" w14:textId="77777777"/>
    <w:p w:rsidRPr="003F776A" w:rsidR="00AF7585" w:rsidP="00793425" w:rsidRDefault="00AF7585" w14:paraId="4973537F" w14:textId="77777777">
      <w:pPr>
        <w:pStyle w:val="ListParagraph"/>
        <w:numPr>
          <w:ilvl w:val="0"/>
          <w:numId w:val="2"/>
        </w:numPr>
        <w:rPr>
          <w:b/>
          <w:u w:val="single"/>
        </w:rPr>
      </w:pPr>
      <w:r w:rsidRPr="003F776A">
        <w:rPr>
          <w:b/>
          <w:u w:val="single"/>
        </w:rPr>
        <w:t>Efforts to Minimize Burden</w:t>
      </w:r>
    </w:p>
    <w:p w:rsidRPr="003F776A" w:rsidR="00AF7585" w:rsidP="00793425" w:rsidRDefault="00AF7585" w14:paraId="685712DD" w14:textId="77777777"/>
    <w:p w:rsidR="00AF7585" w:rsidP="00793425" w:rsidRDefault="00AF7585" w14:paraId="6F7B9F6B" w14:textId="4363B666">
      <w:r w:rsidRPr="003F776A">
        <w:t xml:space="preserve">The </w:t>
      </w:r>
      <w:r w:rsidRPr="003F776A" w:rsidR="00B56D33">
        <w:t xml:space="preserve">proposed </w:t>
      </w:r>
      <w:r w:rsidRPr="003F776A" w:rsidR="003F776A">
        <w:t>2020 CPFFCL</w:t>
      </w:r>
      <w:r w:rsidRPr="003F776A">
        <w:t xml:space="preserve"> instrument was designed to</w:t>
      </w:r>
      <w:r w:rsidRPr="003F776A" w:rsidR="005E6CD0">
        <w:t xml:space="preserve"> minimize</w:t>
      </w:r>
      <w:r w:rsidRPr="003F776A">
        <w:t xml:space="preserve"> respon</w:t>
      </w:r>
      <w:r w:rsidRPr="003F776A" w:rsidR="00BB7900">
        <w:t>se</w:t>
      </w:r>
      <w:r w:rsidRPr="003F776A">
        <w:t xml:space="preserve"> burden in </w:t>
      </w:r>
      <w:r w:rsidRPr="003F776A" w:rsidR="00722DCD">
        <w:t>several</w:t>
      </w:r>
      <w:r w:rsidRPr="003F776A" w:rsidR="00703A00">
        <w:t xml:space="preserve"> </w:t>
      </w:r>
      <w:r w:rsidRPr="003F776A">
        <w:t>ways.</w:t>
      </w:r>
      <w:r w:rsidRPr="003F776A" w:rsidR="00745932">
        <w:t xml:space="preserve"> </w:t>
      </w:r>
      <w:r w:rsidRPr="003F776A">
        <w:t xml:space="preserve">First, </w:t>
      </w:r>
      <w:r w:rsidRPr="003F776A" w:rsidR="00B87747">
        <w:t xml:space="preserve">based on feedback received from the </w:t>
      </w:r>
      <w:r w:rsidRPr="003F776A" w:rsidR="00C17088">
        <w:t>agencies</w:t>
      </w:r>
      <w:r w:rsidRPr="003F776A" w:rsidR="00181BA6">
        <w:t xml:space="preserve"> through </w:t>
      </w:r>
      <w:r w:rsidRPr="003F776A" w:rsidR="005706C0">
        <w:t xml:space="preserve">and expert panel and </w:t>
      </w:r>
      <w:r w:rsidRPr="003F776A" w:rsidR="00181BA6">
        <w:t>cognitive interviews</w:t>
      </w:r>
      <w:r w:rsidRPr="003F776A" w:rsidR="009E2198">
        <w:t>,</w:t>
      </w:r>
      <w:r w:rsidRPr="003F776A" w:rsidR="00B87747">
        <w:t xml:space="preserve"> </w:t>
      </w:r>
      <w:r w:rsidRPr="003F776A">
        <w:t xml:space="preserve">the </w:t>
      </w:r>
      <w:r w:rsidRPr="003F776A" w:rsidR="00B87747">
        <w:t xml:space="preserve">new </w:t>
      </w:r>
      <w:r w:rsidRPr="003F776A">
        <w:t xml:space="preserve">instrument </w:t>
      </w:r>
      <w:r w:rsidRPr="003F776A" w:rsidR="00B81A6B">
        <w:t>features questions that have been refined to i</w:t>
      </w:r>
      <w:r w:rsidRPr="003F776A" w:rsidR="000F7B26">
        <w:t xml:space="preserve">ncrease </w:t>
      </w:r>
      <w:r w:rsidRPr="003F776A" w:rsidR="00B81A6B">
        <w:t>clarity</w:t>
      </w:r>
      <w:r w:rsidRPr="003F776A" w:rsidR="000F7B26">
        <w:t xml:space="preserve"> and improve </w:t>
      </w:r>
      <w:r w:rsidRPr="003F776A" w:rsidR="00B87747">
        <w:t xml:space="preserve">response options </w:t>
      </w:r>
      <w:r w:rsidRPr="003F776A" w:rsidR="00B81A6B">
        <w:t xml:space="preserve">where needed. </w:t>
      </w:r>
      <w:r w:rsidRPr="003F776A">
        <w:t>Second</w:t>
      </w:r>
      <w:r w:rsidRPr="003F776A" w:rsidR="00C17088">
        <w:t>,</w:t>
      </w:r>
      <w:r w:rsidRPr="003F776A" w:rsidR="00181BA6">
        <w:t xml:space="preserve"> </w:t>
      </w:r>
      <w:r w:rsidRPr="003F776A">
        <w:t xml:space="preserve">the </w:t>
      </w:r>
      <w:r w:rsidRPr="003F776A" w:rsidR="003F776A">
        <w:t xml:space="preserve">2020 CPFFCL </w:t>
      </w:r>
      <w:r w:rsidRPr="003F776A">
        <w:t xml:space="preserve">was </w:t>
      </w:r>
      <w:r w:rsidRPr="003F776A" w:rsidR="00F25365">
        <w:t xml:space="preserve">modified with </w:t>
      </w:r>
      <w:r w:rsidRPr="003F776A">
        <w:t>web-based data collection</w:t>
      </w:r>
      <w:r w:rsidRPr="003F776A" w:rsidR="00F25365">
        <w:t xml:space="preserve"> in mind and includes</w:t>
      </w:r>
      <w:r w:rsidRPr="003F776A">
        <w:t xml:space="preserve"> built-in </w:t>
      </w:r>
      <w:r w:rsidRPr="003F776A" w:rsidR="00F25365">
        <w:t>skip patterns,</w:t>
      </w:r>
      <w:r w:rsidRPr="003F776A">
        <w:t xml:space="preserve"> </w:t>
      </w:r>
      <w:r w:rsidRPr="003F776A" w:rsidR="00F25365">
        <w:t xml:space="preserve">data </w:t>
      </w:r>
      <w:r w:rsidRPr="003F776A">
        <w:t>checks</w:t>
      </w:r>
      <w:r w:rsidRPr="003F776A" w:rsidR="00F25365">
        <w:t xml:space="preserve">, and </w:t>
      </w:r>
      <w:r w:rsidRPr="003F776A" w:rsidR="00E21527">
        <w:t xml:space="preserve">was </w:t>
      </w:r>
      <w:r w:rsidRPr="003F776A" w:rsidR="00F25365">
        <w:t>designed with best-practice web layouts including matrices whe</w:t>
      </w:r>
      <w:r w:rsidRPr="003F776A" w:rsidR="0095784F">
        <w:t>re</w:t>
      </w:r>
      <w:r w:rsidRPr="003F776A" w:rsidR="00F25365">
        <w:t xml:space="preserve"> appropriate</w:t>
      </w:r>
      <w:r w:rsidRPr="003F776A">
        <w:t>.</w:t>
      </w:r>
      <w:r w:rsidRPr="003F776A" w:rsidR="00745932">
        <w:t xml:space="preserve"> </w:t>
      </w:r>
    </w:p>
    <w:p w:rsidR="00322E8E" w:rsidP="00793425" w:rsidRDefault="00322E8E" w14:paraId="63593A86" w14:textId="71270DDA"/>
    <w:p w:rsidR="00322E8E" w:rsidP="00793425" w:rsidRDefault="00322E8E" w14:paraId="262DA2A6" w14:textId="5EBDE145">
      <w:r>
        <w:t>The 2020 CPFFCL expert panel that was composed of practitioner</w:t>
      </w:r>
      <w:r w:rsidR="00E26432">
        <w:t>s</w:t>
      </w:r>
      <w:r>
        <w:t xml:space="preserve"> from laboratories </w:t>
      </w:r>
      <w:r w:rsidR="00E26432">
        <w:t xml:space="preserve">of different regions </w:t>
      </w:r>
      <w:r>
        <w:t xml:space="preserve">and sizes. BJS incorporated feedback from this panel and cognitively tested a revised version of the instrument with 23 laboratory respondents that represented a diversity of supervising </w:t>
      </w:r>
      <w:r w:rsidR="00E47460">
        <w:t>governments</w:t>
      </w:r>
      <w:r>
        <w:t xml:space="preserve">, </w:t>
      </w:r>
      <w:r w:rsidR="00E47460">
        <w:t>laboratory size determine</w:t>
      </w:r>
      <w:r w:rsidR="00DE2796">
        <w:t>d</w:t>
      </w:r>
      <w:r w:rsidR="00E47460">
        <w:t xml:space="preserve"> by number of laboratory staff, and whether or not the laboratory had a digital evidence section. The cognitive testing was conducted </w:t>
      </w:r>
      <w:r>
        <w:t xml:space="preserve">under BJS’s generic clearance (OMB </w:t>
      </w:r>
      <w:r w:rsidR="00E26432">
        <w:t xml:space="preserve">Control No. </w:t>
      </w:r>
      <w:r w:rsidRPr="00950720" w:rsidR="00105A45">
        <w:rPr>
          <w:rFonts w:asciiTheme="majorBidi" w:hAnsiTheme="majorBidi" w:cstheme="majorBidi"/>
        </w:rPr>
        <w:t>1121-0339</w:t>
      </w:r>
      <w:r>
        <w:t xml:space="preserve">). See </w:t>
      </w:r>
      <w:r w:rsidRPr="00535C02">
        <w:rPr>
          <w:b/>
        </w:rPr>
        <w:t>Attachment 24</w:t>
      </w:r>
      <w:r>
        <w:t xml:space="preserve"> for the complete</w:t>
      </w:r>
      <w:r w:rsidR="00E47460">
        <w:t xml:space="preserve"> </w:t>
      </w:r>
      <w:r>
        <w:t>cognitive testing report, including the protocol for testing the instrument. The changes are</w:t>
      </w:r>
      <w:r w:rsidR="00E47460">
        <w:t xml:space="preserve"> </w:t>
      </w:r>
      <w:r>
        <w:t>summarized below—</w:t>
      </w:r>
    </w:p>
    <w:p w:rsidR="00E47460" w:rsidP="00793425" w:rsidRDefault="00E47460" w14:paraId="1224FA46" w14:textId="77777777"/>
    <w:p w:rsidRPr="00E26432" w:rsidR="00FB52F6" w:rsidP="00793425" w:rsidRDefault="00FB52F6" w14:paraId="1AF78792" w14:textId="2AA9544A">
      <w:r w:rsidRPr="00E26432">
        <w:rPr>
          <w:b/>
          <w:bCs/>
        </w:rPr>
        <w:t>Section A.</w:t>
      </w:r>
      <w:r w:rsidRPr="00E26432">
        <w:t xml:space="preserve"> Cognitive testing resulted in changes </w:t>
      </w:r>
      <w:r w:rsidRPr="00E26432" w:rsidR="0037146D">
        <w:t>to four questions and the complete removal of one question. The definition of one question</w:t>
      </w:r>
      <w:r w:rsidRPr="00E26432" w:rsidR="00D13D65">
        <w:t>, Item A3,</w:t>
      </w:r>
      <w:r w:rsidRPr="00E26432" w:rsidR="0037146D">
        <w:t xml:space="preserve"> </w:t>
      </w:r>
      <w:r w:rsidRPr="00E26432" w:rsidR="00D13D65">
        <w:t>received clarification with additional wording for what constitutes a “multi-laboratory system”.</w:t>
      </w:r>
      <w:r w:rsidRPr="00E26432" w:rsidR="00DE2796">
        <w:t xml:space="preserve"> Item A5</w:t>
      </w:r>
      <w:r w:rsidRPr="00E26432" w:rsidR="00D13D65">
        <w:t xml:space="preserve"> received an additional response, “Tribal Lands</w:t>
      </w:r>
      <w:r w:rsidR="00E26432">
        <w:t>.</w:t>
      </w:r>
      <w:r w:rsidRPr="00E26432" w:rsidR="00D13D65">
        <w:t>”</w:t>
      </w:r>
      <w:r w:rsidRPr="00E26432" w:rsidR="00DE2796">
        <w:t xml:space="preserve"> Item A22 received two additional response</w:t>
      </w:r>
      <w:r w:rsidR="00E26432">
        <w:t>s</w:t>
      </w:r>
      <w:r w:rsidRPr="00E26432" w:rsidR="00DE2796">
        <w:t>:</w:t>
      </w:r>
      <w:r w:rsidRPr="00E26432" w:rsidR="00D13D65">
        <w:t xml:space="preserve"> probabilistic genotyping and direct to DNA approach. </w:t>
      </w:r>
      <w:r w:rsidRPr="00E26432" w:rsidR="00D91F4B">
        <w:t xml:space="preserve">Two questions </w:t>
      </w:r>
      <w:r w:rsidRPr="00E26432" w:rsidR="00D13D65">
        <w:t xml:space="preserve">regarding various Laboratory Information Management Systems </w:t>
      </w:r>
      <w:r w:rsidRPr="00E26432" w:rsidR="00D91F4B">
        <w:t xml:space="preserve">were moved to the </w:t>
      </w:r>
      <w:r w:rsidRPr="00E26432" w:rsidR="00D13D65">
        <w:t>Workload</w:t>
      </w:r>
      <w:r w:rsidRPr="00E26432" w:rsidR="00D91F4B">
        <w:t xml:space="preserve"> Section</w:t>
      </w:r>
      <w:r w:rsidRPr="00E26432" w:rsidR="00D13D65">
        <w:t>, Section D, for further clarity around evidence tracking and laboratory capabilities</w:t>
      </w:r>
      <w:r w:rsidRPr="00E26432" w:rsidR="00291A3E">
        <w:t xml:space="preserve">, with no further changes in wording. However, ten participants voiced concern over </w:t>
      </w:r>
      <w:r w:rsidRPr="00E26432" w:rsidR="00DE2796">
        <w:t>a question that asked about tracking “items” with LIMS</w:t>
      </w:r>
      <w:r w:rsidRPr="00E26432" w:rsidR="00291A3E">
        <w:t xml:space="preserve">, due to potential issues around the definition of “item” and how to best track its numbers. </w:t>
      </w:r>
      <w:r w:rsidRPr="00E26432" w:rsidR="00DE2796">
        <w:t xml:space="preserve">This question </w:t>
      </w:r>
      <w:r w:rsidRPr="00E26432" w:rsidR="00291A3E">
        <w:t>was completely removed to reduce confusion around the term “item</w:t>
      </w:r>
      <w:r w:rsidR="00727D46">
        <w:t>,</w:t>
      </w:r>
      <w:r w:rsidRPr="00E26432" w:rsidR="00291A3E">
        <w:t xml:space="preserve">” and to reduce the overall burden. </w:t>
      </w:r>
    </w:p>
    <w:p w:rsidRPr="00E26432" w:rsidR="00530679" w:rsidP="00793425" w:rsidRDefault="00530679" w14:paraId="7B71907E" w14:textId="77777777">
      <w:pPr>
        <w:rPr>
          <w:b/>
          <w:bCs/>
        </w:rPr>
      </w:pPr>
    </w:p>
    <w:p w:rsidRPr="00E26432" w:rsidR="00291A3E" w:rsidP="00793425" w:rsidRDefault="00291A3E" w14:paraId="4C3184A4" w14:textId="3D135541">
      <w:r w:rsidRPr="00E26432">
        <w:rPr>
          <w:b/>
          <w:bCs/>
        </w:rPr>
        <w:t>Section B.</w:t>
      </w:r>
      <w:r w:rsidRPr="00E26432">
        <w:t xml:space="preserve"> Participants said that this section was generally not difficult to answer. Cognitive testing resulted in the </w:t>
      </w:r>
      <w:r w:rsidRPr="00E26432" w:rsidR="00CD3F00">
        <w:t xml:space="preserve">reformatting of one question by the removal of </w:t>
      </w:r>
      <w:r w:rsidRPr="00E26432" w:rsidR="00E82018">
        <w:t xml:space="preserve">previously titled </w:t>
      </w:r>
      <w:r w:rsidRPr="00E26432" w:rsidR="00CD3F00">
        <w:t>sub-question B1b “Are you reporting your budget data for your fiscal year or calendar year?” and rewording the previously titled sub-question B1c</w:t>
      </w:r>
      <w:r w:rsidRPr="00E26432" w:rsidR="00DE2796">
        <w:t xml:space="preserve"> (now B2b)</w:t>
      </w:r>
      <w:r w:rsidRPr="00E26432" w:rsidR="00CD3F00">
        <w:t xml:space="preserve"> to “What are the start and end dates of your fiscal year that included December 31, 2020?” </w:t>
      </w:r>
      <w:r w:rsidRPr="00E26432" w:rsidR="00530679">
        <w:t>Moreover</w:t>
      </w:r>
      <w:r w:rsidRPr="00E26432" w:rsidR="00CD3F00">
        <w:t xml:space="preserve">, language was added to the definition of budget reporting, </w:t>
      </w:r>
      <w:r w:rsidRPr="00E26432" w:rsidR="00E82018">
        <w:t xml:space="preserve">which resulted in the operating budget set to include personnel budget, but not include building construction or major equipment purchases. </w:t>
      </w:r>
      <w:r w:rsidRPr="00E26432" w:rsidR="00CD3F00">
        <w:t xml:space="preserve">Item B2 was moved </w:t>
      </w:r>
      <w:r w:rsidRPr="00E26432" w:rsidR="00CD3F00">
        <w:lastRenderedPageBreak/>
        <w:t xml:space="preserve">to the top of Section B, becoming Item B1, and received a parenthetical definition for Option C “Fees” for added clarity. </w:t>
      </w:r>
    </w:p>
    <w:p w:rsidRPr="00E26432" w:rsidR="00530679" w:rsidP="00793425" w:rsidRDefault="00530679" w14:paraId="71F304C2" w14:textId="77777777">
      <w:pPr>
        <w:rPr>
          <w:b/>
          <w:bCs/>
        </w:rPr>
      </w:pPr>
    </w:p>
    <w:p w:rsidRPr="00E26432" w:rsidR="00E82018" w:rsidP="00793425" w:rsidRDefault="00E82018" w14:paraId="349999DC" w14:textId="3CEBB1C1">
      <w:r w:rsidRPr="00E26432">
        <w:rPr>
          <w:b/>
          <w:bCs/>
        </w:rPr>
        <w:t>Section C.</w:t>
      </w:r>
      <w:r w:rsidRPr="00E26432">
        <w:t xml:space="preserve"> Cognitive testing resulted in the slight restructuring of one question, the addition of one question, and the removal of one question. For Item </w:t>
      </w:r>
      <w:r w:rsidRPr="00E26432" w:rsidR="00DE2796">
        <w:t>C2</w:t>
      </w:r>
      <w:r w:rsidRPr="00E26432">
        <w:t xml:space="preserve">, nine participants noted they would have difficulty in determining where to place the numbers for certain positions. Thus, </w:t>
      </w:r>
      <w:r w:rsidRPr="00E26432" w:rsidR="00906CAD">
        <w:t xml:space="preserve">Item </w:t>
      </w:r>
      <w:r w:rsidRPr="00E26432" w:rsidR="000B185A">
        <w:t>C2</w:t>
      </w:r>
      <w:r w:rsidRPr="00E26432" w:rsidR="00906CAD">
        <w:t xml:space="preserve">, </w:t>
      </w:r>
      <w:r w:rsidRPr="00E26432">
        <w:t>Option F</w:t>
      </w:r>
      <w:r w:rsidRPr="00E26432" w:rsidR="00906CAD">
        <w:t xml:space="preserve"> “Technical Support” received a parenthetical definition “e.g., lab technicians” for added clarity, as well as changing Option </w:t>
      </w:r>
      <w:r w:rsidRPr="00E26432" w:rsidR="000B185A">
        <w:t xml:space="preserve">C1d </w:t>
      </w:r>
      <w:r w:rsidRPr="00E26432" w:rsidR="00906CAD">
        <w:t xml:space="preserve">“Intermediate/Senior” to “Full-Performance” and removal of “Entry-Level” from </w:t>
      </w:r>
      <w:r w:rsidRPr="00E26432" w:rsidR="000B185A">
        <w:t>the question</w:t>
      </w:r>
      <w:r w:rsidRPr="00E26432" w:rsidR="00906CAD">
        <w:t xml:space="preserve">. Item C5 regarding annual salaries was removed to reduce burden, which made room for the addition of C2, requesting information regarding the number of part-time and full-time staff during 2019 specifically. </w:t>
      </w:r>
    </w:p>
    <w:p w:rsidRPr="00E26432" w:rsidR="00530679" w:rsidP="00793425" w:rsidRDefault="00530679" w14:paraId="5FEE8AAE" w14:textId="77777777">
      <w:pPr>
        <w:rPr>
          <w:b/>
          <w:bCs/>
        </w:rPr>
      </w:pPr>
    </w:p>
    <w:p w:rsidRPr="00E26432" w:rsidR="00530679" w:rsidP="00793425" w:rsidRDefault="00906CAD" w14:paraId="7DBE3723" w14:textId="355623E1">
      <w:r w:rsidRPr="00E26432">
        <w:rPr>
          <w:b/>
          <w:bCs/>
        </w:rPr>
        <w:t>Section D.</w:t>
      </w:r>
      <w:r w:rsidRPr="00E26432">
        <w:t xml:space="preserve"> This entire section was reviewed during cognitive testing. </w:t>
      </w:r>
      <w:r w:rsidRPr="00E26432" w:rsidR="0079005A">
        <w:t xml:space="preserve">As previously mentioned, the term “item” and questions surrounding this term were removed from the 2020 CPFFCL, thus </w:t>
      </w:r>
      <w:r w:rsidRPr="00E26432" w:rsidR="00530679">
        <w:t>necessitat</w:t>
      </w:r>
      <w:r w:rsidRPr="00E26432" w:rsidR="0079005A">
        <w:t xml:space="preserve">ing changes to the questions asked in this section. </w:t>
      </w:r>
      <w:r w:rsidRPr="00E26432" w:rsidR="004F2173">
        <w:t>Fourteen participants noted they would have issues providing, or be completely unable to provide, an accurate number of item counts as the survey was originally worded. The term “item” was dropped from questions originally titled D1-D17</w:t>
      </w:r>
      <w:r w:rsidRPr="00E26432" w:rsidR="00A96885">
        <w:t xml:space="preserve"> (now D6a-D6k)</w:t>
      </w:r>
      <w:r w:rsidRPr="00E26432" w:rsidR="004F2173">
        <w:t xml:space="preserve"> to reduce confusion and burden. Additionally, definitions for this section were redesigned</w:t>
      </w:r>
      <w:r w:rsidRPr="00E26432" w:rsidR="00530679">
        <w:t xml:space="preserve"> and</w:t>
      </w:r>
      <w:r w:rsidRPr="00E26432" w:rsidR="004F2173">
        <w:t xml:space="preserve"> added </w:t>
      </w:r>
      <w:r w:rsidRPr="00E26432" w:rsidR="00530679">
        <w:t xml:space="preserve">to </w:t>
      </w:r>
      <w:r w:rsidRPr="00E26432" w:rsidR="004F2173">
        <w:t xml:space="preserve">include “case” and “LIMS”. </w:t>
      </w:r>
      <w:r w:rsidRPr="00E26432" w:rsidR="00CC6746">
        <w:t>Changes to the grid</w:t>
      </w:r>
      <w:r w:rsidRPr="00E26432" w:rsidR="00530679">
        <w:t xml:space="preserve"> for original</w:t>
      </w:r>
      <w:r w:rsidRPr="00E26432" w:rsidR="00CC6746">
        <w:t xml:space="preserve"> Items D3-D12 included adding an estimate box to each item on the survey</w:t>
      </w:r>
      <w:r w:rsidRPr="00E26432" w:rsidR="00530679">
        <w:t xml:space="preserve"> and</w:t>
      </w:r>
      <w:r w:rsidRPr="00E26432" w:rsidR="00CC6746">
        <w:t xml:space="preserve"> separating out the “Forensic Biology” section into the following sub-categories: Sexual Assault Casework, DNA Databasing, Arrestee Samples, and Convicted Offender Samples. To keep consistency with previous iterations of the census, the nested questions</w:t>
      </w:r>
      <w:r w:rsidRPr="00E26432" w:rsidR="00530679">
        <w:t xml:space="preserve"> across</w:t>
      </w:r>
      <w:r w:rsidRPr="00E26432" w:rsidR="00CC6746">
        <w:t xml:space="preserve"> </w:t>
      </w:r>
      <w:r w:rsidRPr="00E26432" w:rsidR="00530679">
        <w:t xml:space="preserve">original </w:t>
      </w:r>
      <w:r w:rsidRPr="00E26432" w:rsidR="00CC6746">
        <w:t xml:space="preserve">Items D13-D17 were </w:t>
      </w:r>
      <w:r w:rsidRPr="00E26432" w:rsidR="00A96885">
        <w:t xml:space="preserve">included </w:t>
      </w:r>
      <w:r w:rsidRPr="00E26432" w:rsidR="00CC6746">
        <w:t xml:space="preserve">in the </w:t>
      </w:r>
      <w:r w:rsidRPr="00E26432" w:rsidR="00530679">
        <w:t xml:space="preserve">response </w:t>
      </w:r>
      <w:r w:rsidRPr="00E26432" w:rsidR="00CC6746">
        <w:t>grid</w:t>
      </w:r>
      <w:r w:rsidRPr="00E26432" w:rsidR="00A96885">
        <w:t xml:space="preserve"> (now items D6j and D6k)</w:t>
      </w:r>
      <w:r w:rsidRPr="00E26432" w:rsidR="00CC6746">
        <w:t xml:space="preserve">. </w:t>
      </w:r>
    </w:p>
    <w:p w:rsidRPr="00E26432" w:rsidR="00530679" w:rsidP="00793425" w:rsidRDefault="00530679" w14:paraId="54B7239F" w14:textId="77777777"/>
    <w:p w:rsidRPr="00E26432" w:rsidR="00906CAD" w:rsidP="00793425" w:rsidRDefault="00CC6746" w14:paraId="0304CC14" w14:textId="7903B355">
      <w:r w:rsidRPr="00E26432">
        <w:t>Finally, d</w:t>
      </w:r>
      <w:r w:rsidRPr="00E26432" w:rsidR="007B6F6B">
        <w:t>uring testing, eleven participants had trouble defining the term “digital data”</w:t>
      </w:r>
      <w:r w:rsidRPr="00E26432">
        <w:t>;</w:t>
      </w:r>
      <w:r w:rsidRPr="00E26432" w:rsidR="007B6F6B">
        <w:t xml:space="preserve"> </w:t>
      </w:r>
      <w:r w:rsidRPr="00E26432">
        <w:t>thus,</w:t>
      </w:r>
      <w:r w:rsidRPr="00E26432" w:rsidR="0079005A">
        <w:t xml:space="preserve"> the term was revised to “digital evidence” in Items </w:t>
      </w:r>
      <w:r w:rsidRPr="00E26432" w:rsidR="00A96885">
        <w:t xml:space="preserve">D7 </w:t>
      </w:r>
      <w:r w:rsidRPr="00E26432" w:rsidR="0079005A">
        <w:t xml:space="preserve">and </w:t>
      </w:r>
      <w:r w:rsidRPr="00E26432" w:rsidR="00A96885">
        <w:t xml:space="preserve">D8 </w:t>
      </w:r>
      <w:r w:rsidRPr="00E26432" w:rsidR="0079005A">
        <w:t xml:space="preserve">instead. Additionally, a definition for digital evidence was provided in the revised instrument for further clarification.  </w:t>
      </w:r>
      <w:r w:rsidRPr="00E26432">
        <w:t xml:space="preserve"> </w:t>
      </w:r>
    </w:p>
    <w:p w:rsidRPr="00E26432" w:rsidR="00530679" w:rsidP="00793425" w:rsidRDefault="00530679" w14:paraId="4E469BDC" w14:textId="77777777">
      <w:pPr>
        <w:rPr>
          <w:b/>
          <w:bCs/>
        </w:rPr>
      </w:pPr>
    </w:p>
    <w:p w:rsidRPr="00E26432" w:rsidR="00CC6746" w:rsidP="00793425" w:rsidRDefault="00CC6746" w14:paraId="403DFBF2" w14:textId="224954B4">
      <w:r w:rsidRPr="00E26432">
        <w:rPr>
          <w:b/>
          <w:bCs/>
        </w:rPr>
        <w:t>Section E.</w:t>
      </w:r>
      <w:r w:rsidRPr="00E26432">
        <w:t xml:space="preserve"> Overall, respondents expressed that this section was easy to answer.</w:t>
      </w:r>
      <w:r w:rsidRPr="00E26432" w:rsidR="00680237">
        <w:t xml:space="preserve"> </w:t>
      </w:r>
      <w:r w:rsidRPr="00E26432" w:rsidR="003001C4">
        <w:t>Cognitive testing resulted in o</w:t>
      </w:r>
      <w:r w:rsidRPr="00E26432" w:rsidR="00680237">
        <w:t>ne question receiv</w:t>
      </w:r>
      <w:r w:rsidRPr="00E26432" w:rsidR="003001C4">
        <w:t>ing</w:t>
      </w:r>
      <w:r w:rsidRPr="00E26432" w:rsidR="00680237">
        <w:t xml:space="preserve"> clarification regarding a definition, </w:t>
      </w:r>
      <w:r w:rsidRPr="00E26432" w:rsidR="003001C4">
        <w:t xml:space="preserve">and </w:t>
      </w:r>
      <w:r w:rsidRPr="00E26432" w:rsidR="00680237">
        <w:t>another question receiv</w:t>
      </w:r>
      <w:r w:rsidRPr="00E26432" w:rsidR="003001C4">
        <w:t>ing</w:t>
      </w:r>
      <w:r w:rsidRPr="00E26432" w:rsidR="00680237">
        <w:t xml:space="preserve"> additional/refined response rows. </w:t>
      </w:r>
      <w:r w:rsidRPr="00E26432" w:rsidR="00530679">
        <w:t>Although</w:t>
      </w:r>
      <w:r w:rsidRPr="00E26432" w:rsidR="00680237">
        <w:t xml:space="preserve"> most respondents did not have any trouble answering Item E1, two participants reported it would be nice to have a more comprehensive definition of outsourcing. Thus, the term “analytical” was included to describe “contracting or procuring ‘analytical’ services…”. In Item E2, Option E2a was refined to include “Commercial or privately funded laboratory”, and Option E2c “University laboratory (public or private)” was </w:t>
      </w:r>
      <w:r w:rsidRPr="00E26432" w:rsidR="00B46088">
        <w:t>added</w:t>
      </w:r>
      <w:r w:rsidRPr="00E26432" w:rsidR="00680237">
        <w:t xml:space="preserve"> as an answer choice. </w:t>
      </w:r>
    </w:p>
    <w:p w:rsidRPr="00E26432" w:rsidR="00530679" w:rsidP="00793425" w:rsidRDefault="00530679" w14:paraId="04E4314C" w14:textId="77777777">
      <w:pPr>
        <w:rPr>
          <w:b/>
          <w:bCs/>
        </w:rPr>
      </w:pPr>
    </w:p>
    <w:p w:rsidRPr="00E26432" w:rsidR="00CC6746" w:rsidP="00793425" w:rsidRDefault="00B46088" w14:paraId="100D05C8" w14:textId="1E03BF23">
      <w:r w:rsidRPr="00E26432">
        <w:rPr>
          <w:b/>
          <w:bCs/>
        </w:rPr>
        <w:t>Section F.</w:t>
      </w:r>
      <w:r w:rsidRPr="00E26432">
        <w:t xml:space="preserve"> </w:t>
      </w:r>
      <w:r w:rsidRPr="00E26432" w:rsidR="003001C4">
        <w:t xml:space="preserve">Cognitive testing resulted in changes to four questions and the removal of one. F1 language was revised to include the term “any” for “did ‘any’ of the jurisdictions you served require accreditation?” to account for laboratories who must testify in different jurisdictions. </w:t>
      </w:r>
      <w:r w:rsidRPr="00E26432" w:rsidR="00AA0F18">
        <w:t>F2 revised language from “was your laboratory accredited?” to “were any disciplines in your laboratory accredited?” as a</w:t>
      </w:r>
      <w:r w:rsidRPr="00E26432" w:rsidR="003001C4">
        <w:t xml:space="preserve"> way to circumvent asking</w:t>
      </w:r>
      <w:r w:rsidRPr="00E26432" w:rsidR="00AA0F18">
        <w:t xml:space="preserve"> </w:t>
      </w:r>
      <w:r w:rsidRPr="00E26432" w:rsidR="003001C4">
        <w:t xml:space="preserve">participants for </w:t>
      </w:r>
      <w:r w:rsidRPr="00E26432" w:rsidR="00AA0F18">
        <w:t>specific discipline accreditation breakdown</w:t>
      </w:r>
      <w:r w:rsidRPr="00E26432" w:rsidR="003001C4">
        <w:t>s</w:t>
      </w:r>
      <w:r w:rsidRPr="00E26432" w:rsidR="00AA0F18">
        <w:t>.</w:t>
      </w:r>
      <w:r w:rsidRPr="00E26432" w:rsidR="001D5865">
        <w:t xml:space="preserve"> </w:t>
      </w:r>
      <w:r w:rsidRPr="00E26432" w:rsidR="00AA0F18">
        <w:t xml:space="preserve">Option C “CALEA” was removed from Item F3, because it is a standard most commonly used for law enforcement evidence rooms, as noted by one </w:t>
      </w:r>
      <w:r w:rsidR="002675FA">
        <w:t xml:space="preserve">cognitive interview </w:t>
      </w:r>
      <w:r w:rsidRPr="00E26432" w:rsidR="00AA0F18">
        <w:t xml:space="preserve">participant. </w:t>
      </w:r>
      <w:r w:rsidRPr="00E26432" w:rsidR="00530679">
        <w:t xml:space="preserve">Moreover, </w:t>
      </w:r>
      <w:r w:rsidRPr="00E26432" w:rsidR="00924672">
        <w:t xml:space="preserve">Option D “CALEA” was removed from Item F4 and replaced </w:t>
      </w:r>
      <w:r w:rsidRPr="00E26432" w:rsidR="00924672">
        <w:lastRenderedPageBreak/>
        <w:t xml:space="preserve">with “ANSI National Accreditation Board (ANAB)” </w:t>
      </w:r>
      <w:r w:rsidRPr="00E26432" w:rsidR="00AA0F18">
        <w:t>by the suggestion of fifteen participants noting the importance of including ANSI and at least one participant suggesting the removal of “CALEA</w:t>
      </w:r>
      <w:r w:rsidR="002675FA">
        <w:t>.</w:t>
      </w:r>
      <w:r w:rsidRPr="00E26432" w:rsidR="00AA0F18">
        <w:t xml:space="preserve">” To further improve clarity, accrediting bodies were spelled out in the revised version of the 2020 CPFFCL. In addition, </w:t>
      </w:r>
      <w:r w:rsidRPr="00E26432" w:rsidR="00924672">
        <w:t xml:space="preserve">F9 was removed due to redundancy and conflicting definitions with the question regarding proficiency above it. </w:t>
      </w:r>
      <w:r w:rsidRPr="00E26432" w:rsidR="00AA0F18">
        <w:t xml:space="preserve"> </w:t>
      </w:r>
    </w:p>
    <w:p w:rsidRPr="00E26432" w:rsidR="00EE43B0" w:rsidP="00793425" w:rsidRDefault="00EE43B0" w14:paraId="3BE727D4" w14:textId="1E9559FD"/>
    <w:p w:rsidRPr="003F776A" w:rsidR="00AF7585" w:rsidP="00793425" w:rsidRDefault="002675FA" w14:paraId="304B1353" w14:textId="75139572">
      <w:r>
        <w:t>BJS</w:t>
      </w:r>
      <w:r w:rsidRPr="003F776A">
        <w:t xml:space="preserve"> </w:t>
      </w:r>
      <w:r w:rsidRPr="003F776A" w:rsidR="00AF7585">
        <w:t>expect</w:t>
      </w:r>
      <w:r>
        <w:t>s</w:t>
      </w:r>
      <w:r w:rsidRPr="003F776A" w:rsidR="00AF7585">
        <w:t xml:space="preserve"> that </w:t>
      </w:r>
      <w:r w:rsidRPr="003F776A" w:rsidR="00E21527">
        <w:t xml:space="preserve">many </w:t>
      </w:r>
      <w:r w:rsidRPr="003F776A" w:rsidR="00AF7585">
        <w:t xml:space="preserve">respondents will </w:t>
      </w:r>
      <w:r w:rsidRPr="003F776A" w:rsidR="00E21527">
        <w:t xml:space="preserve">complete the survey online. </w:t>
      </w:r>
      <w:r w:rsidRPr="003F776A" w:rsidR="00BB7900">
        <w:t>W</w:t>
      </w:r>
      <w:r w:rsidRPr="003F776A" w:rsidR="00AF7585">
        <w:t>eb-based system functions will be in place to ease the burden of survey completion.</w:t>
      </w:r>
      <w:r w:rsidRPr="003F776A" w:rsidR="00745932">
        <w:t xml:space="preserve"> </w:t>
      </w:r>
      <w:r w:rsidRPr="003F776A" w:rsidR="00181BA6">
        <w:t>RTI</w:t>
      </w:r>
      <w:r w:rsidRPr="003F776A" w:rsidR="00AF7585">
        <w:t xml:space="preserve"> u</w:t>
      </w:r>
      <w:r w:rsidRPr="003F776A" w:rsidR="00E64F19">
        <w:t>se</w:t>
      </w:r>
      <w:r w:rsidRPr="003F776A" w:rsidR="00BB7900">
        <w:t>s</w:t>
      </w:r>
      <w:r w:rsidRPr="003F776A" w:rsidR="00AF7585">
        <w:t xml:space="preserve"> an intelligent log-in program for data collection, which will store </w:t>
      </w:r>
      <w:r w:rsidR="003F776A">
        <w:t>laboratory</w:t>
      </w:r>
      <w:r w:rsidRPr="003F776A" w:rsidR="00A320AC">
        <w:t xml:space="preserve"> </w:t>
      </w:r>
      <w:r w:rsidRPr="003F776A" w:rsidR="00AF7585">
        <w:t>information and responses, allowing for multi-session</w:t>
      </w:r>
      <w:r w:rsidRPr="003F776A" w:rsidR="00181BA6">
        <w:t xml:space="preserve"> </w:t>
      </w:r>
      <w:r w:rsidRPr="003F776A" w:rsidR="00AF7585">
        <w:t>completion of the survey instrument.</w:t>
      </w:r>
      <w:r w:rsidRPr="003F776A" w:rsidR="00745932">
        <w:t xml:space="preserve"> </w:t>
      </w:r>
      <w:r w:rsidRPr="003F776A" w:rsidR="00AF7585">
        <w:t xml:space="preserve">Since many </w:t>
      </w:r>
      <w:r w:rsidR="003F776A">
        <w:t>laboratories</w:t>
      </w:r>
      <w:r w:rsidRPr="003F776A" w:rsidR="00AF7585">
        <w:t>, particularly larger ones, will need to seek multiple information sources within their organizations to answer different sections, this will reduce burden by facilitating data entry from different sources.</w:t>
      </w:r>
      <w:r w:rsidRPr="003F776A" w:rsidR="00745932">
        <w:t xml:space="preserve"> </w:t>
      </w:r>
      <w:r w:rsidRPr="003F776A" w:rsidR="00AF7585">
        <w:t xml:space="preserve">It will also reduce burden by allowing </w:t>
      </w:r>
      <w:r w:rsidRPr="003F776A" w:rsidR="00AD4302">
        <w:t xml:space="preserve">respondents </w:t>
      </w:r>
      <w:r w:rsidRPr="003F776A" w:rsidR="00AF7585">
        <w:t xml:space="preserve">to stop response entry pending confirmation of information from others in </w:t>
      </w:r>
      <w:r w:rsidRPr="003F776A" w:rsidR="00E64F19">
        <w:t xml:space="preserve">the </w:t>
      </w:r>
      <w:r w:rsidR="003F776A">
        <w:t>laboratory</w:t>
      </w:r>
      <w:r w:rsidRPr="003F776A" w:rsidR="00AF7585">
        <w:t>.</w:t>
      </w:r>
      <w:r w:rsidRPr="003F776A" w:rsidR="00745932">
        <w:t xml:space="preserve"> </w:t>
      </w:r>
    </w:p>
    <w:p w:rsidRPr="003F776A" w:rsidR="00AF7585" w:rsidP="00793425" w:rsidRDefault="00AF7585" w14:paraId="4B312574" w14:textId="77777777">
      <w:pPr>
        <w:rPr>
          <w:highlight w:val="cyan"/>
        </w:rPr>
      </w:pPr>
    </w:p>
    <w:p w:rsidRPr="00330FA8" w:rsidR="00AF7585" w:rsidP="00793425" w:rsidRDefault="00E21527" w14:paraId="09DB6157" w14:textId="421479F9">
      <w:r w:rsidRPr="003F776A">
        <w:t xml:space="preserve">RTI </w:t>
      </w:r>
      <w:r w:rsidRPr="003F776A" w:rsidR="00AF7585">
        <w:t xml:space="preserve">will also </w:t>
      </w:r>
      <w:r w:rsidRPr="003F776A" w:rsidR="00B87747">
        <w:t xml:space="preserve">provide assistance </w:t>
      </w:r>
      <w:r w:rsidRPr="00330FA8" w:rsidR="00AF7585">
        <w:t xml:space="preserve">by phone and email. </w:t>
      </w:r>
      <w:r w:rsidRPr="00330FA8" w:rsidR="0095784F">
        <w:t>A toll-free help line will be established</w:t>
      </w:r>
      <w:r w:rsidR="00D32A20">
        <w:t>,</w:t>
      </w:r>
      <w:r w:rsidRPr="00330FA8" w:rsidR="0095784F">
        <w:t xml:space="preserve"> and s</w:t>
      </w:r>
      <w:r w:rsidRPr="00330FA8">
        <w:t>taff</w:t>
      </w:r>
      <w:r w:rsidRPr="00330FA8" w:rsidR="00140AC0">
        <w:t xml:space="preserve"> will</w:t>
      </w:r>
      <w:r w:rsidRPr="00330FA8" w:rsidR="00E23575">
        <w:t xml:space="preserve"> be available </w:t>
      </w:r>
      <w:r w:rsidRPr="00330FA8" w:rsidR="00D55A26">
        <w:t xml:space="preserve">during regular business hours. </w:t>
      </w:r>
      <w:r w:rsidRPr="00330FA8">
        <w:t xml:space="preserve">When staff are not available, calls will </w:t>
      </w:r>
      <w:r w:rsidRPr="00330FA8" w:rsidR="00AD4302">
        <w:t xml:space="preserve">be </w:t>
      </w:r>
      <w:r w:rsidRPr="00330FA8">
        <w:t xml:space="preserve">routed to voicemail. </w:t>
      </w:r>
      <w:r w:rsidRPr="00330FA8" w:rsidR="00AD4302">
        <w:t xml:space="preserve">Messages </w:t>
      </w:r>
      <w:r w:rsidRPr="00330FA8">
        <w:t xml:space="preserve">will be </w:t>
      </w:r>
      <w:r w:rsidRPr="00330FA8" w:rsidR="00AD4302">
        <w:t xml:space="preserve">responded to </w:t>
      </w:r>
      <w:r w:rsidRPr="00330FA8">
        <w:t>within 48 hours. A</w:t>
      </w:r>
      <w:r w:rsidRPr="00330FA8" w:rsidR="00AF7585">
        <w:t xml:space="preserve"> dedicated </w:t>
      </w:r>
      <w:r w:rsidRPr="00330FA8" w:rsidR="00330FA8">
        <w:t>CPFFCL</w:t>
      </w:r>
      <w:r w:rsidRPr="00330FA8" w:rsidR="00AF7585">
        <w:t xml:space="preserve"> help email address will be provided </w:t>
      </w:r>
      <w:r w:rsidRPr="00330FA8">
        <w:t>with all written materials</w:t>
      </w:r>
      <w:r w:rsidRPr="00330FA8" w:rsidR="00524AD5">
        <w:t xml:space="preserve"> and emails. </w:t>
      </w:r>
      <w:r w:rsidRPr="00330FA8" w:rsidR="00007979">
        <w:t xml:space="preserve">Phone </w:t>
      </w:r>
      <w:r w:rsidRPr="00330FA8" w:rsidR="00AF7585">
        <w:t>numbers</w:t>
      </w:r>
      <w:r w:rsidRPr="00330FA8" w:rsidR="00007979">
        <w:t xml:space="preserve"> and </w:t>
      </w:r>
      <w:r w:rsidRPr="00330FA8" w:rsidR="00AF7585">
        <w:t>email address</w:t>
      </w:r>
      <w:r w:rsidRPr="00330FA8" w:rsidR="00007979">
        <w:t>es</w:t>
      </w:r>
      <w:r w:rsidRPr="00330FA8" w:rsidR="00AF7585">
        <w:t xml:space="preserve"> will be provided to respondents to </w:t>
      </w:r>
      <w:r w:rsidRPr="00330FA8" w:rsidR="00B84370">
        <w:t>e</w:t>
      </w:r>
      <w:r w:rsidRPr="00330FA8" w:rsidR="00AF7585">
        <w:t xml:space="preserve">nsure timely communications. </w:t>
      </w:r>
    </w:p>
    <w:p w:rsidRPr="00330FA8" w:rsidR="007E2EED" w:rsidP="00793425" w:rsidRDefault="00AF7585" w14:paraId="4CE99943" w14:textId="0D83D635">
      <w:r w:rsidRPr="00330FA8">
        <w:t xml:space="preserve"> </w:t>
      </w:r>
    </w:p>
    <w:p w:rsidRPr="00330FA8" w:rsidR="00AF7585" w:rsidP="00793425" w:rsidRDefault="00AF7585" w14:paraId="38A98E16" w14:textId="77777777">
      <w:pPr>
        <w:pStyle w:val="ListParagraph"/>
        <w:numPr>
          <w:ilvl w:val="0"/>
          <w:numId w:val="2"/>
        </w:numPr>
        <w:rPr>
          <w:b/>
          <w:u w:val="single"/>
        </w:rPr>
      </w:pPr>
      <w:r w:rsidRPr="00330FA8">
        <w:rPr>
          <w:b/>
          <w:u w:val="single"/>
        </w:rPr>
        <w:t>Consequences of Less Frequent Collection</w:t>
      </w:r>
    </w:p>
    <w:p w:rsidRPr="00330FA8" w:rsidR="00AF7585" w:rsidP="00793425" w:rsidRDefault="00AF7585" w14:paraId="5BBCA74D" w14:textId="77777777">
      <w:pPr>
        <w:pStyle w:val="ListParagraph"/>
        <w:ind w:left="360"/>
        <w:rPr>
          <w:u w:val="single"/>
        </w:rPr>
      </w:pPr>
    </w:p>
    <w:p w:rsidRPr="00330FA8" w:rsidR="00174621" w:rsidP="00793425" w:rsidRDefault="004A16A1" w14:paraId="2F26CA30" w14:textId="7AD99B1B">
      <w:r w:rsidRPr="00330FA8">
        <w:t>Based in part on recommendations from the National Research Council (Groves and Cork, 2011), BJS has determined that it is necessary to improve the timeliness of the publications flowing from its law enforcement data collections</w:t>
      </w:r>
      <w:r w:rsidRPr="00330FA8" w:rsidR="009F780F">
        <w:t xml:space="preserve">. </w:t>
      </w:r>
      <w:r w:rsidRPr="00330FA8" w:rsidR="004B5870">
        <w:t xml:space="preserve">For </w:t>
      </w:r>
      <w:r w:rsidRPr="00330FA8" w:rsidR="00330FA8">
        <w:t>CPFFCL</w:t>
      </w:r>
      <w:r w:rsidRPr="00330FA8" w:rsidR="0039502C">
        <w:t xml:space="preserve">, the periodicity of the collection </w:t>
      </w:r>
      <w:r w:rsidRPr="00330FA8" w:rsidR="00E843C8">
        <w:t xml:space="preserve">is </w:t>
      </w:r>
      <w:r w:rsidRPr="00330FA8" w:rsidR="00330FA8">
        <w:t>about every 5</w:t>
      </w:r>
      <w:r w:rsidRPr="00330FA8" w:rsidR="0039502C">
        <w:t xml:space="preserve"> years for this cycle</w:t>
      </w:r>
      <w:r w:rsidRPr="00330FA8" w:rsidR="00C46E13">
        <w:t xml:space="preserve"> and </w:t>
      </w:r>
      <w:r w:rsidRPr="00330FA8" w:rsidR="00AA21EC">
        <w:t>should result</w:t>
      </w:r>
      <w:r w:rsidRPr="00330FA8" w:rsidR="0039502C">
        <w:t xml:space="preserve"> in a publication </w:t>
      </w:r>
      <w:r w:rsidRPr="00330FA8" w:rsidR="00AA21EC">
        <w:t xml:space="preserve">released in </w:t>
      </w:r>
      <w:r w:rsidRPr="00330FA8" w:rsidR="00A26AF7">
        <w:t>20</w:t>
      </w:r>
      <w:r w:rsidRPr="00330FA8" w:rsidR="00330FA8">
        <w:t>22</w:t>
      </w:r>
      <w:r w:rsidRPr="00330FA8" w:rsidR="0095784F">
        <w:t>.</w:t>
      </w:r>
      <w:r w:rsidRPr="00330FA8" w:rsidR="00EC2F93">
        <w:t xml:space="preserve"> </w:t>
      </w:r>
    </w:p>
    <w:p w:rsidRPr="00330FA8" w:rsidR="00533D24" w:rsidP="00793425" w:rsidRDefault="00533D24" w14:paraId="0D71B1CE" w14:textId="77777777"/>
    <w:p w:rsidRPr="00330FA8" w:rsidR="009F780F" w:rsidP="00793425" w:rsidRDefault="00533D24" w14:paraId="6F6B0F7C" w14:textId="4BA3BBDF">
      <w:r w:rsidRPr="00330FA8">
        <w:t>M</w:t>
      </w:r>
      <w:r w:rsidRPr="00330FA8" w:rsidR="00EC2F93">
        <w:t xml:space="preserve">ore frequent data collection efforts allow BJS and Federal, state, and regional governments to examine </w:t>
      </w:r>
      <w:r w:rsidRPr="00330FA8" w:rsidR="00C46E13">
        <w:t>more timely</w:t>
      </w:r>
      <w:r w:rsidRPr="00330FA8">
        <w:t xml:space="preserve"> data and</w:t>
      </w:r>
      <w:r w:rsidRPr="00330FA8" w:rsidR="00EC2F93">
        <w:t xml:space="preserve"> changes </w:t>
      </w:r>
      <w:r w:rsidRPr="00330FA8" w:rsidR="00C46E13">
        <w:t>in trends</w:t>
      </w:r>
      <w:r w:rsidRPr="00330FA8" w:rsidR="00EC2F93">
        <w:t>.</w:t>
      </w:r>
      <w:r w:rsidRPr="00330FA8">
        <w:t xml:space="preserve"> Should the </w:t>
      </w:r>
      <w:r w:rsidRPr="00330FA8" w:rsidR="00330FA8">
        <w:t>2020 CPFFCL</w:t>
      </w:r>
      <w:r w:rsidRPr="00330FA8">
        <w:t xml:space="preserve"> not be fielded, the 20</w:t>
      </w:r>
      <w:r w:rsidRPr="00330FA8" w:rsidR="00330FA8">
        <w:t>1</w:t>
      </w:r>
      <w:r w:rsidRPr="00330FA8">
        <w:t>4 data will remain</w:t>
      </w:r>
      <w:r w:rsidRPr="00330FA8" w:rsidR="00174621">
        <w:t>—at least in the short term—</w:t>
      </w:r>
      <w:r w:rsidRPr="00330FA8">
        <w:t xml:space="preserve">as the most comprehensive information about the </w:t>
      </w:r>
      <w:r w:rsidRPr="00330FA8" w:rsidR="00330FA8">
        <w:t>forensic laboratory</w:t>
      </w:r>
      <w:r w:rsidRPr="00330FA8">
        <w:t xml:space="preserve"> system</w:t>
      </w:r>
      <w:r w:rsidRPr="00330FA8" w:rsidR="00330FA8">
        <w:t xml:space="preserve"> in the United States</w:t>
      </w:r>
      <w:r w:rsidRPr="00330FA8">
        <w:t xml:space="preserve">. These data are outdated and provide </w:t>
      </w:r>
      <w:r w:rsidRPr="00330FA8" w:rsidR="00330FA8">
        <w:t xml:space="preserve">limited </w:t>
      </w:r>
      <w:r w:rsidRPr="00330FA8">
        <w:t xml:space="preserve">insight into the access and use of new forensic technologies that have been developed and evolved since the </w:t>
      </w:r>
      <w:r w:rsidRPr="00330FA8" w:rsidR="00330FA8">
        <w:t>2014 CPFFCL</w:t>
      </w:r>
      <w:r w:rsidRPr="00330FA8">
        <w:t xml:space="preserve">. Moreover, </w:t>
      </w:r>
      <w:r w:rsidRPr="00330FA8" w:rsidR="00524953">
        <w:t>F</w:t>
      </w:r>
      <w:r w:rsidRPr="00330FA8">
        <w:t xml:space="preserve">ederal programs aimed to support the </w:t>
      </w:r>
      <w:r w:rsidRPr="00330FA8" w:rsidR="00330FA8">
        <w:t>forensic laboratory</w:t>
      </w:r>
      <w:r w:rsidRPr="00330FA8">
        <w:t xml:space="preserve"> system through grant funding—e.g., </w:t>
      </w:r>
      <w:r w:rsidR="003F776A">
        <w:t>the Bureau of Justice Assistance</w:t>
      </w:r>
      <w:r w:rsidRPr="00330FA8" w:rsidR="00AB3387">
        <w:t xml:space="preserve">’s </w:t>
      </w:r>
      <w:r w:rsidRPr="00D457A2" w:rsidR="00330FA8">
        <w:t>Coverdell grants</w:t>
      </w:r>
      <w:r w:rsidRPr="00330FA8" w:rsidR="00AB3387">
        <w:rPr>
          <w:i/>
          <w:iCs/>
        </w:rPr>
        <w:t>—</w:t>
      </w:r>
      <w:r w:rsidRPr="00330FA8" w:rsidR="00AB3387">
        <w:t xml:space="preserve">will continue to base some of the funding and programmatic needs on </w:t>
      </w:r>
      <w:r w:rsidRPr="00330FA8" w:rsidR="00174621">
        <w:t xml:space="preserve">these old, outdated </w:t>
      </w:r>
      <w:r w:rsidRPr="00330FA8" w:rsidR="00AB3387">
        <w:t>data.</w:t>
      </w:r>
    </w:p>
    <w:p w:rsidRPr="00330FA8" w:rsidR="009F780F" w:rsidP="00793425" w:rsidRDefault="009F780F" w14:paraId="793DF211" w14:textId="77777777"/>
    <w:p w:rsidRPr="00330FA8" w:rsidR="00AF7585" w:rsidP="00793425" w:rsidRDefault="00AF7585" w14:paraId="49EDB7F1" w14:textId="77777777">
      <w:pPr>
        <w:pStyle w:val="ListParagraph"/>
        <w:numPr>
          <w:ilvl w:val="0"/>
          <w:numId w:val="2"/>
        </w:numPr>
        <w:rPr>
          <w:b/>
          <w:u w:val="single"/>
        </w:rPr>
      </w:pPr>
      <w:r w:rsidRPr="00330FA8">
        <w:rPr>
          <w:b/>
          <w:u w:val="single"/>
        </w:rPr>
        <w:t>Special Circumstances</w:t>
      </w:r>
    </w:p>
    <w:p w:rsidRPr="00330FA8" w:rsidR="00AF7585" w:rsidP="00793425" w:rsidRDefault="00AF7585" w14:paraId="3FB679CF" w14:textId="77777777">
      <w:pPr>
        <w:pStyle w:val="ListParagraph"/>
        <w:ind w:left="360"/>
      </w:pPr>
    </w:p>
    <w:p w:rsidRPr="00330FA8" w:rsidR="00665E36" w:rsidP="00793425" w:rsidRDefault="00AF7585" w14:paraId="566BCB32" w14:textId="628BEC7F">
      <w:r w:rsidRPr="00330FA8">
        <w:t>No special circumstances have been identified for this project.</w:t>
      </w:r>
    </w:p>
    <w:p w:rsidRPr="00330FA8" w:rsidR="00A26AF7" w:rsidP="00793425" w:rsidRDefault="00A26AF7" w14:paraId="2CFCBA3A" w14:textId="77777777"/>
    <w:p w:rsidRPr="0006572A" w:rsidR="00C6356B" w:rsidP="00793425" w:rsidRDefault="00C6356B" w14:paraId="6139EC78" w14:textId="14862FF3">
      <w:pPr>
        <w:pStyle w:val="ListParagraph"/>
        <w:numPr>
          <w:ilvl w:val="0"/>
          <w:numId w:val="2"/>
        </w:numPr>
        <w:shd w:val="solid" w:color="FFFFFF" w:fill="FFFFFF"/>
        <w:autoSpaceDE w:val="0"/>
        <w:autoSpaceDN w:val="0"/>
        <w:adjustRightInd w:val="0"/>
        <w:rPr>
          <w:b/>
          <w:u w:val="single"/>
        </w:rPr>
      </w:pPr>
      <w:r w:rsidRPr="0006572A">
        <w:rPr>
          <w:b/>
          <w:u w:val="single"/>
        </w:rPr>
        <w:t xml:space="preserve">Federal Register Publication and Outside Consultation </w:t>
      </w:r>
    </w:p>
    <w:p w:rsidRPr="00330FA8" w:rsidR="00C6356B" w:rsidP="00793425" w:rsidRDefault="00C6356B" w14:paraId="0631934F" w14:textId="77777777">
      <w:pPr>
        <w:shd w:val="solid" w:color="FFFFFF" w:fill="FFFFFF"/>
      </w:pPr>
    </w:p>
    <w:p w:rsidR="00BD08C1" w:rsidP="00793425" w:rsidRDefault="00BD08C1" w14:paraId="7720C98B" w14:textId="1A261E43">
      <w:r>
        <w:t>An expert panel of practitioners was gathered to assess the instrument used for the 2020</w:t>
      </w:r>
      <w:r w:rsidRPr="00BD08C1">
        <w:t xml:space="preserve"> </w:t>
      </w:r>
      <w:r w:rsidRPr="00330FA8">
        <w:t>CPFFCL</w:t>
      </w:r>
      <w:r>
        <w:t xml:space="preserve">. These panelists included practitioners from a diverse set of crime laboratories and </w:t>
      </w:r>
      <w:r>
        <w:lastRenderedPageBreak/>
        <w:t>laboratory system. Panelists were provided with the survey instrument and materials from BJS and RTI introducing the project and BJS’s goals in conducting the census. Panelists were asked to assess the survey form for clarity of the questions, relevance of the questions to the field, and to provide the project</w:t>
      </w:r>
      <w:r w:rsidRPr="00330FA8">
        <w:t xml:space="preserve"> </w:t>
      </w:r>
      <w:r>
        <w:t xml:space="preserve">team with updates from the field that ought to be included in the form. BJS, RTI, and the expert panelists gathered for a two-day meeting to discuss the form item-by-item. </w:t>
      </w:r>
      <w:r w:rsidR="00322E8E">
        <w:t xml:space="preserve">A special emphasis was placed on digital evidence since this is a burgeoning field, but research has not kept pace with it. </w:t>
      </w:r>
      <w:r>
        <w:t xml:space="preserve">Feedback from this expert panel was used to inform instrument design for cognitive testing discussed above. Expert panelists are included in </w:t>
      </w:r>
      <w:r w:rsidRPr="00BD08C1">
        <w:rPr>
          <w:b/>
          <w:bCs/>
        </w:rPr>
        <w:t>Table 1</w:t>
      </w:r>
      <w:r>
        <w:t>.</w:t>
      </w:r>
    </w:p>
    <w:p w:rsidR="00322E8E" w:rsidP="00793425" w:rsidRDefault="00322E8E" w14:paraId="5C3EF9ED" w14:textId="77777777"/>
    <w:p w:rsidRPr="00322E8E" w:rsidR="00322E8E" w:rsidP="00793425" w:rsidRDefault="00322E8E" w14:paraId="5FB10680" w14:textId="613B307F">
      <w:pPr>
        <w:rPr>
          <w:b/>
          <w:bCs/>
        </w:rPr>
      </w:pPr>
      <w:r w:rsidRPr="00322E8E">
        <w:rPr>
          <w:b/>
          <w:bCs/>
        </w:rPr>
        <w:t>Table 1. 2020 CPFFCL Expert Panel Members</w:t>
      </w:r>
    </w:p>
    <w:tbl>
      <w:tblPr>
        <w:tblStyle w:val="TableGrid"/>
        <w:tblW w:w="0" w:type="auto"/>
        <w:jc w:val="center"/>
        <w:tblLook w:val="04A0" w:firstRow="1" w:lastRow="0" w:firstColumn="1" w:lastColumn="0" w:noHBand="0" w:noVBand="1"/>
      </w:tblPr>
      <w:tblGrid>
        <w:gridCol w:w="2340"/>
        <w:gridCol w:w="6840"/>
      </w:tblGrid>
      <w:tr w:rsidRPr="00623865" w:rsidR="00322E8E" w:rsidTr="00322E8E" w14:paraId="4D60EB29" w14:textId="77777777">
        <w:trPr>
          <w:jc w:val="center"/>
        </w:trPr>
        <w:tc>
          <w:tcPr>
            <w:tcW w:w="2340" w:type="dxa"/>
          </w:tcPr>
          <w:p w:rsidRPr="00322E8E" w:rsidR="00322E8E" w:rsidP="00793425" w:rsidRDefault="00322E8E" w14:paraId="0B6631E0" w14:textId="44237079">
            <w:pPr>
              <w:rPr>
                <w:rFonts w:ascii="Times New Roman" w:hAnsi="Times New Roman"/>
                <w:b/>
                <w:bCs/>
              </w:rPr>
            </w:pPr>
            <w:r w:rsidRPr="00322E8E">
              <w:rPr>
                <w:rFonts w:ascii="Times New Roman" w:hAnsi="Times New Roman"/>
                <w:b/>
                <w:bCs/>
              </w:rPr>
              <w:t>Panelist</w:t>
            </w:r>
          </w:p>
        </w:tc>
        <w:tc>
          <w:tcPr>
            <w:tcW w:w="6840" w:type="dxa"/>
          </w:tcPr>
          <w:p w:rsidRPr="00322E8E" w:rsidR="00322E8E" w:rsidP="00793425" w:rsidRDefault="00322E8E" w14:paraId="6A941119" w14:textId="14EE0596">
            <w:pPr>
              <w:rPr>
                <w:rFonts w:ascii="Times New Roman" w:hAnsi="Times New Roman"/>
                <w:b/>
                <w:bCs/>
              </w:rPr>
            </w:pPr>
            <w:r w:rsidRPr="00322E8E">
              <w:rPr>
                <w:rFonts w:ascii="Times New Roman" w:hAnsi="Times New Roman"/>
                <w:b/>
                <w:bCs/>
              </w:rPr>
              <w:t>Affiliation</w:t>
            </w:r>
          </w:p>
        </w:tc>
      </w:tr>
      <w:tr w:rsidRPr="00623865" w:rsidR="00322E8E" w:rsidTr="00322E8E" w14:paraId="0C14C30E" w14:textId="77777777">
        <w:trPr>
          <w:jc w:val="center"/>
        </w:trPr>
        <w:tc>
          <w:tcPr>
            <w:tcW w:w="2340" w:type="dxa"/>
          </w:tcPr>
          <w:p w:rsidRPr="00322E8E" w:rsidR="00322E8E" w:rsidP="00793425" w:rsidRDefault="00322E8E" w14:paraId="1ADD24F5" w14:textId="77D26600">
            <w:pPr>
              <w:rPr>
                <w:rFonts w:ascii="Times New Roman" w:hAnsi="Times New Roman"/>
                <w:b/>
                <w:bCs/>
              </w:rPr>
            </w:pPr>
            <w:r w:rsidRPr="00322E8E">
              <w:rPr>
                <w:rFonts w:ascii="Times New Roman" w:hAnsi="Times New Roman"/>
              </w:rPr>
              <w:t>Matthew Gamette</w:t>
            </w:r>
          </w:p>
        </w:tc>
        <w:tc>
          <w:tcPr>
            <w:tcW w:w="6840" w:type="dxa"/>
          </w:tcPr>
          <w:p w:rsidRPr="00322E8E" w:rsidR="00322E8E" w:rsidP="00793425" w:rsidRDefault="00322E8E" w14:paraId="30DF92F0" w14:textId="5DA012D9">
            <w:pPr>
              <w:rPr>
                <w:rFonts w:ascii="Times New Roman" w:hAnsi="Times New Roman"/>
                <w:b/>
                <w:bCs/>
              </w:rPr>
            </w:pPr>
            <w:r w:rsidRPr="00322E8E">
              <w:rPr>
                <w:rFonts w:ascii="Times New Roman" w:hAnsi="Times New Roman"/>
              </w:rPr>
              <w:t>Idaho State Police, Forensic Services Laboratory System</w:t>
            </w:r>
          </w:p>
        </w:tc>
      </w:tr>
      <w:tr w:rsidRPr="00623865" w:rsidR="00322E8E" w:rsidTr="00322E8E" w14:paraId="5771F75D" w14:textId="77777777">
        <w:trPr>
          <w:jc w:val="center"/>
        </w:trPr>
        <w:tc>
          <w:tcPr>
            <w:tcW w:w="2340" w:type="dxa"/>
          </w:tcPr>
          <w:p w:rsidRPr="00322E8E" w:rsidR="00322E8E" w:rsidP="00793425" w:rsidRDefault="00322E8E" w14:paraId="0F0B4C34" w14:textId="4029734D">
            <w:pPr>
              <w:rPr>
                <w:rFonts w:ascii="Times New Roman" w:hAnsi="Times New Roman"/>
              </w:rPr>
            </w:pPr>
            <w:r w:rsidRPr="00322E8E">
              <w:rPr>
                <w:rFonts w:ascii="Times New Roman" w:hAnsi="Times New Roman"/>
              </w:rPr>
              <w:t>Sean Goodison</w:t>
            </w:r>
          </w:p>
        </w:tc>
        <w:tc>
          <w:tcPr>
            <w:tcW w:w="6840" w:type="dxa"/>
          </w:tcPr>
          <w:p w:rsidRPr="00322E8E" w:rsidR="00322E8E" w:rsidP="00793425" w:rsidRDefault="00322E8E" w14:paraId="3F771BCA" w14:textId="5A51BF80">
            <w:pPr>
              <w:rPr>
                <w:rFonts w:ascii="Times New Roman" w:hAnsi="Times New Roman"/>
              </w:rPr>
            </w:pPr>
            <w:r w:rsidRPr="00322E8E">
              <w:rPr>
                <w:rFonts w:ascii="Times New Roman" w:hAnsi="Times New Roman"/>
              </w:rPr>
              <w:t>Police Executive Research Forum</w:t>
            </w:r>
          </w:p>
        </w:tc>
      </w:tr>
      <w:tr w:rsidRPr="00623865" w:rsidR="00322E8E" w:rsidTr="00322E8E" w14:paraId="13FE57DD" w14:textId="77777777">
        <w:trPr>
          <w:jc w:val="center"/>
        </w:trPr>
        <w:tc>
          <w:tcPr>
            <w:tcW w:w="2340" w:type="dxa"/>
          </w:tcPr>
          <w:p w:rsidRPr="00322E8E" w:rsidR="00322E8E" w:rsidP="00793425" w:rsidRDefault="00322E8E" w14:paraId="18DB6AB9" w14:textId="47F86E3B">
            <w:pPr>
              <w:rPr>
                <w:rFonts w:ascii="Times New Roman" w:hAnsi="Times New Roman"/>
              </w:rPr>
            </w:pPr>
            <w:r w:rsidRPr="00322E8E">
              <w:rPr>
                <w:rFonts w:ascii="Times New Roman" w:hAnsi="Times New Roman"/>
                <w:color w:val="000000" w:themeColor="text1"/>
              </w:rPr>
              <w:t>Troy Lawrence</w:t>
            </w:r>
          </w:p>
        </w:tc>
        <w:tc>
          <w:tcPr>
            <w:tcW w:w="6840" w:type="dxa"/>
          </w:tcPr>
          <w:p w:rsidRPr="00322E8E" w:rsidR="00322E8E" w:rsidP="00793425" w:rsidRDefault="00322E8E" w14:paraId="349A06A9" w14:textId="20A9ADCB">
            <w:pPr>
              <w:rPr>
                <w:rFonts w:ascii="Times New Roman" w:hAnsi="Times New Roman"/>
              </w:rPr>
            </w:pPr>
            <w:r w:rsidRPr="00322E8E">
              <w:rPr>
                <w:rFonts w:ascii="Times New Roman" w:hAnsi="Times New Roman"/>
                <w:color w:val="000000" w:themeColor="text1"/>
              </w:rPr>
              <w:t>Fort Worth Police Department, Digital Forensic Laboratory</w:t>
            </w:r>
          </w:p>
        </w:tc>
      </w:tr>
      <w:tr w:rsidRPr="00623865" w:rsidR="00322E8E" w:rsidTr="00322E8E" w14:paraId="7FB456B6" w14:textId="77777777">
        <w:trPr>
          <w:jc w:val="center"/>
        </w:trPr>
        <w:tc>
          <w:tcPr>
            <w:tcW w:w="2340" w:type="dxa"/>
          </w:tcPr>
          <w:p w:rsidRPr="00322E8E" w:rsidR="00322E8E" w:rsidP="00793425" w:rsidRDefault="00322E8E" w14:paraId="1503F915" w14:textId="6E516997">
            <w:pPr>
              <w:rPr>
                <w:rFonts w:ascii="Times New Roman" w:hAnsi="Times New Roman"/>
              </w:rPr>
            </w:pPr>
            <w:r w:rsidRPr="00322E8E">
              <w:rPr>
                <w:rFonts w:ascii="Times New Roman" w:hAnsi="Times New Roman"/>
              </w:rPr>
              <w:t>Sean Lips</w:t>
            </w:r>
          </w:p>
        </w:tc>
        <w:tc>
          <w:tcPr>
            <w:tcW w:w="6840" w:type="dxa"/>
          </w:tcPr>
          <w:p w:rsidRPr="00322E8E" w:rsidR="00322E8E" w:rsidP="00793425" w:rsidRDefault="00322E8E" w14:paraId="54774C3B" w14:textId="444CC695">
            <w:pPr>
              <w:rPr>
                <w:rFonts w:ascii="Times New Roman" w:hAnsi="Times New Roman"/>
              </w:rPr>
            </w:pPr>
            <w:r w:rsidRPr="00322E8E">
              <w:rPr>
                <w:rFonts w:ascii="Times New Roman" w:hAnsi="Times New Roman"/>
              </w:rPr>
              <w:t>Milwaukee Police Department, Computer Crimes Unit</w:t>
            </w:r>
          </w:p>
        </w:tc>
      </w:tr>
      <w:tr w:rsidRPr="00623865" w:rsidR="00322E8E" w:rsidTr="00322E8E" w14:paraId="70168CC4" w14:textId="77777777">
        <w:trPr>
          <w:jc w:val="center"/>
        </w:trPr>
        <w:tc>
          <w:tcPr>
            <w:tcW w:w="2340" w:type="dxa"/>
          </w:tcPr>
          <w:p w:rsidRPr="00322E8E" w:rsidR="00322E8E" w:rsidP="00793425" w:rsidRDefault="00322E8E" w14:paraId="36936B73" w14:textId="5D8F4F93">
            <w:pPr>
              <w:rPr>
                <w:rFonts w:ascii="Times New Roman" w:hAnsi="Times New Roman"/>
              </w:rPr>
            </w:pPr>
            <w:r w:rsidRPr="00322E8E">
              <w:rPr>
                <w:rFonts w:ascii="Times New Roman" w:hAnsi="Times New Roman"/>
                <w:color w:val="000000" w:themeColor="text1"/>
              </w:rPr>
              <w:t>Bonnie Mountain</w:t>
            </w:r>
          </w:p>
        </w:tc>
        <w:tc>
          <w:tcPr>
            <w:tcW w:w="6840" w:type="dxa"/>
          </w:tcPr>
          <w:p w:rsidRPr="00322E8E" w:rsidR="00322E8E" w:rsidP="00793425" w:rsidRDefault="00322E8E" w14:paraId="508DEEFF" w14:textId="5DECA95F">
            <w:pPr>
              <w:rPr>
                <w:rFonts w:ascii="Times New Roman" w:hAnsi="Times New Roman"/>
              </w:rPr>
            </w:pPr>
            <w:r w:rsidRPr="00322E8E">
              <w:rPr>
                <w:rFonts w:ascii="Times New Roman" w:hAnsi="Times New Roman"/>
                <w:color w:val="000000" w:themeColor="text1"/>
              </w:rPr>
              <w:t>Denver Police Department, Crime Laboratory</w:t>
            </w:r>
          </w:p>
        </w:tc>
      </w:tr>
      <w:tr w:rsidRPr="00623865" w:rsidR="00322E8E" w:rsidTr="00322E8E" w14:paraId="5B85CD5C" w14:textId="77777777">
        <w:trPr>
          <w:jc w:val="center"/>
        </w:trPr>
        <w:tc>
          <w:tcPr>
            <w:tcW w:w="2340" w:type="dxa"/>
          </w:tcPr>
          <w:p w:rsidRPr="00322E8E" w:rsidR="00322E8E" w:rsidP="00793425" w:rsidRDefault="00322E8E" w14:paraId="4DC2DBFE" w14:textId="07B6C92A">
            <w:pPr>
              <w:rPr>
                <w:rFonts w:ascii="Times New Roman" w:hAnsi="Times New Roman"/>
                <w:color w:val="000000" w:themeColor="text1"/>
              </w:rPr>
            </w:pPr>
            <w:r w:rsidRPr="00322E8E">
              <w:rPr>
                <w:rFonts w:ascii="Times New Roman" w:hAnsi="Times New Roman"/>
                <w:color w:val="000000" w:themeColor="text1"/>
              </w:rPr>
              <w:t>Paul Speaker</w:t>
            </w:r>
          </w:p>
        </w:tc>
        <w:tc>
          <w:tcPr>
            <w:tcW w:w="6840" w:type="dxa"/>
          </w:tcPr>
          <w:p w:rsidRPr="00322E8E" w:rsidR="00322E8E" w:rsidP="00793425" w:rsidRDefault="00322E8E" w14:paraId="477E8374" w14:textId="75914A9E">
            <w:pPr>
              <w:rPr>
                <w:rFonts w:ascii="Times New Roman" w:hAnsi="Times New Roman"/>
                <w:color w:val="000000" w:themeColor="text1"/>
              </w:rPr>
            </w:pPr>
            <w:r w:rsidRPr="00322E8E">
              <w:rPr>
                <w:rFonts w:ascii="Times New Roman" w:hAnsi="Times New Roman"/>
                <w:color w:val="000000" w:themeColor="text1"/>
              </w:rPr>
              <w:t>West Virginia University</w:t>
            </w:r>
          </w:p>
        </w:tc>
      </w:tr>
      <w:tr w:rsidRPr="0056210C" w:rsidR="00322E8E" w:rsidTr="00322E8E" w14:paraId="0C5D2DFD" w14:textId="77777777">
        <w:trPr>
          <w:jc w:val="center"/>
        </w:trPr>
        <w:tc>
          <w:tcPr>
            <w:tcW w:w="2340" w:type="dxa"/>
          </w:tcPr>
          <w:p w:rsidRPr="00322E8E" w:rsidR="00322E8E" w:rsidP="00793425" w:rsidRDefault="00322E8E" w14:paraId="1A2A6022" w14:textId="5B2A7BB9">
            <w:pPr>
              <w:rPr>
                <w:rFonts w:ascii="Times New Roman" w:hAnsi="Times New Roman"/>
                <w:color w:val="000000" w:themeColor="text1"/>
              </w:rPr>
            </w:pPr>
            <w:r w:rsidRPr="00322E8E">
              <w:rPr>
                <w:rFonts w:ascii="Times New Roman" w:hAnsi="Times New Roman"/>
              </w:rPr>
              <w:t>Chris Stark</w:t>
            </w:r>
          </w:p>
        </w:tc>
        <w:tc>
          <w:tcPr>
            <w:tcW w:w="6840" w:type="dxa"/>
          </w:tcPr>
          <w:p w:rsidRPr="00322E8E" w:rsidR="00322E8E" w:rsidP="00793425" w:rsidRDefault="00322E8E" w14:paraId="66B6C2D4" w14:textId="07D95CB9">
            <w:pPr>
              <w:rPr>
                <w:rFonts w:ascii="Times New Roman" w:hAnsi="Times New Roman"/>
                <w:color w:val="000000" w:themeColor="text1"/>
              </w:rPr>
            </w:pPr>
            <w:r w:rsidRPr="00322E8E">
              <w:rPr>
                <w:rFonts w:ascii="Times New Roman" w:hAnsi="Times New Roman"/>
              </w:rPr>
              <w:t>Raleigh/Wake City-County Bureau of Identification</w:t>
            </w:r>
          </w:p>
        </w:tc>
      </w:tr>
      <w:tr w:rsidRPr="0056210C" w:rsidR="00322E8E" w:rsidTr="00322E8E" w14:paraId="31FB2922" w14:textId="77777777">
        <w:trPr>
          <w:jc w:val="center"/>
        </w:trPr>
        <w:tc>
          <w:tcPr>
            <w:tcW w:w="2340" w:type="dxa"/>
          </w:tcPr>
          <w:p w:rsidRPr="00322E8E" w:rsidR="00322E8E" w:rsidP="00793425" w:rsidRDefault="00322E8E" w14:paraId="6DB9F6C2" w14:textId="77777777">
            <w:pPr>
              <w:rPr>
                <w:rFonts w:ascii="Times New Roman" w:hAnsi="Times New Roman"/>
                <w:color w:val="000000" w:themeColor="text1"/>
              </w:rPr>
            </w:pPr>
            <w:r w:rsidRPr="00322E8E">
              <w:rPr>
                <w:rFonts w:ascii="Times New Roman" w:hAnsi="Times New Roman"/>
                <w:color w:val="000000" w:themeColor="text1"/>
              </w:rPr>
              <w:t>Tracy Walraven</w:t>
            </w:r>
          </w:p>
        </w:tc>
        <w:tc>
          <w:tcPr>
            <w:tcW w:w="6840" w:type="dxa"/>
          </w:tcPr>
          <w:p w:rsidRPr="00322E8E" w:rsidR="00322E8E" w:rsidP="00793425" w:rsidRDefault="00322E8E" w14:paraId="123C64FE" w14:textId="77777777">
            <w:pPr>
              <w:rPr>
                <w:rFonts w:ascii="Times New Roman" w:hAnsi="Times New Roman"/>
                <w:color w:val="000000" w:themeColor="text1"/>
              </w:rPr>
            </w:pPr>
            <w:r w:rsidRPr="00322E8E">
              <w:rPr>
                <w:rFonts w:ascii="Times New Roman" w:hAnsi="Times New Roman"/>
                <w:color w:val="000000" w:themeColor="text1"/>
              </w:rPr>
              <w:t>District of Columbia, Department of Forensic Sciences</w:t>
            </w:r>
          </w:p>
        </w:tc>
      </w:tr>
      <w:tr w:rsidRPr="00623865" w:rsidR="00322E8E" w:rsidTr="00322E8E" w14:paraId="217E153D" w14:textId="77777777">
        <w:trPr>
          <w:jc w:val="center"/>
        </w:trPr>
        <w:tc>
          <w:tcPr>
            <w:tcW w:w="2340" w:type="dxa"/>
          </w:tcPr>
          <w:p w:rsidRPr="00322E8E" w:rsidR="00322E8E" w:rsidP="00793425" w:rsidRDefault="00322E8E" w14:paraId="2FF45A5D" w14:textId="18AB4DA0">
            <w:pPr>
              <w:rPr>
                <w:rFonts w:ascii="Times New Roman" w:hAnsi="Times New Roman"/>
              </w:rPr>
            </w:pPr>
            <w:r w:rsidRPr="00322E8E">
              <w:rPr>
                <w:rFonts w:ascii="Times New Roman" w:hAnsi="Times New Roman"/>
                <w:color w:val="000000" w:themeColor="text1"/>
              </w:rPr>
              <w:t>Ray Wickenheiser</w:t>
            </w:r>
          </w:p>
        </w:tc>
        <w:tc>
          <w:tcPr>
            <w:tcW w:w="6840" w:type="dxa"/>
          </w:tcPr>
          <w:p w:rsidRPr="00322E8E" w:rsidR="00322E8E" w:rsidP="00793425" w:rsidRDefault="00322E8E" w14:paraId="4C3B7ED8" w14:textId="7ECDAD44">
            <w:pPr>
              <w:rPr>
                <w:rFonts w:ascii="Times New Roman" w:hAnsi="Times New Roman"/>
              </w:rPr>
            </w:pPr>
            <w:r w:rsidRPr="00322E8E">
              <w:rPr>
                <w:rFonts w:ascii="Times New Roman" w:hAnsi="Times New Roman"/>
                <w:color w:val="000000" w:themeColor="text1"/>
              </w:rPr>
              <w:t>New York State Police, Crime Laboratory System</w:t>
            </w:r>
          </w:p>
        </w:tc>
      </w:tr>
      <w:tr w:rsidRPr="00C25AEA" w:rsidR="00322E8E" w:rsidTr="00322E8E" w14:paraId="04E60D82" w14:textId="77777777">
        <w:trPr>
          <w:jc w:val="center"/>
        </w:trPr>
        <w:tc>
          <w:tcPr>
            <w:tcW w:w="2340" w:type="dxa"/>
          </w:tcPr>
          <w:p w:rsidRPr="00322E8E" w:rsidR="00322E8E" w:rsidP="00793425" w:rsidRDefault="00322E8E" w14:paraId="6F2704FA" w14:textId="6999DCE5">
            <w:pPr>
              <w:rPr>
                <w:rFonts w:ascii="Times New Roman" w:hAnsi="Times New Roman"/>
                <w:color w:val="000000" w:themeColor="text1"/>
              </w:rPr>
            </w:pPr>
            <w:r w:rsidRPr="00322E8E">
              <w:rPr>
                <w:rFonts w:ascii="Times New Roman" w:hAnsi="Times New Roman"/>
              </w:rPr>
              <w:t>Jody Wolf</w:t>
            </w:r>
          </w:p>
        </w:tc>
        <w:tc>
          <w:tcPr>
            <w:tcW w:w="6840" w:type="dxa"/>
          </w:tcPr>
          <w:p w:rsidRPr="00322E8E" w:rsidR="00322E8E" w:rsidP="00793425" w:rsidRDefault="00322E8E" w14:paraId="46F6CB67" w14:textId="4EBC3B4C">
            <w:pPr>
              <w:rPr>
                <w:rFonts w:ascii="Times New Roman" w:hAnsi="Times New Roman"/>
                <w:color w:val="000000" w:themeColor="text1"/>
              </w:rPr>
            </w:pPr>
            <w:r w:rsidRPr="00322E8E">
              <w:rPr>
                <w:rFonts w:ascii="Times New Roman" w:hAnsi="Times New Roman"/>
              </w:rPr>
              <w:t>Phoenix Police Department, Crime Laboratory</w:t>
            </w:r>
          </w:p>
        </w:tc>
      </w:tr>
      <w:tr w:rsidRPr="006C01F9" w:rsidR="00322E8E" w:rsidTr="00322E8E" w14:paraId="7262E315" w14:textId="77777777">
        <w:trPr>
          <w:jc w:val="center"/>
        </w:trPr>
        <w:tc>
          <w:tcPr>
            <w:tcW w:w="2340" w:type="dxa"/>
          </w:tcPr>
          <w:p w:rsidRPr="00322E8E" w:rsidR="00322E8E" w:rsidP="00793425" w:rsidRDefault="00322E8E" w14:paraId="08A0D499" w14:textId="4483A8B0">
            <w:pPr>
              <w:rPr>
                <w:rFonts w:ascii="Times New Roman" w:hAnsi="Times New Roman"/>
                <w:color w:val="000000" w:themeColor="text1"/>
              </w:rPr>
            </w:pPr>
            <w:r w:rsidRPr="00322E8E">
              <w:rPr>
                <w:rFonts w:ascii="Times New Roman" w:hAnsi="Times New Roman"/>
              </w:rPr>
              <w:t>Michael Yu</w:t>
            </w:r>
          </w:p>
        </w:tc>
        <w:tc>
          <w:tcPr>
            <w:tcW w:w="6840" w:type="dxa"/>
          </w:tcPr>
          <w:p w:rsidRPr="00322E8E" w:rsidR="00322E8E" w:rsidP="00793425" w:rsidRDefault="00322E8E" w14:paraId="1D08B70B" w14:textId="09EB380A">
            <w:pPr>
              <w:rPr>
                <w:rFonts w:ascii="Times New Roman" w:hAnsi="Times New Roman"/>
                <w:color w:val="000000" w:themeColor="text1"/>
              </w:rPr>
            </w:pPr>
            <w:r w:rsidRPr="00322E8E">
              <w:rPr>
                <w:rFonts w:ascii="Times New Roman" w:hAnsi="Times New Roman"/>
              </w:rPr>
              <w:t>Montgomery County Police Department, Electronic Computer Crime Unit</w:t>
            </w:r>
          </w:p>
        </w:tc>
      </w:tr>
    </w:tbl>
    <w:p w:rsidR="00322E8E" w:rsidP="00793425" w:rsidRDefault="00322E8E" w14:paraId="36C05413" w14:textId="77777777"/>
    <w:p w:rsidRPr="00330FA8" w:rsidR="00C6356B" w:rsidP="00793425" w:rsidRDefault="00C6356B" w14:paraId="36ECFDC4" w14:textId="5D654E98">
      <w:r w:rsidRPr="00330FA8">
        <w:t xml:space="preserve">The research under this clearance is consistent with the guidelines in 5 CFR 1320.6. The 60-day notice for public commentary was published in the Federal Register, Volume </w:t>
      </w:r>
      <w:r w:rsidRPr="001F5E99" w:rsidR="002675FA">
        <w:t>86</w:t>
      </w:r>
      <w:r w:rsidRPr="001F5E99">
        <w:t xml:space="preserve">, Number </w:t>
      </w:r>
      <w:r w:rsidRPr="001F5E99" w:rsidR="002675FA">
        <w:t>9</w:t>
      </w:r>
      <w:r w:rsidRPr="001F5E99">
        <w:t xml:space="preserve">, pages </w:t>
      </w:r>
      <w:r w:rsidRPr="001F5E99" w:rsidR="007A4F4B">
        <w:t>3198-3199</w:t>
      </w:r>
      <w:r w:rsidRPr="001F5E99">
        <w:t xml:space="preserve"> on </w:t>
      </w:r>
      <w:r w:rsidRPr="001F5E99" w:rsidR="007A4F4B">
        <w:t>January 14, 2021</w:t>
      </w:r>
      <w:r w:rsidRPr="00330FA8">
        <w:t xml:space="preserve"> (</w:t>
      </w:r>
      <w:r w:rsidRPr="00535C02">
        <w:rPr>
          <w:b/>
        </w:rPr>
        <w:t xml:space="preserve">Attachment </w:t>
      </w:r>
      <w:r w:rsidR="00D75628">
        <w:rPr>
          <w:b/>
        </w:rPr>
        <w:t>4</w:t>
      </w:r>
      <w:r w:rsidRPr="00330FA8">
        <w:t xml:space="preserve">). The 30-day notice for public commentary was published in the Federal Register, Volume </w:t>
      </w:r>
      <w:r w:rsidRPr="008E517C" w:rsidR="008E517C">
        <w:t>86</w:t>
      </w:r>
      <w:r w:rsidRPr="008E517C">
        <w:t xml:space="preserve">, Number </w:t>
      </w:r>
      <w:r w:rsidRPr="008E517C" w:rsidR="008E517C">
        <w:t>54</w:t>
      </w:r>
      <w:r w:rsidRPr="008E517C">
        <w:t xml:space="preserve">, pages </w:t>
      </w:r>
      <w:r w:rsidRPr="008E517C" w:rsidR="008E517C">
        <w:t>15,500</w:t>
      </w:r>
      <w:r w:rsidRPr="008E517C">
        <w:t>-</w:t>
      </w:r>
      <w:r w:rsidRPr="008E517C" w:rsidR="008E517C">
        <w:t>15,501</w:t>
      </w:r>
      <w:r w:rsidRPr="008E517C">
        <w:t xml:space="preserve">, on </w:t>
      </w:r>
      <w:r w:rsidRPr="008E517C" w:rsidR="008E517C">
        <w:t>March 23, 2018</w:t>
      </w:r>
      <w:r w:rsidRPr="00330FA8" w:rsidR="00330FA8">
        <w:t xml:space="preserve"> </w:t>
      </w:r>
      <w:r w:rsidRPr="00330FA8">
        <w:t>(</w:t>
      </w:r>
      <w:r w:rsidRPr="00535C02">
        <w:rPr>
          <w:b/>
        </w:rPr>
        <w:t xml:space="preserve">Attachment </w:t>
      </w:r>
      <w:r w:rsidR="00D75628">
        <w:rPr>
          <w:b/>
        </w:rPr>
        <w:t>5</w:t>
      </w:r>
      <w:r w:rsidRPr="00330FA8">
        <w:t xml:space="preserve">). </w:t>
      </w:r>
      <w:r w:rsidRPr="00E77F71">
        <w:t xml:space="preserve">In response to the 60-day notice, </w:t>
      </w:r>
      <w:r w:rsidRPr="00E77F71" w:rsidR="00887CDB">
        <w:t>BJS</w:t>
      </w:r>
      <w:r w:rsidRPr="00E77F71">
        <w:t xml:space="preserve"> received</w:t>
      </w:r>
      <w:r w:rsidRPr="00E77F71" w:rsidR="00630E08">
        <w:t xml:space="preserve"> four emails</w:t>
      </w:r>
      <w:r w:rsidRPr="00E77F71" w:rsidR="00BE0AF3">
        <w:t xml:space="preserve"> from Dr. Bradley Campbell, of the University of Louisville; Dr. William King, of Boise State University; Dr. Edward Maguire, of Arizona State University; Dr. Matthew Matusiak</w:t>
      </w:r>
      <w:r w:rsidR="00FD6414">
        <w:t>,</w:t>
      </w:r>
      <w:r w:rsidRPr="00E77F71" w:rsidR="00BE0AF3">
        <w:t xml:space="preserve"> of the University of Central Florida; and Dr. Joshua Shadwick, of Southeast Missouri State University, </w:t>
      </w:r>
      <w:r w:rsidRPr="00E77F71" w:rsidR="00630E08">
        <w:t>stating support for th</w:t>
      </w:r>
      <w:bookmarkStart w:name="_GoBack" w:id="2"/>
      <w:bookmarkEnd w:id="2"/>
      <w:r w:rsidRPr="00E77F71" w:rsidR="00630E08">
        <w:t>e reinstatement of the CPFFCL and emphasizing the utility of the data to the field.</w:t>
      </w:r>
    </w:p>
    <w:p w:rsidRPr="00C77BF6" w:rsidR="00C6356B" w:rsidP="00793425" w:rsidRDefault="00C6356B" w14:paraId="3CD0074B" w14:textId="77777777">
      <w:pPr>
        <w:shd w:val="solid" w:color="FFFFFF" w:fill="FFFFFF"/>
        <w:rPr>
          <w:color w:val="FF0000"/>
        </w:rPr>
      </w:pPr>
    </w:p>
    <w:p w:rsidRPr="00330FA8" w:rsidR="00661B48" w:rsidP="00793425" w:rsidRDefault="00661B48" w14:paraId="4D6F0A99" w14:textId="77777777">
      <w:pPr>
        <w:pStyle w:val="ListParagraph"/>
        <w:numPr>
          <w:ilvl w:val="0"/>
          <w:numId w:val="2"/>
        </w:numPr>
        <w:rPr>
          <w:b/>
          <w:u w:val="single"/>
        </w:rPr>
      </w:pPr>
      <w:r w:rsidRPr="00330FA8">
        <w:rPr>
          <w:b/>
          <w:u w:val="single"/>
        </w:rPr>
        <w:t>Paying Respondents</w:t>
      </w:r>
    </w:p>
    <w:p w:rsidRPr="00330FA8" w:rsidR="005E0070" w:rsidP="00793425" w:rsidRDefault="005E0070" w14:paraId="37F6624E" w14:textId="77777777"/>
    <w:p w:rsidRPr="00330FA8" w:rsidR="005E0070" w:rsidP="00793425" w:rsidRDefault="005E0070" w14:paraId="02261232" w14:textId="4E61403A">
      <w:r w:rsidRPr="00330FA8">
        <w:t xml:space="preserve">Neither BJS nor </w:t>
      </w:r>
      <w:r w:rsidRPr="00330FA8" w:rsidR="00FA3E94">
        <w:t>RTI</w:t>
      </w:r>
      <w:r w:rsidRPr="00330FA8">
        <w:t xml:space="preserve"> will provide any payment or gift of any type to respondents. Respondents will participate on a voluntary basis.</w:t>
      </w:r>
    </w:p>
    <w:p w:rsidRPr="00330FA8" w:rsidR="005E0070" w:rsidP="00793425" w:rsidRDefault="005E0070" w14:paraId="0994C310" w14:textId="77777777"/>
    <w:p w:rsidRPr="00330FA8" w:rsidR="007B739F" w:rsidP="00793425" w:rsidRDefault="006D6E11" w14:paraId="2B0BE773" w14:textId="77777777">
      <w:pPr>
        <w:pStyle w:val="ListParagraph"/>
        <w:numPr>
          <w:ilvl w:val="0"/>
          <w:numId w:val="2"/>
        </w:numPr>
        <w:rPr>
          <w:b/>
          <w:u w:val="single"/>
        </w:rPr>
      </w:pPr>
      <w:r w:rsidRPr="00330FA8">
        <w:rPr>
          <w:b/>
        </w:rPr>
        <w:t xml:space="preserve"> </w:t>
      </w:r>
      <w:r w:rsidRPr="00330FA8" w:rsidR="007B739F">
        <w:rPr>
          <w:b/>
          <w:u w:val="single"/>
        </w:rPr>
        <w:t>Assurance of Confidentiality</w:t>
      </w:r>
    </w:p>
    <w:p w:rsidRPr="00C77BF6" w:rsidR="007B739F" w:rsidP="00793425" w:rsidRDefault="007B739F" w14:paraId="02BAFED0" w14:textId="77777777">
      <w:pPr>
        <w:pStyle w:val="ListParagraph"/>
        <w:ind w:left="360"/>
        <w:rPr>
          <w:color w:val="FF0000"/>
        </w:rPr>
      </w:pPr>
    </w:p>
    <w:p w:rsidRPr="00330FA8" w:rsidR="007B739F" w:rsidP="00793425" w:rsidRDefault="007B739F" w14:paraId="5ACE2633" w14:textId="362FB3C1">
      <w:r w:rsidRPr="00330FA8">
        <w:t xml:space="preserve">According to </w:t>
      </w:r>
      <w:r w:rsidRPr="00330FA8" w:rsidR="00FA47CF">
        <w:t xml:space="preserve">34 </w:t>
      </w:r>
      <w:r w:rsidRPr="00330FA8">
        <w:t xml:space="preserve">U.S.C. </w:t>
      </w:r>
      <w:r w:rsidRPr="00330FA8" w:rsidR="00FA47CF">
        <w:t>10</w:t>
      </w:r>
      <w:r w:rsidR="007A4F4B">
        <w:t>1</w:t>
      </w:r>
      <w:r w:rsidRPr="00330FA8" w:rsidR="00FA47CF">
        <w:t>34</w:t>
      </w:r>
      <w:r w:rsidRPr="00330FA8">
        <w:t xml:space="preserve">, the information gathered in this data collection shall be used only for statistical or research </w:t>
      </w:r>
      <w:r w:rsidRPr="00330FA8" w:rsidR="00C86CEB">
        <w:t>purposes and</w:t>
      </w:r>
      <w:r w:rsidRPr="00330FA8">
        <w:t xml:space="preserve"> shall be gathered in a manner that precludes their use for any purpose relating to a</w:t>
      </w:r>
      <w:r w:rsidRPr="00330FA8" w:rsidR="00AD618B">
        <w:t>n</w:t>
      </w:r>
      <w:r w:rsidRPr="00330FA8">
        <w:t xml:space="preserve"> </w:t>
      </w:r>
      <w:r w:rsidRPr="00330FA8" w:rsidR="00BC2F03">
        <w:t>individual</w:t>
      </w:r>
      <w:r w:rsidRPr="00330FA8">
        <w:t xml:space="preserve"> other than statistical or research purposes. The data collected through the </w:t>
      </w:r>
      <w:r w:rsidRPr="00330FA8" w:rsidR="00330FA8">
        <w:t>2020 CPFFCL</w:t>
      </w:r>
      <w:r w:rsidRPr="00330FA8">
        <w:t xml:space="preserve"> represent institutional characteristics of </w:t>
      </w:r>
      <w:r w:rsidRPr="00330FA8" w:rsidR="00330FA8">
        <w:t xml:space="preserve">forensic </w:t>
      </w:r>
      <w:r w:rsidRPr="00330FA8" w:rsidR="00330FA8">
        <w:lastRenderedPageBreak/>
        <w:t>laboratories</w:t>
      </w:r>
      <w:r w:rsidRPr="00330FA8">
        <w:t xml:space="preserve">. The fact that participation in this survey is voluntary </w:t>
      </w:r>
      <w:r w:rsidRPr="00330FA8" w:rsidR="00E64F19">
        <w:t xml:space="preserve">will be </w:t>
      </w:r>
      <w:r w:rsidRPr="00330FA8">
        <w:t>included on the first page of the survey instrument.</w:t>
      </w:r>
      <w:r w:rsidRPr="00330FA8" w:rsidR="00745932">
        <w:t xml:space="preserve"> </w:t>
      </w:r>
      <w:r w:rsidRPr="00330FA8" w:rsidR="00AA5272">
        <w:t xml:space="preserve">Respondents will also be informed in written communications sent to them that the information provided about their </w:t>
      </w:r>
      <w:r w:rsidRPr="00330FA8" w:rsidR="00AE1245">
        <w:t xml:space="preserve">agency </w:t>
      </w:r>
      <w:r w:rsidRPr="00330FA8" w:rsidR="00AA5272">
        <w:t xml:space="preserve">will be in the public domain. </w:t>
      </w:r>
      <w:r w:rsidRPr="00330FA8">
        <w:t xml:space="preserve">However, </w:t>
      </w:r>
      <w:r w:rsidRPr="00330FA8" w:rsidR="00AA5272">
        <w:t xml:space="preserve">it will also be made clear to them that BJS and </w:t>
      </w:r>
      <w:r w:rsidRPr="00330FA8" w:rsidR="00FA3E94">
        <w:t xml:space="preserve">RTI </w:t>
      </w:r>
      <w:r w:rsidRPr="00330FA8" w:rsidR="003D093D">
        <w:t>will</w:t>
      </w:r>
      <w:r w:rsidRPr="00330FA8">
        <w:t xml:space="preserve"> not release the names, phone numbers</w:t>
      </w:r>
      <w:r w:rsidRPr="00330FA8" w:rsidR="005C61BE">
        <w:t>,</w:t>
      </w:r>
      <w:r w:rsidRPr="00330FA8">
        <w:t xml:space="preserve"> or email </w:t>
      </w:r>
      <w:r w:rsidRPr="00330FA8" w:rsidR="005C61BE">
        <w:t xml:space="preserve">addresses </w:t>
      </w:r>
      <w:r w:rsidRPr="00330FA8">
        <w:t xml:space="preserve">of the actual persons responsible for completing the </w:t>
      </w:r>
      <w:r w:rsidRPr="00330FA8" w:rsidR="00330FA8">
        <w:t>2020 CPFFCL</w:t>
      </w:r>
      <w:r w:rsidRPr="00330FA8">
        <w:t xml:space="preserve"> instruments.</w:t>
      </w:r>
      <w:r w:rsidRPr="00330FA8" w:rsidR="00745932">
        <w:t xml:space="preserve"> </w:t>
      </w:r>
      <w:r w:rsidRPr="00330FA8" w:rsidR="00174621">
        <w:t xml:space="preserve">Respondents will be told that the survey responses will only be published in aggregate and that none of their responses will be attributed to them or to their </w:t>
      </w:r>
      <w:r w:rsidR="003F776A">
        <w:t>laboratory</w:t>
      </w:r>
      <w:r w:rsidRPr="00330FA8" w:rsidR="00174621">
        <w:t>. The public data set will</w:t>
      </w:r>
      <w:r w:rsidR="008B2644">
        <w:t xml:space="preserve"> not include identifiable information about specific respondents.</w:t>
      </w:r>
      <w:r w:rsidRPr="00330FA8" w:rsidR="00174621">
        <w:t xml:space="preserve"> </w:t>
      </w:r>
    </w:p>
    <w:p w:rsidRPr="00330FA8" w:rsidR="007B739F" w:rsidP="00793425" w:rsidRDefault="007B739F" w14:paraId="319C504E" w14:textId="77777777">
      <w:pPr>
        <w:pStyle w:val="ListParagraph"/>
        <w:ind w:left="360"/>
      </w:pPr>
    </w:p>
    <w:p w:rsidRPr="00330FA8" w:rsidR="007B739F" w:rsidP="00793425" w:rsidRDefault="007B739F" w14:paraId="54C183FF" w14:textId="77777777">
      <w:pPr>
        <w:pStyle w:val="ListParagraph"/>
        <w:numPr>
          <w:ilvl w:val="0"/>
          <w:numId w:val="2"/>
        </w:numPr>
        <w:rPr>
          <w:b/>
          <w:u w:val="single"/>
        </w:rPr>
      </w:pPr>
      <w:r w:rsidRPr="00330FA8">
        <w:rPr>
          <w:b/>
          <w:u w:val="single"/>
        </w:rPr>
        <w:t>Justification for Sensitive Questions</w:t>
      </w:r>
    </w:p>
    <w:p w:rsidRPr="00330FA8" w:rsidR="007B739F" w:rsidP="00793425" w:rsidRDefault="007B739F" w14:paraId="1EF1A84D" w14:textId="77777777">
      <w:pPr>
        <w:pStyle w:val="ListParagraph"/>
        <w:ind w:left="360"/>
      </w:pPr>
    </w:p>
    <w:p w:rsidRPr="00330FA8" w:rsidR="007B739F" w:rsidP="00793425" w:rsidRDefault="007B739F" w14:paraId="37D26392" w14:textId="40FBA601">
      <w:r w:rsidRPr="00330FA8">
        <w:t xml:space="preserve">There are no questions of a sensitive nature in the </w:t>
      </w:r>
      <w:r w:rsidRPr="00330FA8" w:rsidR="006874D5">
        <w:t xml:space="preserve">proposed </w:t>
      </w:r>
      <w:r w:rsidRPr="00330FA8" w:rsidR="00330FA8">
        <w:t>2020 CPFFCL</w:t>
      </w:r>
      <w:r w:rsidRPr="00330FA8">
        <w:t>.</w:t>
      </w:r>
      <w:r w:rsidRPr="00330FA8" w:rsidR="00745932">
        <w:t xml:space="preserve"> </w:t>
      </w:r>
    </w:p>
    <w:p w:rsidRPr="00C77BF6" w:rsidR="007B739F" w:rsidP="00793425" w:rsidRDefault="007B739F" w14:paraId="1D42AA76" w14:textId="77777777">
      <w:pPr>
        <w:rPr>
          <w:color w:val="FF0000"/>
        </w:rPr>
      </w:pPr>
    </w:p>
    <w:p w:rsidRPr="00A610C2" w:rsidR="006874D5" w:rsidP="00793425" w:rsidRDefault="007B739F" w14:paraId="21924337" w14:textId="33E842E8">
      <w:pPr>
        <w:pStyle w:val="ListParagraph"/>
        <w:numPr>
          <w:ilvl w:val="0"/>
          <w:numId w:val="2"/>
        </w:numPr>
        <w:rPr>
          <w:b/>
          <w:u w:val="single"/>
        </w:rPr>
      </w:pPr>
      <w:r w:rsidRPr="00A610C2">
        <w:rPr>
          <w:b/>
          <w:u w:val="single"/>
        </w:rPr>
        <w:t xml:space="preserve">Estimate of </w:t>
      </w:r>
      <w:r w:rsidRPr="00A610C2" w:rsidR="00C6356B">
        <w:rPr>
          <w:b/>
          <w:u w:val="single"/>
        </w:rPr>
        <w:t xml:space="preserve">Hour </w:t>
      </w:r>
      <w:r w:rsidRPr="00A610C2">
        <w:rPr>
          <w:b/>
          <w:u w:val="single"/>
        </w:rPr>
        <w:t>Burden</w:t>
      </w:r>
    </w:p>
    <w:p w:rsidRPr="00A610C2" w:rsidR="006874D5" w:rsidP="00793425" w:rsidRDefault="006874D5" w14:paraId="0329605D" w14:textId="77777777">
      <w:pPr>
        <w:pStyle w:val="ListParagraph"/>
        <w:ind w:left="360"/>
        <w:rPr>
          <w:u w:val="single"/>
        </w:rPr>
      </w:pPr>
    </w:p>
    <w:p w:rsidRPr="00A610C2" w:rsidR="006B767C" w:rsidP="00793425" w:rsidRDefault="007B739F" w14:paraId="25B1C39D" w14:textId="79D83825">
      <w:r w:rsidRPr="00A610C2">
        <w:t xml:space="preserve">BJS has estimated the respondent burden for the </w:t>
      </w:r>
      <w:r w:rsidRPr="00A610C2" w:rsidR="006874D5">
        <w:t xml:space="preserve">proposed </w:t>
      </w:r>
      <w:r w:rsidRPr="00A610C2" w:rsidR="00752DD1">
        <w:t>20</w:t>
      </w:r>
      <w:r w:rsidRPr="00A610C2" w:rsidR="00A610C2">
        <w:t>20 CPFFCL</w:t>
      </w:r>
      <w:r w:rsidRPr="00A610C2">
        <w:t xml:space="preserve"> Survey at 1,</w:t>
      </w:r>
      <w:r w:rsidR="00C95515">
        <w:t>312.5</w:t>
      </w:r>
      <w:r w:rsidRPr="00A610C2">
        <w:t xml:space="preserve"> hours</w:t>
      </w:r>
      <w:r w:rsidR="00C95515">
        <w:t xml:space="preserve"> (</w:t>
      </w:r>
      <w:r w:rsidRPr="00C95515" w:rsidR="00C95515">
        <w:rPr>
          <w:b/>
          <w:bCs/>
        </w:rPr>
        <w:t xml:space="preserve">Table </w:t>
      </w:r>
      <w:r w:rsidR="00BD08C1">
        <w:rPr>
          <w:b/>
          <w:bCs/>
        </w:rPr>
        <w:t>2</w:t>
      </w:r>
      <w:r w:rsidR="00C95515">
        <w:t>)</w:t>
      </w:r>
      <w:r w:rsidRPr="00A610C2">
        <w:t>.</w:t>
      </w:r>
      <w:r w:rsidRPr="00A610C2" w:rsidR="00570701">
        <w:t xml:space="preserve"> </w:t>
      </w:r>
      <w:r w:rsidRPr="00A610C2" w:rsidR="00AF7585">
        <w:t xml:space="preserve">The </w:t>
      </w:r>
      <w:r w:rsidRPr="00A610C2" w:rsidR="00A610C2">
        <w:t>2020 CPFFCL</w:t>
      </w:r>
      <w:r w:rsidRPr="00A610C2" w:rsidR="00F0643B">
        <w:t xml:space="preserve"> </w:t>
      </w:r>
      <w:r w:rsidRPr="00A610C2" w:rsidR="005C61BE">
        <w:t xml:space="preserve">burden estimate </w:t>
      </w:r>
      <w:r w:rsidRPr="00A610C2" w:rsidR="00F0643B">
        <w:t xml:space="preserve">was calculated using an estimate of </w:t>
      </w:r>
      <w:r w:rsidR="00C95515">
        <w:t>2</w:t>
      </w:r>
      <w:r w:rsidRPr="00A610C2" w:rsidR="00DB5279">
        <w:t>.5</w:t>
      </w:r>
      <w:r w:rsidRPr="00A610C2" w:rsidR="00AF7585">
        <w:t xml:space="preserve"> hours </w:t>
      </w:r>
      <w:r w:rsidRPr="00A610C2" w:rsidR="00F0643B">
        <w:t xml:space="preserve">per respondent </w:t>
      </w:r>
      <w:r w:rsidRPr="00A610C2" w:rsidR="00AF7585">
        <w:t xml:space="preserve">for the completion of the </w:t>
      </w:r>
      <w:r w:rsidRPr="00A610C2" w:rsidR="00331A41">
        <w:t>1</w:t>
      </w:r>
      <w:r w:rsidRPr="00A610C2" w:rsidR="00A610C2">
        <w:t>4</w:t>
      </w:r>
      <w:r w:rsidRPr="00A610C2" w:rsidR="00D11F78">
        <w:t>-</w:t>
      </w:r>
      <w:r w:rsidRPr="00A610C2" w:rsidR="00AF7585">
        <w:t>page</w:t>
      </w:r>
      <w:r w:rsidRPr="00A610C2" w:rsidR="00F0643B">
        <w:t>, 4</w:t>
      </w:r>
      <w:r w:rsidRPr="00A610C2" w:rsidR="00A610C2">
        <w:t>9</w:t>
      </w:r>
      <w:r w:rsidRPr="00A610C2" w:rsidR="00F0643B">
        <w:t xml:space="preserve">-question questionnaire being completed by </w:t>
      </w:r>
      <w:r w:rsidRPr="00A610C2" w:rsidR="00A610C2">
        <w:t>500</w:t>
      </w:r>
      <w:r w:rsidRPr="00A610C2" w:rsidR="00E74038">
        <w:t xml:space="preserve"> </w:t>
      </w:r>
      <w:r w:rsidRPr="00A610C2" w:rsidR="00A610C2">
        <w:t>crime laboratories</w:t>
      </w:r>
      <w:r w:rsidRPr="00A610C2" w:rsidR="00F0643B">
        <w:t>.</w:t>
      </w:r>
      <w:r w:rsidRPr="00A610C2" w:rsidR="005C61BE">
        <w:t xml:space="preserve"> </w:t>
      </w:r>
      <w:r w:rsidRPr="00A610C2" w:rsidR="006B767C">
        <w:t xml:space="preserve">In addition, we plan to conduct data quality follow-up for approximately </w:t>
      </w:r>
      <w:r w:rsidRPr="00A610C2" w:rsidR="00A610C2">
        <w:t>250</w:t>
      </w:r>
      <w:r w:rsidRPr="00A610C2" w:rsidR="00E74038">
        <w:t xml:space="preserve"> </w:t>
      </w:r>
      <w:r w:rsidR="003F776A">
        <w:t>laboratorie</w:t>
      </w:r>
      <w:r w:rsidRPr="00A610C2" w:rsidR="00A062BC">
        <w:t xml:space="preserve">s </w:t>
      </w:r>
      <w:r w:rsidRPr="00A610C2" w:rsidR="006B767C">
        <w:t>at 1</w:t>
      </w:r>
      <w:r w:rsidR="00C95515">
        <w:t>5</w:t>
      </w:r>
      <w:r w:rsidRPr="00A610C2" w:rsidR="006B767C">
        <w:t xml:space="preserve"> minutes per call, totaling </w:t>
      </w:r>
      <w:r w:rsidR="00C95515">
        <w:t>62.5</w:t>
      </w:r>
      <w:r w:rsidRPr="00A610C2" w:rsidR="00014CDA">
        <w:t xml:space="preserve"> </w:t>
      </w:r>
      <w:r w:rsidRPr="00A610C2" w:rsidR="006B767C">
        <w:t xml:space="preserve">hours. </w:t>
      </w:r>
    </w:p>
    <w:p w:rsidRPr="00A610C2" w:rsidR="006B767C" w:rsidP="00793425" w:rsidRDefault="006B767C" w14:paraId="2EC9EE16" w14:textId="77777777"/>
    <w:p w:rsidRPr="00A610C2" w:rsidR="006B767C" w:rsidP="00793425" w:rsidRDefault="005C61BE" w14:paraId="3FB08504" w14:textId="6BD28286">
      <w:r w:rsidRPr="00A610C2">
        <w:t xml:space="preserve">The </w:t>
      </w:r>
      <w:r w:rsidRPr="00A610C2" w:rsidR="00E31B81">
        <w:t>90-minute</w:t>
      </w:r>
      <w:r w:rsidRPr="00A610C2">
        <w:t xml:space="preserve"> estimate is based on feedback received during the administration of the </w:t>
      </w:r>
      <w:r w:rsidRPr="00A610C2" w:rsidR="00C8697F">
        <w:t>2020 CPFFCL</w:t>
      </w:r>
      <w:r w:rsidRPr="00A610C2" w:rsidR="00E74038">
        <w:t xml:space="preserve"> </w:t>
      </w:r>
      <w:r w:rsidRPr="00A610C2">
        <w:t>instrument</w:t>
      </w:r>
      <w:r w:rsidRPr="00A610C2" w:rsidR="00DB5279">
        <w:t xml:space="preserve">, </w:t>
      </w:r>
      <w:r w:rsidRPr="00A610C2" w:rsidR="00E74038">
        <w:t>the input of the expert panel</w:t>
      </w:r>
      <w:r w:rsidRPr="00A610C2">
        <w:t xml:space="preserve">, </w:t>
      </w:r>
      <w:r w:rsidRPr="00A610C2" w:rsidR="00DB5279">
        <w:t>and estimates provided during cognitive testing</w:t>
      </w:r>
      <w:r w:rsidRPr="00A610C2" w:rsidR="00044847">
        <w:t xml:space="preserve"> for the </w:t>
      </w:r>
      <w:r w:rsidRPr="00A610C2" w:rsidR="00C8697F">
        <w:t>2020 CPFFCL</w:t>
      </w:r>
      <w:r w:rsidRPr="00A610C2" w:rsidR="00044847">
        <w:t xml:space="preserve">. </w:t>
      </w:r>
    </w:p>
    <w:p w:rsidRPr="00C77BF6" w:rsidR="006B767C" w:rsidP="00793425" w:rsidRDefault="006B767C" w14:paraId="797509D8" w14:textId="77777777">
      <w:pPr>
        <w:rPr>
          <w:color w:val="FF0000"/>
        </w:rPr>
      </w:pPr>
    </w:p>
    <w:p w:rsidRPr="00C95515" w:rsidR="00C6356B" w:rsidP="00793425" w:rsidRDefault="00C6356B" w14:paraId="79E727E6" w14:textId="2CC9DDCB">
      <w:pPr>
        <w:rPr>
          <w:b/>
        </w:rPr>
      </w:pPr>
      <w:r w:rsidRPr="00C95515">
        <w:rPr>
          <w:b/>
        </w:rPr>
        <w:t xml:space="preserve">Table </w:t>
      </w:r>
      <w:r w:rsidR="00BD08C1">
        <w:rPr>
          <w:b/>
        </w:rPr>
        <w:t>2</w:t>
      </w:r>
      <w:r w:rsidRPr="00C95515">
        <w:rPr>
          <w:b/>
        </w:rPr>
        <w:t xml:space="preserve">. Estimated Burden Hours for the </w:t>
      </w:r>
      <w:r w:rsidRPr="00C95515" w:rsidR="00C8697F">
        <w:rPr>
          <w:b/>
        </w:rPr>
        <w:t>2020 CPFFCL</w:t>
      </w:r>
    </w:p>
    <w:tbl>
      <w:tblPr>
        <w:tblW w:w="9462" w:type="dxa"/>
        <w:tblLayout w:type="fixed"/>
        <w:tblLook w:val="04A0" w:firstRow="1" w:lastRow="0" w:firstColumn="1" w:lastColumn="0" w:noHBand="0" w:noVBand="1"/>
      </w:tblPr>
      <w:tblGrid>
        <w:gridCol w:w="1980"/>
        <w:gridCol w:w="1530"/>
        <w:gridCol w:w="1620"/>
        <w:gridCol w:w="1620"/>
        <w:gridCol w:w="1260"/>
        <w:gridCol w:w="1452"/>
      </w:tblGrid>
      <w:tr w:rsidRPr="00C95515" w:rsidR="00C77BF6" w:rsidTr="00C6356B" w14:paraId="7C2C3E95" w14:textId="77777777">
        <w:trPr>
          <w:trHeight w:val="575"/>
        </w:trPr>
        <w:tc>
          <w:tcPr>
            <w:tcW w:w="1980" w:type="dxa"/>
            <w:tcBorders>
              <w:top w:val="single" w:color="auto" w:sz="4" w:space="0"/>
              <w:left w:val="nil"/>
              <w:bottom w:val="single" w:color="auto" w:sz="4" w:space="0"/>
              <w:right w:val="nil"/>
            </w:tcBorders>
            <w:shd w:val="clear" w:color="auto" w:fill="auto"/>
            <w:noWrap/>
            <w:vAlign w:val="bottom"/>
            <w:hideMark/>
          </w:tcPr>
          <w:p w:rsidRPr="00C95515" w:rsidR="00C6356B" w:rsidP="00793425" w:rsidRDefault="00C6356B" w14:paraId="33F29040" w14:textId="77777777">
            <w:pPr>
              <w:rPr>
                <w:b/>
                <w:bCs/>
              </w:rPr>
            </w:pPr>
            <w:r w:rsidRPr="00C95515">
              <w:rPr>
                <w:b/>
                <w:bCs/>
              </w:rPr>
              <w:t>Collection</w:t>
            </w:r>
          </w:p>
        </w:tc>
        <w:tc>
          <w:tcPr>
            <w:tcW w:w="1530" w:type="dxa"/>
            <w:tcBorders>
              <w:top w:val="single" w:color="auto" w:sz="4" w:space="0"/>
              <w:left w:val="nil"/>
              <w:bottom w:val="single" w:color="auto" w:sz="4" w:space="0"/>
              <w:right w:val="nil"/>
            </w:tcBorders>
            <w:shd w:val="clear" w:color="auto" w:fill="auto"/>
            <w:vAlign w:val="bottom"/>
            <w:hideMark/>
          </w:tcPr>
          <w:p w:rsidRPr="00C95515" w:rsidR="00C6356B" w:rsidP="00793425" w:rsidRDefault="00C6356B" w14:paraId="7B94BE17" w14:textId="77777777">
            <w:pPr>
              <w:jc w:val="right"/>
              <w:rPr>
                <w:b/>
                <w:bCs/>
              </w:rPr>
            </w:pPr>
            <w:r w:rsidRPr="00C95515">
              <w:rPr>
                <w:b/>
                <w:bCs/>
              </w:rPr>
              <w:t>Sample size</w:t>
            </w:r>
          </w:p>
        </w:tc>
        <w:tc>
          <w:tcPr>
            <w:tcW w:w="1620" w:type="dxa"/>
            <w:tcBorders>
              <w:top w:val="single" w:color="auto" w:sz="4" w:space="0"/>
              <w:left w:val="nil"/>
              <w:bottom w:val="single" w:color="auto" w:sz="4" w:space="0"/>
              <w:right w:val="nil"/>
            </w:tcBorders>
            <w:shd w:val="clear" w:color="auto" w:fill="auto"/>
            <w:vAlign w:val="bottom"/>
            <w:hideMark/>
          </w:tcPr>
          <w:p w:rsidRPr="00C95515" w:rsidR="00C6356B" w:rsidP="00793425" w:rsidRDefault="00C6356B" w14:paraId="144D6634" w14:textId="77777777">
            <w:pPr>
              <w:jc w:val="right"/>
              <w:rPr>
                <w:b/>
                <w:bCs/>
              </w:rPr>
            </w:pPr>
            <w:r w:rsidRPr="00C95515">
              <w:rPr>
                <w:b/>
                <w:bCs/>
              </w:rPr>
              <w:t xml:space="preserve">Average time </w:t>
            </w:r>
          </w:p>
          <w:p w:rsidRPr="00C95515" w:rsidR="00C6356B" w:rsidP="00793425" w:rsidRDefault="00C6356B" w14:paraId="78569774" w14:textId="77777777">
            <w:pPr>
              <w:jc w:val="right"/>
              <w:rPr>
                <w:b/>
                <w:bCs/>
              </w:rPr>
            </w:pPr>
            <w:r w:rsidRPr="00C95515">
              <w:rPr>
                <w:b/>
                <w:bCs/>
              </w:rPr>
              <w:t>to complete form</w:t>
            </w:r>
          </w:p>
        </w:tc>
        <w:tc>
          <w:tcPr>
            <w:tcW w:w="1620" w:type="dxa"/>
            <w:tcBorders>
              <w:top w:val="single" w:color="auto" w:sz="4" w:space="0"/>
              <w:left w:val="nil"/>
              <w:bottom w:val="single" w:color="auto" w:sz="4" w:space="0"/>
              <w:right w:val="nil"/>
            </w:tcBorders>
            <w:shd w:val="clear" w:color="auto" w:fill="auto"/>
            <w:vAlign w:val="bottom"/>
            <w:hideMark/>
          </w:tcPr>
          <w:p w:rsidRPr="00C95515" w:rsidR="00C6356B" w:rsidP="00793425" w:rsidRDefault="00C6356B" w14:paraId="2CFD30AE" w14:textId="77777777">
            <w:pPr>
              <w:jc w:val="right"/>
              <w:rPr>
                <w:b/>
                <w:bCs/>
              </w:rPr>
            </w:pPr>
            <w:r w:rsidRPr="00C95515">
              <w:rPr>
                <w:b/>
                <w:bCs/>
              </w:rPr>
              <w:t xml:space="preserve">Average time </w:t>
            </w:r>
          </w:p>
          <w:p w:rsidRPr="00C95515" w:rsidR="00C6356B" w:rsidP="00793425" w:rsidRDefault="00C6356B" w14:paraId="084160A6" w14:textId="77777777">
            <w:pPr>
              <w:jc w:val="right"/>
              <w:rPr>
                <w:b/>
                <w:bCs/>
              </w:rPr>
            </w:pPr>
            <w:r w:rsidRPr="00C95515">
              <w:rPr>
                <w:b/>
                <w:bCs/>
              </w:rPr>
              <w:t>pre- and post-survey</w:t>
            </w:r>
          </w:p>
        </w:tc>
        <w:tc>
          <w:tcPr>
            <w:tcW w:w="1260" w:type="dxa"/>
            <w:tcBorders>
              <w:top w:val="single" w:color="auto" w:sz="4" w:space="0"/>
              <w:left w:val="nil"/>
              <w:bottom w:val="single" w:color="auto" w:sz="4" w:space="0"/>
              <w:right w:val="nil"/>
            </w:tcBorders>
            <w:shd w:val="clear" w:color="auto" w:fill="auto"/>
            <w:vAlign w:val="bottom"/>
            <w:hideMark/>
          </w:tcPr>
          <w:p w:rsidRPr="00C95515" w:rsidR="00C6356B" w:rsidP="00793425" w:rsidRDefault="00C6356B" w14:paraId="4F258730" w14:textId="77777777">
            <w:pPr>
              <w:jc w:val="right"/>
              <w:rPr>
                <w:b/>
                <w:bCs/>
              </w:rPr>
            </w:pPr>
            <w:r w:rsidRPr="00C95515">
              <w:rPr>
                <w:b/>
                <w:bCs/>
              </w:rPr>
              <w:t>Total</w:t>
            </w:r>
            <w:r w:rsidRPr="00C95515">
              <w:rPr>
                <w:b/>
                <w:bCs/>
              </w:rPr>
              <w:br/>
              <w:t>average time</w:t>
            </w:r>
          </w:p>
        </w:tc>
        <w:tc>
          <w:tcPr>
            <w:tcW w:w="1452" w:type="dxa"/>
            <w:tcBorders>
              <w:top w:val="single" w:color="auto" w:sz="4" w:space="0"/>
              <w:left w:val="nil"/>
              <w:bottom w:val="single" w:color="auto" w:sz="4" w:space="0"/>
              <w:right w:val="nil"/>
            </w:tcBorders>
            <w:shd w:val="clear" w:color="auto" w:fill="auto"/>
            <w:vAlign w:val="bottom"/>
            <w:hideMark/>
          </w:tcPr>
          <w:p w:rsidRPr="00C95515" w:rsidR="00C6356B" w:rsidP="00793425" w:rsidRDefault="00C6356B" w14:paraId="6DC00FD5" w14:textId="77777777">
            <w:pPr>
              <w:jc w:val="right"/>
              <w:rPr>
                <w:b/>
                <w:bCs/>
              </w:rPr>
            </w:pPr>
            <w:r w:rsidRPr="00C95515">
              <w:rPr>
                <w:b/>
                <w:bCs/>
              </w:rPr>
              <w:t>Reporting hours</w:t>
            </w:r>
          </w:p>
        </w:tc>
      </w:tr>
      <w:tr w:rsidRPr="00C95515" w:rsidR="00C77BF6" w:rsidTr="00A63257" w14:paraId="7784BF5E" w14:textId="77777777">
        <w:trPr>
          <w:trHeight w:val="683"/>
        </w:trPr>
        <w:tc>
          <w:tcPr>
            <w:tcW w:w="1980" w:type="dxa"/>
            <w:tcBorders>
              <w:top w:val="nil"/>
              <w:left w:val="nil"/>
              <w:bottom w:val="nil"/>
              <w:right w:val="nil"/>
            </w:tcBorders>
            <w:shd w:val="clear" w:color="auto" w:fill="auto"/>
            <w:noWrap/>
            <w:vAlign w:val="bottom"/>
          </w:tcPr>
          <w:p w:rsidRPr="00C95515" w:rsidR="00C6356B" w:rsidP="00793425" w:rsidRDefault="00C8697F" w14:paraId="4869E306" w14:textId="5322B0C8">
            <w:r w:rsidRPr="00C95515">
              <w:t>2020 CPFFCL</w:t>
            </w:r>
            <w:r w:rsidRPr="00C95515" w:rsidR="00C6356B">
              <w:t>, All Agencies</w:t>
            </w:r>
          </w:p>
        </w:tc>
        <w:tc>
          <w:tcPr>
            <w:tcW w:w="1530" w:type="dxa"/>
            <w:tcBorders>
              <w:top w:val="nil"/>
              <w:left w:val="nil"/>
              <w:bottom w:val="nil"/>
              <w:right w:val="nil"/>
            </w:tcBorders>
            <w:shd w:val="clear" w:color="auto" w:fill="auto"/>
            <w:noWrap/>
            <w:vAlign w:val="bottom"/>
            <w:hideMark/>
          </w:tcPr>
          <w:p w:rsidRPr="00C95515" w:rsidR="00C6356B" w:rsidP="00793425" w:rsidRDefault="00C8697F" w14:paraId="213731A0" w14:textId="147B6FA7">
            <w:pPr>
              <w:jc w:val="right"/>
            </w:pPr>
            <w:r w:rsidRPr="00C95515">
              <w:t>500</w:t>
            </w:r>
            <w:r w:rsidRPr="00C95515" w:rsidR="00C6356B">
              <w:t xml:space="preserve"> </w:t>
            </w:r>
          </w:p>
        </w:tc>
        <w:tc>
          <w:tcPr>
            <w:tcW w:w="1620" w:type="dxa"/>
            <w:tcBorders>
              <w:top w:val="nil"/>
              <w:left w:val="nil"/>
              <w:bottom w:val="nil"/>
              <w:right w:val="nil"/>
            </w:tcBorders>
            <w:shd w:val="clear" w:color="auto" w:fill="auto"/>
            <w:noWrap/>
            <w:vAlign w:val="bottom"/>
            <w:hideMark/>
          </w:tcPr>
          <w:p w:rsidRPr="00C95515" w:rsidR="00C6356B" w:rsidP="00793425" w:rsidRDefault="00C95515" w14:paraId="5D7795CC" w14:textId="3B7C8306">
            <w:pPr>
              <w:jc w:val="right"/>
            </w:pPr>
            <w:r w:rsidRPr="00C95515">
              <w:t>1.75</w:t>
            </w:r>
            <w:r w:rsidRPr="00C95515" w:rsidR="00C6356B">
              <w:t xml:space="preserve"> </w:t>
            </w:r>
          </w:p>
        </w:tc>
        <w:tc>
          <w:tcPr>
            <w:tcW w:w="1620" w:type="dxa"/>
            <w:tcBorders>
              <w:top w:val="nil"/>
              <w:left w:val="nil"/>
              <w:bottom w:val="nil"/>
              <w:right w:val="nil"/>
            </w:tcBorders>
            <w:shd w:val="clear" w:color="auto" w:fill="auto"/>
            <w:noWrap/>
            <w:vAlign w:val="bottom"/>
            <w:hideMark/>
          </w:tcPr>
          <w:p w:rsidRPr="00C95515" w:rsidR="00C6356B" w:rsidP="00793425" w:rsidRDefault="007D0421" w14:paraId="4FBAA8AC" w14:textId="131AC86B">
            <w:pPr>
              <w:jc w:val="right"/>
            </w:pPr>
            <w:r w:rsidRPr="00C95515">
              <w:t>0.75</w:t>
            </w:r>
            <w:r w:rsidRPr="00C95515" w:rsidR="00C6356B">
              <w:t xml:space="preserve"> </w:t>
            </w:r>
          </w:p>
        </w:tc>
        <w:tc>
          <w:tcPr>
            <w:tcW w:w="1260" w:type="dxa"/>
            <w:tcBorders>
              <w:top w:val="nil"/>
              <w:left w:val="nil"/>
              <w:bottom w:val="nil"/>
              <w:right w:val="nil"/>
            </w:tcBorders>
            <w:shd w:val="clear" w:color="auto" w:fill="auto"/>
            <w:noWrap/>
            <w:vAlign w:val="bottom"/>
            <w:hideMark/>
          </w:tcPr>
          <w:p w:rsidRPr="00C95515" w:rsidR="00C6356B" w:rsidP="00793425" w:rsidRDefault="00C6356B" w14:paraId="46E5A819" w14:textId="57EC4DA7">
            <w:pPr>
              <w:jc w:val="right"/>
            </w:pPr>
            <w:r w:rsidRPr="00C95515">
              <w:t xml:space="preserve"> </w:t>
            </w:r>
            <w:r w:rsidRPr="00C95515" w:rsidR="00C95515">
              <w:t>2</w:t>
            </w:r>
            <w:r w:rsidRPr="00C95515" w:rsidR="007D0421">
              <w:t>.5</w:t>
            </w:r>
            <w:r w:rsidRPr="00C95515">
              <w:t xml:space="preserve"> </w:t>
            </w:r>
          </w:p>
        </w:tc>
        <w:tc>
          <w:tcPr>
            <w:tcW w:w="1452" w:type="dxa"/>
            <w:tcBorders>
              <w:top w:val="nil"/>
              <w:left w:val="nil"/>
              <w:bottom w:val="nil"/>
              <w:right w:val="nil"/>
            </w:tcBorders>
            <w:shd w:val="clear" w:color="auto" w:fill="auto"/>
            <w:noWrap/>
            <w:vAlign w:val="bottom"/>
            <w:hideMark/>
          </w:tcPr>
          <w:p w:rsidRPr="00C95515" w:rsidR="00C6356B" w:rsidP="00793425" w:rsidRDefault="00C6356B" w14:paraId="736EAA36" w14:textId="7F1BC781">
            <w:pPr>
              <w:jc w:val="right"/>
            </w:pPr>
            <w:r w:rsidRPr="00C95515">
              <w:t xml:space="preserve"> </w:t>
            </w:r>
            <w:r w:rsidRPr="00C95515" w:rsidR="00C95515">
              <w:t>1,250</w:t>
            </w:r>
            <w:r w:rsidRPr="00C95515">
              <w:t xml:space="preserve"> </w:t>
            </w:r>
          </w:p>
        </w:tc>
      </w:tr>
      <w:tr w:rsidRPr="00C95515" w:rsidR="00C77BF6" w:rsidTr="00A63257" w14:paraId="70002AFD" w14:textId="77777777">
        <w:trPr>
          <w:trHeight w:val="810"/>
        </w:trPr>
        <w:tc>
          <w:tcPr>
            <w:tcW w:w="1980" w:type="dxa"/>
            <w:tcBorders>
              <w:top w:val="nil"/>
              <w:left w:val="nil"/>
              <w:bottom w:val="nil"/>
              <w:right w:val="nil"/>
            </w:tcBorders>
            <w:shd w:val="clear" w:color="auto" w:fill="auto"/>
            <w:noWrap/>
            <w:vAlign w:val="bottom"/>
            <w:hideMark/>
          </w:tcPr>
          <w:p w:rsidRPr="00C95515" w:rsidR="00C6356B" w:rsidP="00793425" w:rsidRDefault="00C6356B" w14:paraId="3AAE6CC3" w14:textId="674911E4">
            <w:r w:rsidRPr="00C95515">
              <w:t>Data Quality Follow-Up</w:t>
            </w:r>
          </w:p>
        </w:tc>
        <w:tc>
          <w:tcPr>
            <w:tcW w:w="1530" w:type="dxa"/>
            <w:tcBorders>
              <w:top w:val="nil"/>
              <w:left w:val="nil"/>
              <w:bottom w:val="nil"/>
              <w:right w:val="nil"/>
            </w:tcBorders>
            <w:shd w:val="clear" w:color="auto" w:fill="auto"/>
            <w:noWrap/>
            <w:vAlign w:val="bottom"/>
            <w:hideMark/>
          </w:tcPr>
          <w:p w:rsidRPr="00C95515" w:rsidR="00C6356B" w:rsidP="00793425" w:rsidRDefault="00C8697F" w14:paraId="508F592B" w14:textId="2149434C">
            <w:pPr>
              <w:jc w:val="right"/>
            </w:pPr>
            <w:r w:rsidRPr="00C95515">
              <w:t>250</w:t>
            </w:r>
            <w:r w:rsidRPr="00C95515" w:rsidR="00C6356B">
              <w:t xml:space="preserve"> </w:t>
            </w:r>
          </w:p>
        </w:tc>
        <w:tc>
          <w:tcPr>
            <w:tcW w:w="1620" w:type="dxa"/>
            <w:tcBorders>
              <w:top w:val="nil"/>
              <w:left w:val="nil"/>
              <w:bottom w:val="nil"/>
              <w:right w:val="nil"/>
            </w:tcBorders>
            <w:shd w:val="clear" w:color="auto" w:fill="auto"/>
            <w:noWrap/>
            <w:vAlign w:val="bottom"/>
            <w:hideMark/>
          </w:tcPr>
          <w:p w:rsidRPr="00C95515" w:rsidR="00C6356B" w:rsidP="00793425" w:rsidRDefault="007D0421" w14:paraId="265CA8C7" w14:textId="465F994B">
            <w:pPr>
              <w:jc w:val="right"/>
            </w:pPr>
            <w:r w:rsidRPr="00C95515">
              <w:t>0.25</w:t>
            </w:r>
            <w:r w:rsidRPr="00C95515" w:rsidR="00C6356B">
              <w:t xml:space="preserve"> </w:t>
            </w:r>
          </w:p>
        </w:tc>
        <w:tc>
          <w:tcPr>
            <w:tcW w:w="1620" w:type="dxa"/>
            <w:tcBorders>
              <w:top w:val="nil"/>
              <w:left w:val="nil"/>
              <w:bottom w:val="nil"/>
              <w:right w:val="nil"/>
            </w:tcBorders>
            <w:shd w:val="clear" w:color="auto" w:fill="auto"/>
            <w:noWrap/>
            <w:vAlign w:val="bottom"/>
            <w:hideMark/>
          </w:tcPr>
          <w:p w:rsidRPr="00C95515" w:rsidR="00C6356B" w:rsidP="00793425" w:rsidRDefault="00C6356B" w14:paraId="4BC3B22F" w14:textId="0DF11F52">
            <w:pPr>
              <w:jc w:val="right"/>
            </w:pPr>
            <w:r w:rsidRPr="00C95515">
              <w:t xml:space="preserve"> n/a </w:t>
            </w:r>
          </w:p>
        </w:tc>
        <w:tc>
          <w:tcPr>
            <w:tcW w:w="1260" w:type="dxa"/>
            <w:tcBorders>
              <w:top w:val="nil"/>
              <w:left w:val="nil"/>
              <w:bottom w:val="nil"/>
              <w:right w:val="nil"/>
            </w:tcBorders>
            <w:shd w:val="clear" w:color="auto" w:fill="auto"/>
            <w:noWrap/>
            <w:vAlign w:val="bottom"/>
            <w:hideMark/>
          </w:tcPr>
          <w:p w:rsidRPr="00C95515" w:rsidR="00C6356B" w:rsidP="00793425" w:rsidRDefault="00C6356B" w14:paraId="2D979163" w14:textId="3FE99B69">
            <w:pPr>
              <w:jc w:val="right"/>
            </w:pPr>
            <w:r w:rsidRPr="00C95515">
              <w:t xml:space="preserve"> </w:t>
            </w:r>
            <w:r w:rsidRPr="00C95515" w:rsidR="007D0421">
              <w:t>0.25</w:t>
            </w:r>
            <w:r w:rsidRPr="00C95515">
              <w:t xml:space="preserve"> </w:t>
            </w:r>
          </w:p>
        </w:tc>
        <w:tc>
          <w:tcPr>
            <w:tcW w:w="1452" w:type="dxa"/>
            <w:tcBorders>
              <w:top w:val="nil"/>
              <w:left w:val="nil"/>
              <w:bottom w:val="nil"/>
              <w:right w:val="nil"/>
            </w:tcBorders>
            <w:shd w:val="clear" w:color="auto" w:fill="auto"/>
            <w:noWrap/>
            <w:vAlign w:val="bottom"/>
            <w:hideMark/>
          </w:tcPr>
          <w:p w:rsidRPr="00C95515" w:rsidR="00C6356B" w:rsidP="00793425" w:rsidRDefault="00C95515" w14:paraId="2AB1546A" w14:textId="3381886C">
            <w:pPr>
              <w:jc w:val="right"/>
            </w:pPr>
            <w:r w:rsidRPr="00C95515">
              <w:t>62.5</w:t>
            </w:r>
            <w:r w:rsidRPr="00C95515" w:rsidR="00C6356B">
              <w:t xml:space="preserve"> </w:t>
            </w:r>
          </w:p>
        </w:tc>
      </w:tr>
      <w:tr w:rsidRPr="00C95515" w:rsidR="00C6356B" w:rsidTr="00A63257" w14:paraId="4343AB9B" w14:textId="77777777">
        <w:trPr>
          <w:trHeight w:val="657"/>
        </w:trPr>
        <w:tc>
          <w:tcPr>
            <w:tcW w:w="1980" w:type="dxa"/>
            <w:tcBorders>
              <w:top w:val="nil"/>
              <w:left w:val="nil"/>
              <w:bottom w:val="single" w:color="auto" w:sz="4" w:space="0"/>
              <w:right w:val="nil"/>
            </w:tcBorders>
            <w:shd w:val="clear" w:color="auto" w:fill="auto"/>
            <w:noWrap/>
            <w:vAlign w:val="bottom"/>
            <w:hideMark/>
          </w:tcPr>
          <w:p w:rsidRPr="00C95515" w:rsidR="00C6356B" w:rsidP="00793425" w:rsidRDefault="00C6356B" w14:paraId="517E2CDC" w14:textId="77777777">
            <w:r w:rsidRPr="00C95515">
              <w:t>Total</w:t>
            </w:r>
          </w:p>
        </w:tc>
        <w:tc>
          <w:tcPr>
            <w:tcW w:w="1530" w:type="dxa"/>
            <w:tcBorders>
              <w:top w:val="nil"/>
              <w:left w:val="nil"/>
              <w:bottom w:val="single" w:color="auto" w:sz="4" w:space="0"/>
              <w:right w:val="nil"/>
            </w:tcBorders>
            <w:shd w:val="clear" w:color="auto" w:fill="auto"/>
            <w:noWrap/>
            <w:vAlign w:val="bottom"/>
          </w:tcPr>
          <w:p w:rsidRPr="00C95515" w:rsidR="00C6356B" w:rsidP="00793425" w:rsidRDefault="00C6356B" w14:paraId="708BE4FC" w14:textId="77777777">
            <w:pPr>
              <w:jc w:val="right"/>
            </w:pPr>
          </w:p>
        </w:tc>
        <w:tc>
          <w:tcPr>
            <w:tcW w:w="1620" w:type="dxa"/>
            <w:tcBorders>
              <w:top w:val="nil"/>
              <w:left w:val="nil"/>
              <w:bottom w:val="single" w:color="auto" w:sz="4" w:space="0"/>
              <w:right w:val="nil"/>
            </w:tcBorders>
            <w:shd w:val="clear" w:color="auto" w:fill="auto"/>
            <w:noWrap/>
            <w:vAlign w:val="bottom"/>
          </w:tcPr>
          <w:p w:rsidRPr="00C95515" w:rsidR="00C6356B" w:rsidP="00793425" w:rsidRDefault="00C6356B" w14:paraId="41DC9B6C" w14:textId="77777777"/>
        </w:tc>
        <w:tc>
          <w:tcPr>
            <w:tcW w:w="1620" w:type="dxa"/>
            <w:tcBorders>
              <w:top w:val="nil"/>
              <w:left w:val="nil"/>
              <w:bottom w:val="single" w:color="auto" w:sz="4" w:space="0"/>
              <w:right w:val="nil"/>
            </w:tcBorders>
            <w:shd w:val="clear" w:color="auto" w:fill="auto"/>
            <w:noWrap/>
            <w:vAlign w:val="bottom"/>
            <w:hideMark/>
          </w:tcPr>
          <w:p w:rsidRPr="00C95515" w:rsidR="00C6356B" w:rsidP="00793425" w:rsidRDefault="00C6356B" w14:paraId="47434C16" w14:textId="77777777">
            <w:r w:rsidRPr="00C95515">
              <w:t> </w:t>
            </w:r>
          </w:p>
        </w:tc>
        <w:tc>
          <w:tcPr>
            <w:tcW w:w="1260" w:type="dxa"/>
            <w:tcBorders>
              <w:top w:val="nil"/>
              <w:left w:val="nil"/>
              <w:bottom w:val="single" w:color="auto" w:sz="4" w:space="0"/>
              <w:right w:val="nil"/>
            </w:tcBorders>
            <w:shd w:val="clear" w:color="auto" w:fill="auto"/>
            <w:noWrap/>
            <w:vAlign w:val="bottom"/>
            <w:hideMark/>
          </w:tcPr>
          <w:p w:rsidRPr="00C95515" w:rsidR="00C6356B" w:rsidP="00793425" w:rsidRDefault="00C6356B" w14:paraId="7BCAB743" w14:textId="77777777">
            <w:r w:rsidRPr="00C95515">
              <w:t> </w:t>
            </w:r>
          </w:p>
        </w:tc>
        <w:tc>
          <w:tcPr>
            <w:tcW w:w="1452" w:type="dxa"/>
            <w:tcBorders>
              <w:top w:val="nil"/>
              <w:left w:val="nil"/>
              <w:bottom w:val="single" w:color="auto" w:sz="4" w:space="0"/>
              <w:right w:val="nil"/>
            </w:tcBorders>
            <w:shd w:val="clear" w:color="auto" w:fill="auto"/>
            <w:noWrap/>
            <w:vAlign w:val="bottom"/>
            <w:hideMark/>
          </w:tcPr>
          <w:p w:rsidRPr="00C95515" w:rsidR="00C6356B" w:rsidP="00793425" w:rsidRDefault="00C95515" w14:paraId="2AE58C4A" w14:textId="626473A7">
            <w:pPr>
              <w:jc w:val="right"/>
            </w:pPr>
            <w:r w:rsidRPr="00C95515">
              <w:t>1312.5</w:t>
            </w:r>
            <w:r w:rsidRPr="00C95515" w:rsidR="00C6356B">
              <w:t xml:space="preserve"> </w:t>
            </w:r>
          </w:p>
        </w:tc>
      </w:tr>
    </w:tbl>
    <w:p w:rsidRPr="00C95515" w:rsidR="00C6356B" w:rsidP="00793425" w:rsidRDefault="00C6356B" w14:paraId="161B200B" w14:textId="77777777">
      <w:pPr>
        <w:shd w:val="solid" w:color="FFFFFF" w:fill="FFFFFF"/>
        <w:ind w:left="720"/>
        <w:rPr>
          <w:b/>
          <w:bCs/>
        </w:rPr>
      </w:pPr>
    </w:p>
    <w:p w:rsidRPr="00C77BF6" w:rsidR="00D11F78" w:rsidP="00793425" w:rsidRDefault="00D11F78" w14:paraId="582E6039" w14:textId="77777777">
      <w:pPr>
        <w:rPr>
          <w:color w:val="FF0000"/>
        </w:rPr>
      </w:pPr>
    </w:p>
    <w:p w:rsidRPr="00C8697F" w:rsidR="00AF7585" w:rsidP="00793425" w:rsidRDefault="00AF7585" w14:paraId="062E50FD" w14:textId="77777777">
      <w:pPr>
        <w:pStyle w:val="ListParagraph"/>
        <w:numPr>
          <w:ilvl w:val="0"/>
          <w:numId w:val="2"/>
        </w:numPr>
        <w:rPr>
          <w:b/>
          <w:u w:val="single"/>
        </w:rPr>
      </w:pPr>
      <w:r w:rsidRPr="00C8697F">
        <w:rPr>
          <w:b/>
          <w:u w:val="single"/>
        </w:rPr>
        <w:t>Estimate of Respondent’s Cost Burden</w:t>
      </w:r>
    </w:p>
    <w:p w:rsidRPr="00C77BF6" w:rsidR="00AF7585" w:rsidP="00793425" w:rsidRDefault="00AF7585" w14:paraId="39E5AB10" w14:textId="77777777">
      <w:pPr>
        <w:pStyle w:val="Default"/>
        <w:rPr>
          <w:rFonts w:ascii="Times New Roman" w:hAnsi="Times New Roman" w:cs="Times New Roman"/>
          <w:color w:val="FF0000"/>
        </w:rPr>
      </w:pPr>
    </w:p>
    <w:p w:rsidRPr="00C8697F" w:rsidR="00D86541" w:rsidP="00793425" w:rsidRDefault="00D86541" w14:paraId="17F0F047" w14:textId="153CEECF">
      <w:pPr>
        <w:pStyle w:val="Default"/>
        <w:rPr>
          <w:rFonts w:ascii="Times New Roman" w:hAnsi="Times New Roman" w:cs="Times New Roman"/>
          <w:color w:val="auto"/>
        </w:rPr>
      </w:pPr>
      <w:r w:rsidRPr="00C8697F">
        <w:rPr>
          <w:rFonts w:ascii="Times New Roman" w:hAnsi="Times New Roman" w:cs="Times New Roman"/>
          <w:color w:val="auto"/>
        </w:rPr>
        <w:t xml:space="preserve">Approximately </w:t>
      </w:r>
      <w:r w:rsidRPr="00C8697F" w:rsidR="00C8697F">
        <w:rPr>
          <w:rFonts w:ascii="Times New Roman" w:hAnsi="Times New Roman" w:cs="Times New Roman"/>
          <w:color w:val="auto"/>
        </w:rPr>
        <w:t>5</w:t>
      </w:r>
      <w:r w:rsidRPr="00C8697F" w:rsidR="007D0421">
        <w:rPr>
          <w:rFonts w:ascii="Times New Roman" w:hAnsi="Times New Roman" w:cs="Times New Roman"/>
          <w:color w:val="auto"/>
        </w:rPr>
        <w:t>00</w:t>
      </w:r>
      <w:r w:rsidRPr="00C8697F">
        <w:rPr>
          <w:rFonts w:ascii="Times New Roman" w:hAnsi="Times New Roman" w:cs="Times New Roman"/>
          <w:color w:val="auto"/>
        </w:rPr>
        <w:t xml:space="preserve"> </w:t>
      </w:r>
      <w:r w:rsidRPr="00C8697F" w:rsidR="0065284E">
        <w:rPr>
          <w:rFonts w:ascii="Times New Roman" w:hAnsi="Times New Roman" w:cs="Times New Roman"/>
          <w:color w:val="auto"/>
        </w:rPr>
        <w:t>laboratories</w:t>
      </w:r>
      <w:r w:rsidRPr="00C8697F">
        <w:rPr>
          <w:rFonts w:ascii="Times New Roman" w:hAnsi="Times New Roman" w:cs="Times New Roman"/>
          <w:color w:val="auto"/>
        </w:rPr>
        <w:t xml:space="preserve"> will be asked to participate in the </w:t>
      </w:r>
      <w:r w:rsidRPr="00C8697F" w:rsidR="0065284E">
        <w:rPr>
          <w:rFonts w:ascii="Times New Roman" w:hAnsi="Times New Roman" w:cs="Times New Roman"/>
          <w:color w:val="auto"/>
        </w:rPr>
        <w:t>2020 CPFFCL</w:t>
      </w:r>
      <w:r w:rsidRPr="00C8697F">
        <w:rPr>
          <w:rFonts w:ascii="Times New Roman" w:hAnsi="Times New Roman" w:cs="Times New Roman"/>
          <w:color w:val="auto"/>
        </w:rPr>
        <w:t>. Assuming a pay rate approximately equivalent to the GS-12 / 01 level ($</w:t>
      </w:r>
      <w:r w:rsidR="00A77977">
        <w:rPr>
          <w:rFonts w:ascii="Times New Roman" w:hAnsi="Times New Roman" w:cs="Times New Roman"/>
          <w:color w:val="auto"/>
        </w:rPr>
        <w:t>77</w:t>
      </w:r>
      <w:r w:rsidR="00200A31">
        <w:rPr>
          <w:rFonts w:ascii="Times New Roman" w:hAnsi="Times New Roman" w:cs="Times New Roman"/>
          <w:color w:val="auto"/>
        </w:rPr>
        <w:t>,</w:t>
      </w:r>
      <w:r w:rsidR="00A77977">
        <w:rPr>
          <w:rFonts w:ascii="Times New Roman" w:hAnsi="Times New Roman" w:cs="Times New Roman"/>
          <w:color w:val="auto"/>
        </w:rPr>
        <w:t>488</w:t>
      </w:r>
      <w:r w:rsidRPr="00C8697F">
        <w:rPr>
          <w:rFonts w:ascii="Times New Roman" w:hAnsi="Times New Roman" w:cs="Times New Roman"/>
          <w:color w:val="auto"/>
        </w:rPr>
        <w:t>), the estimated agency cost of employee time would be approximately $</w:t>
      </w:r>
      <w:r w:rsidR="00A77977">
        <w:rPr>
          <w:rFonts w:ascii="Times New Roman" w:hAnsi="Times New Roman" w:cs="Times New Roman"/>
          <w:color w:val="auto"/>
        </w:rPr>
        <w:t>37.25</w:t>
      </w:r>
      <w:r w:rsidRPr="00C8697F">
        <w:rPr>
          <w:rFonts w:ascii="Times New Roman" w:hAnsi="Times New Roman" w:cs="Times New Roman"/>
          <w:color w:val="auto"/>
        </w:rPr>
        <w:t xml:space="preserve"> per hour. Based on the estimated time burden per response and employee pay rate, the total respondent employee time cost burden</w:t>
      </w:r>
      <w:r w:rsidRPr="00C8697F" w:rsidR="00115049">
        <w:rPr>
          <w:rFonts w:ascii="Times New Roman" w:hAnsi="Times New Roman" w:cs="Times New Roman"/>
          <w:color w:val="auto"/>
        </w:rPr>
        <w:t xml:space="preserve"> to complete the census form </w:t>
      </w:r>
      <w:r w:rsidRPr="00C8697F">
        <w:rPr>
          <w:rFonts w:ascii="Times New Roman" w:hAnsi="Times New Roman" w:cs="Times New Roman"/>
          <w:color w:val="auto"/>
        </w:rPr>
        <w:t>is estimated at $</w:t>
      </w:r>
      <w:r w:rsidR="00705087">
        <w:rPr>
          <w:rFonts w:ascii="Times New Roman" w:hAnsi="Times New Roman" w:cs="Times New Roman"/>
          <w:color w:val="auto"/>
        </w:rPr>
        <w:t>46,567</w:t>
      </w:r>
      <w:r w:rsidRPr="00C8697F">
        <w:rPr>
          <w:rFonts w:ascii="Times New Roman" w:hAnsi="Times New Roman" w:cs="Times New Roman"/>
          <w:color w:val="auto"/>
        </w:rPr>
        <w:t xml:space="preserve">. </w:t>
      </w:r>
      <w:r w:rsidRPr="00C8697F" w:rsidR="00115049">
        <w:rPr>
          <w:rFonts w:ascii="Times New Roman" w:hAnsi="Times New Roman" w:cs="Times New Roman"/>
          <w:color w:val="auto"/>
        </w:rPr>
        <w:t xml:space="preserve">Additionally, BJS estimates that in about half </w:t>
      </w:r>
      <w:r w:rsidRPr="00C8697F" w:rsidR="00A062BC">
        <w:rPr>
          <w:rFonts w:ascii="Times New Roman" w:hAnsi="Times New Roman" w:cs="Times New Roman"/>
          <w:color w:val="auto"/>
        </w:rPr>
        <w:t xml:space="preserve">of </w:t>
      </w:r>
      <w:r w:rsidRPr="00C8697F" w:rsidR="00115049">
        <w:rPr>
          <w:rFonts w:ascii="Times New Roman" w:hAnsi="Times New Roman" w:cs="Times New Roman"/>
          <w:color w:val="auto"/>
        </w:rPr>
        <w:t xml:space="preserve">the cases, we will conduct data quality follow up, taking approximately 15 minutes </w:t>
      </w:r>
      <w:r w:rsidRPr="00C8697F" w:rsidR="00E67F34">
        <w:rPr>
          <w:rFonts w:ascii="Times New Roman" w:hAnsi="Times New Roman" w:cs="Times New Roman"/>
          <w:color w:val="auto"/>
        </w:rPr>
        <w:t xml:space="preserve">to complete. The </w:t>
      </w:r>
      <w:r w:rsidRPr="00C8697F" w:rsidR="00E67F34">
        <w:rPr>
          <w:rFonts w:ascii="Times New Roman" w:hAnsi="Times New Roman" w:cs="Times New Roman"/>
          <w:color w:val="auto"/>
        </w:rPr>
        <w:lastRenderedPageBreak/>
        <w:t>additional estimated respondent employee cost burden for the 269 data quality follow-up hours is $</w:t>
      </w:r>
      <w:r w:rsidR="00200A31">
        <w:rPr>
          <w:rFonts w:ascii="Times New Roman" w:hAnsi="Times New Roman" w:cs="Times New Roman"/>
          <w:color w:val="auto"/>
        </w:rPr>
        <w:t>2,</w:t>
      </w:r>
      <w:r w:rsidR="00705087">
        <w:rPr>
          <w:rFonts w:ascii="Times New Roman" w:hAnsi="Times New Roman" w:cs="Times New Roman"/>
          <w:color w:val="auto"/>
        </w:rPr>
        <w:t>328</w:t>
      </w:r>
    </w:p>
    <w:p w:rsidRPr="00C8697F" w:rsidR="00200A31" w:rsidP="00793425" w:rsidRDefault="00200A31" w14:paraId="60F165DA" w14:textId="77777777"/>
    <w:p w:rsidR="00D86541" w:rsidP="00793425" w:rsidRDefault="00D86541" w14:paraId="2A47CC2B" w14:textId="34F07179">
      <w:pPr>
        <w:pStyle w:val="Default"/>
        <w:rPr>
          <w:rFonts w:ascii="Times New Roman" w:hAnsi="Times New Roman" w:cs="Times New Roman"/>
          <w:b/>
          <w:color w:val="auto"/>
        </w:rPr>
      </w:pPr>
      <w:r w:rsidRPr="00C8697F">
        <w:rPr>
          <w:rFonts w:ascii="Times New Roman" w:hAnsi="Times New Roman" w:cs="Times New Roman"/>
          <w:color w:val="auto"/>
        </w:rPr>
        <w:t xml:space="preserve">There are no anticipated costs to respondents beyond the employee time expended during </w:t>
      </w:r>
      <w:r w:rsidRPr="00A610C2">
        <w:rPr>
          <w:rFonts w:ascii="Times New Roman" w:hAnsi="Times New Roman" w:cs="Times New Roman"/>
          <w:color w:val="auto"/>
        </w:rPr>
        <w:t>completion of the survey instrument</w:t>
      </w:r>
      <w:r w:rsidRPr="00A610C2" w:rsidR="00E67F34">
        <w:rPr>
          <w:rFonts w:ascii="Times New Roman" w:hAnsi="Times New Roman" w:cs="Times New Roman"/>
          <w:color w:val="auto"/>
        </w:rPr>
        <w:t>, data quality follow</w:t>
      </w:r>
      <w:r w:rsidR="00FA6F24">
        <w:rPr>
          <w:rFonts w:ascii="Times New Roman" w:hAnsi="Times New Roman" w:cs="Times New Roman"/>
          <w:color w:val="auto"/>
        </w:rPr>
        <w:t>-</w:t>
      </w:r>
      <w:r w:rsidRPr="00A610C2" w:rsidR="00E67F34">
        <w:rPr>
          <w:rFonts w:ascii="Times New Roman" w:hAnsi="Times New Roman" w:cs="Times New Roman"/>
          <w:color w:val="auto"/>
        </w:rPr>
        <w:t>up,</w:t>
      </w:r>
      <w:r w:rsidRPr="00A610C2">
        <w:rPr>
          <w:rFonts w:ascii="Times New Roman" w:hAnsi="Times New Roman" w:cs="Times New Roman"/>
          <w:color w:val="auto"/>
        </w:rPr>
        <w:t xml:space="preserve"> and addressed in above. Therefore, the total cost burden to respondents associated with this clearance request is $</w:t>
      </w:r>
      <w:r w:rsidR="00705087">
        <w:rPr>
          <w:rFonts w:ascii="Times New Roman" w:hAnsi="Times New Roman" w:cs="Times New Roman"/>
          <w:color w:val="auto"/>
        </w:rPr>
        <w:t>48,</w:t>
      </w:r>
      <w:r w:rsidR="003A7864">
        <w:rPr>
          <w:rFonts w:ascii="Times New Roman" w:hAnsi="Times New Roman" w:cs="Times New Roman"/>
          <w:color w:val="auto"/>
        </w:rPr>
        <w:t>896</w:t>
      </w:r>
      <w:r w:rsidRPr="00A610C2">
        <w:rPr>
          <w:rFonts w:ascii="Times New Roman" w:hAnsi="Times New Roman" w:cs="Times New Roman"/>
          <w:color w:val="auto"/>
        </w:rPr>
        <w:t>.</w:t>
      </w:r>
      <w:r w:rsidR="00200A31">
        <w:rPr>
          <w:rFonts w:ascii="Times New Roman" w:hAnsi="Times New Roman" w:cs="Times New Roman"/>
          <w:color w:val="auto"/>
        </w:rPr>
        <w:t xml:space="preserve"> This estimated respondent cost is shown in </w:t>
      </w:r>
      <w:r w:rsidRPr="00535C02" w:rsidR="00200A31">
        <w:rPr>
          <w:rFonts w:ascii="Times New Roman" w:hAnsi="Times New Roman" w:cs="Times New Roman"/>
          <w:b/>
          <w:color w:val="auto"/>
        </w:rPr>
        <w:t>Table 3.</w:t>
      </w:r>
    </w:p>
    <w:p w:rsidR="00200A31" w:rsidP="00793425" w:rsidRDefault="00200A31" w14:paraId="2A9CF0C5" w14:textId="53A63447"/>
    <w:tbl>
      <w:tblPr>
        <w:tblW w:w="6560" w:type="dxa"/>
        <w:tblLook w:val="04A0" w:firstRow="1" w:lastRow="0" w:firstColumn="1" w:lastColumn="0" w:noHBand="0" w:noVBand="1"/>
      </w:tblPr>
      <w:tblGrid>
        <w:gridCol w:w="4980"/>
        <w:gridCol w:w="1580"/>
      </w:tblGrid>
      <w:tr w:rsidR="00200A31" w:rsidTr="00200A31" w14:paraId="22597801" w14:textId="77777777">
        <w:trPr>
          <w:trHeight w:val="300"/>
        </w:trPr>
        <w:tc>
          <w:tcPr>
            <w:tcW w:w="6560" w:type="dxa"/>
            <w:gridSpan w:val="2"/>
            <w:tcBorders>
              <w:top w:val="nil"/>
              <w:left w:val="nil"/>
              <w:bottom w:val="single" w:color="auto" w:sz="4" w:space="0"/>
              <w:right w:val="nil"/>
            </w:tcBorders>
            <w:shd w:val="clear" w:color="auto" w:fill="auto"/>
            <w:noWrap/>
            <w:vAlign w:val="bottom"/>
            <w:hideMark/>
          </w:tcPr>
          <w:p w:rsidR="00200A31" w:rsidP="00793425" w:rsidRDefault="00200A31" w14:paraId="4779AFC8" w14:textId="77777777">
            <w:pPr>
              <w:rPr>
                <w:b/>
                <w:bCs/>
                <w:color w:val="000000"/>
                <w:sz w:val="22"/>
                <w:szCs w:val="22"/>
              </w:rPr>
            </w:pPr>
            <w:r>
              <w:rPr>
                <w:b/>
                <w:bCs/>
                <w:color w:val="000000"/>
                <w:sz w:val="22"/>
                <w:szCs w:val="22"/>
              </w:rPr>
              <w:t>Table 3. Estimated Costs for Respondents</w:t>
            </w:r>
          </w:p>
        </w:tc>
      </w:tr>
      <w:tr w:rsidR="00200A31" w:rsidTr="00200A31" w14:paraId="2385D12A"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5D5D8ADD" w14:textId="77777777">
            <w:pPr>
              <w:rPr>
                <w:b/>
                <w:bCs/>
                <w:color w:val="000000"/>
                <w:sz w:val="22"/>
                <w:szCs w:val="22"/>
              </w:rPr>
            </w:pPr>
            <w:r>
              <w:rPr>
                <w:b/>
                <w:bCs/>
                <w:color w:val="000000"/>
                <w:sz w:val="22"/>
                <w:szCs w:val="22"/>
              </w:rPr>
              <w:t>Mean Hourly Wage</w:t>
            </w:r>
          </w:p>
        </w:tc>
        <w:tc>
          <w:tcPr>
            <w:tcW w:w="1580" w:type="dxa"/>
            <w:tcBorders>
              <w:top w:val="nil"/>
              <w:left w:val="nil"/>
              <w:bottom w:val="nil"/>
              <w:right w:val="nil"/>
            </w:tcBorders>
            <w:shd w:val="clear" w:color="auto" w:fill="auto"/>
            <w:noWrap/>
            <w:vAlign w:val="bottom"/>
            <w:hideMark/>
          </w:tcPr>
          <w:p w:rsidR="00200A31" w:rsidP="00793425" w:rsidRDefault="00200A31" w14:paraId="68A52B95" w14:textId="59104A03">
            <w:pPr>
              <w:jc w:val="right"/>
              <w:rPr>
                <w:color w:val="000000"/>
                <w:sz w:val="22"/>
                <w:szCs w:val="22"/>
              </w:rPr>
            </w:pPr>
            <w:r>
              <w:rPr>
                <w:color w:val="000000"/>
                <w:sz w:val="22"/>
                <w:szCs w:val="22"/>
              </w:rPr>
              <w:t>$</w:t>
            </w:r>
            <w:r w:rsidR="00705087">
              <w:rPr>
                <w:color w:val="000000"/>
                <w:sz w:val="22"/>
                <w:szCs w:val="22"/>
              </w:rPr>
              <w:t>37.25</w:t>
            </w:r>
          </w:p>
        </w:tc>
      </w:tr>
      <w:tr w:rsidR="00200A31" w:rsidTr="00200A31" w14:paraId="590587CC"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5FB61086" w14:textId="77777777">
            <w:pPr>
              <w:rPr>
                <w:b/>
                <w:bCs/>
                <w:color w:val="000000"/>
                <w:sz w:val="22"/>
                <w:szCs w:val="22"/>
              </w:rPr>
            </w:pPr>
            <w:r>
              <w:rPr>
                <w:b/>
                <w:bCs/>
                <w:color w:val="000000"/>
                <w:sz w:val="22"/>
                <w:szCs w:val="22"/>
              </w:rPr>
              <w:t>Main data collection</w:t>
            </w:r>
          </w:p>
        </w:tc>
        <w:tc>
          <w:tcPr>
            <w:tcW w:w="1580" w:type="dxa"/>
            <w:tcBorders>
              <w:top w:val="nil"/>
              <w:left w:val="nil"/>
              <w:bottom w:val="nil"/>
              <w:right w:val="nil"/>
            </w:tcBorders>
            <w:shd w:val="clear" w:color="auto" w:fill="auto"/>
            <w:noWrap/>
            <w:vAlign w:val="bottom"/>
            <w:hideMark/>
          </w:tcPr>
          <w:p w:rsidR="00200A31" w:rsidP="00793425" w:rsidRDefault="00200A31" w14:paraId="66A4BD78" w14:textId="77777777">
            <w:pPr>
              <w:rPr>
                <w:b/>
                <w:bCs/>
                <w:color w:val="000000"/>
                <w:sz w:val="22"/>
                <w:szCs w:val="22"/>
              </w:rPr>
            </w:pPr>
          </w:p>
        </w:tc>
      </w:tr>
      <w:tr w:rsidR="00200A31" w:rsidTr="00200A31" w14:paraId="63CF951D"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443789D5" w14:textId="77777777">
            <w:pPr>
              <w:ind w:firstLine="220" w:firstLineChars="100"/>
              <w:rPr>
                <w:color w:val="000000"/>
                <w:sz w:val="22"/>
                <w:szCs w:val="22"/>
              </w:rPr>
            </w:pPr>
            <w:r>
              <w:rPr>
                <w:color w:val="000000"/>
                <w:sz w:val="22"/>
                <w:szCs w:val="22"/>
              </w:rPr>
              <w:t>Number of respondents - main data collection</w:t>
            </w:r>
          </w:p>
        </w:tc>
        <w:tc>
          <w:tcPr>
            <w:tcW w:w="1580" w:type="dxa"/>
            <w:tcBorders>
              <w:top w:val="nil"/>
              <w:left w:val="nil"/>
              <w:bottom w:val="nil"/>
              <w:right w:val="nil"/>
            </w:tcBorders>
            <w:shd w:val="clear" w:color="auto" w:fill="auto"/>
            <w:noWrap/>
            <w:vAlign w:val="bottom"/>
            <w:hideMark/>
          </w:tcPr>
          <w:p w:rsidR="00200A31" w:rsidP="00793425" w:rsidRDefault="00200A31" w14:paraId="21AF795C" w14:textId="77777777">
            <w:pPr>
              <w:jc w:val="right"/>
              <w:rPr>
                <w:color w:val="000000"/>
                <w:sz w:val="22"/>
                <w:szCs w:val="22"/>
              </w:rPr>
            </w:pPr>
            <w:r>
              <w:rPr>
                <w:color w:val="000000"/>
                <w:sz w:val="22"/>
                <w:szCs w:val="22"/>
              </w:rPr>
              <w:t>500</w:t>
            </w:r>
          </w:p>
        </w:tc>
      </w:tr>
      <w:tr w:rsidR="00200A31" w:rsidTr="00200A31" w14:paraId="10E36465"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2D985972" w14:textId="77777777">
            <w:pPr>
              <w:ind w:firstLine="220" w:firstLineChars="100"/>
              <w:rPr>
                <w:color w:val="000000"/>
                <w:sz w:val="22"/>
                <w:szCs w:val="22"/>
              </w:rPr>
            </w:pPr>
            <w:r>
              <w:rPr>
                <w:color w:val="000000"/>
                <w:sz w:val="22"/>
                <w:szCs w:val="22"/>
              </w:rPr>
              <w:t>Estimated burden per form</w:t>
            </w:r>
          </w:p>
        </w:tc>
        <w:tc>
          <w:tcPr>
            <w:tcW w:w="1580" w:type="dxa"/>
            <w:tcBorders>
              <w:top w:val="nil"/>
              <w:left w:val="nil"/>
              <w:bottom w:val="nil"/>
              <w:right w:val="nil"/>
            </w:tcBorders>
            <w:shd w:val="clear" w:color="auto" w:fill="auto"/>
            <w:noWrap/>
            <w:vAlign w:val="bottom"/>
            <w:hideMark/>
          </w:tcPr>
          <w:p w:rsidR="00200A31" w:rsidP="00793425" w:rsidRDefault="00200A31" w14:paraId="48AC3112" w14:textId="77777777">
            <w:pPr>
              <w:jc w:val="right"/>
              <w:rPr>
                <w:color w:val="000000"/>
                <w:sz w:val="22"/>
                <w:szCs w:val="22"/>
              </w:rPr>
            </w:pPr>
            <w:r>
              <w:rPr>
                <w:color w:val="000000"/>
                <w:sz w:val="22"/>
                <w:szCs w:val="22"/>
              </w:rPr>
              <w:t>2.5</w:t>
            </w:r>
          </w:p>
        </w:tc>
      </w:tr>
      <w:tr w:rsidR="00200A31" w:rsidTr="00200A31" w14:paraId="6436D04D"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7E8F3CE5" w14:textId="77777777">
            <w:pPr>
              <w:ind w:firstLine="220" w:firstLineChars="100"/>
              <w:rPr>
                <w:color w:val="000000"/>
                <w:sz w:val="22"/>
                <w:szCs w:val="22"/>
              </w:rPr>
            </w:pPr>
            <w:r>
              <w:rPr>
                <w:color w:val="000000"/>
                <w:sz w:val="22"/>
                <w:szCs w:val="22"/>
              </w:rPr>
              <w:t>Estimated cost burden per form</w:t>
            </w:r>
          </w:p>
        </w:tc>
        <w:tc>
          <w:tcPr>
            <w:tcW w:w="1580" w:type="dxa"/>
            <w:tcBorders>
              <w:top w:val="nil"/>
              <w:left w:val="nil"/>
              <w:bottom w:val="nil"/>
              <w:right w:val="nil"/>
            </w:tcBorders>
            <w:shd w:val="clear" w:color="auto" w:fill="auto"/>
            <w:noWrap/>
            <w:vAlign w:val="bottom"/>
            <w:hideMark/>
          </w:tcPr>
          <w:p w:rsidR="00200A31" w:rsidP="00793425" w:rsidRDefault="00200A31" w14:paraId="582024F6" w14:textId="09DBEB81">
            <w:pPr>
              <w:jc w:val="right"/>
              <w:rPr>
                <w:color w:val="000000"/>
                <w:sz w:val="22"/>
                <w:szCs w:val="22"/>
              </w:rPr>
            </w:pPr>
            <w:r>
              <w:rPr>
                <w:color w:val="000000"/>
                <w:sz w:val="22"/>
                <w:szCs w:val="22"/>
              </w:rPr>
              <w:t>$</w:t>
            </w:r>
            <w:r w:rsidR="00705087">
              <w:rPr>
                <w:color w:val="000000"/>
                <w:sz w:val="22"/>
                <w:szCs w:val="22"/>
              </w:rPr>
              <w:t>93.13</w:t>
            </w:r>
          </w:p>
        </w:tc>
      </w:tr>
      <w:tr w:rsidR="00200A31" w:rsidTr="00200A31" w14:paraId="72F4E96C"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25E1F922" w14:textId="77777777">
            <w:pPr>
              <w:ind w:firstLine="220" w:firstLineChars="100"/>
              <w:rPr>
                <w:i/>
                <w:iCs/>
                <w:color w:val="000000"/>
                <w:sz w:val="22"/>
                <w:szCs w:val="22"/>
              </w:rPr>
            </w:pPr>
            <w:r>
              <w:rPr>
                <w:i/>
                <w:iCs/>
                <w:color w:val="000000"/>
                <w:sz w:val="22"/>
                <w:szCs w:val="22"/>
              </w:rPr>
              <w:t>Subtotal: main data collection</w:t>
            </w:r>
          </w:p>
        </w:tc>
        <w:tc>
          <w:tcPr>
            <w:tcW w:w="1580" w:type="dxa"/>
            <w:tcBorders>
              <w:top w:val="nil"/>
              <w:left w:val="nil"/>
              <w:bottom w:val="nil"/>
              <w:right w:val="nil"/>
            </w:tcBorders>
            <w:shd w:val="clear" w:color="auto" w:fill="auto"/>
            <w:noWrap/>
            <w:vAlign w:val="bottom"/>
            <w:hideMark/>
          </w:tcPr>
          <w:p w:rsidR="00200A31" w:rsidP="00793425" w:rsidRDefault="00705087" w14:paraId="691F5B0D" w14:textId="0B9D349F">
            <w:pPr>
              <w:jc w:val="right"/>
              <w:rPr>
                <w:i/>
                <w:iCs/>
                <w:color w:val="000000"/>
                <w:sz w:val="22"/>
                <w:szCs w:val="22"/>
              </w:rPr>
            </w:pPr>
            <w:r>
              <w:rPr>
                <w:i/>
                <w:iCs/>
                <w:color w:val="000000"/>
                <w:sz w:val="22"/>
                <w:szCs w:val="22"/>
              </w:rPr>
              <w:t>$46,567.31</w:t>
            </w:r>
          </w:p>
        </w:tc>
      </w:tr>
      <w:tr w:rsidR="00200A31" w:rsidTr="00200A31" w14:paraId="7A56DACB"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38ABBD0F" w14:textId="77777777">
            <w:pPr>
              <w:rPr>
                <w:b/>
                <w:bCs/>
                <w:color w:val="000000"/>
                <w:sz w:val="22"/>
                <w:szCs w:val="22"/>
              </w:rPr>
            </w:pPr>
            <w:r>
              <w:rPr>
                <w:b/>
                <w:bCs/>
                <w:color w:val="000000"/>
                <w:sz w:val="22"/>
                <w:szCs w:val="22"/>
              </w:rPr>
              <w:t>Data quality follow up</w:t>
            </w:r>
          </w:p>
        </w:tc>
        <w:tc>
          <w:tcPr>
            <w:tcW w:w="1580" w:type="dxa"/>
            <w:tcBorders>
              <w:top w:val="nil"/>
              <w:left w:val="nil"/>
              <w:bottom w:val="nil"/>
              <w:right w:val="nil"/>
            </w:tcBorders>
            <w:shd w:val="clear" w:color="auto" w:fill="auto"/>
            <w:noWrap/>
            <w:vAlign w:val="bottom"/>
            <w:hideMark/>
          </w:tcPr>
          <w:p w:rsidR="00200A31" w:rsidP="00793425" w:rsidRDefault="00200A31" w14:paraId="2F80C6C9" w14:textId="77777777">
            <w:pPr>
              <w:rPr>
                <w:b/>
                <w:bCs/>
                <w:color w:val="000000"/>
                <w:sz w:val="22"/>
                <w:szCs w:val="22"/>
              </w:rPr>
            </w:pPr>
          </w:p>
        </w:tc>
      </w:tr>
      <w:tr w:rsidR="00200A31" w:rsidTr="00200A31" w14:paraId="22940D33"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71148C6A" w14:textId="77777777">
            <w:pPr>
              <w:ind w:firstLine="220" w:firstLineChars="100"/>
              <w:rPr>
                <w:color w:val="000000"/>
                <w:sz w:val="22"/>
                <w:szCs w:val="22"/>
              </w:rPr>
            </w:pPr>
            <w:r>
              <w:rPr>
                <w:color w:val="000000"/>
                <w:sz w:val="22"/>
                <w:szCs w:val="22"/>
              </w:rPr>
              <w:t>Number of respondents</w:t>
            </w:r>
          </w:p>
        </w:tc>
        <w:tc>
          <w:tcPr>
            <w:tcW w:w="1580" w:type="dxa"/>
            <w:tcBorders>
              <w:top w:val="nil"/>
              <w:left w:val="nil"/>
              <w:bottom w:val="nil"/>
              <w:right w:val="nil"/>
            </w:tcBorders>
            <w:shd w:val="clear" w:color="auto" w:fill="auto"/>
            <w:noWrap/>
            <w:vAlign w:val="bottom"/>
            <w:hideMark/>
          </w:tcPr>
          <w:p w:rsidR="00200A31" w:rsidP="00793425" w:rsidRDefault="00200A31" w14:paraId="3C5BA349" w14:textId="77777777">
            <w:pPr>
              <w:jc w:val="right"/>
              <w:rPr>
                <w:color w:val="000000"/>
                <w:sz w:val="22"/>
                <w:szCs w:val="22"/>
              </w:rPr>
            </w:pPr>
            <w:r>
              <w:rPr>
                <w:color w:val="000000"/>
                <w:sz w:val="22"/>
                <w:szCs w:val="22"/>
              </w:rPr>
              <w:t>250</w:t>
            </w:r>
          </w:p>
        </w:tc>
      </w:tr>
      <w:tr w:rsidR="00200A31" w:rsidTr="00200A31" w14:paraId="1C0EA270"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24CB23AA" w14:textId="77777777">
            <w:pPr>
              <w:ind w:firstLine="220" w:firstLineChars="100"/>
              <w:rPr>
                <w:color w:val="000000"/>
                <w:sz w:val="22"/>
                <w:szCs w:val="22"/>
              </w:rPr>
            </w:pPr>
            <w:r>
              <w:rPr>
                <w:color w:val="000000"/>
                <w:sz w:val="22"/>
                <w:szCs w:val="22"/>
              </w:rPr>
              <w:t>Estimated burden</w:t>
            </w:r>
          </w:p>
        </w:tc>
        <w:tc>
          <w:tcPr>
            <w:tcW w:w="1580" w:type="dxa"/>
            <w:tcBorders>
              <w:top w:val="nil"/>
              <w:left w:val="nil"/>
              <w:bottom w:val="nil"/>
              <w:right w:val="nil"/>
            </w:tcBorders>
            <w:shd w:val="clear" w:color="auto" w:fill="auto"/>
            <w:noWrap/>
            <w:vAlign w:val="bottom"/>
            <w:hideMark/>
          </w:tcPr>
          <w:p w:rsidR="00200A31" w:rsidP="00793425" w:rsidRDefault="00200A31" w14:paraId="2023E4D6" w14:textId="77777777">
            <w:pPr>
              <w:jc w:val="right"/>
              <w:rPr>
                <w:color w:val="000000"/>
                <w:sz w:val="22"/>
                <w:szCs w:val="22"/>
              </w:rPr>
            </w:pPr>
            <w:r>
              <w:rPr>
                <w:color w:val="000000"/>
                <w:sz w:val="22"/>
                <w:szCs w:val="22"/>
              </w:rPr>
              <w:t>0.25</w:t>
            </w:r>
          </w:p>
        </w:tc>
      </w:tr>
      <w:tr w:rsidR="00200A31" w:rsidTr="00200A31" w14:paraId="48FC82A2" w14:textId="77777777">
        <w:trPr>
          <w:trHeight w:val="300"/>
        </w:trPr>
        <w:tc>
          <w:tcPr>
            <w:tcW w:w="4980" w:type="dxa"/>
            <w:tcBorders>
              <w:top w:val="nil"/>
              <w:left w:val="nil"/>
              <w:bottom w:val="nil"/>
              <w:right w:val="nil"/>
            </w:tcBorders>
            <w:shd w:val="clear" w:color="auto" w:fill="auto"/>
            <w:vAlign w:val="bottom"/>
            <w:hideMark/>
          </w:tcPr>
          <w:p w:rsidR="00200A31" w:rsidP="00793425" w:rsidRDefault="00200A31" w14:paraId="787A5B1B" w14:textId="77777777">
            <w:pPr>
              <w:ind w:firstLine="220" w:firstLineChars="100"/>
              <w:rPr>
                <w:color w:val="000000"/>
                <w:sz w:val="22"/>
                <w:szCs w:val="22"/>
              </w:rPr>
            </w:pPr>
            <w:r>
              <w:rPr>
                <w:color w:val="000000"/>
                <w:sz w:val="22"/>
                <w:szCs w:val="22"/>
              </w:rPr>
              <w:t>Estimated cost per respondent</w:t>
            </w:r>
          </w:p>
        </w:tc>
        <w:tc>
          <w:tcPr>
            <w:tcW w:w="1580" w:type="dxa"/>
            <w:tcBorders>
              <w:top w:val="nil"/>
              <w:left w:val="nil"/>
              <w:bottom w:val="nil"/>
              <w:right w:val="nil"/>
            </w:tcBorders>
            <w:shd w:val="clear" w:color="auto" w:fill="auto"/>
            <w:noWrap/>
            <w:vAlign w:val="bottom"/>
            <w:hideMark/>
          </w:tcPr>
          <w:p w:rsidRPr="00535C02" w:rsidR="00200A31" w:rsidP="00793425" w:rsidRDefault="00705087" w14:paraId="09061266" w14:textId="0AD25C02">
            <w:pPr>
              <w:jc w:val="right"/>
              <w:rPr>
                <w:i/>
                <w:color w:val="000000"/>
                <w:sz w:val="22"/>
                <w:szCs w:val="22"/>
              </w:rPr>
            </w:pPr>
            <w:r w:rsidRPr="00535C02">
              <w:rPr>
                <w:i/>
                <w:color w:val="000000"/>
                <w:sz w:val="22"/>
                <w:szCs w:val="22"/>
              </w:rPr>
              <w:t>$9.31</w:t>
            </w:r>
          </w:p>
        </w:tc>
      </w:tr>
      <w:tr w:rsidR="00200A31" w:rsidTr="00200A31" w14:paraId="22CDD1B7" w14:textId="77777777">
        <w:trPr>
          <w:trHeight w:val="300"/>
        </w:trPr>
        <w:tc>
          <w:tcPr>
            <w:tcW w:w="4980" w:type="dxa"/>
            <w:tcBorders>
              <w:top w:val="nil"/>
              <w:left w:val="nil"/>
              <w:bottom w:val="single" w:color="auto" w:sz="4" w:space="0"/>
              <w:right w:val="nil"/>
            </w:tcBorders>
            <w:shd w:val="clear" w:color="auto" w:fill="auto"/>
            <w:vAlign w:val="bottom"/>
            <w:hideMark/>
          </w:tcPr>
          <w:p w:rsidR="00200A31" w:rsidP="00793425" w:rsidRDefault="00200A31" w14:paraId="1A2C67CE" w14:textId="77777777">
            <w:pPr>
              <w:ind w:firstLine="220" w:firstLineChars="100"/>
              <w:rPr>
                <w:i/>
                <w:iCs/>
                <w:color w:val="000000"/>
                <w:sz w:val="22"/>
                <w:szCs w:val="22"/>
              </w:rPr>
            </w:pPr>
            <w:r>
              <w:rPr>
                <w:i/>
                <w:iCs/>
                <w:color w:val="000000"/>
                <w:sz w:val="22"/>
                <w:szCs w:val="22"/>
              </w:rPr>
              <w:t>Subtotal: data quality follow-up</w:t>
            </w:r>
          </w:p>
        </w:tc>
        <w:tc>
          <w:tcPr>
            <w:tcW w:w="1580" w:type="dxa"/>
            <w:tcBorders>
              <w:top w:val="nil"/>
              <w:left w:val="nil"/>
              <w:bottom w:val="single" w:color="auto" w:sz="4" w:space="0"/>
              <w:right w:val="nil"/>
            </w:tcBorders>
            <w:shd w:val="clear" w:color="auto" w:fill="auto"/>
            <w:noWrap/>
            <w:vAlign w:val="bottom"/>
            <w:hideMark/>
          </w:tcPr>
          <w:p w:rsidR="00200A31" w:rsidP="00793425" w:rsidRDefault="00200A31" w14:paraId="34971357" w14:textId="1CBF48A3">
            <w:pPr>
              <w:jc w:val="right"/>
              <w:rPr>
                <w:i/>
                <w:iCs/>
                <w:color w:val="000000"/>
                <w:sz w:val="22"/>
                <w:szCs w:val="22"/>
              </w:rPr>
            </w:pPr>
            <w:r>
              <w:rPr>
                <w:i/>
                <w:iCs/>
                <w:color w:val="000000"/>
                <w:sz w:val="22"/>
                <w:szCs w:val="22"/>
              </w:rPr>
              <w:t>$2,</w:t>
            </w:r>
            <w:r w:rsidR="00705087">
              <w:rPr>
                <w:i/>
                <w:iCs/>
                <w:color w:val="000000"/>
                <w:sz w:val="22"/>
                <w:szCs w:val="22"/>
              </w:rPr>
              <w:t>328.37</w:t>
            </w:r>
          </w:p>
        </w:tc>
      </w:tr>
      <w:tr w:rsidR="00200A31" w:rsidTr="00200A31" w14:paraId="3E3BA37F" w14:textId="77777777">
        <w:trPr>
          <w:trHeight w:val="300"/>
        </w:trPr>
        <w:tc>
          <w:tcPr>
            <w:tcW w:w="4980" w:type="dxa"/>
            <w:tcBorders>
              <w:top w:val="nil"/>
              <w:left w:val="nil"/>
              <w:bottom w:val="single" w:color="auto" w:sz="4" w:space="0"/>
              <w:right w:val="nil"/>
            </w:tcBorders>
            <w:shd w:val="clear" w:color="auto" w:fill="auto"/>
            <w:vAlign w:val="bottom"/>
            <w:hideMark/>
          </w:tcPr>
          <w:p w:rsidR="00200A31" w:rsidP="00793425" w:rsidRDefault="00200A31" w14:paraId="4CF31C8A" w14:textId="77777777">
            <w:pPr>
              <w:rPr>
                <w:b/>
                <w:bCs/>
                <w:color w:val="000000"/>
                <w:sz w:val="22"/>
                <w:szCs w:val="22"/>
              </w:rPr>
            </w:pPr>
            <w:r>
              <w:rPr>
                <w:b/>
                <w:bCs/>
                <w:color w:val="000000"/>
                <w:sz w:val="22"/>
                <w:szCs w:val="22"/>
              </w:rPr>
              <w:t>TOTAL COSTS</w:t>
            </w:r>
          </w:p>
        </w:tc>
        <w:tc>
          <w:tcPr>
            <w:tcW w:w="1580" w:type="dxa"/>
            <w:tcBorders>
              <w:top w:val="nil"/>
              <w:left w:val="nil"/>
              <w:bottom w:val="single" w:color="auto" w:sz="4" w:space="0"/>
              <w:right w:val="nil"/>
            </w:tcBorders>
            <w:shd w:val="clear" w:color="auto" w:fill="auto"/>
            <w:noWrap/>
            <w:vAlign w:val="bottom"/>
            <w:hideMark/>
          </w:tcPr>
          <w:p w:rsidR="00200A31" w:rsidP="00793425" w:rsidRDefault="00705087" w14:paraId="259AC9C7" w14:textId="21E10BE2">
            <w:pPr>
              <w:jc w:val="right"/>
              <w:rPr>
                <w:b/>
                <w:bCs/>
                <w:color w:val="000000"/>
                <w:sz w:val="22"/>
                <w:szCs w:val="22"/>
              </w:rPr>
            </w:pPr>
            <w:r>
              <w:rPr>
                <w:b/>
                <w:bCs/>
                <w:color w:val="000000"/>
                <w:sz w:val="22"/>
                <w:szCs w:val="22"/>
              </w:rPr>
              <w:t>$48,895.67</w:t>
            </w:r>
          </w:p>
        </w:tc>
      </w:tr>
    </w:tbl>
    <w:p w:rsidRPr="00A610C2" w:rsidR="00200A31" w:rsidP="00793425" w:rsidRDefault="00200A31" w14:paraId="2670958A" w14:textId="77777777">
      <w:pPr>
        <w:pStyle w:val="Default"/>
        <w:rPr>
          <w:rFonts w:ascii="Times New Roman" w:hAnsi="Times New Roman" w:cs="Times New Roman"/>
          <w:color w:val="auto"/>
        </w:rPr>
      </w:pPr>
    </w:p>
    <w:p w:rsidRPr="00A610C2" w:rsidR="00D11F78" w:rsidP="00793425" w:rsidRDefault="00D11F78" w14:paraId="25FF9D16" w14:textId="499EBFB3"/>
    <w:p w:rsidRPr="00A610C2" w:rsidR="00AF7585" w:rsidP="00793425" w:rsidRDefault="00AF7585" w14:paraId="5A3A138E" w14:textId="77777777">
      <w:pPr>
        <w:pStyle w:val="ListParagraph"/>
        <w:numPr>
          <w:ilvl w:val="0"/>
          <w:numId w:val="2"/>
        </w:numPr>
        <w:rPr>
          <w:b/>
          <w:u w:val="single"/>
        </w:rPr>
      </w:pPr>
      <w:r w:rsidRPr="00A610C2">
        <w:rPr>
          <w:b/>
          <w:u w:val="single"/>
        </w:rPr>
        <w:t>Costs to Federal Government</w:t>
      </w:r>
    </w:p>
    <w:p w:rsidRPr="00C77BF6" w:rsidR="00AF7585" w:rsidP="00793425" w:rsidRDefault="00AF7585" w14:paraId="010D2221" w14:textId="77777777">
      <w:pPr>
        <w:pStyle w:val="ListParagraph"/>
        <w:ind w:left="360"/>
        <w:rPr>
          <w:color w:val="FF0000"/>
        </w:rPr>
      </w:pPr>
    </w:p>
    <w:p w:rsidRPr="00A610C2" w:rsidR="00276DC9" w:rsidP="00793425" w:rsidRDefault="00AF7585" w14:paraId="6524F9A7" w14:textId="6093D683">
      <w:r w:rsidRPr="00A610C2">
        <w:t xml:space="preserve">The total expected cost to the Federal Government for this data collection is </w:t>
      </w:r>
      <w:r w:rsidRPr="00A610C2">
        <w:rPr>
          <w:bCs/>
        </w:rPr>
        <w:t>$</w:t>
      </w:r>
      <w:r w:rsidRPr="00217EF7" w:rsidR="00EC6FFE">
        <w:rPr>
          <w:bCs/>
        </w:rPr>
        <w:t>548,926</w:t>
      </w:r>
      <w:r w:rsidRPr="00A610C2" w:rsidR="003A1F84">
        <w:rPr>
          <w:bCs/>
        </w:rPr>
        <w:t>,</w:t>
      </w:r>
      <w:r w:rsidRPr="00A610C2">
        <w:rPr>
          <w:bCs/>
        </w:rPr>
        <w:t xml:space="preserve"> </w:t>
      </w:r>
      <w:r w:rsidRPr="00A610C2">
        <w:t xml:space="preserve">to be borne </w:t>
      </w:r>
      <w:r w:rsidRPr="00A610C2" w:rsidR="003A1F84">
        <w:t>entirely b</w:t>
      </w:r>
      <w:r w:rsidRPr="00A610C2">
        <w:t>y the BJS.</w:t>
      </w:r>
      <w:r w:rsidRPr="00A610C2" w:rsidR="00745932">
        <w:t xml:space="preserve"> </w:t>
      </w:r>
      <w:r w:rsidRPr="00A610C2">
        <w:t xml:space="preserve">This work consists of planning, developing the questionnaire, preparation of materials, collecting the data, evaluating the results, and generating the </w:t>
      </w:r>
      <w:r w:rsidRPr="00A610C2" w:rsidR="00E74038">
        <w:t>data reports</w:t>
      </w:r>
      <w:r w:rsidRPr="00A610C2">
        <w:t xml:space="preserve">. A BJS GS-Level </w:t>
      </w:r>
      <w:r w:rsidR="0034518F">
        <w:t>12</w:t>
      </w:r>
      <w:r w:rsidRPr="00A610C2">
        <w:t xml:space="preserve"> statistician will be responsible for overseeing the </w:t>
      </w:r>
      <w:r w:rsidRPr="00A610C2" w:rsidR="00E74038">
        <w:t>RTI</w:t>
      </w:r>
      <w:r w:rsidRPr="00A610C2">
        <w:t>’s work</w:t>
      </w:r>
      <w:r w:rsidR="003C2E17">
        <w:t xml:space="preserve"> </w:t>
      </w:r>
      <w:r w:rsidRPr="00A610C2">
        <w:t>on this project.</w:t>
      </w:r>
      <w:r w:rsidRPr="00A610C2" w:rsidR="00745932">
        <w:t xml:space="preserve"> </w:t>
      </w:r>
      <w:r w:rsidRPr="00A610C2">
        <w:t xml:space="preserve">The budget for this project is shown </w:t>
      </w:r>
      <w:r w:rsidR="00BD08C1">
        <w:t xml:space="preserve">in </w:t>
      </w:r>
      <w:r w:rsidRPr="00BD08C1" w:rsidR="00BD08C1">
        <w:rPr>
          <w:b/>
          <w:bCs/>
        </w:rPr>
        <w:t xml:space="preserve">Table </w:t>
      </w:r>
      <w:r w:rsidR="00200A31">
        <w:rPr>
          <w:b/>
          <w:bCs/>
        </w:rPr>
        <w:t>4</w:t>
      </w:r>
      <w:r w:rsidR="00BD08C1">
        <w:t>.</w:t>
      </w:r>
    </w:p>
    <w:p w:rsidRPr="00A610C2" w:rsidR="00276DC9" w:rsidP="00793425" w:rsidRDefault="00276DC9" w14:paraId="1660927C" w14:textId="77777777">
      <w:pPr>
        <w:rPr>
          <w:b/>
        </w:rPr>
      </w:pPr>
    </w:p>
    <w:p w:rsidR="00BF10ED" w:rsidRDefault="00BF10ED" w14:paraId="1C2CE064" w14:textId="77777777">
      <w:pPr>
        <w:rPr>
          <w:b/>
        </w:rPr>
      </w:pPr>
      <w:r>
        <w:rPr>
          <w:b/>
        </w:rPr>
        <w:br w:type="page"/>
      </w:r>
    </w:p>
    <w:p w:rsidRPr="00A610C2" w:rsidR="00C6356B" w:rsidP="00793425" w:rsidRDefault="00C6356B" w14:paraId="54299499" w14:textId="2A305B57">
      <w:pPr>
        <w:rPr>
          <w:b/>
        </w:rPr>
      </w:pPr>
      <w:r w:rsidRPr="00A610C2">
        <w:rPr>
          <w:b/>
        </w:rPr>
        <w:lastRenderedPageBreak/>
        <w:t xml:space="preserve">Table </w:t>
      </w:r>
      <w:r w:rsidR="00200A31">
        <w:rPr>
          <w:b/>
        </w:rPr>
        <w:t>4</w:t>
      </w:r>
      <w:r w:rsidRPr="00A610C2">
        <w:rPr>
          <w:b/>
        </w:rPr>
        <w:t xml:space="preserve">. Estimated costs for the </w:t>
      </w:r>
      <w:r w:rsidRPr="00A610C2" w:rsidR="00C8697F">
        <w:rPr>
          <w:b/>
        </w:rPr>
        <w:t>2020 CPFFCL</w:t>
      </w:r>
    </w:p>
    <w:tbl>
      <w:tblPr>
        <w:tblW w:w="7020" w:type="dxa"/>
        <w:tblLook w:val="04A0" w:firstRow="1" w:lastRow="0" w:firstColumn="1" w:lastColumn="0" w:noHBand="0" w:noVBand="1"/>
      </w:tblPr>
      <w:tblGrid>
        <w:gridCol w:w="5740"/>
        <w:gridCol w:w="1476"/>
      </w:tblGrid>
      <w:tr w:rsidRPr="00A610C2" w:rsidR="00A610C2" w:rsidTr="00C6356B" w14:paraId="5FEAE393" w14:textId="77777777">
        <w:trPr>
          <w:trHeight w:val="300"/>
        </w:trPr>
        <w:tc>
          <w:tcPr>
            <w:tcW w:w="5740" w:type="dxa"/>
            <w:tcBorders>
              <w:top w:val="single" w:color="auto" w:sz="4" w:space="0"/>
              <w:left w:val="nil"/>
              <w:bottom w:val="single" w:color="auto" w:sz="4" w:space="0"/>
              <w:right w:val="nil"/>
            </w:tcBorders>
            <w:shd w:val="clear" w:color="auto" w:fill="auto"/>
            <w:noWrap/>
            <w:vAlign w:val="bottom"/>
            <w:hideMark/>
          </w:tcPr>
          <w:p w:rsidRPr="00A610C2" w:rsidR="00C6356B" w:rsidP="00793425" w:rsidRDefault="00C6356B" w14:paraId="5A368C2B" w14:textId="77777777">
            <w:pPr>
              <w:jc w:val="center"/>
              <w:rPr>
                <w:b/>
                <w:bCs/>
              </w:rPr>
            </w:pPr>
            <w:r w:rsidRPr="00A610C2">
              <w:rPr>
                <w:b/>
                <w:bCs/>
              </w:rPr>
              <w:t>Category</w:t>
            </w:r>
          </w:p>
        </w:tc>
        <w:tc>
          <w:tcPr>
            <w:tcW w:w="1280" w:type="dxa"/>
            <w:tcBorders>
              <w:top w:val="single" w:color="auto" w:sz="4" w:space="0"/>
              <w:left w:val="nil"/>
              <w:bottom w:val="single" w:color="auto" w:sz="4" w:space="0"/>
              <w:right w:val="nil"/>
            </w:tcBorders>
            <w:shd w:val="clear" w:color="auto" w:fill="auto"/>
            <w:noWrap/>
            <w:vAlign w:val="bottom"/>
            <w:hideMark/>
          </w:tcPr>
          <w:p w:rsidRPr="00A610C2" w:rsidR="00C6356B" w:rsidP="00793425" w:rsidRDefault="00C6356B" w14:paraId="79AC3E9C" w14:textId="77777777">
            <w:pPr>
              <w:jc w:val="center"/>
              <w:rPr>
                <w:b/>
                <w:bCs/>
              </w:rPr>
            </w:pPr>
            <w:r w:rsidRPr="00A610C2">
              <w:rPr>
                <w:b/>
                <w:bCs/>
              </w:rPr>
              <w:t>Cost</w:t>
            </w:r>
          </w:p>
        </w:tc>
      </w:tr>
      <w:tr w:rsidRPr="00A610C2" w:rsidR="00A610C2" w:rsidTr="00C6356B" w14:paraId="61EB5EF1"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512976D0" w14:textId="77777777">
            <w:r w:rsidRPr="00A610C2">
              <w:t>BJS costs</w:t>
            </w:r>
          </w:p>
        </w:tc>
        <w:tc>
          <w:tcPr>
            <w:tcW w:w="1280" w:type="dxa"/>
            <w:tcBorders>
              <w:top w:val="nil"/>
              <w:left w:val="nil"/>
              <w:bottom w:val="nil"/>
              <w:right w:val="nil"/>
            </w:tcBorders>
            <w:shd w:val="clear" w:color="auto" w:fill="auto"/>
            <w:noWrap/>
            <w:vAlign w:val="bottom"/>
            <w:hideMark/>
          </w:tcPr>
          <w:p w:rsidRPr="00A610C2" w:rsidR="00C6356B" w:rsidP="00793425" w:rsidRDefault="00C6356B" w14:paraId="3EBFDF6E" w14:textId="77777777"/>
        </w:tc>
      </w:tr>
      <w:tr w:rsidRPr="00A610C2" w:rsidR="00A610C2" w:rsidTr="00092054" w14:paraId="788ED03A" w14:textId="77777777">
        <w:trPr>
          <w:trHeight w:val="207"/>
        </w:trPr>
        <w:tc>
          <w:tcPr>
            <w:tcW w:w="5740" w:type="dxa"/>
            <w:tcBorders>
              <w:top w:val="nil"/>
              <w:left w:val="nil"/>
              <w:bottom w:val="nil"/>
              <w:right w:val="nil"/>
            </w:tcBorders>
            <w:shd w:val="clear" w:color="auto" w:fill="auto"/>
            <w:noWrap/>
            <w:vAlign w:val="bottom"/>
            <w:hideMark/>
          </w:tcPr>
          <w:p w:rsidRPr="00A610C2" w:rsidR="00C6356B" w:rsidP="00793425" w:rsidRDefault="00C6356B" w14:paraId="1DA6378B" w14:textId="77777777">
            <w:pPr>
              <w:ind w:firstLine="480" w:firstLineChars="200"/>
            </w:pPr>
            <w:r w:rsidRPr="00A610C2">
              <w:t>Staff salaries</w:t>
            </w:r>
          </w:p>
        </w:tc>
        <w:tc>
          <w:tcPr>
            <w:tcW w:w="1280" w:type="dxa"/>
            <w:tcBorders>
              <w:top w:val="nil"/>
              <w:left w:val="nil"/>
              <w:bottom w:val="nil"/>
              <w:right w:val="nil"/>
            </w:tcBorders>
            <w:shd w:val="clear" w:color="auto" w:fill="auto"/>
            <w:noWrap/>
            <w:vAlign w:val="bottom"/>
            <w:hideMark/>
          </w:tcPr>
          <w:p w:rsidRPr="00A610C2" w:rsidR="00C6356B" w:rsidP="00793425" w:rsidRDefault="00C6356B" w14:paraId="0CAD89DE" w14:textId="77777777">
            <w:pPr>
              <w:ind w:firstLine="480" w:firstLineChars="200"/>
            </w:pPr>
          </w:p>
        </w:tc>
      </w:tr>
      <w:tr w:rsidRPr="00A610C2" w:rsidR="00A610C2" w:rsidTr="00C8697F" w14:paraId="5F1EB0CD"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19D74552" w14:textId="724A46B0">
            <w:pPr>
              <w:ind w:firstLine="960" w:firstLineChars="400"/>
            </w:pPr>
            <w:r w:rsidRPr="00A610C2">
              <w:t>GS-</w:t>
            </w:r>
            <w:r w:rsidRPr="00A610C2" w:rsidR="009B4F06">
              <w:t>1</w:t>
            </w:r>
            <w:r w:rsidR="009B4F06">
              <w:t>2</w:t>
            </w:r>
            <w:r w:rsidRPr="00A610C2" w:rsidR="009B4F06">
              <w:t xml:space="preserve"> </w:t>
            </w:r>
            <w:r w:rsidRPr="00A610C2">
              <w:t>Statistician (</w:t>
            </w:r>
            <w:r w:rsidR="00A77977">
              <w:t>25</w:t>
            </w:r>
            <w:r w:rsidRPr="00A610C2">
              <w:t>%)</w:t>
            </w:r>
          </w:p>
        </w:tc>
        <w:tc>
          <w:tcPr>
            <w:tcW w:w="1280" w:type="dxa"/>
            <w:tcBorders>
              <w:top w:val="nil"/>
              <w:left w:val="nil"/>
              <w:bottom w:val="nil"/>
              <w:right w:val="nil"/>
            </w:tcBorders>
            <w:shd w:val="clear" w:color="auto" w:fill="auto"/>
            <w:noWrap/>
            <w:vAlign w:val="bottom"/>
          </w:tcPr>
          <w:p w:rsidRPr="00A610C2" w:rsidR="00C6356B" w:rsidP="00793425" w:rsidRDefault="009B4F06" w14:paraId="728B2531" w14:textId="7C60147C">
            <w:pPr>
              <w:ind w:firstLine="197" w:firstLineChars="82"/>
              <w:jc w:val="right"/>
            </w:pPr>
            <w:r>
              <w:t>$17,821</w:t>
            </w:r>
          </w:p>
        </w:tc>
      </w:tr>
      <w:tr w:rsidRPr="00A610C2" w:rsidR="00A610C2" w:rsidTr="00C8697F" w14:paraId="4D59BF20"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377186CF" w14:textId="2686BAA9">
            <w:pPr>
              <w:ind w:firstLine="960" w:firstLineChars="400"/>
            </w:pPr>
            <w:r w:rsidRPr="00A610C2">
              <w:t>GS-15 Supervisory Statistician (</w:t>
            </w:r>
            <w:r w:rsidR="00A77977">
              <w:t>3</w:t>
            </w:r>
            <w:r w:rsidRPr="00A610C2">
              <w:t>%)</w:t>
            </w:r>
          </w:p>
        </w:tc>
        <w:tc>
          <w:tcPr>
            <w:tcW w:w="1280" w:type="dxa"/>
            <w:tcBorders>
              <w:top w:val="nil"/>
              <w:left w:val="nil"/>
              <w:bottom w:val="nil"/>
              <w:right w:val="nil"/>
            </w:tcBorders>
            <w:shd w:val="clear" w:color="auto" w:fill="auto"/>
            <w:noWrap/>
            <w:vAlign w:val="bottom"/>
          </w:tcPr>
          <w:p w:rsidRPr="00A610C2" w:rsidR="00C6356B" w:rsidP="00793425" w:rsidRDefault="009B4F06" w14:paraId="194D80FA" w14:textId="7F863020">
            <w:pPr>
              <w:ind w:firstLine="197" w:firstLineChars="82"/>
              <w:jc w:val="right"/>
            </w:pPr>
            <w:r>
              <w:t>$4,324</w:t>
            </w:r>
          </w:p>
        </w:tc>
      </w:tr>
      <w:tr w:rsidRPr="00A610C2" w:rsidR="00A610C2" w:rsidTr="00C8697F" w14:paraId="677C0774"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07061355" w14:textId="19B3AE74">
            <w:pPr>
              <w:ind w:firstLine="960" w:firstLineChars="400"/>
            </w:pPr>
            <w:r w:rsidRPr="00A610C2">
              <w:t>GS-13 Editor (</w:t>
            </w:r>
            <w:r w:rsidR="00A77977">
              <w:t>5</w:t>
            </w:r>
            <w:r w:rsidRPr="00A610C2">
              <w:t>%)</w:t>
            </w:r>
          </w:p>
        </w:tc>
        <w:tc>
          <w:tcPr>
            <w:tcW w:w="1280" w:type="dxa"/>
            <w:tcBorders>
              <w:top w:val="nil"/>
              <w:left w:val="nil"/>
              <w:bottom w:val="nil"/>
              <w:right w:val="nil"/>
            </w:tcBorders>
            <w:shd w:val="clear" w:color="auto" w:fill="auto"/>
            <w:noWrap/>
            <w:vAlign w:val="bottom"/>
          </w:tcPr>
          <w:p w:rsidRPr="00A610C2" w:rsidR="00C6356B" w:rsidP="00793425" w:rsidRDefault="009B4F06" w14:paraId="0F205C27" w14:textId="2669FF7E">
            <w:pPr>
              <w:ind w:firstLine="197" w:firstLineChars="82"/>
              <w:jc w:val="right"/>
            </w:pPr>
            <w:r>
              <w:t>$5,185</w:t>
            </w:r>
          </w:p>
        </w:tc>
      </w:tr>
      <w:tr w:rsidRPr="00A610C2" w:rsidR="00A610C2" w:rsidTr="00C8697F" w14:paraId="45F7149B"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1C36CB54" w14:textId="77777777">
            <w:pPr>
              <w:ind w:firstLine="960" w:firstLineChars="400"/>
            </w:pPr>
            <w:r w:rsidRPr="00A610C2">
              <w:t>Other Editorial Staff</w:t>
            </w:r>
          </w:p>
        </w:tc>
        <w:tc>
          <w:tcPr>
            <w:tcW w:w="1280" w:type="dxa"/>
            <w:tcBorders>
              <w:top w:val="nil"/>
              <w:left w:val="nil"/>
              <w:bottom w:val="nil"/>
              <w:right w:val="nil"/>
            </w:tcBorders>
            <w:shd w:val="clear" w:color="auto" w:fill="auto"/>
            <w:noWrap/>
            <w:vAlign w:val="bottom"/>
          </w:tcPr>
          <w:p w:rsidRPr="00A610C2" w:rsidR="00C6356B" w:rsidP="00793425" w:rsidRDefault="009B4F06" w14:paraId="7D23155A" w14:textId="6455239F">
            <w:pPr>
              <w:ind w:firstLine="197" w:firstLineChars="82"/>
              <w:jc w:val="right"/>
            </w:pPr>
            <w:r>
              <w:t>$3,000</w:t>
            </w:r>
          </w:p>
        </w:tc>
      </w:tr>
      <w:tr w:rsidRPr="00A610C2" w:rsidR="00A610C2" w:rsidTr="00C8697F" w14:paraId="053E11D8"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32DE6257" w14:textId="77777777">
            <w:pPr>
              <w:ind w:firstLine="960" w:firstLineChars="400"/>
            </w:pPr>
            <w:r w:rsidRPr="00A610C2">
              <w:t>Front-Office Staff (GS-15 &amp; Directors)</w:t>
            </w:r>
          </w:p>
        </w:tc>
        <w:tc>
          <w:tcPr>
            <w:tcW w:w="1280" w:type="dxa"/>
            <w:tcBorders>
              <w:top w:val="nil"/>
              <w:left w:val="nil"/>
              <w:bottom w:val="nil"/>
              <w:right w:val="nil"/>
            </w:tcBorders>
            <w:shd w:val="clear" w:color="auto" w:fill="auto"/>
            <w:noWrap/>
            <w:vAlign w:val="bottom"/>
          </w:tcPr>
          <w:p w:rsidRPr="00A610C2" w:rsidR="00C6356B" w:rsidP="00793425" w:rsidRDefault="009B4F06" w14:paraId="186F69E4" w14:textId="213AA77A">
            <w:pPr>
              <w:ind w:firstLine="197" w:firstLineChars="82"/>
              <w:jc w:val="right"/>
            </w:pPr>
            <w:r>
              <w:t>$3,000</w:t>
            </w:r>
          </w:p>
        </w:tc>
      </w:tr>
      <w:tr w:rsidRPr="00A610C2" w:rsidR="00A610C2" w:rsidTr="00C8697F" w14:paraId="44170376" w14:textId="77777777">
        <w:trPr>
          <w:trHeight w:val="300"/>
        </w:trPr>
        <w:tc>
          <w:tcPr>
            <w:tcW w:w="5740" w:type="dxa"/>
            <w:tcBorders>
              <w:top w:val="nil"/>
              <w:left w:val="nil"/>
              <w:bottom w:val="nil"/>
              <w:right w:val="nil"/>
            </w:tcBorders>
            <w:shd w:val="clear" w:color="auto" w:fill="auto"/>
            <w:noWrap/>
            <w:vAlign w:val="bottom"/>
            <w:hideMark/>
          </w:tcPr>
          <w:p w:rsidRPr="009B4F06" w:rsidR="00C6356B" w:rsidP="00793425" w:rsidRDefault="00C6356B" w14:paraId="393F3FEB" w14:textId="77777777">
            <w:pPr>
              <w:ind w:firstLine="960" w:firstLineChars="400"/>
              <w:rPr>
                <w:i/>
              </w:rPr>
            </w:pPr>
            <w:r w:rsidRPr="009B4F06">
              <w:rPr>
                <w:i/>
              </w:rPr>
              <w:t>Subtotal salaries</w:t>
            </w:r>
          </w:p>
        </w:tc>
        <w:tc>
          <w:tcPr>
            <w:tcW w:w="1280" w:type="dxa"/>
            <w:tcBorders>
              <w:top w:val="nil"/>
              <w:left w:val="nil"/>
              <w:bottom w:val="nil"/>
              <w:right w:val="nil"/>
            </w:tcBorders>
            <w:shd w:val="clear" w:color="auto" w:fill="auto"/>
            <w:noWrap/>
            <w:vAlign w:val="bottom"/>
          </w:tcPr>
          <w:p w:rsidRPr="009B4F06" w:rsidR="00C6356B" w:rsidP="00793425" w:rsidRDefault="009B4F06" w14:paraId="4A83F9E8" w14:textId="15091E6A">
            <w:pPr>
              <w:jc w:val="right"/>
              <w:rPr>
                <w:i/>
              </w:rPr>
            </w:pPr>
            <w:r>
              <w:rPr>
                <w:i/>
              </w:rPr>
              <w:t>$33,330</w:t>
            </w:r>
          </w:p>
        </w:tc>
      </w:tr>
      <w:tr w:rsidRPr="00A610C2" w:rsidR="00A610C2" w:rsidTr="00C8697F" w14:paraId="36D058D4"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41EC98F6" w14:textId="1D384F71">
            <w:pPr>
              <w:ind w:firstLine="480" w:firstLineChars="200"/>
            </w:pPr>
            <w:r w:rsidRPr="00A610C2">
              <w:t>Fringe benefits (</w:t>
            </w:r>
            <w:r w:rsidR="00A77977">
              <w:t>28</w:t>
            </w:r>
            <w:r w:rsidRPr="00A610C2">
              <w:t>% of salaries)</w:t>
            </w:r>
          </w:p>
        </w:tc>
        <w:tc>
          <w:tcPr>
            <w:tcW w:w="1280" w:type="dxa"/>
            <w:tcBorders>
              <w:top w:val="nil"/>
              <w:left w:val="nil"/>
              <w:bottom w:val="nil"/>
              <w:right w:val="nil"/>
            </w:tcBorders>
            <w:shd w:val="clear" w:color="auto" w:fill="auto"/>
            <w:noWrap/>
            <w:vAlign w:val="bottom"/>
          </w:tcPr>
          <w:p w:rsidRPr="00A610C2" w:rsidR="00C6356B" w:rsidP="00793425" w:rsidRDefault="001F7246" w14:paraId="2CB50011" w14:textId="5FC72E1B">
            <w:pPr>
              <w:jc w:val="right"/>
            </w:pPr>
            <w:r>
              <w:t>$9,332</w:t>
            </w:r>
          </w:p>
        </w:tc>
      </w:tr>
      <w:tr w:rsidRPr="00A610C2" w:rsidR="00A610C2" w:rsidTr="00C8697F" w14:paraId="38C73611"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71EC8FE2" w14:textId="77777777">
            <w:pPr>
              <w:ind w:firstLine="480" w:firstLineChars="200"/>
              <w:rPr>
                <w:i/>
                <w:iCs/>
              </w:rPr>
            </w:pPr>
            <w:r w:rsidRPr="00A610C2">
              <w:rPr>
                <w:i/>
                <w:iCs/>
              </w:rPr>
              <w:t>Subtotal: Salary &amp; fringe</w:t>
            </w:r>
          </w:p>
        </w:tc>
        <w:tc>
          <w:tcPr>
            <w:tcW w:w="1280" w:type="dxa"/>
            <w:tcBorders>
              <w:top w:val="nil"/>
              <w:left w:val="nil"/>
              <w:bottom w:val="nil"/>
              <w:right w:val="nil"/>
            </w:tcBorders>
            <w:shd w:val="clear" w:color="auto" w:fill="auto"/>
            <w:noWrap/>
            <w:vAlign w:val="bottom"/>
          </w:tcPr>
          <w:p w:rsidRPr="001F7246" w:rsidR="00C6356B" w:rsidP="00793425" w:rsidRDefault="001F7246" w14:paraId="1B58CD43" w14:textId="2093ED6A">
            <w:pPr>
              <w:jc w:val="right"/>
              <w:rPr>
                <w:i/>
              </w:rPr>
            </w:pPr>
            <w:r>
              <w:rPr>
                <w:i/>
              </w:rPr>
              <w:t>$42,662</w:t>
            </w:r>
          </w:p>
        </w:tc>
      </w:tr>
      <w:tr w:rsidRPr="00A610C2" w:rsidR="00A610C2" w:rsidTr="00C8697F" w14:paraId="6E2C73A7"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4D7202E4" w14:textId="77777777">
            <w:pPr>
              <w:ind w:firstLine="480" w:firstLineChars="200"/>
            </w:pPr>
            <w:r w:rsidRPr="00A610C2">
              <w:t>Other administrative costs of salary &amp; fringe (15%)</w:t>
            </w:r>
          </w:p>
        </w:tc>
        <w:tc>
          <w:tcPr>
            <w:tcW w:w="1280" w:type="dxa"/>
            <w:tcBorders>
              <w:top w:val="nil"/>
              <w:left w:val="nil"/>
              <w:bottom w:val="nil"/>
              <w:right w:val="nil"/>
            </w:tcBorders>
            <w:shd w:val="clear" w:color="auto" w:fill="auto"/>
            <w:noWrap/>
            <w:vAlign w:val="bottom"/>
          </w:tcPr>
          <w:p w:rsidRPr="00A610C2" w:rsidR="00C6356B" w:rsidP="00793425" w:rsidRDefault="001F7246" w14:paraId="29E5C111" w14:textId="40FB5018">
            <w:pPr>
              <w:jc w:val="right"/>
            </w:pPr>
            <w:r>
              <w:t>$6,399</w:t>
            </w:r>
          </w:p>
        </w:tc>
      </w:tr>
      <w:tr w:rsidRPr="00A610C2" w:rsidR="00A610C2" w:rsidTr="00C8697F" w14:paraId="4B9990FB" w14:textId="77777777">
        <w:trPr>
          <w:trHeight w:val="300"/>
        </w:trPr>
        <w:tc>
          <w:tcPr>
            <w:tcW w:w="5740" w:type="dxa"/>
            <w:tcBorders>
              <w:top w:val="nil"/>
              <w:left w:val="nil"/>
              <w:bottom w:val="nil"/>
              <w:right w:val="nil"/>
            </w:tcBorders>
            <w:shd w:val="clear" w:color="auto" w:fill="auto"/>
            <w:noWrap/>
            <w:vAlign w:val="bottom"/>
            <w:hideMark/>
          </w:tcPr>
          <w:p w:rsidRPr="00A610C2" w:rsidR="00C6356B" w:rsidP="00793425" w:rsidRDefault="00C6356B" w14:paraId="3A5DBCA3" w14:textId="77777777">
            <w:pPr>
              <w:ind w:firstLine="482" w:firstLineChars="200"/>
              <w:rPr>
                <w:b/>
                <w:bCs/>
              </w:rPr>
            </w:pPr>
            <w:r w:rsidRPr="00A610C2">
              <w:rPr>
                <w:b/>
                <w:bCs/>
              </w:rPr>
              <w:t>Subtotal: BJS costs</w:t>
            </w:r>
          </w:p>
        </w:tc>
        <w:tc>
          <w:tcPr>
            <w:tcW w:w="1280" w:type="dxa"/>
            <w:tcBorders>
              <w:top w:val="nil"/>
              <w:left w:val="nil"/>
              <w:bottom w:val="nil"/>
              <w:right w:val="nil"/>
            </w:tcBorders>
            <w:shd w:val="clear" w:color="auto" w:fill="auto"/>
            <w:noWrap/>
            <w:vAlign w:val="bottom"/>
          </w:tcPr>
          <w:p w:rsidRPr="001F7246" w:rsidR="00C6356B" w:rsidP="00793425" w:rsidRDefault="001F7246" w14:paraId="391A9381" w14:textId="1FD96A23">
            <w:pPr>
              <w:jc w:val="right"/>
              <w:rPr>
                <w:b/>
                <w:bCs/>
                <w:i/>
              </w:rPr>
            </w:pPr>
            <w:r w:rsidRPr="001F7246">
              <w:rPr>
                <w:b/>
                <w:bCs/>
                <w:i/>
              </w:rPr>
              <w:t>$49,061</w:t>
            </w:r>
          </w:p>
        </w:tc>
      </w:tr>
      <w:tr w:rsidRPr="00C77BF6" w:rsidR="00C77BF6" w:rsidTr="00C6356B" w14:paraId="50B60B57" w14:textId="77777777">
        <w:trPr>
          <w:trHeight w:val="300"/>
        </w:trPr>
        <w:tc>
          <w:tcPr>
            <w:tcW w:w="5740" w:type="dxa"/>
            <w:tcBorders>
              <w:top w:val="nil"/>
              <w:left w:val="nil"/>
              <w:bottom w:val="nil"/>
              <w:right w:val="nil"/>
            </w:tcBorders>
            <w:shd w:val="clear" w:color="auto" w:fill="auto"/>
            <w:noWrap/>
            <w:vAlign w:val="bottom"/>
            <w:hideMark/>
          </w:tcPr>
          <w:p w:rsidRPr="00C77BF6" w:rsidR="00C6356B" w:rsidP="00793425" w:rsidRDefault="00C6356B" w14:paraId="5D5BD435" w14:textId="77777777">
            <w:pPr>
              <w:jc w:val="center"/>
              <w:rPr>
                <w:b/>
                <w:bCs/>
                <w:color w:val="FF0000"/>
              </w:rPr>
            </w:pPr>
          </w:p>
        </w:tc>
        <w:tc>
          <w:tcPr>
            <w:tcW w:w="1280" w:type="dxa"/>
            <w:tcBorders>
              <w:top w:val="nil"/>
              <w:left w:val="nil"/>
              <w:bottom w:val="nil"/>
              <w:right w:val="nil"/>
            </w:tcBorders>
            <w:shd w:val="clear" w:color="auto" w:fill="auto"/>
            <w:noWrap/>
            <w:vAlign w:val="bottom"/>
            <w:hideMark/>
          </w:tcPr>
          <w:p w:rsidRPr="00C77BF6" w:rsidR="00C6356B" w:rsidP="00793425" w:rsidRDefault="00C6356B" w14:paraId="26E8EC18" w14:textId="77777777">
            <w:pPr>
              <w:rPr>
                <w:color w:val="FF0000"/>
              </w:rPr>
            </w:pPr>
          </w:p>
        </w:tc>
      </w:tr>
      <w:tr w:rsidRPr="00C77BF6" w:rsidR="00C77BF6" w:rsidTr="00C6356B" w14:paraId="43DD9D2B"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72DDF267" w14:textId="77777777">
            <w:r w:rsidRPr="00C8697F">
              <w:t>Data Collection Agent (RTI)</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47A9458A" w14:textId="77777777"/>
        </w:tc>
      </w:tr>
      <w:tr w:rsidRPr="00C77BF6" w:rsidR="00C77BF6" w:rsidTr="00C6356B" w14:paraId="42F04BD2"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27E352E3" w14:textId="77777777">
            <w:pPr>
              <w:ind w:firstLine="480" w:firstLineChars="200"/>
            </w:pPr>
            <w:r w:rsidRPr="00C8697F">
              <w:t>Personnel (including fringe)</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56EFA741" w14:textId="7162A029">
            <w:pPr>
              <w:jc w:val="right"/>
            </w:pPr>
            <w:r w:rsidRPr="00C8697F">
              <w:t xml:space="preserve"> $</w:t>
            </w:r>
            <w:r w:rsidRPr="00C8697F" w:rsidR="00C8697F">
              <w:t>170,286</w:t>
            </w:r>
            <w:r w:rsidRPr="00C8697F">
              <w:t xml:space="preserve"> </w:t>
            </w:r>
          </w:p>
        </w:tc>
      </w:tr>
      <w:tr w:rsidRPr="00C77BF6" w:rsidR="00C77BF6" w:rsidTr="00C6356B" w14:paraId="2AA85137"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17997DA6" w14:textId="77777777">
            <w:pPr>
              <w:ind w:firstLine="480" w:firstLineChars="200"/>
            </w:pPr>
            <w:r w:rsidRPr="00C8697F">
              <w:t>Travel</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76761248" w14:textId="171553A8">
            <w:pPr>
              <w:ind w:firstLine="480" w:firstLineChars="200"/>
              <w:jc w:val="right"/>
            </w:pPr>
            <w:r w:rsidRPr="00C8697F">
              <w:t>$</w:t>
            </w:r>
            <w:r w:rsidRPr="00C8697F" w:rsidR="00C8697F">
              <w:t>66,413</w:t>
            </w:r>
          </w:p>
        </w:tc>
      </w:tr>
      <w:tr w:rsidRPr="00C77BF6" w:rsidR="00C77BF6" w:rsidTr="00C6356B" w14:paraId="68F402C5"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1640649A" w14:textId="77777777">
            <w:pPr>
              <w:ind w:firstLine="480" w:firstLineChars="200"/>
            </w:pPr>
            <w:r w:rsidRPr="00C8697F">
              <w:t>Supplies</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3F603592" w14:textId="2F6E066F">
            <w:pPr>
              <w:ind w:firstLine="480" w:firstLineChars="200"/>
              <w:jc w:val="right"/>
            </w:pPr>
            <w:r w:rsidRPr="00C8697F">
              <w:t>$</w:t>
            </w:r>
            <w:r w:rsidRPr="00C8697F" w:rsidR="00C8697F">
              <w:t>3,756</w:t>
            </w:r>
          </w:p>
        </w:tc>
      </w:tr>
      <w:tr w:rsidRPr="00C77BF6" w:rsidR="00C77BF6" w:rsidTr="00C6356B" w14:paraId="5598C1B9"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741B2C82" w14:textId="77777777">
            <w:pPr>
              <w:ind w:firstLine="480" w:firstLineChars="200"/>
            </w:pPr>
            <w:r w:rsidRPr="00C8697F">
              <w:t>Consultants/Contracts</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51877B79" w14:textId="036D1ACB">
            <w:pPr>
              <w:jc w:val="right"/>
            </w:pPr>
            <w:r w:rsidRPr="00C8697F">
              <w:t>$</w:t>
            </w:r>
            <w:r w:rsidRPr="00C8697F" w:rsidR="00C8697F">
              <w:t>36,376</w:t>
            </w:r>
            <w:r w:rsidRPr="00C8697F">
              <w:t xml:space="preserve"> </w:t>
            </w:r>
          </w:p>
        </w:tc>
      </w:tr>
      <w:tr w:rsidRPr="00C77BF6" w:rsidR="00C77BF6" w:rsidTr="00C6356B" w14:paraId="0EF3CFA2"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604CBE35" w14:textId="77777777">
            <w:pPr>
              <w:ind w:firstLine="480" w:firstLineChars="200"/>
            </w:pPr>
            <w:r w:rsidRPr="00C8697F">
              <w:t>Other</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7B29D596" w14:textId="0D3ADE23">
            <w:pPr>
              <w:jc w:val="right"/>
            </w:pPr>
            <w:r w:rsidRPr="00C8697F">
              <w:t xml:space="preserve"> $</w:t>
            </w:r>
            <w:r w:rsidRPr="00C8697F" w:rsidR="00C8697F">
              <w:t>22,483</w:t>
            </w:r>
            <w:r w:rsidRPr="00C8697F">
              <w:t xml:space="preserve"> </w:t>
            </w:r>
          </w:p>
        </w:tc>
      </w:tr>
      <w:tr w:rsidRPr="00C77BF6" w:rsidR="00C77BF6" w:rsidTr="00C6356B" w14:paraId="59D7F936" w14:textId="77777777">
        <w:trPr>
          <w:trHeight w:val="300"/>
        </w:trPr>
        <w:tc>
          <w:tcPr>
            <w:tcW w:w="5740" w:type="dxa"/>
            <w:tcBorders>
              <w:top w:val="nil"/>
              <w:left w:val="nil"/>
              <w:bottom w:val="nil"/>
              <w:right w:val="nil"/>
            </w:tcBorders>
            <w:shd w:val="clear" w:color="auto" w:fill="auto"/>
            <w:noWrap/>
            <w:vAlign w:val="bottom"/>
            <w:hideMark/>
          </w:tcPr>
          <w:p w:rsidRPr="00C8697F" w:rsidR="00C6356B" w:rsidP="00793425" w:rsidRDefault="00C6356B" w14:paraId="3A71424F" w14:textId="77777777">
            <w:pPr>
              <w:ind w:firstLine="480" w:firstLineChars="200"/>
            </w:pPr>
            <w:r w:rsidRPr="00C8697F">
              <w:t>Total indirect</w:t>
            </w:r>
          </w:p>
        </w:tc>
        <w:tc>
          <w:tcPr>
            <w:tcW w:w="1280" w:type="dxa"/>
            <w:tcBorders>
              <w:top w:val="nil"/>
              <w:left w:val="nil"/>
              <w:bottom w:val="nil"/>
              <w:right w:val="nil"/>
            </w:tcBorders>
            <w:shd w:val="clear" w:color="auto" w:fill="auto"/>
            <w:noWrap/>
            <w:vAlign w:val="bottom"/>
            <w:hideMark/>
          </w:tcPr>
          <w:p w:rsidRPr="00C8697F" w:rsidR="00C6356B" w:rsidP="00793425" w:rsidRDefault="00C6356B" w14:paraId="26099CFA" w14:textId="7E5F9EA8">
            <w:pPr>
              <w:jc w:val="right"/>
            </w:pPr>
            <w:r w:rsidRPr="00C8697F">
              <w:t xml:space="preserve"> $</w:t>
            </w:r>
            <w:r w:rsidRPr="00C8697F" w:rsidR="00C8697F">
              <w:t>200,551</w:t>
            </w:r>
            <w:r w:rsidRPr="00C8697F">
              <w:t xml:space="preserve"> </w:t>
            </w:r>
          </w:p>
        </w:tc>
      </w:tr>
      <w:tr w:rsidRPr="00C77BF6" w:rsidR="00C77BF6" w:rsidTr="00C6356B" w14:paraId="685DC992" w14:textId="77777777">
        <w:trPr>
          <w:trHeight w:val="300"/>
        </w:trPr>
        <w:tc>
          <w:tcPr>
            <w:tcW w:w="5740" w:type="dxa"/>
            <w:tcBorders>
              <w:top w:val="nil"/>
              <w:left w:val="nil"/>
              <w:bottom w:val="nil"/>
              <w:right w:val="nil"/>
            </w:tcBorders>
            <w:shd w:val="clear" w:color="auto" w:fill="auto"/>
            <w:noWrap/>
            <w:vAlign w:val="bottom"/>
            <w:hideMark/>
          </w:tcPr>
          <w:p w:rsidRPr="00C95515" w:rsidR="00C6356B" w:rsidP="00793425" w:rsidRDefault="00C6356B" w14:paraId="4D807704" w14:textId="77777777">
            <w:pPr>
              <w:ind w:firstLine="482" w:firstLineChars="200"/>
              <w:rPr>
                <w:b/>
                <w:bCs/>
              </w:rPr>
            </w:pPr>
            <w:r w:rsidRPr="00C95515">
              <w:rPr>
                <w:b/>
                <w:bCs/>
              </w:rPr>
              <w:t>Subtotal: Data Collection Agent Costs</w:t>
            </w:r>
          </w:p>
        </w:tc>
        <w:tc>
          <w:tcPr>
            <w:tcW w:w="1280" w:type="dxa"/>
            <w:tcBorders>
              <w:top w:val="nil"/>
              <w:left w:val="nil"/>
              <w:bottom w:val="nil"/>
              <w:right w:val="nil"/>
            </w:tcBorders>
            <w:shd w:val="clear" w:color="auto" w:fill="auto"/>
            <w:noWrap/>
            <w:vAlign w:val="bottom"/>
            <w:hideMark/>
          </w:tcPr>
          <w:p w:rsidRPr="00C95515" w:rsidR="00C6356B" w:rsidP="00793425" w:rsidRDefault="00C6356B" w14:paraId="5462AB98" w14:textId="424B237D">
            <w:pPr>
              <w:jc w:val="right"/>
              <w:rPr>
                <w:b/>
                <w:bCs/>
              </w:rPr>
            </w:pPr>
            <w:r w:rsidRPr="00C95515">
              <w:rPr>
                <w:b/>
                <w:bCs/>
              </w:rPr>
              <w:t xml:space="preserve"> $</w:t>
            </w:r>
            <w:r w:rsidRPr="00C95515" w:rsidR="00C8697F">
              <w:rPr>
                <w:b/>
                <w:bCs/>
              </w:rPr>
              <w:t>499,865</w:t>
            </w:r>
            <w:r w:rsidRPr="00C95515">
              <w:rPr>
                <w:b/>
                <w:bCs/>
              </w:rPr>
              <w:t xml:space="preserve"> </w:t>
            </w:r>
          </w:p>
        </w:tc>
      </w:tr>
      <w:tr w:rsidRPr="00C77BF6" w:rsidR="00C6356B" w:rsidTr="00C6356B" w14:paraId="41467DA5" w14:textId="77777777">
        <w:trPr>
          <w:trHeight w:val="300"/>
        </w:trPr>
        <w:tc>
          <w:tcPr>
            <w:tcW w:w="5740" w:type="dxa"/>
            <w:tcBorders>
              <w:top w:val="single" w:color="auto" w:sz="4" w:space="0"/>
              <w:left w:val="nil"/>
              <w:bottom w:val="single" w:color="auto" w:sz="4" w:space="0"/>
              <w:right w:val="nil"/>
            </w:tcBorders>
            <w:shd w:val="clear" w:color="auto" w:fill="auto"/>
            <w:noWrap/>
            <w:vAlign w:val="bottom"/>
            <w:hideMark/>
          </w:tcPr>
          <w:p w:rsidRPr="00217EF7" w:rsidR="00C6356B" w:rsidP="00793425" w:rsidRDefault="00C6356B" w14:paraId="710AE0B2" w14:textId="77777777">
            <w:pPr>
              <w:rPr>
                <w:b/>
                <w:bCs/>
              </w:rPr>
            </w:pPr>
            <w:r w:rsidRPr="00217EF7">
              <w:rPr>
                <w:b/>
                <w:bCs/>
              </w:rPr>
              <w:t>TOTAL COSTS</w:t>
            </w:r>
          </w:p>
        </w:tc>
        <w:tc>
          <w:tcPr>
            <w:tcW w:w="1280" w:type="dxa"/>
            <w:tcBorders>
              <w:top w:val="single" w:color="auto" w:sz="4" w:space="0"/>
              <w:left w:val="nil"/>
              <w:bottom w:val="single" w:color="auto" w:sz="4" w:space="0"/>
              <w:right w:val="nil"/>
            </w:tcBorders>
            <w:shd w:val="clear" w:color="auto" w:fill="auto"/>
            <w:noWrap/>
            <w:vAlign w:val="bottom"/>
            <w:hideMark/>
          </w:tcPr>
          <w:p w:rsidRPr="00217EF7" w:rsidR="00C6356B" w:rsidP="00793425" w:rsidRDefault="001F7246" w14:paraId="495AF3C4" w14:textId="4FC4AA5A">
            <w:pPr>
              <w:jc w:val="center"/>
              <w:rPr>
                <w:b/>
                <w:bCs/>
              </w:rPr>
            </w:pPr>
            <w:r w:rsidRPr="00217EF7">
              <w:rPr>
                <w:b/>
                <w:bCs/>
              </w:rPr>
              <w:t>$548,926</w:t>
            </w:r>
            <w:r w:rsidRPr="00217EF7" w:rsidR="00C6356B">
              <w:rPr>
                <w:b/>
                <w:bCs/>
              </w:rPr>
              <w:t xml:space="preserve"> </w:t>
            </w:r>
          </w:p>
        </w:tc>
      </w:tr>
    </w:tbl>
    <w:p w:rsidRPr="00C77BF6" w:rsidR="00DD7019" w:rsidP="00793425" w:rsidRDefault="00DD7019" w14:paraId="72F383F4" w14:textId="77777777">
      <w:pPr>
        <w:rPr>
          <w:color w:val="FF0000"/>
        </w:rPr>
      </w:pPr>
    </w:p>
    <w:p w:rsidRPr="00A610C2" w:rsidR="00A44D81" w:rsidP="00793425" w:rsidRDefault="00A44D81" w14:paraId="6A0C607A" w14:textId="77777777">
      <w:pPr>
        <w:pStyle w:val="ListParagraph"/>
        <w:rPr>
          <w:b/>
          <w:u w:val="single"/>
        </w:rPr>
      </w:pPr>
    </w:p>
    <w:p w:rsidRPr="00A610C2" w:rsidR="009F62C8" w:rsidP="00793425" w:rsidRDefault="009F62C8" w14:paraId="53729285" w14:textId="75FF9BE4">
      <w:pPr>
        <w:pStyle w:val="ListParagraph"/>
        <w:numPr>
          <w:ilvl w:val="0"/>
          <w:numId w:val="2"/>
        </w:numPr>
        <w:rPr>
          <w:b/>
          <w:u w:val="single"/>
        </w:rPr>
      </w:pPr>
      <w:r w:rsidRPr="00A610C2">
        <w:rPr>
          <w:b/>
          <w:u w:val="single"/>
        </w:rPr>
        <w:t xml:space="preserve">Reason for Change in Burden </w:t>
      </w:r>
    </w:p>
    <w:p w:rsidRPr="00A610C2" w:rsidR="009F62C8" w:rsidP="00793425" w:rsidRDefault="009F62C8" w14:paraId="6D6BD72C" w14:textId="77777777"/>
    <w:p w:rsidRPr="00A610C2" w:rsidR="009F62C8" w:rsidP="00793425" w:rsidRDefault="00A610C2" w14:paraId="5D2AB189" w14:textId="466A6591">
      <w:r w:rsidRPr="00A610C2">
        <w:t xml:space="preserve">A slight change in </w:t>
      </w:r>
      <w:r w:rsidRPr="00A610C2" w:rsidR="00322E8E">
        <w:t>burden</w:t>
      </w:r>
      <w:r w:rsidRPr="00A610C2" w:rsidR="009A3C86">
        <w:t xml:space="preserve"> is expected for the </w:t>
      </w:r>
      <w:r w:rsidRPr="00A610C2" w:rsidR="00752DD1">
        <w:t>20</w:t>
      </w:r>
      <w:r w:rsidRPr="00A610C2" w:rsidR="00330FA8">
        <w:t>20</w:t>
      </w:r>
      <w:r w:rsidRPr="00A610C2" w:rsidR="009A3C86">
        <w:t xml:space="preserve"> </w:t>
      </w:r>
      <w:r w:rsidRPr="00A610C2" w:rsidR="00330FA8">
        <w:t>CPFFCL</w:t>
      </w:r>
      <w:r w:rsidRPr="00A610C2" w:rsidR="009A3C86">
        <w:t xml:space="preserve"> relative to that of the 2</w:t>
      </w:r>
      <w:r w:rsidRPr="00A610C2" w:rsidR="00752DD1">
        <w:t>0</w:t>
      </w:r>
      <w:r w:rsidRPr="00A610C2" w:rsidR="00330FA8">
        <w:t>1</w:t>
      </w:r>
      <w:r w:rsidRPr="00A610C2" w:rsidR="00752DD1">
        <w:t>4</w:t>
      </w:r>
      <w:r w:rsidRPr="00A610C2" w:rsidR="009A3C86">
        <w:t xml:space="preserve"> </w:t>
      </w:r>
      <w:r w:rsidRPr="00A610C2" w:rsidR="00330FA8">
        <w:t>CPFFCL</w:t>
      </w:r>
      <w:r w:rsidRPr="00A610C2" w:rsidR="007D332C">
        <w:t>.</w:t>
      </w:r>
      <w:r w:rsidRPr="00A610C2" w:rsidR="00A63257">
        <w:t xml:space="preserve"> The burden estimate for the 20</w:t>
      </w:r>
      <w:r w:rsidRPr="00A610C2">
        <w:t>1</w:t>
      </w:r>
      <w:r w:rsidRPr="00A610C2" w:rsidR="00A63257">
        <w:t xml:space="preserve">4 </w:t>
      </w:r>
      <w:r w:rsidRPr="00A610C2">
        <w:t>CPFFCL</w:t>
      </w:r>
      <w:r w:rsidRPr="00A610C2" w:rsidR="00A63257">
        <w:t xml:space="preserve"> was </w:t>
      </w:r>
      <w:r w:rsidRPr="00A610C2">
        <w:t>2.9 hours. We</w:t>
      </w:r>
      <w:r w:rsidRPr="00A610C2" w:rsidR="00A63257">
        <w:t xml:space="preserve"> estimate the 20</w:t>
      </w:r>
      <w:r w:rsidRPr="00A610C2">
        <w:t>20 CPFFCL</w:t>
      </w:r>
      <w:r w:rsidRPr="00A610C2" w:rsidR="00A63257">
        <w:t xml:space="preserve"> burden to</w:t>
      </w:r>
      <w:r w:rsidRPr="00A610C2" w:rsidR="000D4831">
        <w:t xml:space="preserve"> </w:t>
      </w:r>
      <w:r w:rsidRPr="00A610C2" w:rsidR="00A63257">
        <w:t xml:space="preserve">be </w:t>
      </w:r>
      <w:r w:rsidRPr="00A610C2">
        <w:t>2.5 hours (150</w:t>
      </w:r>
      <w:r w:rsidRPr="00A610C2" w:rsidR="00A63257">
        <w:t xml:space="preserve"> minutes</w:t>
      </w:r>
      <w:r w:rsidRPr="00A610C2">
        <w:t>)</w:t>
      </w:r>
      <w:r w:rsidR="00C95515">
        <w:t xml:space="preserve"> based on items that were eliminated and streamlined</w:t>
      </w:r>
      <w:r w:rsidRPr="00A610C2" w:rsidR="00A63257">
        <w:t xml:space="preserve">. </w:t>
      </w:r>
    </w:p>
    <w:p w:rsidRPr="00A610C2" w:rsidR="00C1248B" w:rsidP="00793425" w:rsidRDefault="00C1248B" w14:paraId="1A47C0F8" w14:textId="77777777"/>
    <w:p w:rsidRPr="00A610C2" w:rsidR="009F62C8" w:rsidP="00793425" w:rsidRDefault="009F62C8" w14:paraId="4DC2B6F8" w14:textId="377D8DE6">
      <w:pPr>
        <w:pStyle w:val="ListParagraph"/>
        <w:numPr>
          <w:ilvl w:val="0"/>
          <w:numId w:val="2"/>
        </w:numPr>
        <w:rPr>
          <w:b/>
        </w:rPr>
      </w:pPr>
      <w:r w:rsidRPr="00A610C2">
        <w:rPr>
          <w:b/>
          <w:u w:val="single"/>
        </w:rPr>
        <w:t>Project Schedule</w:t>
      </w:r>
      <w:r w:rsidRPr="00A610C2" w:rsidR="0023482A">
        <w:rPr>
          <w:b/>
          <w:u w:val="single"/>
        </w:rPr>
        <w:t xml:space="preserve"> and Publication/Analysis Plans</w:t>
      </w:r>
    </w:p>
    <w:p w:rsidRPr="00A610C2" w:rsidR="00E80938" w:rsidP="00793425" w:rsidRDefault="00E80938" w14:paraId="41F22FDF" w14:textId="77777777"/>
    <w:p w:rsidRPr="00A610C2" w:rsidR="003E0579" w:rsidP="00793425" w:rsidRDefault="00E80938" w14:paraId="03234772" w14:textId="01FFAB70">
      <w:bookmarkStart w:name="_Hlk509908725" w:id="3"/>
      <w:r w:rsidRPr="00A610C2">
        <w:t>Pending OMB approval, t</w:t>
      </w:r>
      <w:r w:rsidRPr="00A610C2" w:rsidR="009F62C8">
        <w:t xml:space="preserve">he </w:t>
      </w:r>
      <w:r w:rsidRPr="00A610C2" w:rsidR="00330FA8">
        <w:t>2020 CPFFCL</w:t>
      </w:r>
      <w:r w:rsidRPr="00A610C2">
        <w:t xml:space="preserve"> </w:t>
      </w:r>
      <w:r w:rsidRPr="00A610C2" w:rsidR="009F62C8">
        <w:t xml:space="preserve">data collection is scheduled to begin in </w:t>
      </w:r>
      <w:r w:rsidR="00200A31">
        <w:t>May</w:t>
      </w:r>
      <w:r w:rsidRPr="00A610C2" w:rsidR="00200A31">
        <w:t xml:space="preserve"> </w:t>
      </w:r>
      <w:r w:rsidRPr="00A610C2" w:rsidR="00330FA8">
        <w:t>2020</w:t>
      </w:r>
      <w:r w:rsidRPr="00A610C2" w:rsidR="00686522">
        <w:t xml:space="preserve"> </w:t>
      </w:r>
      <w:r w:rsidRPr="00A610C2" w:rsidR="00101207">
        <w:t>(see</w:t>
      </w:r>
      <w:r w:rsidR="00BD08C1">
        <w:t xml:space="preserve"> </w:t>
      </w:r>
      <w:r w:rsidRPr="00322E8E" w:rsidR="00BD08C1">
        <w:rPr>
          <w:b/>
          <w:bCs/>
        </w:rPr>
        <w:t xml:space="preserve">Table </w:t>
      </w:r>
      <w:r w:rsidR="00200A31">
        <w:rPr>
          <w:b/>
          <w:bCs/>
        </w:rPr>
        <w:t>5</w:t>
      </w:r>
      <w:r w:rsidR="00200A31">
        <w:t xml:space="preserve"> </w:t>
      </w:r>
      <w:r w:rsidR="00322E8E">
        <w:t xml:space="preserve">for the schedule, </w:t>
      </w:r>
      <w:r w:rsidRPr="00217EF7" w:rsidR="00101207">
        <w:rPr>
          <w:b/>
        </w:rPr>
        <w:t xml:space="preserve">Attachment </w:t>
      </w:r>
      <w:r w:rsidRPr="00217EF7" w:rsidR="00D75628">
        <w:rPr>
          <w:b/>
        </w:rPr>
        <w:t>2</w:t>
      </w:r>
      <w:r w:rsidRPr="00217EF7" w:rsidR="00D75628">
        <w:t xml:space="preserve"> </w:t>
      </w:r>
      <w:r w:rsidRPr="00217EF7" w:rsidR="00101207">
        <w:t xml:space="preserve">for </w:t>
      </w:r>
      <w:r w:rsidRPr="00217EF7" w:rsidR="00832CD6">
        <w:t xml:space="preserve">the </w:t>
      </w:r>
      <w:r w:rsidRPr="00217EF7" w:rsidR="00101207">
        <w:t>paper</w:t>
      </w:r>
      <w:r w:rsidRPr="00217EF7" w:rsidR="00832CD6">
        <w:t xml:space="preserve"> instrument</w:t>
      </w:r>
      <w:r w:rsidRPr="00217EF7" w:rsidR="00101207">
        <w:t xml:space="preserve"> and</w:t>
      </w:r>
      <w:r w:rsidRPr="00217EF7" w:rsidR="00832CD6">
        <w:t xml:space="preserve"> </w:t>
      </w:r>
      <w:r w:rsidRPr="00217EF7" w:rsidR="00832CD6">
        <w:rPr>
          <w:b/>
        </w:rPr>
        <w:t xml:space="preserve">Attachment </w:t>
      </w:r>
      <w:r w:rsidRPr="00217EF7" w:rsidR="00D75628">
        <w:rPr>
          <w:b/>
        </w:rPr>
        <w:t>3</w:t>
      </w:r>
      <w:r w:rsidRPr="00217EF7" w:rsidR="00D75628">
        <w:t xml:space="preserve"> </w:t>
      </w:r>
      <w:r w:rsidRPr="00217EF7" w:rsidR="00832CD6">
        <w:t>for</w:t>
      </w:r>
      <w:r w:rsidRPr="00A610C2" w:rsidR="00832CD6">
        <w:t xml:space="preserve"> example</w:t>
      </w:r>
      <w:r w:rsidRPr="00A610C2" w:rsidR="00101207">
        <w:t xml:space="preserve"> </w:t>
      </w:r>
      <w:r w:rsidRPr="00A610C2" w:rsidR="00AD581F">
        <w:t xml:space="preserve">screen shots of the </w:t>
      </w:r>
      <w:r w:rsidRPr="00A610C2" w:rsidR="00101207">
        <w:t xml:space="preserve">web version of the survey instrument). </w:t>
      </w:r>
      <w:r w:rsidRPr="00A610C2" w:rsidR="009F62C8">
        <w:t xml:space="preserve">The data collection period is </w:t>
      </w:r>
      <w:r w:rsidRPr="00A610C2">
        <w:t xml:space="preserve">scheduled to end </w:t>
      </w:r>
      <w:r w:rsidRPr="00A610C2" w:rsidR="00832CD6">
        <w:t>in</w:t>
      </w:r>
      <w:r w:rsidRPr="00A610C2" w:rsidR="00EC3ADE">
        <w:t xml:space="preserve"> </w:t>
      </w:r>
      <w:r w:rsidR="00C95515">
        <w:t>Octo</w:t>
      </w:r>
      <w:r w:rsidRPr="00A610C2" w:rsidR="00330FA8">
        <w:t>ber 2020</w:t>
      </w:r>
      <w:r w:rsidRPr="00A610C2">
        <w:t>.</w:t>
      </w:r>
      <w:r w:rsidRPr="00A610C2" w:rsidR="009F62C8">
        <w:t xml:space="preserve"> </w:t>
      </w:r>
    </w:p>
    <w:bookmarkEnd w:id="3"/>
    <w:p w:rsidRPr="00A610C2" w:rsidR="003E0579" w:rsidP="00793425" w:rsidRDefault="003E0579" w14:paraId="50E5BD88" w14:textId="77777777"/>
    <w:p w:rsidRPr="00EF30AD" w:rsidR="00E80938" w:rsidP="00793425" w:rsidRDefault="00E80938" w14:paraId="18A4D809" w14:textId="0C8B371E">
      <w:r w:rsidRPr="00A610C2">
        <w:t>The dataset, and supporting docume</w:t>
      </w:r>
      <w:r w:rsidRPr="00EF30AD">
        <w:t>ntation, will be made available for download without charge at the National Archive of Criminal Justice Data at the Inter-University Consortium for Political and Social Research (ICPSR).</w:t>
      </w:r>
      <w:r w:rsidRPr="00EF30AD" w:rsidR="00745932">
        <w:t xml:space="preserve"> </w:t>
      </w:r>
      <w:r w:rsidRPr="00EF30AD" w:rsidR="003E0579">
        <w:t>It is expected the data will be available to the public for download in</w:t>
      </w:r>
      <w:r w:rsidR="00217EF7">
        <w:t xml:space="preserve"> </w:t>
      </w:r>
      <w:r w:rsidR="00481BF8">
        <w:t>mid-2022</w:t>
      </w:r>
      <w:r w:rsidRPr="00EF30AD" w:rsidR="003E0579">
        <w:t xml:space="preserve">. </w:t>
      </w:r>
      <w:r w:rsidRPr="00EF30AD">
        <w:t xml:space="preserve">Access to these data permits analysts to identify the specific responses of individual </w:t>
      </w:r>
      <w:r w:rsidRPr="00EF30AD" w:rsidR="004D6C9D">
        <w:t>MECs</w:t>
      </w:r>
      <w:r w:rsidRPr="00EF30AD">
        <w:t xml:space="preserve"> and to conduct statistical analyses. </w:t>
      </w:r>
    </w:p>
    <w:p w:rsidRPr="00C77BF6" w:rsidR="0023482A" w:rsidP="00793425" w:rsidRDefault="0023482A" w14:paraId="59802043" w14:textId="5E2A8CAA">
      <w:pPr>
        <w:rPr>
          <w:color w:val="FF0000"/>
        </w:rPr>
      </w:pPr>
    </w:p>
    <w:p w:rsidRPr="00535C02" w:rsidR="0023482A" w:rsidP="00793425" w:rsidRDefault="0023482A" w14:paraId="347BBEA4" w14:textId="57D1A21F">
      <w:pPr>
        <w:pStyle w:val="Default"/>
        <w:keepNext/>
        <w:keepLines/>
        <w:rPr>
          <w:rFonts w:ascii="Times New Roman" w:hAnsi="Times New Roman" w:cs="Times New Roman"/>
          <w:b/>
          <w:color w:val="auto"/>
        </w:rPr>
      </w:pPr>
      <w:r w:rsidRPr="00535C02">
        <w:rPr>
          <w:rFonts w:ascii="Times New Roman" w:hAnsi="Times New Roman" w:cs="Times New Roman"/>
          <w:b/>
          <w:color w:val="auto"/>
        </w:rPr>
        <w:t xml:space="preserve">Table </w:t>
      </w:r>
      <w:r w:rsidR="00200A31">
        <w:rPr>
          <w:rFonts w:ascii="Times New Roman" w:hAnsi="Times New Roman" w:cs="Times New Roman"/>
          <w:b/>
          <w:color w:val="auto"/>
        </w:rPr>
        <w:t>5</w:t>
      </w:r>
      <w:r w:rsidRPr="00535C02">
        <w:rPr>
          <w:rFonts w:ascii="Times New Roman" w:hAnsi="Times New Roman" w:cs="Times New Roman"/>
          <w:b/>
          <w:color w:val="auto"/>
        </w:rPr>
        <w:t>. Project Schedule</w:t>
      </w:r>
    </w:p>
    <w:tbl>
      <w:tblPr>
        <w:tblW w:w="9960" w:type="dxa"/>
        <w:tblLayout w:type="fixed"/>
        <w:tblLook w:val="04A0" w:firstRow="1" w:lastRow="0" w:firstColumn="1" w:lastColumn="0" w:noHBand="0" w:noVBand="1"/>
      </w:tblPr>
      <w:tblGrid>
        <w:gridCol w:w="4050"/>
        <w:gridCol w:w="2250"/>
        <w:gridCol w:w="1830"/>
        <w:gridCol w:w="1830"/>
      </w:tblGrid>
      <w:tr w:rsidRPr="00A610C2" w:rsidR="00C77BF6" w:rsidTr="00535C02" w14:paraId="106581B1" w14:textId="77777777">
        <w:trPr>
          <w:trHeight w:val="300"/>
        </w:trPr>
        <w:tc>
          <w:tcPr>
            <w:tcW w:w="4050" w:type="dxa"/>
            <w:tcBorders>
              <w:top w:val="single" w:color="auto" w:sz="4" w:space="0"/>
              <w:left w:val="nil"/>
              <w:bottom w:val="single" w:color="auto" w:sz="4" w:space="0"/>
              <w:right w:val="nil"/>
            </w:tcBorders>
            <w:shd w:val="clear" w:color="auto" w:fill="auto"/>
            <w:noWrap/>
            <w:vAlign w:val="bottom"/>
            <w:hideMark/>
          </w:tcPr>
          <w:p w:rsidRPr="00A610C2" w:rsidR="0023482A" w:rsidP="00793425" w:rsidRDefault="0023482A" w14:paraId="0A4D7119" w14:textId="77777777">
            <w:pPr>
              <w:keepNext/>
              <w:keepLines/>
              <w:rPr>
                <w:b/>
                <w:bCs/>
              </w:rPr>
            </w:pPr>
            <w:r w:rsidRPr="00A610C2">
              <w:rPr>
                <w:b/>
                <w:bCs/>
              </w:rPr>
              <w:t>Stage</w:t>
            </w:r>
          </w:p>
        </w:tc>
        <w:tc>
          <w:tcPr>
            <w:tcW w:w="2250" w:type="dxa"/>
            <w:tcBorders>
              <w:top w:val="single" w:color="auto" w:sz="4" w:space="0"/>
              <w:left w:val="nil"/>
              <w:bottom w:val="single" w:color="auto" w:sz="4" w:space="0"/>
              <w:right w:val="nil"/>
            </w:tcBorders>
            <w:shd w:val="clear" w:color="auto" w:fill="auto"/>
            <w:noWrap/>
            <w:vAlign w:val="bottom"/>
            <w:hideMark/>
          </w:tcPr>
          <w:p w:rsidRPr="00A610C2" w:rsidR="0023482A" w:rsidP="00793425" w:rsidRDefault="0023482A" w14:paraId="57F8858D" w14:textId="77777777">
            <w:pPr>
              <w:keepNext/>
              <w:keepLines/>
              <w:jc w:val="center"/>
              <w:rPr>
                <w:b/>
                <w:bCs/>
              </w:rPr>
            </w:pPr>
            <w:r w:rsidRPr="00A610C2">
              <w:rPr>
                <w:b/>
                <w:bCs/>
              </w:rPr>
              <w:t>Type of contact</w:t>
            </w:r>
          </w:p>
        </w:tc>
        <w:tc>
          <w:tcPr>
            <w:tcW w:w="1830" w:type="dxa"/>
            <w:tcBorders>
              <w:top w:val="single" w:color="auto" w:sz="4" w:space="0"/>
              <w:left w:val="nil"/>
              <w:bottom w:val="single" w:color="auto" w:sz="4" w:space="0"/>
              <w:right w:val="nil"/>
            </w:tcBorders>
            <w:shd w:val="clear" w:color="auto" w:fill="auto"/>
            <w:noWrap/>
            <w:vAlign w:val="bottom"/>
            <w:hideMark/>
          </w:tcPr>
          <w:p w:rsidRPr="00A610C2" w:rsidR="0023482A" w:rsidP="00793425" w:rsidRDefault="005F4E64" w14:paraId="74285846" w14:textId="73FBAF56">
            <w:pPr>
              <w:keepNext/>
              <w:keepLines/>
              <w:jc w:val="center"/>
              <w:rPr>
                <w:b/>
                <w:bCs/>
              </w:rPr>
            </w:pPr>
            <w:r w:rsidRPr="00A610C2">
              <w:rPr>
                <w:b/>
                <w:bCs/>
              </w:rPr>
              <w:t>Timing</w:t>
            </w:r>
          </w:p>
        </w:tc>
        <w:tc>
          <w:tcPr>
            <w:tcW w:w="1830" w:type="dxa"/>
            <w:tcBorders>
              <w:top w:val="single" w:color="auto" w:sz="4" w:space="0"/>
              <w:left w:val="nil"/>
              <w:bottom w:val="single" w:color="auto" w:sz="4" w:space="0"/>
              <w:right w:val="nil"/>
            </w:tcBorders>
            <w:shd w:val="clear" w:color="auto" w:fill="auto"/>
            <w:vAlign w:val="bottom"/>
            <w:hideMark/>
          </w:tcPr>
          <w:p w:rsidRPr="00A610C2" w:rsidR="0023482A" w:rsidP="00793425" w:rsidRDefault="0023482A" w14:paraId="4ACF5E67" w14:textId="3C8195F3">
            <w:pPr>
              <w:keepNext/>
              <w:keepLines/>
              <w:jc w:val="center"/>
              <w:rPr>
                <w:b/>
                <w:bCs/>
              </w:rPr>
            </w:pPr>
            <w:r w:rsidRPr="00A610C2">
              <w:rPr>
                <w:b/>
                <w:bCs/>
              </w:rPr>
              <w:t>Attachment number</w:t>
            </w:r>
            <w:r w:rsidRPr="00A610C2" w:rsidR="005F4E64">
              <w:rPr>
                <w:b/>
                <w:bCs/>
              </w:rPr>
              <w:t>(s)</w:t>
            </w:r>
          </w:p>
        </w:tc>
      </w:tr>
      <w:tr w:rsidRPr="00A610C2" w:rsidR="00C77BF6" w:rsidTr="00535C02" w14:paraId="552A40A5" w14:textId="77777777">
        <w:trPr>
          <w:trHeight w:val="300"/>
        </w:trPr>
        <w:tc>
          <w:tcPr>
            <w:tcW w:w="4050" w:type="dxa"/>
            <w:tcBorders>
              <w:top w:val="single" w:color="auto" w:sz="4" w:space="0"/>
              <w:left w:val="nil"/>
              <w:bottom w:val="single" w:color="A6A6A6" w:themeColor="background1" w:themeShade="A6" w:sz="4" w:space="0"/>
              <w:right w:val="nil"/>
            </w:tcBorders>
            <w:shd w:val="clear" w:color="auto" w:fill="auto"/>
            <w:vAlign w:val="center"/>
          </w:tcPr>
          <w:p w:rsidRPr="00A610C2" w:rsidR="005F4E64" w:rsidP="00793425" w:rsidRDefault="005F4E64" w14:paraId="02BC49DE" w14:textId="3685A4B8">
            <w:pPr>
              <w:keepNext/>
              <w:keepLines/>
            </w:pPr>
            <w:r w:rsidRPr="00A610C2">
              <w:t>Survey Pre-notification Letter</w:t>
            </w:r>
          </w:p>
        </w:tc>
        <w:tc>
          <w:tcPr>
            <w:tcW w:w="2250" w:type="dxa"/>
            <w:tcBorders>
              <w:top w:val="single" w:color="auto"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0C6A73E9" w14:textId="79AA344F">
            <w:pPr>
              <w:keepNext/>
              <w:keepLines/>
              <w:jc w:val="center"/>
            </w:pPr>
            <w:r w:rsidRPr="00A610C2">
              <w:t>All</w:t>
            </w:r>
          </w:p>
        </w:tc>
        <w:tc>
          <w:tcPr>
            <w:tcW w:w="1830" w:type="dxa"/>
            <w:tcBorders>
              <w:top w:val="single" w:color="auto" w:sz="4" w:space="0"/>
              <w:left w:val="nil"/>
              <w:bottom w:val="single" w:color="A6A6A6" w:themeColor="background1" w:themeShade="A6" w:sz="4" w:space="0"/>
              <w:right w:val="nil"/>
            </w:tcBorders>
            <w:shd w:val="clear" w:color="auto" w:fill="auto"/>
            <w:noWrap/>
            <w:vAlign w:val="center"/>
          </w:tcPr>
          <w:p w:rsidRPr="00A610C2" w:rsidR="005F4E64" w:rsidP="00793425" w:rsidRDefault="007A0497" w14:paraId="6AED7634" w14:textId="204572A7">
            <w:pPr>
              <w:keepNext/>
              <w:keepLines/>
              <w:jc w:val="center"/>
            </w:pPr>
            <w:r>
              <w:t>Week</w:t>
            </w:r>
            <w:r w:rsidRPr="00A610C2">
              <w:t xml:space="preserve"> </w:t>
            </w:r>
            <w:r w:rsidRPr="00A610C2" w:rsidR="005F4E64">
              <w:t>0</w:t>
            </w:r>
          </w:p>
        </w:tc>
        <w:tc>
          <w:tcPr>
            <w:tcW w:w="1830" w:type="dxa"/>
            <w:tcBorders>
              <w:top w:val="single" w:color="auto" w:sz="4" w:space="0"/>
              <w:left w:val="nil"/>
              <w:bottom w:val="single" w:color="A6A6A6" w:themeColor="background1" w:themeShade="A6" w:sz="4" w:space="0"/>
              <w:right w:val="nil"/>
            </w:tcBorders>
            <w:shd w:val="clear" w:color="auto" w:fill="auto"/>
            <w:noWrap/>
            <w:vAlign w:val="center"/>
          </w:tcPr>
          <w:p w:rsidRPr="00A610C2" w:rsidR="005F4E64" w:rsidP="00793425" w:rsidRDefault="007A0497" w14:paraId="32DCA171" w14:textId="3CB6D845">
            <w:pPr>
              <w:keepNext/>
              <w:keepLines/>
              <w:jc w:val="center"/>
            </w:pPr>
            <w:r>
              <w:t>6</w:t>
            </w:r>
          </w:p>
        </w:tc>
      </w:tr>
      <w:tr w:rsidRPr="00A610C2" w:rsidR="00A610C2" w:rsidTr="00535C02" w14:paraId="4AAD6A9F" w14:textId="77777777">
        <w:trPr>
          <w:trHeight w:val="162"/>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23482A" w:rsidP="00793425" w:rsidRDefault="0023482A" w14:paraId="5B5B2BB0" w14:textId="7B08C4AF">
            <w:pPr>
              <w:keepNext/>
              <w:keepLines/>
            </w:pPr>
            <w:r w:rsidRPr="00A610C2">
              <w:t xml:space="preserve">Survey invitation letter (with URL and login instructions), </w:t>
            </w:r>
            <w:r w:rsidRPr="00A610C2" w:rsidR="00F15060">
              <w:t>endorsement letters</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23482A" w14:paraId="53A7D6FA" w14:textId="77777777">
            <w:pPr>
              <w:keepNext/>
              <w:keepLines/>
              <w:jc w:val="center"/>
            </w:pPr>
            <w:r w:rsidRPr="00A610C2">
              <w:t>All</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7A0497" w14:paraId="68EF1F11" w14:textId="32391E41">
            <w:pPr>
              <w:keepNext/>
              <w:keepLines/>
              <w:jc w:val="center"/>
            </w:pPr>
            <w:r>
              <w:t>Week 2</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23482A" w:rsidP="00793425" w:rsidRDefault="007A0497" w14:paraId="3887BEBF" w14:textId="004C3D15">
            <w:pPr>
              <w:keepNext/>
              <w:keepLines/>
              <w:jc w:val="center"/>
            </w:pPr>
            <w:r>
              <w:t>7,</w:t>
            </w:r>
            <w:r w:rsidR="005E6933">
              <w:t xml:space="preserve"> </w:t>
            </w:r>
            <w:r>
              <w:t>22</w:t>
            </w:r>
          </w:p>
        </w:tc>
      </w:tr>
      <w:tr w:rsidRPr="00A610C2" w:rsidR="00A610C2" w:rsidTr="00535C02" w14:paraId="33884A36" w14:textId="77777777">
        <w:trPr>
          <w:trHeight w:val="963"/>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23482A" w:rsidP="00793425" w:rsidRDefault="0023482A" w14:paraId="79E0294E" w14:textId="20C3555F">
            <w:pPr>
              <w:keepNext/>
              <w:keepLines/>
            </w:pPr>
            <w:r w:rsidRPr="00A610C2">
              <w:t>Email invitation (with URL and login instructions)</w:t>
            </w:r>
            <w:r w:rsidRPr="00A610C2" w:rsidR="00F15060">
              <w:t xml:space="preserve">, endorsements letters as attachments </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23482A" w14:paraId="279D837B" w14:textId="77777777">
            <w:pPr>
              <w:keepNext/>
              <w:keepLines/>
              <w:jc w:val="center"/>
            </w:pPr>
            <w:r w:rsidRPr="00A610C2">
              <w:t>All</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7A0497" w14:paraId="60C9E01F" w14:textId="544A63C0">
            <w:pPr>
              <w:keepNext/>
              <w:keepLines/>
              <w:jc w:val="center"/>
            </w:pPr>
            <w:r>
              <w:t>Week 3</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23482A" w:rsidP="00793425" w:rsidRDefault="007A0497" w14:paraId="3BA7E851" w14:textId="2CD81A33">
            <w:pPr>
              <w:keepNext/>
              <w:keepLines/>
              <w:jc w:val="center"/>
            </w:pPr>
            <w:r>
              <w:t>8,</w:t>
            </w:r>
            <w:r w:rsidR="005E6933">
              <w:t xml:space="preserve"> </w:t>
            </w:r>
            <w:r>
              <w:t>22</w:t>
            </w:r>
          </w:p>
        </w:tc>
      </w:tr>
      <w:tr w:rsidRPr="00A610C2" w:rsidR="00A610C2" w:rsidTr="00535C02" w14:paraId="795034DA"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23482A" w:rsidP="00793425" w:rsidRDefault="0023482A" w14:paraId="541975F3" w14:textId="2CB1BF83">
            <w:pPr>
              <w:keepNext/>
              <w:keepLines/>
            </w:pPr>
            <w:r w:rsidRPr="00A610C2">
              <w:t>First reminder email</w:t>
            </w:r>
            <w:r w:rsidRPr="00A610C2" w:rsidR="00F84764">
              <w:t>/postcard</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23482A" w14:paraId="6FCED6CC" w14:textId="77777777">
            <w:pPr>
              <w:keepNext/>
              <w:keepLines/>
              <w:jc w:val="center"/>
            </w:pPr>
            <w:r w:rsidRPr="00A610C2">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7A0497" w14:paraId="6D13430C" w14:textId="509DD6D6">
            <w:pPr>
              <w:keepNext/>
              <w:keepLines/>
              <w:jc w:val="center"/>
            </w:pPr>
            <w:r>
              <w:t>Week 6</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23482A" w:rsidP="00793425" w:rsidRDefault="007A0497" w14:paraId="170015C7" w14:textId="7971D90F">
            <w:pPr>
              <w:keepNext/>
              <w:keepLines/>
              <w:jc w:val="center"/>
            </w:pPr>
            <w:r>
              <w:t>9,</w:t>
            </w:r>
            <w:r w:rsidR="005E6933">
              <w:t xml:space="preserve"> </w:t>
            </w:r>
            <w:r>
              <w:t>10</w:t>
            </w:r>
          </w:p>
        </w:tc>
      </w:tr>
      <w:tr w:rsidRPr="00A610C2" w:rsidR="00617572" w:rsidTr="0057493D" w14:paraId="1EB5E7CF"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tcPr>
          <w:p w:rsidRPr="00E77F71" w:rsidR="00617572" w:rsidP="0057493D" w:rsidRDefault="00617572" w14:paraId="16254B3E" w14:textId="77777777">
            <w:pPr>
              <w:keepNext/>
              <w:keepLines/>
            </w:pPr>
            <w:r w:rsidRPr="00E77F71">
              <w:t>Telephone contacting for data quality follow up</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E77F71" w:rsidR="00617572" w:rsidP="0057493D" w:rsidRDefault="00617572" w14:paraId="2FC452E1" w14:textId="77777777">
            <w:pPr>
              <w:keepNext/>
              <w:keepLines/>
              <w:jc w:val="center"/>
            </w:pPr>
            <w:r w:rsidRPr="00E77F71">
              <w:t>Partial respondents and respondents with missing/unclear data</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E77F71" w:rsidR="00617572" w:rsidDel="007A0497" w:rsidP="0057493D" w:rsidRDefault="00617572" w14:paraId="19AC54E9" w14:textId="3D78D5B0">
            <w:pPr>
              <w:keepNext/>
              <w:keepLines/>
              <w:jc w:val="center"/>
            </w:pPr>
            <w:r w:rsidRPr="00E77F71">
              <w:t>Week 6</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E77F71" w:rsidR="00617572" w:rsidP="0057493D" w:rsidRDefault="00617572" w14:paraId="034239F4" w14:textId="77777777">
            <w:pPr>
              <w:keepNext/>
              <w:keepLines/>
              <w:jc w:val="center"/>
            </w:pPr>
            <w:r w:rsidRPr="00E77F71">
              <w:t>16</w:t>
            </w:r>
          </w:p>
        </w:tc>
      </w:tr>
      <w:tr w:rsidRPr="00A610C2" w:rsidR="00A610C2" w:rsidTr="00535C02" w14:paraId="19A04847"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E77F71" w:rsidR="0023482A" w:rsidP="00793425" w:rsidRDefault="0023482A" w14:paraId="15088CEE" w14:textId="46388643">
            <w:pPr>
              <w:keepNext/>
              <w:keepLines/>
            </w:pPr>
            <w:r w:rsidRPr="00E77F71">
              <w:t>Second reminder letter</w:t>
            </w:r>
            <w:r w:rsidRPr="00E77F71" w:rsidR="00617572">
              <w:t>/email</w:t>
            </w:r>
            <w:r w:rsidRPr="00E77F71" w:rsidR="00F84764">
              <w:t xml:space="preserve"> </w:t>
            </w:r>
            <w:r w:rsidRPr="00E77F71" w:rsidR="007A0497">
              <w:t>with questionnaire and BRE</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E77F71" w:rsidR="0023482A" w:rsidP="00793425" w:rsidRDefault="0023482A" w14:paraId="04133226" w14:textId="77777777">
            <w:pPr>
              <w:keepNext/>
              <w:keepLines/>
              <w:jc w:val="center"/>
            </w:pPr>
            <w:r w:rsidRPr="00E77F71">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E77F71" w:rsidR="0023482A" w:rsidP="00793425" w:rsidRDefault="007A0497" w14:paraId="6F778B4F" w14:textId="7CC2934B">
            <w:pPr>
              <w:keepNext/>
              <w:keepLines/>
              <w:jc w:val="center"/>
            </w:pPr>
            <w:r w:rsidRPr="00E77F71">
              <w:t>Week 8</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E77F71" w:rsidR="0023482A" w:rsidP="00793425" w:rsidRDefault="007A0497" w14:paraId="582835AE" w14:textId="2733F026">
            <w:pPr>
              <w:keepNext/>
              <w:keepLines/>
              <w:jc w:val="center"/>
            </w:pPr>
            <w:r w:rsidRPr="00E77F71">
              <w:t>11, 2</w:t>
            </w:r>
          </w:p>
        </w:tc>
      </w:tr>
      <w:tr w:rsidRPr="00A610C2" w:rsidR="00A610C2" w:rsidTr="00535C02" w14:paraId="55B9424D"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E77F71" w:rsidR="005F4E64" w:rsidP="00793425" w:rsidRDefault="005F4E64" w14:paraId="1D182138" w14:textId="18361583">
            <w:pPr>
              <w:keepNext/>
              <w:keepLines/>
            </w:pPr>
            <w:r w:rsidRPr="00E77F71">
              <w:t>Telephone non-response</w:t>
            </w:r>
            <w:r w:rsidRPr="00E77F71" w:rsidR="0057493D">
              <w:t xml:space="preserve"> and incomplete response follow up</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E77F71" w:rsidR="005F4E64" w:rsidP="00793425" w:rsidRDefault="005F4E64" w14:paraId="41BF1A37" w14:textId="0767646F">
            <w:pPr>
              <w:keepNext/>
              <w:keepLines/>
              <w:jc w:val="center"/>
            </w:pPr>
            <w:r w:rsidRPr="00E77F71">
              <w:t>Non-respondents</w:t>
            </w:r>
            <w:r w:rsidRPr="00E77F71" w:rsidR="0057493D">
              <w:t xml:space="preserve"> and incomplete 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E77F71" w:rsidR="005F4E64" w:rsidP="00793425" w:rsidRDefault="007A0497" w14:paraId="5B5D84A6" w14:textId="07599A50">
            <w:pPr>
              <w:keepNext/>
              <w:keepLines/>
              <w:jc w:val="center"/>
            </w:pPr>
            <w:r w:rsidRPr="00E77F71">
              <w:t>Week 11</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E77F71" w:rsidR="005F4E64" w:rsidP="00793425" w:rsidRDefault="00EE51F5" w14:paraId="2DB6B7E3" w14:textId="3E5E1E39">
            <w:pPr>
              <w:keepNext/>
              <w:keepLines/>
              <w:jc w:val="center"/>
            </w:pPr>
            <w:r w:rsidRPr="00E77F71">
              <w:t>17, 18</w:t>
            </w:r>
          </w:p>
        </w:tc>
      </w:tr>
      <w:tr w:rsidRPr="00A610C2" w:rsidR="007A0497" w:rsidTr="00535C02" w14:paraId="7DEAF36F"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tcPr>
          <w:p w:rsidRPr="00A610C2" w:rsidR="007A0497" w:rsidP="00793425" w:rsidRDefault="007A0497" w14:paraId="08D25192" w14:textId="32D6E7F4">
            <w:pPr>
              <w:keepNext/>
              <w:keepLines/>
            </w:pPr>
            <w:r>
              <w:t>Third reminder email/reminder letter</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7A0497" w:rsidP="00793425" w:rsidRDefault="007A0497" w14:paraId="0790135A" w14:textId="1218909F">
            <w:pPr>
              <w:keepNext/>
              <w:keepLines/>
              <w:jc w:val="center"/>
            </w:pPr>
            <w:r>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7A0497" w:rsidDel="007A0497" w:rsidP="00793425" w:rsidRDefault="007A0497" w14:paraId="3D4317D9" w14:textId="7EECF8D9">
            <w:pPr>
              <w:keepNext/>
              <w:keepLines/>
              <w:jc w:val="center"/>
            </w:pPr>
            <w:r>
              <w:t>Week 11</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007A0497" w:rsidP="00793425" w:rsidRDefault="007A0497" w14:paraId="51F6A37E" w14:textId="79DE0FEC">
            <w:pPr>
              <w:keepNext/>
              <w:keepLines/>
              <w:jc w:val="center"/>
            </w:pPr>
            <w:r>
              <w:t>12, 13</w:t>
            </w:r>
          </w:p>
        </w:tc>
      </w:tr>
      <w:tr w:rsidRPr="00A610C2" w:rsidR="00C77BF6" w:rsidTr="00535C02" w14:paraId="3699AD22"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tcPr>
          <w:p w:rsidRPr="00A610C2" w:rsidR="005F4E64" w:rsidP="00793425" w:rsidRDefault="005F4E64" w14:paraId="483C787C" w14:textId="13819D4C">
            <w:pPr>
              <w:keepNext/>
              <w:keepLines/>
            </w:pPr>
            <w:r w:rsidRPr="00A610C2">
              <w:t xml:space="preserve">Fourth reminder letter </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52E70982" w14:textId="5618DA14">
            <w:pPr>
              <w:keepNext/>
              <w:keepLines/>
              <w:jc w:val="center"/>
            </w:pPr>
            <w:r w:rsidRPr="00A610C2">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7A0497" w14:paraId="04649F9D" w14:textId="6E7C22DB">
            <w:pPr>
              <w:keepNext/>
              <w:keepLines/>
              <w:jc w:val="center"/>
            </w:pPr>
            <w:r>
              <w:t>Week 14</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7A0497" w14:paraId="234C0648" w14:textId="30795B6D">
            <w:pPr>
              <w:keepNext/>
              <w:keepLines/>
              <w:jc w:val="center"/>
            </w:pPr>
            <w:r>
              <w:t>14</w:t>
            </w:r>
          </w:p>
        </w:tc>
      </w:tr>
      <w:tr w:rsidRPr="00A610C2" w:rsidR="007A0497" w:rsidTr="00535C02" w14:paraId="0E7DB6E6"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tcPr>
          <w:p w:rsidRPr="00A610C2" w:rsidR="007A0497" w:rsidP="00793425" w:rsidRDefault="007A0497" w14:paraId="5189F553" w14:textId="18347B19">
            <w:pPr>
              <w:keepNext/>
              <w:keepLines/>
            </w:pPr>
            <w:r>
              <w:t>Fifth reminder email with postcard</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7A0497" w:rsidP="00793425" w:rsidRDefault="007A0497" w14:paraId="3495643E" w14:textId="61EDF03D">
            <w:pPr>
              <w:keepNext/>
              <w:keepLines/>
              <w:jc w:val="center"/>
            </w:pPr>
            <w:r>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7A0497" w:rsidDel="007A0497" w:rsidP="00793425" w:rsidRDefault="007A0497" w14:paraId="6233785C" w14:textId="69E9003D">
            <w:pPr>
              <w:keepNext/>
              <w:keepLines/>
              <w:jc w:val="center"/>
            </w:pPr>
            <w:r>
              <w:t>Week 17</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7A0497" w:rsidP="00793425" w:rsidRDefault="007A0497" w14:paraId="6B9D5974" w14:textId="6F871546">
            <w:pPr>
              <w:keepNext/>
              <w:keepLines/>
              <w:jc w:val="center"/>
            </w:pPr>
            <w:r>
              <w:t>15</w:t>
            </w:r>
          </w:p>
        </w:tc>
      </w:tr>
      <w:tr w:rsidRPr="00A610C2" w:rsidR="00A610C2" w:rsidTr="00535C02" w14:paraId="7207AEB3"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23482A" w:rsidP="00793425" w:rsidRDefault="0023482A" w14:paraId="51B1BD97" w14:textId="571C41F2">
            <w:pPr>
              <w:keepNext/>
              <w:keepLines/>
            </w:pPr>
            <w:r w:rsidRPr="00A610C2">
              <w:t>End-of-study</w:t>
            </w:r>
            <w:r w:rsidRPr="00A610C2" w:rsidR="005F4E64">
              <w:t xml:space="preserve"> email/letter</w:t>
            </w:r>
            <w:r w:rsidRPr="00A610C2">
              <w:t xml:space="preserve"> reminder</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23482A" w14:paraId="2AC329D7" w14:textId="77777777">
            <w:pPr>
              <w:keepNext/>
              <w:keepLines/>
              <w:jc w:val="center"/>
            </w:pPr>
            <w:r w:rsidRPr="00A610C2">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7A0497" w14:paraId="1C28EABC" w14:textId="2B5218E1">
            <w:pPr>
              <w:keepNext/>
              <w:keepLines/>
              <w:jc w:val="center"/>
            </w:pPr>
            <w:r>
              <w:t>Week 22</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23482A" w:rsidP="00793425" w:rsidRDefault="007A0497" w14:paraId="68C1E8AA" w14:textId="00C1BD57">
            <w:pPr>
              <w:keepNext/>
              <w:keepLines/>
              <w:jc w:val="center"/>
            </w:pPr>
            <w:r>
              <w:t>19,20</w:t>
            </w:r>
          </w:p>
        </w:tc>
      </w:tr>
      <w:tr w:rsidRPr="00A610C2" w:rsidR="00A610C2" w:rsidTr="00535C02" w14:paraId="40D252FF"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23482A" w:rsidP="00793425" w:rsidRDefault="0023482A" w14:paraId="2BC60D47" w14:textId="77777777">
            <w:pPr>
              <w:keepNext/>
              <w:keepLines/>
            </w:pPr>
            <w:r w:rsidRPr="00A610C2">
              <w:t>Close data collection</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23482A" w14:paraId="67F82732" w14:textId="77777777">
            <w:pPr>
              <w:keepNext/>
              <w:keepLines/>
              <w:jc w:val="center"/>
            </w:pPr>
            <w:r w:rsidRPr="00A610C2">
              <w:t>Non-respondents</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23482A" w:rsidP="00793425" w:rsidRDefault="007A0497" w14:paraId="3604912A" w14:textId="07914A2E">
            <w:pPr>
              <w:keepNext/>
              <w:keepLines/>
              <w:jc w:val="center"/>
            </w:pPr>
            <w:r>
              <w:t>Week 24</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23482A" w:rsidP="00793425" w:rsidRDefault="0023482A" w14:paraId="6841D697" w14:textId="0B8517AA">
            <w:pPr>
              <w:keepNext/>
              <w:keepLines/>
              <w:jc w:val="center"/>
            </w:pPr>
          </w:p>
        </w:tc>
      </w:tr>
      <w:tr w:rsidRPr="00A610C2" w:rsidR="00C77BF6" w:rsidTr="00535C02" w14:paraId="4125FCA3"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tcPr>
          <w:p w:rsidRPr="00A610C2" w:rsidR="005F4E64" w:rsidP="00793425" w:rsidRDefault="005F4E64" w14:paraId="6D9FA776" w14:textId="3227336E">
            <w:pPr>
              <w:keepNext/>
              <w:keepLines/>
            </w:pPr>
            <w:r w:rsidRPr="00A610C2">
              <w:t>Completion thank-you</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20E84431" w14:textId="24ECBEAE">
            <w:pPr>
              <w:keepNext/>
              <w:keepLines/>
              <w:jc w:val="center"/>
            </w:pPr>
            <w:r w:rsidRPr="00A610C2">
              <w:t>All</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098CDC0D" w14:textId="295BEA23">
            <w:pPr>
              <w:keepNext/>
              <w:keepLines/>
              <w:jc w:val="center"/>
            </w:pPr>
            <w:r w:rsidRPr="00A610C2">
              <w:t>Variable</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7A0497" w14:paraId="7BE2A6CD" w14:textId="1A472A05">
            <w:pPr>
              <w:keepNext/>
              <w:keepLines/>
              <w:jc w:val="center"/>
            </w:pPr>
            <w:r>
              <w:t>21</w:t>
            </w:r>
          </w:p>
        </w:tc>
      </w:tr>
      <w:tr w:rsidRPr="00A610C2" w:rsidR="00A610C2" w:rsidTr="00535C02" w14:paraId="40CEE61B" w14:textId="77777777">
        <w:trPr>
          <w:trHeight w:val="30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5F4E64" w:rsidP="00793425" w:rsidRDefault="005F4E64" w14:paraId="5FC6C8F1" w14:textId="77777777">
            <w:pPr>
              <w:keepNext/>
              <w:keepLines/>
            </w:pPr>
            <w:r w:rsidRPr="00A610C2">
              <w:t>Analysis</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5F4E64" w:rsidP="00793425" w:rsidRDefault="005F4E64" w14:paraId="6817AA41" w14:textId="77777777">
            <w:pPr>
              <w:keepNext/>
              <w:keepLines/>
              <w:jc w:val="center"/>
            </w:pPr>
            <w:r w:rsidRPr="00A610C2">
              <w:t>N/A</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5F4E64" w:rsidP="00793425" w:rsidRDefault="006A0AE3" w14:paraId="6EEB5E3F" w14:textId="755B688D">
            <w:pPr>
              <w:keepNext/>
              <w:keepLines/>
              <w:jc w:val="center"/>
            </w:pPr>
            <w:r w:rsidRPr="00A610C2">
              <w:t>Months 8-15</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568B8089" w14:textId="556F6A87">
            <w:pPr>
              <w:keepNext/>
              <w:keepLines/>
              <w:jc w:val="center"/>
            </w:pPr>
          </w:p>
        </w:tc>
      </w:tr>
      <w:tr w:rsidRPr="00A610C2" w:rsidR="00A610C2" w:rsidTr="00535C02" w14:paraId="369110D0" w14:textId="77777777">
        <w:trPr>
          <w:trHeight w:val="320"/>
        </w:trPr>
        <w:tc>
          <w:tcPr>
            <w:tcW w:w="4050" w:type="dxa"/>
            <w:tcBorders>
              <w:top w:val="single" w:color="A6A6A6" w:themeColor="background1" w:themeShade="A6" w:sz="4" w:space="0"/>
              <w:left w:val="nil"/>
              <w:bottom w:val="single" w:color="A6A6A6" w:themeColor="background1" w:themeShade="A6" w:sz="4" w:space="0"/>
              <w:right w:val="nil"/>
            </w:tcBorders>
            <w:shd w:val="clear" w:color="auto" w:fill="auto"/>
            <w:vAlign w:val="center"/>
            <w:hideMark/>
          </w:tcPr>
          <w:p w:rsidRPr="00A610C2" w:rsidR="005F4E64" w:rsidP="00793425" w:rsidRDefault="005F4E64" w14:paraId="5C5E6795" w14:textId="77777777">
            <w:pPr>
              <w:keepNext/>
              <w:keepLines/>
            </w:pPr>
            <w:r w:rsidRPr="00A610C2">
              <w:t>Reports</w:t>
            </w:r>
          </w:p>
        </w:tc>
        <w:tc>
          <w:tcPr>
            <w:tcW w:w="225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5F4E64" w:rsidP="00793425" w:rsidRDefault="005F4E64" w14:paraId="2CB8ADCD" w14:textId="77777777">
            <w:pPr>
              <w:keepNext/>
              <w:keepLines/>
              <w:jc w:val="center"/>
            </w:pPr>
            <w:r w:rsidRPr="00A610C2">
              <w:t>N/A</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hideMark/>
          </w:tcPr>
          <w:p w:rsidRPr="00A610C2" w:rsidR="005F4E64" w:rsidP="00793425" w:rsidRDefault="005F4E64" w14:paraId="43F04FD0" w14:textId="77777777">
            <w:pPr>
              <w:keepNext/>
              <w:keepLines/>
              <w:jc w:val="center"/>
            </w:pPr>
            <w:r w:rsidRPr="00A610C2">
              <w:t>Months 12-15</w:t>
            </w:r>
          </w:p>
        </w:tc>
        <w:tc>
          <w:tcPr>
            <w:tcW w:w="1830" w:type="dxa"/>
            <w:tcBorders>
              <w:top w:val="single" w:color="A6A6A6" w:themeColor="background1" w:themeShade="A6" w:sz="4" w:space="0"/>
              <w:left w:val="nil"/>
              <w:bottom w:val="single" w:color="A6A6A6" w:themeColor="background1" w:themeShade="A6" w:sz="4" w:space="0"/>
              <w:right w:val="nil"/>
            </w:tcBorders>
            <w:shd w:val="clear" w:color="auto" w:fill="auto"/>
            <w:noWrap/>
            <w:vAlign w:val="center"/>
          </w:tcPr>
          <w:p w:rsidRPr="00A610C2" w:rsidR="005F4E64" w:rsidP="00793425" w:rsidRDefault="005F4E64" w14:paraId="7532BD32" w14:textId="2E569276">
            <w:pPr>
              <w:keepNext/>
              <w:keepLines/>
              <w:jc w:val="center"/>
            </w:pPr>
          </w:p>
        </w:tc>
      </w:tr>
    </w:tbl>
    <w:p w:rsidRPr="00C77BF6" w:rsidR="0023482A" w:rsidP="00793425" w:rsidRDefault="0023482A" w14:paraId="21633465" w14:textId="3E08C95F">
      <w:pPr>
        <w:rPr>
          <w:color w:val="FF0000"/>
        </w:rPr>
      </w:pPr>
    </w:p>
    <w:p w:rsidRPr="00C77BF6" w:rsidR="00585801" w:rsidP="00793425" w:rsidRDefault="00585801" w14:paraId="0040DB31" w14:textId="77777777">
      <w:pPr>
        <w:rPr>
          <w:color w:val="FF0000"/>
        </w:rPr>
      </w:pPr>
    </w:p>
    <w:p w:rsidRPr="00EF30AD" w:rsidR="00AF7585" w:rsidP="00793425" w:rsidRDefault="00AF7585" w14:paraId="3AF9D929" w14:textId="77777777">
      <w:pPr>
        <w:pStyle w:val="ListParagraph"/>
        <w:numPr>
          <w:ilvl w:val="0"/>
          <w:numId w:val="2"/>
        </w:numPr>
        <w:rPr>
          <w:b/>
        </w:rPr>
      </w:pPr>
      <w:r w:rsidRPr="00EF30AD">
        <w:rPr>
          <w:b/>
          <w:u w:val="single"/>
        </w:rPr>
        <w:t>Display of Expiration Date</w:t>
      </w:r>
    </w:p>
    <w:p w:rsidRPr="00EF30AD" w:rsidR="00AF7585" w:rsidP="00793425" w:rsidRDefault="00AF7585" w14:paraId="1E0CD7C8" w14:textId="77777777">
      <w:pPr>
        <w:pStyle w:val="ListParagraph"/>
        <w:ind w:left="360"/>
      </w:pPr>
    </w:p>
    <w:p w:rsidRPr="00EF30AD" w:rsidR="00AF7585" w:rsidP="00793425" w:rsidRDefault="00AF7585" w14:paraId="6DBEDDFC" w14:textId="4B8F4558">
      <w:r w:rsidRPr="00EF30AD">
        <w:t>The expiration date will be shown on the survey form</w:t>
      </w:r>
      <w:r w:rsidRPr="00EF30AD" w:rsidR="00A44D81">
        <w:t>, both in web and paper format</w:t>
      </w:r>
      <w:r w:rsidRPr="00EF30AD">
        <w:t>.</w:t>
      </w:r>
      <w:r w:rsidRPr="00EF30AD" w:rsidR="00745932">
        <w:t xml:space="preserve"> </w:t>
      </w:r>
    </w:p>
    <w:p w:rsidRPr="00EF30AD" w:rsidR="00AF7585" w:rsidP="00793425" w:rsidRDefault="00AF7585" w14:paraId="4E56ED94" w14:textId="77777777"/>
    <w:p w:rsidRPr="00EF30AD" w:rsidR="00AF7585" w:rsidP="00793425" w:rsidRDefault="00AF7585" w14:paraId="77E5294B" w14:textId="77777777">
      <w:pPr>
        <w:pStyle w:val="ListParagraph"/>
        <w:numPr>
          <w:ilvl w:val="0"/>
          <w:numId w:val="2"/>
        </w:numPr>
        <w:rPr>
          <w:b/>
          <w:u w:val="single"/>
        </w:rPr>
      </w:pPr>
      <w:r w:rsidRPr="00EF30AD">
        <w:rPr>
          <w:b/>
          <w:u w:val="single"/>
        </w:rPr>
        <w:t>Exception to the Certificate Statement</w:t>
      </w:r>
    </w:p>
    <w:p w:rsidRPr="00EF30AD" w:rsidR="00AF7585" w:rsidP="00793425" w:rsidRDefault="00AF7585" w14:paraId="2D6E1CFB" w14:textId="77777777">
      <w:pPr>
        <w:pStyle w:val="ListParagraph"/>
        <w:ind w:left="360"/>
      </w:pPr>
    </w:p>
    <w:p w:rsidRPr="00EF30AD" w:rsidR="00AF7585" w:rsidP="00793425" w:rsidRDefault="00AF7585" w14:paraId="745A9109" w14:textId="085BA946">
      <w:r w:rsidRPr="00EF30AD">
        <w:t>BJS is not requesting an exception to the certification of this information collection.</w:t>
      </w:r>
      <w:r w:rsidRPr="00EF30AD" w:rsidR="00745932">
        <w:t xml:space="preserve"> </w:t>
      </w:r>
    </w:p>
    <w:p w:rsidRPr="00C77BF6" w:rsidR="00586629" w:rsidP="00793425" w:rsidRDefault="00586629" w14:paraId="78D0B4F9" w14:textId="77777777">
      <w:pPr>
        <w:rPr>
          <w:color w:val="FF0000"/>
        </w:rPr>
      </w:pPr>
    </w:p>
    <w:sectPr w:rsidRPr="00C77BF6" w:rsidR="00586629" w:rsidSect="0074628D">
      <w:footerReference w:type="default" r:id="rId14"/>
      <w:pgSz w:w="12240" w:h="15840" w:code="1"/>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BDFC" w16cex:dateUtc="2021-01-20T19:34:00Z"/>
  <w16cex:commentExtensible w16cex:durableId="23B43915" w16cex:dateUtc="2021-01-21T22:32:00Z"/>
  <w16cex:commentExtensible w16cex:durableId="23B43AD2" w16cex:dateUtc="2021-01-21T22:39:00Z"/>
  <w16cex:commentExtensible w16cex:durableId="23B433EF" w16cex:dateUtc="2021-01-21T22:10:00Z"/>
  <w16cex:commentExtensible w16cex:durableId="23B43C23" w16cex:dateUtc="2021-01-21T22:45:00Z"/>
  <w16cex:commentExtensible w16cex:durableId="23B43D47" w16cex:dateUtc="2021-01-21T22:4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A2FD" w14:textId="77777777" w:rsidR="0057493D" w:rsidRDefault="0057493D" w:rsidP="00AF7585">
      <w:r>
        <w:separator/>
      </w:r>
    </w:p>
  </w:endnote>
  <w:endnote w:type="continuationSeparator" w:id="0">
    <w:p w14:paraId="0F6A58D0" w14:textId="77777777" w:rsidR="0057493D" w:rsidRDefault="0057493D" w:rsidP="00AF7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Book">
    <w:altName w:val="Baskerville Old Fac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411CD" w14:textId="6BFB7B02" w:rsidR="0057493D" w:rsidRDefault="0057493D">
    <w:pPr>
      <w:pStyle w:val="Footer"/>
      <w:jc w:val="center"/>
    </w:pPr>
    <w:r>
      <w:fldChar w:fldCharType="begin"/>
    </w:r>
    <w:r>
      <w:instrText xml:space="preserve"> PAGE   \* MERGEFORMAT </w:instrText>
    </w:r>
    <w:r>
      <w:fldChar w:fldCharType="separate"/>
    </w:r>
    <w:r>
      <w:rPr>
        <w:noProof/>
      </w:rPr>
      <w:t>11</w:t>
    </w:r>
    <w:r>
      <w:rPr>
        <w:noProof/>
      </w:rPr>
      <w:fldChar w:fldCharType="end"/>
    </w:r>
  </w:p>
  <w:p w14:paraId="5BDB9CB2" w14:textId="77777777" w:rsidR="0057493D" w:rsidRDefault="005749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06BDC" w14:textId="77777777" w:rsidR="0057493D" w:rsidRDefault="0057493D" w:rsidP="00AF7585">
      <w:r>
        <w:separator/>
      </w:r>
    </w:p>
  </w:footnote>
  <w:footnote w:type="continuationSeparator" w:id="0">
    <w:p w14:paraId="3A6EE8ED" w14:textId="77777777" w:rsidR="0057493D" w:rsidRDefault="0057493D" w:rsidP="00AF7585">
      <w:r>
        <w:continuationSeparator/>
      </w:r>
    </w:p>
  </w:footnote>
  <w:footnote w:id="1">
    <w:p w14:paraId="2333A845" w14:textId="5B2FE12F" w:rsidR="0057493D" w:rsidRDefault="0057493D">
      <w:pPr>
        <w:pStyle w:val="FootnoteText"/>
      </w:pPr>
      <w:r>
        <w:rPr>
          <w:rStyle w:val="FootnoteReference"/>
        </w:rPr>
        <w:footnoteRef/>
      </w:r>
      <w:r>
        <w:t xml:space="preserve"> Cobanoglu, C., Warde, B., &amp; Moreo, P.J. (2001). </w:t>
      </w:r>
      <w:r w:rsidRPr="004E415A">
        <w:t>A comparison of mail, fax, and Web-based survey methods.</w:t>
      </w:r>
      <w:r>
        <w:t xml:space="preserve"> </w:t>
      </w:r>
      <w:r w:rsidRPr="004E415A">
        <w:rPr>
          <w:i/>
          <w:iCs/>
        </w:rPr>
        <w:t>International Journal of Market Research, 43(4),</w:t>
      </w:r>
      <w:r>
        <w:t xml:space="preserve"> 441-452; </w:t>
      </w:r>
      <w:r w:rsidRPr="004E415A">
        <w:rPr>
          <w:rStyle w:val="CommentReference"/>
          <w:sz w:val="20"/>
          <w:szCs w:val="24"/>
        </w:rPr>
        <w:t xml:space="preserve">Dillman, D.A., Smith, J.D., &amp; Christian, L.M. (2014). </w:t>
      </w:r>
      <w:r w:rsidRPr="004E415A">
        <w:rPr>
          <w:rStyle w:val="CommentReference"/>
          <w:i/>
          <w:iCs/>
          <w:sz w:val="20"/>
          <w:szCs w:val="24"/>
        </w:rPr>
        <w:t>Internet, Phone, Mail, and Mixed-Mode Surveys: The Tailored Design Method, 4</w:t>
      </w:r>
      <w:r w:rsidRPr="004E415A">
        <w:rPr>
          <w:rStyle w:val="CommentReference"/>
          <w:i/>
          <w:iCs/>
          <w:sz w:val="20"/>
          <w:szCs w:val="24"/>
          <w:vertAlign w:val="superscript"/>
        </w:rPr>
        <w:t>th</w:t>
      </w:r>
      <w:r w:rsidRPr="004E415A">
        <w:rPr>
          <w:rStyle w:val="CommentReference"/>
          <w:i/>
          <w:iCs/>
          <w:sz w:val="20"/>
          <w:szCs w:val="24"/>
        </w:rPr>
        <w:t xml:space="preserve"> Edition</w:t>
      </w:r>
      <w:r w:rsidRPr="004E415A">
        <w:rPr>
          <w:rStyle w:val="CommentReference"/>
          <w:sz w:val="20"/>
          <w:szCs w:val="24"/>
        </w:rPr>
        <w:t>. John Wiley and Sons, Inc. Hoboken, NJ.</w:t>
      </w:r>
    </w:p>
  </w:footnote>
  <w:footnote w:id="2">
    <w:p w14:paraId="433D75E9" w14:textId="58F64429" w:rsidR="0057493D" w:rsidRPr="00887D18" w:rsidRDefault="0057493D" w:rsidP="00887D18">
      <w:pPr>
        <w:pStyle w:val="FootnoteText"/>
      </w:pPr>
      <w:r w:rsidRPr="00887D18">
        <w:rPr>
          <w:rStyle w:val="FootnoteReference"/>
        </w:rPr>
        <w:footnoteRef/>
      </w:r>
      <w:r w:rsidRPr="001E127C">
        <w:t xml:space="preserve">United States Department of Justice, Federal Bureau of Investigation.  (September </w:t>
      </w:r>
      <w:r>
        <w:t>2020</w:t>
      </w:r>
      <w:r w:rsidRPr="001E127C">
        <w:t>).  </w:t>
      </w:r>
      <w:r w:rsidRPr="001E127C">
        <w:rPr>
          <w:i/>
          <w:iCs/>
        </w:rPr>
        <w:t>Crime in the United States, 20</w:t>
      </w:r>
      <w:r>
        <w:rPr>
          <w:i/>
          <w:iCs/>
        </w:rPr>
        <w:t>19</w:t>
      </w:r>
      <w:r w:rsidRPr="001E127C">
        <w:rPr>
          <w:i/>
          <w:iCs/>
        </w:rPr>
        <w:t>.</w:t>
      </w:r>
      <w:r w:rsidRPr="001E127C">
        <w:t xml:space="preserve">  Retrieved from https://ucr.fbi.gov/crime-in-the-u.s/2019/crime-in-the-u.s.-2019. </w:t>
      </w:r>
    </w:p>
  </w:footnote>
  <w:footnote w:id="3">
    <w:p w14:paraId="27E14F27" w14:textId="740652E3" w:rsidR="0057493D" w:rsidRDefault="0057493D" w:rsidP="00851F68">
      <w:pPr>
        <w:pStyle w:val="FootnoteText"/>
      </w:pPr>
      <w:r w:rsidRPr="00887D18">
        <w:rPr>
          <w:rStyle w:val="FootnoteReference"/>
        </w:rPr>
        <w:footnoteRef/>
      </w:r>
      <w:r>
        <w:t xml:space="preserve">Durose, M.R. </w:t>
      </w:r>
      <w:r w:rsidRPr="00887D18">
        <w:t>(</w:t>
      </w:r>
      <w:r>
        <w:t>2008</w:t>
      </w:r>
      <w:r w:rsidRPr="00887D18">
        <w:t xml:space="preserve">). </w:t>
      </w:r>
      <w:r>
        <w:t xml:space="preserve">Census of Publicly Funded Forensic Crime Laboratories, 2005. Department of Justice, Office of Justice Programs, Bureau of Justice Statistics.   </w:t>
      </w:r>
      <w:r w:rsidRPr="00887D18">
        <w:t xml:space="preserve">Retrieved from </w:t>
      </w:r>
      <w:hyperlink r:id="rId1" w:history="1">
        <w:r w:rsidRPr="00424DF3">
          <w:rPr>
            <w:rStyle w:val="Hyperlink"/>
          </w:rPr>
          <w:t>https://www.bjs.gov/content/pub/pdf/cpffcl05.pdf</w:t>
        </w:r>
      </w:hyperlink>
      <w:r>
        <w:t xml:space="preserve"> and Durose, M.R. &amp; Burch, A.M. (2016). Publicly Funded Forensic Crime Laboratories: Resources and Services, 2014.</w:t>
      </w:r>
      <w:r w:rsidRPr="00851F68">
        <w:t xml:space="preserve"> </w:t>
      </w:r>
      <w:r>
        <w:t xml:space="preserve">Department of Justice, Office of Justice Programs, Bureau of Justice Statistics. </w:t>
      </w:r>
      <w:r w:rsidRPr="00887D18">
        <w:t>Retrieved from</w:t>
      </w:r>
      <w:r>
        <w:t xml:space="preserve"> </w:t>
      </w:r>
      <w:hyperlink r:id="rId2" w:history="1">
        <w:r w:rsidRPr="00C073CF">
          <w:rPr>
            <w:rStyle w:val="Hyperlink"/>
          </w:rPr>
          <w:t>https://www.bjs.gov/content/pub/pdf/pffclrs14.pdf</w:t>
        </w:r>
      </w:hyperlink>
      <w:r>
        <w:t>.</w:t>
      </w:r>
    </w:p>
  </w:footnote>
  <w:footnote w:id="4">
    <w:p w14:paraId="5E62CD82" w14:textId="2013BD9A" w:rsidR="0057493D" w:rsidRDefault="0057493D">
      <w:pPr>
        <w:pStyle w:val="FootnoteText"/>
      </w:pPr>
      <w:r>
        <w:rPr>
          <w:rStyle w:val="FootnoteReference"/>
        </w:rPr>
        <w:footnoteRef/>
      </w:r>
      <w:r>
        <w:t xml:space="preserve"> National Institute of Justice. (2019). </w:t>
      </w:r>
      <w:r w:rsidRPr="00672054">
        <w:t>Comprehensive Needs Assessment of Forensic Laboratories and Medical Examiner/Coroner Offices Points to Solutions for a System Under Stress</w:t>
      </w:r>
      <w:r>
        <w:t xml:space="preserve">. Department of Justice, Office of Justice Programs, National Institute of Justice. Retrieved from </w:t>
      </w:r>
      <w:hyperlink r:id="rId3" w:history="1">
        <w:r w:rsidRPr="008D79ED">
          <w:rPr>
            <w:rStyle w:val="Hyperlink"/>
          </w:rPr>
          <w:t>https://www.ncjrs.gov/pdffiles1/nij/253626.pdf</w:t>
        </w:r>
      </w:hyperlink>
      <w:r>
        <w:t xml:space="preserve"> </w:t>
      </w:r>
    </w:p>
  </w:footnote>
  <w:footnote w:id="5">
    <w:p w14:paraId="73553534" w14:textId="1884F52A" w:rsidR="0057493D" w:rsidRDefault="0057493D" w:rsidP="00887D18">
      <w:pPr>
        <w:pStyle w:val="FootnoteText"/>
      </w:pPr>
      <w:r>
        <w:rPr>
          <w:rStyle w:val="FootnoteReference"/>
        </w:rPr>
        <w:footnoteRef/>
      </w:r>
      <w:r>
        <w:t>Durose, M.R. &amp; Burch, A.M. (2016). Publicly Funded Forensic Crime Laboratories: Resources and Services, 2014.</w:t>
      </w:r>
      <w:r w:rsidRPr="00851F68">
        <w:t xml:space="preserve"> </w:t>
      </w:r>
      <w:r>
        <w:t xml:space="preserve">Department of Justice, Office of Justice Programs, Bureau of Justice Statistics. </w:t>
      </w:r>
      <w:r w:rsidRPr="00887D18">
        <w:t>Retrieved from</w:t>
      </w:r>
      <w:r>
        <w:t xml:space="preserve"> </w:t>
      </w:r>
      <w:hyperlink r:id="rId4" w:history="1">
        <w:r w:rsidRPr="00C073CF">
          <w:rPr>
            <w:rStyle w:val="Hyperlink"/>
          </w:rPr>
          <w:t>https://www.bjs.gov/content/pub/pdf/pffclrs14.pdf</w:t>
        </w:r>
      </w:hyperlink>
      <w:r>
        <w:t xml:space="preserve">. </w:t>
      </w:r>
    </w:p>
  </w:footnote>
  <w:footnote w:id="6">
    <w:p w14:paraId="4B6659EE" w14:textId="4ABC4A95" w:rsidR="0057493D" w:rsidRDefault="0057493D">
      <w:pPr>
        <w:pStyle w:val="FootnoteText"/>
      </w:pPr>
      <w:r>
        <w:rPr>
          <w:rStyle w:val="FootnoteReference"/>
        </w:rPr>
        <w:footnoteRef/>
      </w:r>
      <w:r>
        <w:t xml:space="preserve"> National Institute of Justice (NIJ) (2019). Report to Congress: Needs Assessment of Forensic Laboratories and Medical Examiner/Coroner Offices. National Institute of Justice, Washington, D.C. Accessed December 1, 2020: </w:t>
      </w:r>
      <w:hyperlink r:id="rId5" w:history="1">
        <w:r w:rsidRPr="00633908">
          <w:rPr>
            <w:rStyle w:val="Hyperlink"/>
          </w:rPr>
          <w:t>https://www.justice.gov/olp/page/file/1228306/download</w:t>
        </w:r>
      </w:hyperlink>
    </w:p>
  </w:footnote>
  <w:footnote w:id="7">
    <w:p w14:paraId="5C3DD168" w14:textId="77777777" w:rsidR="0057493D" w:rsidRPr="00C8697F" w:rsidRDefault="0057493D" w:rsidP="00C8697F">
      <w:pPr>
        <w:rPr>
          <w:sz w:val="20"/>
          <w:szCs w:val="20"/>
        </w:rPr>
      </w:pPr>
      <w:r>
        <w:rPr>
          <w:rStyle w:val="FootnoteReference"/>
        </w:rPr>
        <w:footnoteRef/>
      </w:r>
      <w:r>
        <w:t xml:space="preserve"> </w:t>
      </w:r>
      <w:r w:rsidRPr="00C8697F">
        <w:rPr>
          <w:sz w:val="20"/>
          <w:szCs w:val="20"/>
        </w:rPr>
        <w:t xml:space="preserve">Ropero-Miller, J.D., &amp; Speaker, P.J. (2019). The hidden costs of the opioid crisis and the implications for financial management in the public sector. </w:t>
      </w:r>
      <w:r w:rsidRPr="00C8697F">
        <w:rPr>
          <w:i/>
          <w:iCs/>
          <w:sz w:val="20"/>
          <w:szCs w:val="20"/>
        </w:rPr>
        <w:t>Forensic Science International: Synergy,</w:t>
      </w:r>
      <w:r w:rsidRPr="00C8697F">
        <w:rPr>
          <w:sz w:val="20"/>
          <w:szCs w:val="20"/>
        </w:rPr>
        <w:t xml:space="preserve"> 1, 227-238.</w:t>
      </w:r>
    </w:p>
    <w:p w14:paraId="2566FFA7" w14:textId="4A975A72" w:rsidR="0057493D" w:rsidRDefault="0057493D">
      <w:pPr>
        <w:pStyle w:val="FootnoteText"/>
      </w:pPr>
    </w:p>
  </w:footnote>
  <w:footnote w:id="8">
    <w:p w14:paraId="03426D89" w14:textId="1F156678" w:rsidR="0057493D" w:rsidRPr="00A26B93" w:rsidRDefault="0057493D" w:rsidP="00A26B93">
      <w:pPr>
        <w:pStyle w:val="FootnoteText"/>
        <w:rPr>
          <w:i/>
          <w:iCs/>
        </w:rPr>
      </w:pPr>
      <w:r>
        <w:rPr>
          <w:rStyle w:val="FootnoteReference"/>
        </w:rPr>
        <w:footnoteRef/>
      </w:r>
      <w:r>
        <w:t xml:space="preserve"> Gamette, M. (September 10, 2019). </w:t>
      </w:r>
      <w:r w:rsidRPr="00A26B93">
        <w:rPr>
          <w:i/>
          <w:iCs/>
        </w:rPr>
        <w:t>Raising the Bar: Progress and Future Needs in Forensic Science</w:t>
      </w:r>
      <w:r>
        <w:rPr>
          <w:i/>
          <w:iCs/>
        </w:rPr>
        <w:t xml:space="preserve">. </w:t>
      </w:r>
      <w:r>
        <w:t xml:space="preserve">Testimony Before the House Committee on Science, Space, and Technology September 10, 2019. Accessed December 1, 2020: </w:t>
      </w:r>
      <w:hyperlink r:id="rId6" w:history="1">
        <w:r w:rsidRPr="004C295C">
          <w:rPr>
            <w:rStyle w:val="Hyperlink"/>
          </w:rPr>
          <w:t>https://republicans-science.house.gov/sites/republicans.science.house.gov/files/2019-09-10%20Testimony%20Gamette.pdf</w:t>
        </w:r>
      </w:hyperlink>
      <w:r>
        <w:t xml:space="preserve">. </w:t>
      </w:r>
    </w:p>
  </w:footnote>
  <w:footnote w:id="9">
    <w:p w14:paraId="45C6E22D" w14:textId="7A0E4563" w:rsidR="0057493D" w:rsidRDefault="0057493D">
      <w:pPr>
        <w:pStyle w:val="FootnoteText"/>
      </w:pPr>
      <w:r>
        <w:rPr>
          <w:rStyle w:val="FootnoteReference"/>
        </w:rPr>
        <w:footnoteRef/>
      </w:r>
      <w:r>
        <w:t xml:space="preserve"> National Institute of Justice (NIJ) (2019). Report to Congress: Needs Assessment of Forensic Laboratories and Medical Examiner/Coroner Offices. National Institute of Justice, Washington, D.C. Accessed December 1, 2020: </w:t>
      </w:r>
      <w:hyperlink r:id="rId7" w:history="1">
        <w:r w:rsidRPr="00633908">
          <w:rPr>
            <w:rStyle w:val="Hyperlink"/>
          </w:rPr>
          <w:t>https://www.justice.gov/olp/page/file/1228306/download</w:t>
        </w:r>
      </w:hyperlink>
      <w:r>
        <w:t xml:space="preserve"> </w:t>
      </w:r>
    </w:p>
  </w:footnote>
  <w:footnote w:id="10">
    <w:p w14:paraId="5449B360" w14:textId="566574C5" w:rsidR="0057493D" w:rsidRDefault="0057493D">
      <w:pPr>
        <w:pStyle w:val="FootnoteText"/>
      </w:pPr>
      <w:r>
        <w:rPr>
          <w:rStyle w:val="FootnoteReference"/>
        </w:rPr>
        <w:footnoteRef/>
      </w:r>
      <w:r>
        <w:t xml:space="preserve"> LaPorte, G., Waltke, H., Heurich, C., &amp; Chase, R.J. (May 2017). Fiscal Year 2016 Funding for DNA Analysis, Capacity Enhancement, and Other Forensic Activities. National Institute of Justice, Washington, DC. Accessed December 1, 2020: </w:t>
      </w:r>
      <w:hyperlink r:id="rId8" w:history="1">
        <w:r w:rsidRPr="00633908">
          <w:rPr>
            <w:rStyle w:val="Hyperlink"/>
          </w:rPr>
          <w:t>https://www.ncjrs.gov/pdffiles1/nij/250552.pdf</w:t>
        </w:r>
      </w:hyperlink>
      <w:r>
        <w:t xml:space="preserve"> </w:t>
      </w:r>
    </w:p>
  </w:footnote>
  <w:footnote w:id="11">
    <w:p w14:paraId="0367A74C" w14:textId="233DEAAD" w:rsidR="0057493D" w:rsidRDefault="0057493D" w:rsidP="00912B00">
      <w:pPr>
        <w:pStyle w:val="FootnoteText"/>
      </w:pPr>
      <w:r>
        <w:rPr>
          <w:rStyle w:val="FootnoteReference"/>
        </w:rPr>
        <w:footnoteRef/>
      </w:r>
      <w:r>
        <w:t xml:space="preserve"> Waltke, H., LaPorte, G., Weiss, D., Schwarting, Nguyen, D.M., &amp; Scott, F. (2017). Sexual Assault Cases: Exploring the Importance of Non-DNA Forensic Evidence. National Institute of Justice, Washington, DC. </w:t>
      </w:r>
    </w:p>
    <w:p w14:paraId="34284ED9" w14:textId="514A947F" w:rsidR="0057493D" w:rsidRDefault="008E517C" w:rsidP="00912B00">
      <w:pPr>
        <w:pStyle w:val="FootnoteText"/>
      </w:pPr>
      <w:hyperlink r:id="rId9" w:history="1">
        <w:r w:rsidR="0057493D" w:rsidRPr="00633908">
          <w:rPr>
            <w:rStyle w:val="Hyperlink"/>
          </w:rPr>
          <w:t>https://nij.ojp.gov/topics/articles/sexual-assault-cases-exploring-importance-non-dna-forensic-evidence</w:t>
        </w:r>
      </w:hyperlink>
      <w:r w:rsidR="0057493D">
        <w:t xml:space="preserve">   </w:t>
      </w:r>
    </w:p>
  </w:footnote>
  <w:footnote w:id="12">
    <w:p w14:paraId="03DFA5B4" w14:textId="46AB40D6" w:rsidR="0057493D" w:rsidRDefault="0057493D">
      <w:pPr>
        <w:pStyle w:val="FootnoteText"/>
      </w:pPr>
      <w:r>
        <w:rPr>
          <w:rStyle w:val="FootnoteReference"/>
        </w:rPr>
        <w:footnoteRef/>
      </w:r>
      <w:r>
        <w:t xml:space="preserve"> Ropero-Miller, J.D. &amp; LaPorte, G. (2019). State Forensic Science Commissions Final Report. Forensic Technology Center of Excellence. Accessed December 1, 2020: </w:t>
      </w:r>
      <w:hyperlink r:id="rId10" w:history="1">
        <w:r w:rsidRPr="004C295C">
          <w:rPr>
            <w:rStyle w:val="Hyperlink"/>
          </w:rPr>
          <w:t>https://www.txcourts.gov/media/1440436/forensic-technology-center-of-excellence-report-on-state-forensic-science-commissions.pdf</w:t>
        </w:r>
      </w:hyperlink>
      <w:r>
        <w:t xml:space="preserve"> </w:t>
      </w:r>
    </w:p>
  </w:footnote>
  <w:footnote w:id="13">
    <w:p w14:paraId="331BF72F" w14:textId="34D5DA9B" w:rsidR="0057493D" w:rsidRDefault="0057493D" w:rsidP="00002E7E">
      <w:pPr>
        <w:pStyle w:val="FootnoteText"/>
      </w:pPr>
      <w:r>
        <w:rPr>
          <w:rStyle w:val="FootnoteReference"/>
        </w:rPr>
        <w:footnoteRef/>
      </w:r>
      <w:r>
        <w:t xml:space="preserve"> </w:t>
      </w:r>
      <w:r w:rsidRPr="00002E7E">
        <w:t xml:space="preserve">Committee on the Judiciary </w:t>
      </w:r>
      <w:r>
        <w:t xml:space="preserve">(2017). </w:t>
      </w:r>
      <w:r w:rsidRPr="00002E7E">
        <w:rPr>
          <w:i/>
          <w:iCs/>
        </w:rPr>
        <w:t>Hearing to Examine the State of Forensic Science in the United States.</w:t>
      </w:r>
      <w:r>
        <w:t xml:space="preserve"> House of Representatives, Subcommittee on Crime, Terrorism, Homeland Security, and Investigations, Committee on the Judiciary, Washington, DC. Accessed December 1, 2020: </w:t>
      </w:r>
      <w:hyperlink r:id="rId11" w:history="1">
        <w:r w:rsidRPr="00633908">
          <w:rPr>
            <w:rStyle w:val="Hyperlink"/>
          </w:rPr>
          <w:t>https://www.govinfo.gov/content/pkg/CHRG-115hhrg26993/html/CHRG-115hhrg26993.htm</w:t>
        </w:r>
      </w:hyperlink>
      <w:r>
        <w:t xml:space="preserve"> </w:t>
      </w:r>
    </w:p>
  </w:footnote>
  <w:footnote w:id="14">
    <w:p w14:paraId="5B35FDAF" w14:textId="7091E44E" w:rsidR="0057493D" w:rsidRDefault="0057493D" w:rsidP="00A44D81">
      <w:pPr>
        <w:pStyle w:val="CommentText"/>
      </w:pPr>
      <w:r>
        <w:rPr>
          <w:rStyle w:val="FootnoteReference"/>
        </w:rPr>
        <w:footnoteRef/>
      </w:r>
      <w:r>
        <w:t xml:space="preserve"> See the NACJD CPFFCL usage report: </w:t>
      </w:r>
      <w:hyperlink r:id="rId12" w:history="1">
        <w:r w:rsidRPr="00633908">
          <w:rPr>
            <w:rStyle w:val="Hyperlink"/>
          </w:rPr>
          <w:t>https://pcms.icpsr.umich.edu/pcms/reports/studies/36759/utilization</w:t>
        </w:r>
      </w:hyperlink>
      <w:r>
        <w:t xml:space="preserve"> </w:t>
      </w:r>
    </w:p>
  </w:footnote>
  <w:footnote w:id="15">
    <w:p w14:paraId="0D3B70AD" w14:textId="7216D371" w:rsidR="0057493D" w:rsidRDefault="0057493D" w:rsidP="00A04C2F">
      <w:pPr>
        <w:pStyle w:val="FootnoteText"/>
      </w:pPr>
      <w:r>
        <w:rPr>
          <w:rStyle w:val="FootnoteReference"/>
        </w:rPr>
        <w:footnoteRef/>
      </w:r>
      <w:r>
        <w:t xml:space="preserve"> RAND Corporation. (2019). </w:t>
      </w:r>
      <w:r w:rsidRPr="00A04C2F">
        <w:rPr>
          <w:i/>
          <w:iCs/>
        </w:rPr>
        <w:t>Forensic Familial and Moderate Stringency DNA Searches: Policies and Practices in the United States, England, and Wales</w:t>
      </w:r>
      <w:r w:rsidRPr="00A04C2F">
        <w:t xml:space="preserve">. Santa Monica, CA. </w:t>
      </w:r>
      <w:hyperlink r:id="rId13" w:history="1">
        <w:r w:rsidRPr="00633908">
          <w:rPr>
            <w:rStyle w:val="Hyperlink"/>
          </w:rPr>
          <w:t>https://www.rand.org/pubs/research_reports/RR3209.html.</w:t>
        </w:r>
      </w:hyperlink>
      <w:r>
        <w:t xml:space="preserve"> </w:t>
      </w:r>
    </w:p>
  </w:footnote>
  <w:footnote w:id="16">
    <w:p w14:paraId="489B7F45" w14:textId="2DCBF161" w:rsidR="0057493D" w:rsidRDefault="0057493D">
      <w:pPr>
        <w:pStyle w:val="FootnoteText"/>
      </w:pPr>
      <w:r>
        <w:rPr>
          <w:rStyle w:val="FootnoteReference"/>
        </w:rPr>
        <w:footnoteRef/>
      </w:r>
      <w:r>
        <w:t xml:space="preserve"> RTI International was recently awarded a 2020 NIJ grant that uses the 2014 CPFFCL to identify digital laboratories for</w:t>
      </w:r>
      <w:r w:rsidRPr="00912B00">
        <w:t xml:space="preserve"> </w:t>
      </w:r>
      <w:r>
        <w:t xml:space="preserve">an examination of case processing efficiencies. </w:t>
      </w:r>
      <w:hyperlink r:id="rId14" w:history="1">
        <w:r w:rsidRPr="00633908">
          <w:rPr>
            <w:rStyle w:val="Hyperlink"/>
          </w:rPr>
          <w:t>https://nij.ojp.gov/funding/awards/2020-dq-bx-0016</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C7A80"/>
    <w:multiLevelType w:val="hybridMultilevel"/>
    <w:tmpl w:val="09E8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36651"/>
    <w:multiLevelType w:val="hybridMultilevel"/>
    <w:tmpl w:val="DDB4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DB399C"/>
    <w:multiLevelType w:val="hybridMultilevel"/>
    <w:tmpl w:val="66E2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4F0"/>
    <w:multiLevelType w:val="hybridMultilevel"/>
    <w:tmpl w:val="3E441E44"/>
    <w:lvl w:ilvl="0" w:tplc="04090001">
      <w:start w:val="1"/>
      <w:numFmt w:val="bullet"/>
      <w:lvlText w:val=""/>
      <w:lvlJc w:val="left"/>
      <w:pPr>
        <w:ind w:left="720" w:hanging="360"/>
      </w:pPr>
      <w:rPr>
        <w:rFonts w:ascii="Symbol" w:hAnsi="Symbol" w:hint="default"/>
      </w:rPr>
    </w:lvl>
    <w:lvl w:ilvl="1" w:tplc="B930F932">
      <w:start w:val="1"/>
      <w:numFmt w:val="bullet"/>
      <w:lvlText w:val=""/>
      <w:lvlJc w:val="left"/>
      <w:pPr>
        <w:ind w:left="1440" w:hanging="360"/>
      </w:pPr>
      <w:rPr>
        <w:rFonts w:ascii="Wingdings" w:hAnsi="Wingdings" w:cs="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616E0"/>
    <w:multiLevelType w:val="hybridMultilevel"/>
    <w:tmpl w:val="28B40B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B4D3B"/>
    <w:multiLevelType w:val="hybridMultilevel"/>
    <w:tmpl w:val="3DB47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1E679F2"/>
    <w:multiLevelType w:val="hybridMultilevel"/>
    <w:tmpl w:val="169A8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3706F"/>
    <w:multiLevelType w:val="hybridMultilevel"/>
    <w:tmpl w:val="1FC64E7E"/>
    <w:lvl w:ilvl="0" w:tplc="E8CA24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D6061"/>
    <w:multiLevelType w:val="hybridMultilevel"/>
    <w:tmpl w:val="56D21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F4B34"/>
    <w:multiLevelType w:val="hybridMultilevel"/>
    <w:tmpl w:val="BAD047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69F78A9"/>
    <w:multiLevelType w:val="multilevel"/>
    <w:tmpl w:val="169CB4D4"/>
    <w:lvl w:ilvl="0">
      <w:start w:val="1"/>
      <w:numFmt w:val="bullet"/>
      <w:pStyle w:val="bullets"/>
      <w:lvlText w:val="■"/>
      <w:lvlJc w:val="left"/>
      <w:pPr>
        <w:ind w:left="720" w:hanging="360"/>
      </w:pPr>
      <w:rPr>
        <w:rFonts w:ascii="Arial" w:hAnsi="Arial" w:hint="default"/>
        <w:sz w:val="16"/>
        <w:szCs w:val="20"/>
      </w:rPr>
    </w:lvl>
    <w:lvl w:ilvl="1">
      <w:start w:val="1"/>
      <w:numFmt w:val="bullet"/>
      <w:pStyle w:val="bullets2nd-level"/>
      <w:lvlText w:val="–"/>
      <w:lvlJc w:val="left"/>
      <w:pPr>
        <w:ind w:left="1080" w:hanging="360"/>
      </w:pPr>
      <w:rPr>
        <w:rFonts w:ascii="Times New Roman" w:hAnsi="Times New Roman" w:cs="Times New Roman" w:hint="default"/>
      </w:rPr>
    </w:lvl>
    <w:lvl w:ilvl="2">
      <w:start w:val="1"/>
      <w:numFmt w:val="bullet"/>
      <w:pStyle w:val="bullets3rd-level"/>
      <w:lvlText w:val="•"/>
      <w:lvlJc w:val="left"/>
      <w:pPr>
        <w:ind w:left="1440" w:hanging="360"/>
      </w:pPr>
      <w:rPr>
        <w:rFonts w:ascii="Arial" w:hAnsi="Arial" w:hint="default"/>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4"/>
  </w:num>
  <w:num w:numId="3">
    <w:abstractNumId w:val="0"/>
  </w:num>
  <w:num w:numId="4">
    <w:abstractNumId w:val="2"/>
  </w:num>
  <w:num w:numId="5">
    <w:abstractNumId w:val="10"/>
  </w:num>
  <w:num w:numId="6">
    <w:abstractNumId w:val="3"/>
  </w:num>
  <w:num w:numId="7">
    <w:abstractNumId w:val="8"/>
  </w:num>
  <w:num w:numId="8">
    <w:abstractNumId w:val="6"/>
  </w:num>
  <w:num w:numId="9">
    <w:abstractNumId w:val="1"/>
  </w:num>
  <w:num w:numId="10">
    <w:abstractNumId w:val="7"/>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585"/>
    <w:rsid w:val="000005F6"/>
    <w:rsid w:val="00001F86"/>
    <w:rsid w:val="00002117"/>
    <w:rsid w:val="00002E7E"/>
    <w:rsid w:val="00004116"/>
    <w:rsid w:val="00004857"/>
    <w:rsid w:val="00007979"/>
    <w:rsid w:val="000126DB"/>
    <w:rsid w:val="00014B7D"/>
    <w:rsid w:val="00014CDA"/>
    <w:rsid w:val="00014D8C"/>
    <w:rsid w:val="00015C7B"/>
    <w:rsid w:val="000163E6"/>
    <w:rsid w:val="00017E40"/>
    <w:rsid w:val="000206AB"/>
    <w:rsid w:val="0003174C"/>
    <w:rsid w:val="00032D5A"/>
    <w:rsid w:val="000443BC"/>
    <w:rsid w:val="00044847"/>
    <w:rsid w:val="0004771E"/>
    <w:rsid w:val="0005131F"/>
    <w:rsid w:val="000527D2"/>
    <w:rsid w:val="00052F1E"/>
    <w:rsid w:val="00054F21"/>
    <w:rsid w:val="000551BB"/>
    <w:rsid w:val="0006218A"/>
    <w:rsid w:val="00064AC4"/>
    <w:rsid w:val="00065355"/>
    <w:rsid w:val="0006572A"/>
    <w:rsid w:val="00066061"/>
    <w:rsid w:val="00070B6D"/>
    <w:rsid w:val="0007320A"/>
    <w:rsid w:val="000745B8"/>
    <w:rsid w:val="000829BF"/>
    <w:rsid w:val="00087A6D"/>
    <w:rsid w:val="00090ED6"/>
    <w:rsid w:val="00092054"/>
    <w:rsid w:val="000930D5"/>
    <w:rsid w:val="000941A5"/>
    <w:rsid w:val="000A662A"/>
    <w:rsid w:val="000A6869"/>
    <w:rsid w:val="000A7464"/>
    <w:rsid w:val="000B0998"/>
    <w:rsid w:val="000B0B66"/>
    <w:rsid w:val="000B185A"/>
    <w:rsid w:val="000B2E6B"/>
    <w:rsid w:val="000B46CE"/>
    <w:rsid w:val="000B6EC9"/>
    <w:rsid w:val="000B7059"/>
    <w:rsid w:val="000C1F4B"/>
    <w:rsid w:val="000C29DC"/>
    <w:rsid w:val="000C2FF5"/>
    <w:rsid w:val="000C66C9"/>
    <w:rsid w:val="000D275E"/>
    <w:rsid w:val="000D32F1"/>
    <w:rsid w:val="000D4831"/>
    <w:rsid w:val="000D7A23"/>
    <w:rsid w:val="000E0605"/>
    <w:rsid w:val="000E0C1A"/>
    <w:rsid w:val="000E1E4B"/>
    <w:rsid w:val="000E2FE3"/>
    <w:rsid w:val="000E55AE"/>
    <w:rsid w:val="000E6470"/>
    <w:rsid w:val="000F5297"/>
    <w:rsid w:val="000F5335"/>
    <w:rsid w:val="000F6A43"/>
    <w:rsid w:val="000F7B26"/>
    <w:rsid w:val="00101207"/>
    <w:rsid w:val="00104720"/>
    <w:rsid w:val="00105A45"/>
    <w:rsid w:val="00105AE5"/>
    <w:rsid w:val="00110FBC"/>
    <w:rsid w:val="00112738"/>
    <w:rsid w:val="00115049"/>
    <w:rsid w:val="00115372"/>
    <w:rsid w:val="001169BA"/>
    <w:rsid w:val="00120564"/>
    <w:rsid w:val="00121C88"/>
    <w:rsid w:val="001235B1"/>
    <w:rsid w:val="001245D0"/>
    <w:rsid w:val="0012622C"/>
    <w:rsid w:val="00127E5C"/>
    <w:rsid w:val="0013025F"/>
    <w:rsid w:val="001320ED"/>
    <w:rsid w:val="00140AC0"/>
    <w:rsid w:val="00140C91"/>
    <w:rsid w:val="00152419"/>
    <w:rsid w:val="0015287B"/>
    <w:rsid w:val="00155575"/>
    <w:rsid w:val="00157BFE"/>
    <w:rsid w:val="00160B9E"/>
    <w:rsid w:val="00162650"/>
    <w:rsid w:val="00162B3D"/>
    <w:rsid w:val="00163B9A"/>
    <w:rsid w:val="0016564A"/>
    <w:rsid w:val="00165836"/>
    <w:rsid w:val="00167138"/>
    <w:rsid w:val="001675A1"/>
    <w:rsid w:val="00167699"/>
    <w:rsid w:val="00172DE2"/>
    <w:rsid w:val="00174621"/>
    <w:rsid w:val="001746EF"/>
    <w:rsid w:val="00174A98"/>
    <w:rsid w:val="00176F0F"/>
    <w:rsid w:val="00180054"/>
    <w:rsid w:val="00180673"/>
    <w:rsid w:val="00181BA6"/>
    <w:rsid w:val="00184E09"/>
    <w:rsid w:val="00187AE5"/>
    <w:rsid w:val="00190434"/>
    <w:rsid w:val="00196DF7"/>
    <w:rsid w:val="001A2EA8"/>
    <w:rsid w:val="001A538D"/>
    <w:rsid w:val="001B0F20"/>
    <w:rsid w:val="001B1CD8"/>
    <w:rsid w:val="001B2BD1"/>
    <w:rsid w:val="001B4079"/>
    <w:rsid w:val="001B5CCD"/>
    <w:rsid w:val="001B7880"/>
    <w:rsid w:val="001B7C59"/>
    <w:rsid w:val="001B7FC0"/>
    <w:rsid w:val="001C0DA6"/>
    <w:rsid w:val="001C4F38"/>
    <w:rsid w:val="001C560B"/>
    <w:rsid w:val="001C5780"/>
    <w:rsid w:val="001C64A4"/>
    <w:rsid w:val="001D089E"/>
    <w:rsid w:val="001D2124"/>
    <w:rsid w:val="001D30CD"/>
    <w:rsid w:val="001D3802"/>
    <w:rsid w:val="001D3E39"/>
    <w:rsid w:val="001D5865"/>
    <w:rsid w:val="001D6A0D"/>
    <w:rsid w:val="001E127C"/>
    <w:rsid w:val="001E4E77"/>
    <w:rsid w:val="001F5E99"/>
    <w:rsid w:val="001F7246"/>
    <w:rsid w:val="001F758F"/>
    <w:rsid w:val="00200A31"/>
    <w:rsid w:val="00202AA7"/>
    <w:rsid w:val="00206F5C"/>
    <w:rsid w:val="00214EAE"/>
    <w:rsid w:val="00214EC4"/>
    <w:rsid w:val="0021594B"/>
    <w:rsid w:val="00217EF7"/>
    <w:rsid w:val="00221E5F"/>
    <w:rsid w:val="0022266C"/>
    <w:rsid w:val="00224C72"/>
    <w:rsid w:val="002258DE"/>
    <w:rsid w:val="00231622"/>
    <w:rsid w:val="0023482A"/>
    <w:rsid w:val="00236A09"/>
    <w:rsid w:val="00261945"/>
    <w:rsid w:val="002643A0"/>
    <w:rsid w:val="002655D7"/>
    <w:rsid w:val="002675FA"/>
    <w:rsid w:val="002716FE"/>
    <w:rsid w:val="002756CF"/>
    <w:rsid w:val="00276DC9"/>
    <w:rsid w:val="00281AEC"/>
    <w:rsid w:val="00283DD5"/>
    <w:rsid w:val="00284B86"/>
    <w:rsid w:val="00287218"/>
    <w:rsid w:val="002873C6"/>
    <w:rsid w:val="0028794A"/>
    <w:rsid w:val="00291A3E"/>
    <w:rsid w:val="00293C39"/>
    <w:rsid w:val="00297E51"/>
    <w:rsid w:val="002A22A5"/>
    <w:rsid w:val="002A4459"/>
    <w:rsid w:val="002B19FB"/>
    <w:rsid w:val="002B44DB"/>
    <w:rsid w:val="002B50EE"/>
    <w:rsid w:val="002B7BDA"/>
    <w:rsid w:val="002C1E5A"/>
    <w:rsid w:val="002C64D2"/>
    <w:rsid w:val="002C6ED1"/>
    <w:rsid w:val="002C79CE"/>
    <w:rsid w:val="002C7CBF"/>
    <w:rsid w:val="002D0760"/>
    <w:rsid w:val="002D0908"/>
    <w:rsid w:val="002D0C34"/>
    <w:rsid w:val="002D15CF"/>
    <w:rsid w:val="002D1FA7"/>
    <w:rsid w:val="002D41FE"/>
    <w:rsid w:val="002D53B8"/>
    <w:rsid w:val="002D606F"/>
    <w:rsid w:val="002E2DA1"/>
    <w:rsid w:val="002E4CBD"/>
    <w:rsid w:val="002E4D5F"/>
    <w:rsid w:val="002F5A8A"/>
    <w:rsid w:val="003001C4"/>
    <w:rsid w:val="00302EFA"/>
    <w:rsid w:val="003167E3"/>
    <w:rsid w:val="0032095F"/>
    <w:rsid w:val="00320C59"/>
    <w:rsid w:val="00322D3B"/>
    <w:rsid w:val="00322E8E"/>
    <w:rsid w:val="00323365"/>
    <w:rsid w:val="003273E3"/>
    <w:rsid w:val="00330FA8"/>
    <w:rsid w:val="00331A41"/>
    <w:rsid w:val="00332524"/>
    <w:rsid w:val="0033353B"/>
    <w:rsid w:val="00334260"/>
    <w:rsid w:val="0033535A"/>
    <w:rsid w:val="0033628C"/>
    <w:rsid w:val="003441BF"/>
    <w:rsid w:val="0034518F"/>
    <w:rsid w:val="00346E53"/>
    <w:rsid w:val="00351B8C"/>
    <w:rsid w:val="00353F1A"/>
    <w:rsid w:val="0036024A"/>
    <w:rsid w:val="003608A5"/>
    <w:rsid w:val="00360E99"/>
    <w:rsid w:val="00362C39"/>
    <w:rsid w:val="00364044"/>
    <w:rsid w:val="0037146D"/>
    <w:rsid w:val="0037546C"/>
    <w:rsid w:val="00381611"/>
    <w:rsid w:val="00382D35"/>
    <w:rsid w:val="00385746"/>
    <w:rsid w:val="00386CBC"/>
    <w:rsid w:val="00386CDB"/>
    <w:rsid w:val="00387A54"/>
    <w:rsid w:val="00391EF3"/>
    <w:rsid w:val="0039502C"/>
    <w:rsid w:val="00395931"/>
    <w:rsid w:val="0039753C"/>
    <w:rsid w:val="003A1F84"/>
    <w:rsid w:val="003A21C1"/>
    <w:rsid w:val="003A339A"/>
    <w:rsid w:val="003A4091"/>
    <w:rsid w:val="003A40C4"/>
    <w:rsid w:val="003A4B14"/>
    <w:rsid w:val="003A73B0"/>
    <w:rsid w:val="003A7864"/>
    <w:rsid w:val="003B1F4D"/>
    <w:rsid w:val="003B22A1"/>
    <w:rsid w:val="003B3A21"/>
    <w:rsid w:val="003B5FAE"/>
    <w:rsid w:val="003B71F1"/>
    <w:rsid w:val="003C0041"/>
    <w:rsid w:val="003C0236"/>
    <w:rsid w:val="003C14EA"/>
    <w:rsid w:val="003C1CE3"/>
    <w:rsid w:val="003C2E17"/>
    <w:rsid w:val="003D093D"/>
    <w:rsid w:val="003D10E6"/>
    <w:rsid w:val="003D2C9F"/>
    <w:rsid w:val="003D3631"/>
    <w:rsid w:val="003D402D"/>
    <w:rsid w:val="003D48B8"/>
    <w:rsid w:val="003E0579"/>
    <w:rsid w:val="003E0868"/>
    <w:rsid w:val="003E235B"/>
    <w:rsid w:val="003E5567"/>
    <w:rsid w:val="003E5927"/>
    <w:rsid w:val="003E68F0"/>
    <w:rsid w:val="003E7153"/>
    <w:rsid w:val="003F0A11"/>
    <w:rsid w:val="003F0ECC"/>
    <w:rsid w:val="003F1BD2"/>
    <w:rsid w:val="003F36FC"/>
    <w:rsid w:val="003F3E45"/>
    <w:rsid w:val="003F776A"/>
    <w:rsid w:val="003F7C08"/>
    <w:rsid w:val="0040077B"/>
    <w:rsid w:val="004014CA"/>
    <w:rsid w:val="00412416"/>
    <w:rsid w:val="00413F6E"/>
    <w:rsid w:val="00415BA5"/>
    <w:rsid w:val="0042064D"/>
    <w:rsid w:val="00421BA5"/>
    <w:rsid w:val="0042238A"/>
    <w:rsid w:val="0042329A"/>
    <w:rsid w:val="00423A51"/>
    <w:rsid w:val="00423E20"/>
    <w:rsid w:val="0043047C"/>
    <w:rsid w:val="004311B1"/>
    <w:rsid w:val="0043432B"/>
    <w:rsid w:val="00441966"/>
    <w:rsid w:val="004423CC"/>
    <w:rsid w:val="004426D6"/>
    <w:rsid w:val="00442953"/>
    <w:rsid w:val="00446D5C"/>
    <w:rsid w:val="004518E9"/>
    <w:rsid w:val="004535B2"/>
    <w:rsid w:val="00453910"/>
    <w:rsid w:val="00455C64"/>
    <w:rsid w:val="004608B3"/>
    <w:rsid w:val="00464591"/>
    <w:rsid w:val="00470BBE"/>
    <w:rsid w:val="00473AFB"/>
    <w:rsid w:val="004770F2"/>
    <w:rsid w:val="00481BF8"/>
    <w:rsid w:val="00481FCA"/>
    <w:rsid w:val="004835E3"/>
    <w:rsid w:val="00484098"/>
    <w:rsid w:val="0049790D"/>
    <w:rsid w:val="004A16A1"/>
    <w:rsid w:val="004A70AC"/>
    <w:rsid w:val="004B3D27"/>
    <w:rsid w:val="004B52EE"/>
    <w:rsid w:val="004B5870"/>
    <w:rsid w:val="004B6F72"/>
    <w:rsid w:val="004C0399"/>
    <w:rsid w:val="004C0848"/>
    <w:rsid w:val="004C1A6E"/>
    <w:rsid w:val="004D0AA7"/>
    <w:rsid w:val="004D13ED"/>
    <w:rsid w:val="004D4DA7"/>
    <w:rsid w:val="004D6C9D"/>
    <w:rsid w:val="004E0FD0"/>
    <w:rsid w:val="004E415A"/>
    <w:rsid w:val="004E681E"/>
    <w:rsid w:val="004F2173"/>
    <w:rsid w:val="00503321"/>
    <w:rsid w:val="00503C0B"/>
    <w:rsid w:val="00507FBE"/>
    <w:rsid w:val="005118D0"/>
    <w:rsid w:val="00513255"/>
    <w:rsid w:val="00515CB3"/>
    <w:rsid w:val="0051696E"/>
    <w:rsid w:val="005179A8"/>
    <w:rsid w:val="00520A1A"/>
    <w:rsid w:val="00521810"/>
    <w:rsid w:val="00522E7B"/>
    <w:rsid w:val="0052334F"/>
    <w:rsid w:val="00524953"/>
    <w:rsid w:val="00524AD5"/>
    <w:rsid w:val="00530679"/>
    <w:rsid w:val="00530734"/>
    <w:rsid w:val="00533D24"/>
    <w:rsid w:val="00534D38"/>
    <w:rsid w:val="0053566F"/>
    <w:rsid w:val="005358ED"/>
    <w:rsid w:val="00535C02"/>
    <w:rsid w:val="00536950"/>
    <w:rsid w:val="00541C32"/>
    <w:rsid w:val="0054565D"/>
    <w:rsid w:val="00545B4E"/>
    <w:rsid w:val="005468B0"/>
    <w:rsid w:val="00552D67"/>
    <w:rsid w:val="005558F2"/>
    <w:rsid w:val="0055719F"/>
    <w:rsid w:val="005706C0"/>
    <w:rsid w:val="00570701"/>
    <w:rsid w:val="00571F9D"/>
    <w:rsid w:val="00573592"/>
    <w:rsid w:val="0057368C"/>
    <w:rsid w:val="0057493D"/>
    <w:rsid w:val="00574C7F"/>
    <w:rsid w:val="00575F27"/>
    <w:rsid w:val="00576609"/>
    <w:rsid w:val="00577503"/>
    <w:rsid w:val="005806C2"/>
    <w:rsid w:val="0058091B"/>
    <w:rsid w:val="00584C6A"/>
    <w:rsid w:val="00585801"/>
    <w:rsid w:val="00586629"/>
    <w:rsid w:val="005A0666"/>
    <w:rsid w:val="005A1A15"/>
    <w:rsid w:val="005A4C95"/>
    <w:rsid w:val="005B1DE0"/>
    <w:rsid w:val="005B3266"/>
    <w:rsid w:val="005B374D"/>
    <w:rsid w:val="005C0507"/>
    <w:rsid w:val="005C109E"/>
    <w:rsid w:val="005C327D"/>
    <w:rsid w:val="005C3661"/>
    <w:rsid w:val="005C61BE"/>
    <w:rsid w:val="005C657A"/>
    <w:rsid w:val="005D0FB0"/>
    <w:rsid w:val="005D2D4E"/>
    <w:rsid w:val="005D5CE7"/>
    <w:rsid w:val="005D6C78"/>
    <w:rsid w:val="005D71C6"/>
    <w:rsid w:val="005E0070"/>
    <w:rsid w:val="005E163E"/>
    <w:rsid w:val="005E3701"/>
    <w:rsid w:val="005E6933"/>
    <w:rsid w:val="005E6CD0"/>
    <w:rsid w:val="005F4E64"/>
    <w:rsid w:val="005F767E"/>
    <w:rsid w:val="0060373A"/>
    <w:rsid w:val="006048B0"/>
    <w:rsid w:val="00617353"/>
    <w:rsid w:val="00617572"/>
    <w:rsid w:val="00620518"/>
    <w:rsid w:val="00621E32"/>
    <w:rsid w:val="00630E08"/>
    <w:rsid w:val="00632A4D"/>
    <w:rsid w:val="00632CB6"/>
    <w:rsid w:val="00634B3A"/>
    <w:rsid w:val="00637CA9"/>
    <w:rsid w:val="0064246B"/>
    <w:rsid w:val="00642850"/>
    <w:rsid w:val="00642C10"/>
    <w:rsid w:val="006444FE"/>
    <w:rsid w:val="00647E51"/>
    <w:rsid w:val="0065284E"/>
    <w:rsid w:val="00654D1B"/>
    <w:rsid w:val="006555B5"/>
    <w:rsid w:val="00655E6F"/>
    <w:rsid w:val="00661B48"/>
    <w:rsid w:val="00661B61"/>
    <w:rsid w:val="006657E7"/>
    <w:rsid w:val="00665E36"/>
    <w:rsid w:val="006707D5"/>
    <w:rsid w:val="00671912"/>
    <w:rsid w:val="00672054"/>
    <w:rsid w:val="00680237"/>
    <w:rsid w:val="00682A43"/>
    <w:rsid w:val="006839A2"/>
    <w:rsid w:val="00683C21"/>
    <w:rsid w:val="00685039"/>
    <w:rsid w:val="00685594"/>
    <w:rsid w:val="00686522"/>
    <w:rsid w:val="006874D5"/>
    <w:rsid w:val="00687BA1"/>
    <w:rsid w:val="00692A5D"/>
    <w:rsid w:val="006933DC"/>
    <w:rsid w:val="0069573B"/>
    <w:rsid w:val="00695CAB"/>
    <w:rsid w:val="00696184"/>
    <w:rsid w:val="00697FF2"/>
    <w:rsid w:val="006A0AE3"/>
    <w:rsid w:val="006A1732"/>
    <w:rsid w:val="006A4AF5"/>
    <w:rsid w:val="006A67AA"/>
    <w:rsid w:val="006B0E43"/>
    <w:rsid w:val="006B51D9"/>
    <w:rsid w:val="006B6952"/>
    <w:rsid w:val="006B767C"/>
    <w:rsid w:val="006C3EFF"/>
    <w:rsid w:val="006C53E0"/>
    <w:rsid w:val="006D0048"/>
    <w:rsid w:val="006D6DB2"/>
    <w:rsid w:val="006D6E11"/>
    <w:rsid w:val="006E16C4"/>
    <w:rsid w:val="006E4B7E"/>
    <w:rsid w:val="006E7592"/>
    <w:rsid w:val="006F06E3"/>
    <w:rsid w:val="006F466A"/>
    <w:rsid w:val="006F5582"/>
    <w:rsid w:val="006F678C"/>
    <w:rsid w:val="0070373C"/>
    <w:rsid w:val="00703A00"/>
    <w:rsid w:val="00705087"/>
    <w:rsid w:val="00712577"/>
    <w:rsid w:val="00712813"/>
    <w:rsid w:val="00712823"/>
    <w:rsid w:val="00712BE2"/>
    <w:rsid w:val="00721AE3"/>
    <w:rsid w:val="00721D9A"/>
    <w:rsid w:val="00722DCD"/>
    <w:rsid w:val="00725676"/>
    <w:rsid w:val="00727A91"/>
    <w:rsid w:val="00727D46"/>
    <w:rsid w:val="00732F46"/>
    <w:rsid w:val="0073460D"/>
    <w:rsid w:val="00736BE3"/>
    <w:rsid w:val="007410C3"/>
    <w:rsid w:val="00745932"/>
    <w:rsid w:val="00745A32"/>
    <w:rsid w:val="0074628D"/>
    <w:rsid w:val="00747719"/>
    <w:rsid w:val="00747BF7"/>
    <w:rsid w:val="00750084"/>
    <w:rsid w:val="00752DD1"/>
    <w:rsid w:val="0075406D"/>
    <w:rsid w:val="00754E5A"/>
    <w:rsid w:val="007552DC"/>
    <w:rsid w:val="0075636B"/>
    <w:rsid w:val="007631F9"/>
    <w:rsid w:val="00763353"/>
    <w:rsid w:val="00764365"/>
    <w:rsid w:val="00764E27"/>
    <w:rsid w:val="00773A48"/>
    <w:rsid w:val="00780F65"/>
    <w:rsid w:val="007853A5"/>
    <w:rsid w:val="00787478"/>
    <w:rsid w:val="0079005A"/>
    <w:rsid w:val="00790C77"/>
    <w:rsid w:val="007914FC"/>
    <w:rsid w:val="00793425"/>
    <w:rsid w:val="00793C5A"/>
    <w:rsid w:val="00795DFA"/>
    <w:rsid w:val="007A0497"/>
    <w:rsid w:val="007A1513"/>
    <w:rsid w:val="007A3338"/>
    <w:rsid w:val="007A4F4B"/>
    <w:rsid w:val="007B229F"/>
    <w:rsid w:val="007B6F6B"/>
    <w:rsid w:val="007B739F"/>
    <w:rsid w:val="007C0788"/>
    <w:rsid w:val="007C1EE3"/>
    <w:rsid w:val="007C2AAD"/>
    <w:rsid w:val="007C4D29"/>
    <w:rsid w:val="007C7823"/>
    <w:rsid w:val="007D0421"/>
    <w:rsid w:val="007D1FEB"/>
    <w:rsid w:val="007D332C"/>
    <w:rsid w:val="007D35B7"/>
    <w:rsid w:val="007D7EC4"/>
    <w:rsid w:val="007E0195"/>
    <w:rsid w:val="007E1256"/>
    <w:rsid w:val="007E12D0"/>
    <w:rsid w:val="007E18BE"/>
    <w:rsid w:val="007E2249"/>
    <w:rsid w:val="007E2EED"/>
    <w:rsid w:val="007E4828"/>
    <w:rsid w:val="007E4D9E"/>
    <w:rsid w:val="007F2C9B"/>
    <w:rsid w:val="007F4C03"/>
    <w:rsid w:val="007F6A05"/>
    <w:rsid w:val="007F71B4"/>
    <w:rsid w:val="00800587"/>
    <w:rsid w:val="00804411"/>
    <w:rsid w:val="00804E09"/>
    <w:rsid w:val="0080685D"/>
    <w:rsid w:val="008124B4"/>
    <w:rsid w:val="00813115"/>
    <w:rsid w:val="00813218"/>
    <w:rsid w:val="008163C4"/>
    <w:rsid w:val="0082388C"/>
    <w:rsid w:val="00832CD6"/>
    <w:rsid w:val="0083416B"/>
    <w:rsid w:val="00835BC5"/>
    <w:rsid w:val="00837384"/>
    <w:rsid w:val="0084254A"/>
    <w:rsid w:val="00842FDE"/>
    <w:rsid w:val="00844BD1"/>
    <w:rsid w:val="0085100D"/>
    <w:rsid w:val="00851DA9"/>
    <w:rsid w:val="00851F68"/>
    <w:rsid w:val="008535CC"/>
    <w:rsid w:val="00855A60"/>
    <w:rsid w:val="00855DD0"/>
    <w:rsid w:val="00863D92"/>
    <w:rsid w:val="0086421D"/>
    <w:rsid w:val="00873FEB"/>
    <w:rsid w:val="00876A3A"/>
    <w:rsid w:val="00880162"/>
    <w:rsid w:val="008854A1"/>
    <w:rsid w:val="00887CDB"/>
    <w:rsid w:val="00887D18"/>
    <w:rsid w:val="008903C6"/>
    <w:rsid w:val="00892C3F"/>
    <w:rsid w:val="0089401A"/>
    <w:rsid w:val="00895AAB"/>
    <w:rsid w:val="00897D66"/>
    <w:rsid w:val="008A4DF0"/>
    <w:rsid w:val="008B2644"/>
    <w:rsid w:val="008B29DD"/>
    <w:rsid w:val="008B2F30"/>
    <w:rsid w:val="008B40D6"/>
    <w:rsid w:val="008B5E49"/>
    <w:rsid w:val="008C255D"/>
    <w:rsid w:val="008C352D"/>
    <w:rsid w:val="008C61EB"/>
    <w:rsid w:val="008C67D2"/>
    <w:rsid w:val="008D04D0"/>
    <w:rsid w:val="008D244F"/>
    <w:rsid w:val="008D3E8F"/>
    <w:rsid w:val="008D517A"/>
    <w:rsid w:val="008D7CC0"/>
    <w:rsid w:val="008E0495"/>
    <w:rsid w:val="008E3C00"/>
    <w:rsid w:val="008E4841"/>
    <w:rsid w:val="008E4938"/>
    <w:rsid w:val="008E517C"/>
    <w:rsid w:val="008E7D28"/>
    <w:rsid w:val="008F7113"/>
    <w:rsid w:val="00901B26"/>
    <w:rsid w:val="00905751"/>
    <w:rsid w:val="00906CAD"/>
    <w:rsid w:val="009114FD"/>
    <w:rsid w:val="00911D1F"/>
    <w:rsid w:val="00912B00"/>
    <w:rsid w:val="00912D53"/>
    <w:rsid w:val="0091513D"/>
    <w:rsid w:val="00915A38"/>
    <w:rsid w:val="00916D85"/>
    <w:rsid w:val="00917D6F"/>
    <w:rsid w:val="00924672"/>
    <w:rsid w:val="00932683"/>
    <w:rsid w:val="009403D0"/>
    <w:rsid w:val="00941214"/>
    <w:rsid w:val="00943204"/>
    <w:rsid w:val="0095083E"/>
    <w:rsid w:val="00952D24"/>
    <w:rsid w:val="00953067"/>
    <w:rsid w:val="00955816"/>
    <w:rsid w:val="00955AF6"/>
    <w:rsid w:val="009573DF"/>
    <w:rsid w:val="0095784F"/>
    <w:rsid w:val="00971997"/>
    <w:rsid w:val="00976088"/>
    <w:rsid w:val="00977BE8"/>
    <w:rsid w:val="009802EA"/>
    <w:rsid w:val="00981C30"/>
    <w:rsid w:val="009825F3"/>
    <w:rsid w:val="0098373B"/>
    <w:rsid w:val="00991952"/>
    <w:rsid w:val="00992538"/>
    <w:rsid w:val="009965CF"/>
    <w:rsid w:val="009A3535"/>
    <w:rsid w:val="009A3BF9"/>
    <w:rsid w:val="009A3C86"/>
    <w:rsid w:val="009A5CF5"/>
    <w:rsid w:val="009A7500"/>
    <w:rsid w:val="009A7BB0"/>
    <w:rsid w:val="009A7C79"/>
    <w:rsid w:val="009B0885"/>
    <w:rsid w:val="009B1B1D"/>
    <w:rsid w:val="009B385E"/>
    <w:rsid w:val="009B4F06"/>
    <w:rsid w:val="009B7599"/>
    <w:rsid w:val="009C4FB0"/>
    <w:rsid w:val="009C5FF8"/>
    <w:rsid w:val="009D075A"/>
    <w:rsid w:val="009D207D"/>
    <w:rsid w:val="009D2BDD"/>
    <w:rsid w:val="009D4721"/>
    <w:rsid w:val="009D6ED3"/>
    <w:rsid w:val="009D752A"/>
    <w:rsid w:val="009E0130"/>
    <w:rsid w:val="009E2198"/>
    <w:rsid w:val="009E3E49"/>
    <w:rsid w:val="009E40AA"/>
    <w:rsid w:val="009E526C"/>
    <w:rsid w:val="009E5379"/>
    <w:rsid w:val="009E7801"/>
    <w:rsid w:val="009F52B5"/>
    <w:rsid w:val="009F62C8"/>
    <w:rsid w:val="009F651E"/>
    <w:rsid w:val="009F780F"/>
    <w:rsid w:val="00A02401"/>
    <w:rsid w:val="00A02708"/>
    <w:rsid w:val="00A030E3"/>
    <w:rsid w:val="00A03DC5"/>
    <w:rsid w:val="00A04C2F"/>
    <w:rsid w:val="00A04E00"/>
    <w:rsid w:val="00A062BC"/>
    <w:rsid w:val="00A17DD4"/>
    <w:rsid w:val="00A21A17"/>
    <w:rsid w:val="00A26AF7"/>
    <w:rsid w:val="00A26B93"/>
    <w:rsid w:val="00A30EAC"/>
    <w:rsid w:val="00A310C8"/>
    <w:rsid w:val="00A320AC"/>
    <w:rsid w:val="00A323E8"/>
    <w:rsid w:val="00A361FA"/>
    <w:rsid w:val="00A405F1"/>
    <w:rsid w:val="00A40CC1"/>
    <w:rsid w:val="00A44D81"/>
    <w:rsid w:val="00A453B3"/>
    <w:rsid w:val="00A45A08"/>
    <w:rsid w:val="00A50609"/>
    <w:rsid w:val="00A50F82"/>
    <w:rsid w:val="00A53AE5"/>
    <w:rsid w:val="00A55C8F"/>
    <w:rsid w:val="00A60716"/>
    <w:rsid w:val="00A60EDA"/>
    <w:rsid w:val="00A610C2"/>
    <w:rsid w:val="00A63257"/>
    <w:rsid w:val="00A63C66"/>
    <w:rsid w:val="00A66F42"/>
    <w:rsid w:val="00A67682"/>
    <w:rsid w:val="00A71107"/>
    <w:rsid w:val="00A72064"/>
    <w:rsid w:val="00A77977"/>
    <w:rsid w:val="00A837D4"/>
    <w:rsid w:val="00A84C43"/>
    <w:rsid w:val="00A91699"/>
    <w:rsid w:val="00A930E7"/>
    <w:rsid w:val="00A9636E"/>
    <w:rsid w:val="00A96885"/>
    <w:rsid w:val="00A96FB0"/>
    <w:rsid w:val="00AA0A71"/>
    <w:rsid w:val="00AA0F18"/>
    <w:rsid w:val="00AA21EC"/>
    <w:rsid w:val="00AA30E4"/>
    <w:rsid w:val="00AA5272"/>
    <w:rsid w:val="00AA5853"/>
    <w:rsid w:val="00AA60FF"/>
    <w:rsid w:val="00AA75EF"/>
    <w:rsid w:val="00AB3387"/>
    <w:rsid w:val="00AB3726"/>
    <w:rsid w:val="00AB410D"/>
    <w:rsid w:val="00AC24DF"/>
    <w:rsid w:val="00AC2AC2"/>
    <w:rsid w:val="00AC5022"/>
    <w:rsid w:val="00AC6B1C"/>
    <w:rsid w:val="00AD4302"/>
    <w:rsid w:val="00AD581F"/>
    <w:rsid w:val="00AD618B"/>
    <w:rsid w:val="00AE071B"/>
    <w:rsid w:val="00AE1245"/>
    <w:rsid w:val="00AE1D01"/>
    <w:rsid w:val="00AF053F"/>
    <w:rsid w:val="00AF49E3"/>
    <w:rsid w:val="00AF5D8F"/>
    <w:rsid w:val="00AF7585"/>
    <w:rsid w:val="00B04275"/>
    <w:rsid w:val="00B048EF"/>
    <w:rsid w:val="00B054C2"/>
    <w:rsid w:val="00B1004B"/>
    <w:rsid w:val="00B12282"/>
    <w:rsid w:val="00B14B4A"/>
    <w:rsid w:val="00B15FA4"/>
    <w:rsid w:val="00B15FE0"/>
    <w:rsid w:val="00B21FBB"/>
    <w:rsid w:val="00B235CF"/>
    <w:rsid w:val="00B2630A"/>
    <w:rsid w:val="00B328E1"/>
    <w:rsid w:val="00B34023"/>
    <w:rsid w:val="00B361A6"/>
    <w:rsid w:val="00B46088"/>
    <w:rsid w:val="00B5522E"/>
    <w:rsid w:val="00B56D33"/>
    <w:rsid w:val="00B56FFC"/>
    <w:rsid w:val="00B57DEC"/>
    <w:rsid w:val="00B62C5B"/>
    <w:rsid w:val="00B6441D"/>
    <w:rsid w:val="00B73650"/>
    <w:rsid w:val="00B754BF"/>
    <w:rsid w:val="00B758C8"/>
    <w:rsid w:val="00B76079"/>
    <w:rsid w:val="00B81A6B"/>
    <w:rsid w:val="00B82DAD"/>
    <w:rsid w:val="00B836E1"/>
    <w:rsid w:val="00B84370"/>
    <w:rsid w:val="00B84AD1"/>
    <w:rsid w:val="00B8502C"/>
    <w:rsid w:val="00B87747"/>
    <w:rsid w:val="00B95F78"/>
    <w:rsid w:val="00B960E1"/>
    <w:rsid w:val="00B97202"/>
    <w:rsid w:val="00B973FC"/>
    <w:rsid w:val="00BA68F1"/>
    <w:rsid w:val="00BB16C3"/>
    <w:rsid w:val="00BB1FEC"/>
    <w:rsid w:val="00BB274F"/>
    <w:rsid w:val="00BB3E17"/>
    <w:rsid w:val="00BB7900"/>
    <w:rsid w:val="00BC2206"/>
    <w:rsid w:val="00BC2F03"/>
    <w:rsid w:val="00BC3166"/>
    <w:rsid w:val="00BC665A"/>
    <w:rsid w:val="00BD08C1"/>
    <w:rsid w:val="00BD0935"/>
    <w:rsid w:val="00BD1532"/>
    <w:rsid w:val="00BD43E6"/>
    <w:rsid w:val="00BD493F"/>
    <w:rsid w:val="00BD5BB9"/>
    <w:rsid w:val="00BD6A42"/>
    <w:rsid w:val="00BE0358"/>
    <w:rsid w:val="00BE0AF3"/>
    <w:rsid w:val="00BE1D09"/>
    <w:rsid w:val="00BE24C6"/>
    <w:rsid w:val="00BE251B"/>
    <w:rsid w:val="00BE52AB"/>
    <w:rsid w:val="00BE574F"/>
    <w:rsid w:val="00BE73DA"/>
    <w:rsid w:val="00BF0E95"/>
    <w:rsid w:val="00BF10ED"/>
    <w:rsid w:val="00BF357D"/>
    <w:rsid w:val="00C02640"/>
    <w:rsid w:val="00C061BE"/>
    <w:rsid w:val="00C1248B"/>
    <w:rsid w:val="00C17088"/>
    <w:rsid w:val="00C21CF5"/>
    <w:rsid w:val="00C23EDE"/>
    <w:rsid w:val="00C251C8"/>
    <w:rsid w:val="00C30A74"/>
    <w:rsid w:val="00C356B4"/>
    <w:rsid w:val="00C3675F"/>
    <w:rsid w:val="00C3682E"/>
    <w:rsid w:val="00C36B89"/>
    <w:rsid w:val="00C36F02"/>
    <w:rsid w:val="00C424C5"/>
    <w:rsid w:val="00C46A6D"/>
    <w:rsid w:val="00C46E13"/>
    <w:rsid w:val="00C47124"/>
    <w:rsid w:val="00C5274D"/>
    <w:rsid w:val="00C6356B"/>
    <w:rsid w:val="00C63AFE"/>
    <w:rsid w:val="00C64492"/>
    <w:rsid w:val="00C65494"/>
    <w:rsid w:val="00C675C8"/>
    <w:rsid w:val="00C67EE2"/>
    <w:rsid w:val="00C70932"/>
    <w:rsid w:val="00C755B6"/>
    <w:rsid w:val="00C7671A"/>
    <w:rsid w:val="00C7678C"/>
    <w:rsid w:val="00C76B97"/>
    <w:rsid w:val="00C77BF6"/>
    <w:rsid w:val="00C8697F"/>
    <w:rsid w:val="00C86CEB"/>
    <w:rsid w:val="00C92733"/>
    <w:rsid w:val="00C95496"/>
    <w:rsid w:val="00C95515"/>
    <w:rsid w:val="00C96246"/>
    <w:rsid w:val="00C97438"/>
    <w:rsid w:val="00CA2B9C"/>
    <w:rsid w:val="00CA2C27"/>
    <w:rsid w:val="00CA4941"/>
    <w:rsid w:val="00CA4A15"/>
    <w:rsid w:val="00CA5D1D"/>
    <w:rsid w:val="00CA7116"/>
    <w:rsid w:val="00CA74FF"/>
    <w:rsid w:val="00CB1C18"/>
    <w:rsid w:val="00CB49B1"/>
    <w:rsid w:val="00CB69CA"/>
    <w:rsid w:val="00CB7FAB"/>
    <w:rsid w:val="00CB7FB2"/>
    <w:rsid w:val="00CC2718"/>
    <w:rsid w:val="00CC2784"/>
    <w:rsid w:val="00CC4A09"/>
    <w:rsid w:val="00CC6746"/>
    <w:rsid w:val="00CD0E51"/>
    <w:rsid w:val="00CD1DB1"/>
    <w:rsid w:val="00CD3F00"/>
    <w:rsid w:val="00CD4494"/>
    <w:rsid w:val="00CD4518"/>
    <w:rsid w:val="00CD57BA"/>
    <w:rsid w:val="00CD7651"/>
    <w:rsid w:val="00CE1BD1"/>
    <w:rsid w:val="00CE2827"/>
    <w:rsid w:val="00CE3987"/>
    <w:rsid w:val="00CE4DB3"/>
    <w:rsid w:val="00CE7470"/>
    <w:rsid w:val="00CE77F7"/>
    <w:rsid w:val="00CF0DD5"/>
    <w:rsid w:val="00CF1A8A"/>
    <w:rsid w:val="00CF35EF"/>
    <w:rsid w:val="00CF44AC"/>
    <w:rsid w:val="00CF4A56"/>
    <w:rsid w:val="00CF53E7"/>
    <w:rsid w:val="00CF6A22"/>
    <w:rsid w:val="00D00848"/>
    <w:rsid w:val="00D02A41"/>
    <w:rsid w:val="00D04BBC"/>
    <w:rsid w:val="00D11F78"/>
    <w:rsid w:val="00D1226F"/>
    <w:rsid w:val="00D126E8"/>
    <w:rsid w:val="00D13D65"/>
    <w:rsid w:val="00D1669F"/>
    <w:rsid w:val="00D20ACA"/>
    <w:rsid w:val="00D20C91"/>
    <w:rsid w:val="00D22F7D"/>
    <w:rsid w:val="00D27757"/>
    <w:rsid w:val="00D321EB"/>
    <w:rsid w:val="00D32A20"/>
    <w:rsid w:val="00D33E52"/>
    <w:rsid w:val="00D40C05"/>
    <w:rsid w:val="00D41A9C"/>
    <w:rsid w:val="00D4398C"/>
    <w:rsid w:val="00D445A5"/>
    <w:rsid w:val="00D448FD"/>
    <w:rsid w:val="00D44C08"/>
    <w:rsid w:val="00D44D8F"/>
    <w:rsid w:val="00D457A2"/>
    <w:rsid w:val="00D50D82"/>
    <w:rsid w:val="00D512A8"/>
    <w:rsid w:val="00D55A26"/>
    <w:rsid w:val="00D56D06"/>
    <w:rsid w:val="00D57C03"/>
    <w:rsid w:val="00D57FD0"/>
    <w:rsid w:val="00D601FC"/>
    <w:rsid w:val="00D6259B"/>
    <w:rsid w:val="00D66C0B"/>
    <w:rsid w:val="00D67484"/>
    <w:rsid w:val="00D67DD4"/>
    <w:rsid w:val="00D7079B"/>
    <w:rsid w:val="00D718DF"/>
    <w:rsid w:val="00D740FD"/>
    <w:rsid w:val="00D75628"/>
    <w:rsid w:val="00D769D9"/>
    <w:rsid w:val="00D8381C"/>
    <w:rsid w:val="00D83CB4"/>
    <w:rsid w:val="00D84CED"/>
    <w:rsid w:val="00D85B47"/>
    <w:rsid w:val="00D86541"/>
    <w:rsid w:val="00D87460"/>
    <w:rsid w:val="00D874CC"/>
    <w:rsid w:val="00D87E7F"/>
    <w:rsid w:val="00D9023D"/>
    <w:rsid w:val="00D906A6"/>
    <w:rsid w:val="00D90A4E"/>
    <w:rsid w:val="00D90D08"/>
    <w:rsid w:val="00D91566"/>
    <w:rsid w:val="00D91F4B"/>
    <w:rsid w:val="00D924C6"/>
    <w:rsid w:val="00D9304C"/>
    <w:rsid w:val="00DA134A"/>
    <w:rsid w:val="00DA5783"/>
    <w:rsid w:val="00DA596F"/>
    <w:rsid w:val="00DA6E6B"/>
    <w:rsid w:val="00DA6EAF"/>
    <w:rsid w:val="00DB00D3"/>
    <w:rsid w:val="00DB4937"/>
    <w:rsid w:val="00DB5279"/>
    <w:rsid w:val="00DB668B"/>
    <w:rsid w:val="00DB7D11"/>
    <w:rsid w:val="00DB7F7E"/>
    <w:rsid w:val="00DC10FA"/>
    <w:rsid w:val="00DC1189"/>
    <w:rsid w:val="00DC384F"/>
    <w:rsid w:val="00DC62A4"/>
    <w:rsid w:val="00DC7BEB"/>
    <w:rsid w:val="00DD7019"/>
    <w:rsid w:val="00DD7366"/>
    <w:rsid w:val="00DE0C90"/>
    <w:rsid w:val="00DE2796"/>
    <w:rsid w:val="00DE3775"/>
    <w:rsid w:val="00DE48F9"/>
    <w:rsid w:val="00DE6646"/>
    <w:rsid w:val="00DF66B8"/>
    <w:rsid w:val="00E01EDF"/>
    <w:rsid w:val="00E0267A"/>
    <w:rsid w:val="00E074E2"/>
    <w:rsid w:val="00E11FCF"/>
    <w:rsid w:val="00E16896"/>
    <w:rsid w:val="00E1730A"/>
    <w:rsid w:val="00E1741B"/>
    <w:rsid w:val="00E21527"/>
    <w:rsid w:val="00E23575"/>
    <w:rsid w:val="00E26432"/>
    <w:rsid w:val="00E31B81"/>
    <w:rsid w:val="00E35544"/>
    <w:rsid w:val="00E358DF"/>
    <w:rsid w:val="00E4017B"/>
    <w:rsid w:val="00E41BBF"/>
    <w:rsid w:val="00E4487F"/>
    <w:rsid w:val="00E45254"/>
    <w:rsid w:val="00E47460"/>
    <w:rsid w:val="00E518DF"/>
    <w:rsid w:val="00E5230B"/>
    <w:rsid w:val="00E5390E"/>
    <w:rsid w:val="00E55E76"/>
    <w:rsid w:val="00E60246"/>
    <w:rsid w:val="00E6220B"/>
    <w:rsid w:val="00E632B8"/>
    <w:rsid w:val="00E64815"/>
    <w:rsid w:val="00E64F19"/>
    <w:rsid w:val="00E65958"/>
    <w:rsid w:val="00E67530"/>
    <w:rsid w:val="00E67F34"/>
    <w:rsid w:val="00E74038"/>
    <w:rsid w:val="00E740C6"/>
    <w:rsid w:val="00E75F19"/>
    <w:rsid w:val="00E77263"/>
    <w:rsid w:val="00E77F71"/>
    <w:rsid w:val="00E80938"/>
    <w:rsid w:val="00E813BF"/>
    <w:rsid w:val="00E81ECE"/>
    <w:rsid w:val="00E82018"/>
    <w:rsid w:val="00E82941"/>
    <w:rsid w:val="00E843C8"/>
    <w:rsid w:val="00E8520E"/>
    <w:rsid w:val="00E877C8"/>
    <w:rsid w:val="00E90335"/>
    <w:rsid w:val="00E92F73"/>
    <w:rsid w:val="00E935BA"/>
    <w:rsid w:val="00E93C55"/>
    <w:rsid w:val="00E950D8"/>
    <w:rsid w:val="00E950FC"/>
    <w:rsid w:val="00E952D3"/>
    <w:rsid w:val="00EA3C84"/>
    <w:rsid w:val="00EA3FD8"/>
    <w:rsid w:val="00EA5AEE"/>
    <w:rsid w:val="00EB144D"/>
    <w:rsid w:val="00EB18D2"/>
    <w:rsid w:val="00EB6345"/>
    <w:rsid w:val="00EB6621"/>
    <w:rsid w:val="00EC0A89"/>
    <w:rsid w:val="00EC15A8"/>
    <w:rsid w:val="00EC2F93"/>
    <w:rsid w:val="00EC3ADE"/>
    <w:rsid w:val="00EC6FFE"/>
    <w:rsid w:val="00EC771E"/>
    <w:rsid w:val="00ED08E1"/>
    <w:rsid w:val="00ED1074"/>
    <w:rsid w:val="00EE43B0"/>
    <w:rsid w:val="00EE51F5"/>
    <w:rsid w:val="00EE630A"/>
    <w:rsid w:val="00EE6992"/>
    <w:rsid w:val="00EF106D"/>
    <w:rsid w:val="00EF30AD"/>
    <w:rsid w:val="00EF31D9"/>
    <w:rsid w:val="00F01DC0"/>
    <w:rsid w:val="00F03BF2"/>
    <w:rsid w:val="00F0485F"/>
    <w:rsid w:val="00F04BAF"/>
    <w:rsid w:val="00F0643B"/>
    <w:rsid w:val="00F0737C"/>
    <w:rsid w:val="00F07566"/>
    <w:rsid w:val="00F07A30"/>
    <w:rsid w:val="00F07A77"/>
    <w:rsid w:val="00F07C30"/>
    <w:rsid w:val="00F11688"/>
    <w:rsid w:val="00F13443"/>
    <w:rsid w:val="00F15060"/>
    <w:rsid w:val="00F206C0"/>
    <w:rsid w:val="00F25365"/>
    <w:rsid w:val="00F27A9C"/>
    <w:rsid w:val="00F27D02"/>
    <w:rsid w:val="00F435AD"/>
    <w:rsid w:val="00F46129"/>
    <w:rsid w:val="00F46AC1"/>
    <w:rsid w:val="00F477D7"/>
    <w:rsid w:val="00F513D4"/>
    <w:rsid w:val="00F54C48"/>
    <w:rsid w:val="00F56DC4"/>
    <w:rsid w:val="00F6598E"/>
    <w:rsid w:val="00F661D3"/>
    <w:rsid w:val="00F66562"/>
    <w:rsid w:val="00F67461"/>
    <w:rsid w:val="00F73ED2"/>
    <w:rsid w:val="00F74626"/>
    <w:rsid w:val="00F77B1E"/>
    <w:rsid w:val="00F80447"/>
    <w:rsid w:val="00F80C83"/>
    <w:rsid w:val="00F824A2"/>
    <w:rsid w:val="00F84764"/>
    <w:rsid w:val="00F8637E"/>
    <w:rsid w:val="00F86DFB"/>
    <w:rsid w:val="00F93B77"/>
    <w:rsid w:val="00F9413F"/>
    <w:rsid w:val="00F94904"/>
    <w:rsid w:val="00F965CC"/>
    <w:rsid w:val="00F96C47"/>
    <w:rsid w:val="00FA3E94"/>
    <w:rsid w:val="00FA47CF"/>
    <w:rsid w:val="00FA495E"/>
    <w:rsid w:val="00FA651A"/>
    <w:rsid w:val="00FA6F24"/>
    <w:rsid w:val="00FA7CEC"/>
    <w:rsid w:val="00FB2DC7"/>
    <w:rsid w:val="00FB3FE9"/>
    <w:rsid w:val="00FB52F6"/>
    <w:rsid w:val="00FB536D"/>
    <w:rsid w:val="00FC0C85"/>
    <w:rsid w:val="00FC1683"/>
    <w:rsid w:val="00FC1D63"/>
    <w:rsid w:val="00FC412D"/>
    <w:rsid w:val="00FC4433"/>
    <w:rsid w:val="00FD0A82"/>
    <w:rsid w:val="00FD2F7C"/>
    <w:rsid w:val="00FD4010"/>
    <w:rsid w:val="00FD5FFA"/>
    <w:rsid w:val="00FD6414"/>
    <w:rsid w:val="00FD7693"/>
    <w:rsid w:val="00FE1160"/>
    <w:rsid w:val="00FE3AD7"/>
    <w:rsid w:val="00FE3BC1"/>
    <w:rsid w:val="00FF0F79"/>
    <w:rsid w:val="00FF1D82"/>
    <w:rsid w:val="00FF38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9897"/>
  <w15:docId w15:val="{CB6FF5A4-69EE-4E3F-83BB-C5C1AB975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58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7585"/>
    <w:rPr>
      <w:rFonts w:cs="Times New Roman"/>
      <w:color w:val="0000FF"/>
      <w:u w:val="single"/>
    </w:rPr>
  </w:style>
  <w:style w:type="paragraph" w:styleId="ListParagraph">
    <w:name w:val="List Paragraph"/>
    <w:basedOn w:val="Normal"/>
    <w:uiPriority w:val="34"/>
    <w:qFormat/>
    <w:rsid w:val="00AF7585"/>
    <w:pPr>
      <w:ind w:left="720"/>
      <w:contextualSpacing/>
    </w:pPr>
  </w:style>
  <w:style w:type="paragraph" w:styleId="FootnoteText">
    <w:name w:val="footnote text"/>
    <w:basedOn w:val="Normal"/>
    <w:link w:val="FootnoteTextChar"/>
    <w:uiPriority w:val="99"/>
    <w:rsid w:val="00AF7585"/>
    <w:rPr>
      <w:sz w:val="20"/>
      <w:szCs w:val="20"/>
    </w:rPr>
  </w:style>
  <w:style w:type="character" w:customStyle="1" w:styleId="FootnoteTextChar">
    <w:name w:val="Footnote Text Char"/>
    <w:basedOn w:val="DefaultParagraphFont"/>
    <w:link w:val="FootnoteText"/>
    <w:uiPriority w:val="99"/>
    <w:rsid w:val="00AF7585"/>
  </w:style>
  <w:style w:type="character" w:styleId="FootnoteReference">
    <w:name w:val="footnote reference"/>
    <w:basedOn w:val="DefaultParagraphFont"/>
    <w:semiHidden/>
    <w:rsid w:val="00AF7585"/>
    <w:rPr>
      <w:rFonts w:cs="Times New Roman"/>
      <w:vertAlign w:val="superscript"/>
    </w:rPr>
  </w:style>
  <w:style w:type="paragraph" w:styleId="Header">
    <w:name w:val="header"/>
    <w:basedOn w:val="Normal"/>
    <w:link w:val="HeaderChar"/>
    <w:uiPriority w:val="99"/>
    <w:rsid w:val="00AF7585"/>
    <w:pPr>
      <w:tabs>
        <w:tab w:val="center" w:pos="4680"/>
        <w:tab w:val="right" w:pos="9360"/>
      </w:tabs>
    </w:pPr>
  </w:style>
  <w:style w:type="character" w:customStyle="1" w:styleId="HeaderChar">
    <w:name w:val="Header Char"/>
    <w:basedOn w:val="DefaultParagraphFont"/>
    <w:link w:val="Header"/>
    <w:uiPriority w:val="99"/>
    <w:rsid w:val="00AF7585"/>
    <w:rPr>
      <w:sz w:val="24"/>
      <w:szCs w:val="24"/>
    </w:rPr>
  </w:style>
  <w:style w:type="paragraph" w:styleId="Footer">
    <w:name w:val="footer"/>
    <w:basedOn w:val="Normal"/>
    <w:link w:val="FooterChar"/>
    <w:uiPriority w:val="99"/>
    <w:rsid w:val="00AF7585"/>
    <w:pPr>
      <w:tabs>
        <w:tab w:val="center" w:pos="4680"/>
        <w:tab w:val="right" w:pos="9360"/>
      </w:tabs>
    </w:pPr>
  </w:style>
  <w:style w:type="character" w:customStyle="1" w:styleId="FooterChar">
    <w:name w:val="Footer Char"/>
    <w:basedOn w:val="DefaultParagraphFont"/>
    <w:link w:val="Footer"/>
    <w:uiPriority w:val="99"/>
    <w:rsid w:val="00AF7585"/>
    <w:rPr>
      <w:sz w:val="24"/>
      <w:szCs w:val="24"/>
    </w:rPr>
  </w:style>
  <w:style w:type="paragraph" w:styleId="NormalWeb">
    <w:name w:val="Normal (Web)"/>
    <w:basedOn w:val="Normal"/>
    <w:uiPriority w:val="99"/>
    <w:rsid w:val="00AF7585"/>
    <w:pPr>
      <w:spacing w:before="100" w:beforeAutospacing="1" w:after="100" w:afterAutospacing="1"/>
    </w:pPr>
  </w:style>
  <w:style w:type="paragraph" w:styleId="BalloonText">
    <w:name w:val="Balloon Text"/>
    <w:basedOn w:val="Normal"/>
    <w:link w:val="BalloonTextChar"/>
    <w:uiPriority w:val="99"/>
    <w:semiHidden/>
    <w:rsid w:val="00AF7585"/>
    <w:rPr>
      <w:rFonts w:ascii="Tahoma" w:hAnsi="Tahoma" w:cs="Tahoma"/>
      <w:sz w:val="16"/>
      <w:szCs w:val="16"/>
    </w:rPr>
  </w:style>
  <w:style w:type="character" w:customStyle="1" w:styleId="BalloonTextChar">
    <w:name w:val="Balloon Text Char"/>
    <w:basedOn w:val="DefaultParagraphFont"/>
    <w:link w:val="BalloonText"/>
    <w:uiPriority w:val="99"/>
    <w:semiHidden/>
    <w:rsid w:val="00AF7585"/>
    <w:rPr>
      <w:rFonts w:ascii="Tahoma" w:hAnsi="Tahoma" w:cs="Tahoma"/>
      <w:sz w:val="16"/>
      <w:szCs w:val="16"/>
    </w:rPr>
  </w:style>
  <w:style w:type="character" w:styleId="CommentReference">
    <w:name w:val="annotation reference"/>
    <w:basedOn w:val="DefaultParagraphFont"/>
    <w:uiPriority w:val="99"/>
    <w:semiHidden/>
    <w:rsid w:val="00AF7585"/>
    <w:rPr>
      <w:rFonts w:cs="Times New Roman"/>
      <w:sz w:val="16"/>
    </w:rPr>
  </w:style>
  <w:style w:type="paragraph" w:styleId="CommentText">
    <w:name w:val="annotation text"/>
    <w:basedOn w:val="Normal"/>
    <w:link w:val="CommentTextChar"/>
    <w:uiPriority w:val="99"/>
    <w:semiHidden/>
    <w:rsid w:val="00AF7585"/>
    <w:rPr>
      <w:sz w:val="20"/>
      <w:szCs w:val="20"/>
    </w:rPr>
  </w:style>
  <w:style w:type="character" w:customStyle="1" w:styleId="CommentTextChar">
    <w:name w:val="Comment Text Char"/>
    <w:basedOn w:val="DefaultParagraphFont"/>
    <w:link w:val="CommentText"/>
    <w:uiPriority w:val="99"/>
    <w:semiHidden/>
    <w:rsid w:val="00AF7585"/>
  </w:style>
  <w:style w:type="paragraph" w:styleId="CommentSubject">
    <w:name w:val="annotation subject"/>
    <w:basedOn w:val="CommentText"/>
    <w:next w:val="CommentText"/>
    <w:link w:val="CommentSubjectChar"/>
    <w:uiPriority w:val="99"/>
    <w:semiHidden/>
    <w:rsid w:val="00AF7585"/>
    <w:rPr>
      <w:b/>
      <w:bCs/>
    </w:rPr>
  </w:style>
  <w:style w:type="character" w:customStyle="1" w:styleId="CommentSubjectChar">
    <w:name w:val="Comment Subject Char"/>
    <w:basedOn w:val="CommentTextChar"/>
    <w:link w:val="CommentSubject"/>
    <w:uiPriority w:val="99"/>
    <w:semiHidden/>
    <w:rsid w:val="00AF7585"/>
    <w:rPr>
      <w:b/>
      <w:bCs/>
    </w:rPr>
  </w:style>
  <w:style w:type="paragraph" w:customStyle="1" w:styleId="Default">
    <w:name w:val="Default"/>
    <w:rsid w:val="00AF7585"/>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AF7585"/>
    <w:rPr>
      <w:sz w:val="20"/>
      <w:szCs w:val="20"/>
    </w:rPr>
  </w:style>
  <w:style w:type="character" w:customStyle="1" w:styleId="EndnoteTextChar">
    <w:name w:val="Endnote Text Char"/>
    <w:basedOn w:val="DefaultParagraphFont"/>
    <w:link w:val="EndnoteText"/>
    <w:uiPriority w:val="99"/>
    <w:semiHidden/>
    <w:rsid w:val="00AF7585"/>
  </w:style>
  <w:style w:type="character" w:styleId="EndnoteReference">
    <w:name w:val="endnote reference"/>
    <w:basedOn w:val="DefaultParagraphFont"/>
    <w:uiPriority w:val="99"/>
    <w:semiHidden/>
    <w:rsid w:val="00AF7585"/>
    <w:rPr>
      <w:rFonts w:cs="Times New Roman"/>
      <w:vertAlign w:val="superscript"/>
    </w:rPr>
  </w:style>
  <w:style w:type="paragraph" w:customStyle="1" w:styleId="Pa3">
    <w:name w:val="Pa3"/>
    <w:basedOn w:val="Normal"/>
    <w:next w:val="Normal"/>
    <w:uiPriority w:val="99"/>
    <w:rsid w:val="00AF7585"/>
    <w:pPr>
      <w:autoSpaceDE w:val="0"/>
      <w:autoSpaceDN w:val="0"/>
      <w:adjustRightInd w:val="0"/>
      <w:spacing w:line="221" w:lineRule="atLeast"/>
    </w:pPr>
    <w:rPr>
      <w:rFonts w:ascii="Baskerville Book" w:hAnsi="Baskerville Book"/>
    </w:rPr>
  </w:style>
  <w:style w:type="paragraph" w:customStyle="1" w:styleId="SP-SglSpPara">
    <w:name w:val="SP-Sgl Sp Para"/>
    <w:link w:val="SP-SglSpParaChar"/>
    <w:uiPriority w:val="99"/>
    <w:rsid w:val="00AF7585"/>
    <w:pPr>
      <w:tabs>
        <w:tab w:val="left" w:pos="576"/>
      </w:tabs>
      <w:spacing w:line="240" w:lineRule="atLeast"/>
      <w:ind w:firstLine="576"/>
      <w:jc w:val="both"/>
    </w:pPr>
    <w:rPr>
      <w:sz w:val="22"/>
    </w:rPr>
  </w:style>
  <w:style w:type="character" w:customStyle="1" w:styleId="SP-SglSpParaChar">
    <w:name w:val="SP-Sgl Sp Para Char"/>
    <w:link w:val="SP-SglSpPara"/>
    <w:uiPriority w:val="99"/>
    <w:locked/>
    <w:rsid w:val="00AF7585"/>
    <w:rPr>
      <w:sz w:val="22"/>
    </w:rPr>
  </w:style>
  <w:style w:type="table" w:styleId="TableGrid">
    <w:name w:val="Table Grid"/>
    <w:basedOn w:val="TableNormal"/>
    <w:uiPriority w:val="39"/>
    <w:rsid w:val="00AF7585"/>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F7585"/>
    <w:rPr>
      <w:rFonts w:cs="Times New Roman"/>
      <w:b/>
    </w:rPr>
  </w:style>
  <w:style w:type="character" w:customStyle="1" w:styleId="street-address">
    <w:name w:val="street-address"/>
    <w:basedOn w:val="DefaultParagraphFont"/>
    <w:uiPriority w:val="99"/>
    <w:rsid w:val="00AF7585"/>
    <w:rPr>
      <w:rFonts w:cs="Times New Roman"/>
    </w:rPr>
  </w:style>
  <w:style w:type="character" w:customStyle="1" w:styleId="locality">
    <w:name w:val="locality"/>
    <w:basedOn w:val="DefaultParagraphFont"/>
    <w:uiPriority w:val="99"/>
    <w:rsid w:val="00AF7585"/>
    <w:rPr>
      <w:rFonts w:cs="Times New Roman"/>
    </w:rPr>
  </w:style>
  <w:style w:type="character" w:customStyle="1" w:styleId="region">
    <w:name w:val="region"/>
    <w:basedOn w:val="DefaultParagraphFont"/>
    <w:uiPriority w:val="99"/>
    <w:rsid w:val="00AF7585"/>
    <w:rPr>
      <w:rFonts w:cs="Times New Roman"/>
    </w:rPr>
  </w:style>
  <w:style w:type="character" w:customStyle="1" w:styleId="postal-code">
    <w:name w:val="postal-code"/>
    <w:basedOn w:val="DefaultParagraphFont"/>
    <w:uiPriority w:val="99"/>
    <w:rsid w:val="00AF7585"/>
    <w:rPr>
      <w:rFonts w:cs="Times New Roman"/>
    </w:rPr>
  </w:style>
  <w:style w:type="paragraph" w:styleId="Revision">
    <w:name w:val="Revision"/>
    <w:hidden/>
    <w:uiPriority w:val="99"/>
    <w:semiHidden/>
    <w:rsid w:val="00AF7585"/>
    <w:rPr>
      <w:sz w:val="24"/>
      <w:szCs w:val="24"/>
    </w:rPr>
  </w:style>
  <w:style w:type="paragraph" w:customStyle="1" w:styleId="Level1">
    <w:name w:val="Level 1"/>
    <w:basedOn w:val="Normal"/>
    <w:rsid w:val="00AF7585"/>
    <w:pPr>
      <w:widowControl w:val="0"/>
      <w:autoSpaceDE w:val="0"/>
      <w:autoSpaceDN w:val="0"/>
      <w:adjustRightInd w:val="0"/>
      <w:ind w:left="720" w:hanging="720"/>
      <w:outlineLvl w:val="0"/>
    </w:pPr>
  </w:style>
  <w:style w:type="paragraph" w:customStyle="1" w:styleId="headline1">
    <w:name w:val="headline1"/>
    <w:basedOn w:val="Normal"/>
    <w:rsid w:val="00AF7585"/>
    <w:pPr>
      <w:spacing w:before="100" w:beforeAutospacing="1" w:after="100" w:afterAutospacing="1"/>
    </w:pPr>
    <w:rPr>
      <w:rFonts w:ascii="Arial" w:hAnsi="Arial" w:cs="Arial"/>
      <w:b/>
      <w:bCs/>
      <w:color w:val="000000"/>
      <w:sz w:val="27"/>
      <w:szCs w:val="27"/>
    </w:rPr>
  </w:style>
  <w:style w:type="paragraph" w:customStyle="1" w:styleId="xxxxmsonormal">
    <w:name w:val="x_x_xxmsonormal"/>
    <w:basedOn w:val="Normal"/>
    <w:rsid w:val="00FA3E94"/>
    <w:rPr>
      <w:rFonts w:ascii="Calibri" w:eastAsiaTheme="minorHAnsi" w:hAnsi="Calibri" w:cs="Calibri"/>
      <w:sz w:val="22"/>
      <w:szCs w:val="22"/>
    </w:rPr>
  </w:style>
  <w:style w:type="character" w:customStyle="1" w:styleId="UnresolvedMention1">
    <w:name w:val="Unresolved Mention1"/>
    <w:basedOn w:val="DefaultParagraphFont"/>
    <w:uiPriority w:val="99"/>
    <w:semiHidden/>
    <w:unhideWhenUsed/>
    <w:rsid w:val="00FA3E94"/>
    <w:rPr>
      <w:color w:val="808080"/>
      <w:shd w:val="clear" w:color="auto" w:fill="E6E6E6"/>
    </w:rPr>
  </w:style>
  <w:style w:type="character" w:styleId="UnresolvedMention">
    <w:name w:val="Unresolved Mention"/>
    <w:basedOn w:val="DefaultParagraphFont"/>
    <w:uiPriority w:val="99"/>
    <w:semiHidden/>
    <w:unhideWhenUsed/>
    <w:rsid w:val="00763353"/>
    <w:rPr>
      <w:color w:val="605E5C"/>
      <w:shd w:val="clear" w:color="auto" w:fill="E1DFDD"/>
    </w:rPr>
  </w:style>
  <w:style w:type="character" w:customStyle="1" w:styleId="nlmstring-name">
    <w:name w:val="nlm_string-name"/>
    <w:basedOn w:val="DefaultParagraphFont"/>
    <w:rsid w:val="001B7880"/>
  </w:style>
  <w:style w:type="character" w:customStyle="1" w:styleId="journalname">
    <w:name w:val="journalname"/>
    <w:basedOn w:val="DefaultParagraphFont"/>
    <w:rsid w:val="001B7880"/>
  </w:style>
  <w:style w:type="character" w:customStyle="1" w:styleId="year">
    <w:name w:val="year"/>
    <w:basedOn w:val="DefaultParagraphFont"/>
    <w:rsid w:val="001B7880"/>
  </w:style>
  <w:style w:type="character" w:customStyle="1" w:styleId="volume">
    <w:name w:val="volume"/>
    <w:basedOn w:val="DefaultParagraphFont"/>
    <w:rsid w:val="001B7880"/>
  </w:style>
  <w:style w:type="character" w:customStyle="1" w:styleId="issue">
    <w:name w:val="issue"/>
    <w:basedOn w:val="DefaultParagraphFont"/>
    <w:rsid w:val="001B7880"/>
  </w:style>
  <w:style w:type="character" w:customStyle="1" w:styleId="page">
    <w:name w:val="page"/>
    <w:basedOn w:val="DefaultParagraphFont"/>
    <w:rsid w:val="001B7880"/>
  </w:style>
  <w:style w:type="character" w:styleId="FollowedHyperlink">
    <w:name w:val="FollowedHyperlink"/>
    <w:basedOn w:val="DefaultParagraphFont"/>
    <w:uiPriority w:val="99"/>
    <w:semiHidden/>
    <w:unhideWhenUsed/>
    <w:rsid w:val="003E7153"/>
    <w:rPr>
      <w:color w:val="919191" w:themeColor="followedHyperlink"/>
      <w:u w:val="single"/>
    </w:rPr>
  </w:style>
  <w:style w:type="character" w:customStyle="1" w:styleId="hlfld-contribauthor">
    <w:name w:val="hlfld-contribauthor"/>
    <w:basedOn w:val="DefaultParagraphFont"/>
    <w:rsid w:val="0032095F"/>
  </w:style>
  <w:style w:type="character" w:customStyle="1" w:styleId="seperator">
    <w:name w:val="seperator"/>
    <w:basedOn w:val="DefaultParagraphFont"/>
    <w:rsid w:val="0032095F"/>
  </w:style>
  <w:style w:type="character" w:customStyle="1" w:styleId="seriestitle">
    <w:name w:val="seriestitle"/>
    <w:basedOn w:val="DefaultParagraphFont"/>
    <w:rsid w:val="0032095F"/>
  </w:style>
  <w:style w:type="character" w:customStyle="1" w:styleId="doi">
    <w:name w:val="doi"/>
    <w:basedOn w:val="DefaultParagraphFont"/>
    <w:rsid w:val="0032095F"/>
  </w:style>
  <w:style w:type="character" w:customStyle="1" w:styleId="page-range">
    <w:name w:val="page-range"/>
    <w:basedOn w:val="DefaultParagraphFont"/>
    <w:rsid w:val="0032095F"/>
  </w:style>
  <w:style w:type="character" w:customStyle="1" w:styleId="pub-year">
    <w:name w:val="pub-year"/>
    <w:basedOn w:val="DefaultParagraphFont"/>
    <w:rsid w:val="0032095F"/>
  </w:style>
  <w:style w:type="paragraph" w:customStyle="1" w:styleId="biblio">
    <w:name w:val="biblio"/>
    <w:basedOn w:val="Normal"/>
    <w:rsid w:val="000A662A"/>
    <w:pPr>
      <w:keepLines/>
      <w:spacing w:after="240" w:line="360" w:lineRule="auto"/>
      <w:ind w:left="720" w:hanging="720"/>
    </w:pPr>
    <w:rPr>
      <w:szCs w:val="20"/>
    </w:rPr>
  </w:style>
  <w:style w:type="paragraph" w:customStyle="1" w:styleId="bullets">
    <w:name w:val="bullets"/>
    <w:aliases w:val="bu,b1"/>
    <w:basedOn w:val="Normal"/>
    <w:link w:val="bulletsChar"/>
    <w:qFormat/>
    <w:rsid w:val="000A662A"/>
    <w:pPr>
      <w:numPr>
        <w:numId w:val="5"/>
      </w:numPr>
      <w:tabs>
        <w:tab w:val="left" w:pos="720"/>
      </w:tabs>
      <w:spacing w:after="80" w:line="360" w:lineRule="auto"/>
    </w:pPr>
    <w:rPr>
      <w:rFonts w:eastAsia="SimSun"/>
      <w:szCs w:val="22"/>
      <w:lang w:eastAsia="zh-CN"/>
    </w:rPr>
  </w:style>
  <w:style w:type="paragraph" w:customStyle="1" w:styleId="bullets2nd-level">
    <w:name w:val="bullets_2nd-level"/>
    <w:basedOn w:val="Normal"/>
    <w:rsid w:val="000A662A"/>
    <w:pPr>
      <w:numPr>
        <w:ilvl w:val="1"/>
        <w:numId w:val="5"/>
      </w:numPr>
      <w:tabs>
        <w:tab w:val="left" w:pos="1080"/>
      </w:tabs>
      <w:spacing w:after="80"/>
    </w:pPr>
    <w:rPr>
      <w:rFonts w:eastAsia="SimSun"/>
      <w:sz w:val="22"/>
      <w:szCs w:val="22"/>
      <w:lang w:eastAsia="zh-CN"/>
    </w:rPr>
  </w:style>
  <w:style w:type="paragraph" w:customStyle="1" w:styleId="bullets3rd-level">
    <w:name w:val="bullets_3rd-level"/>
    <w:basedOn w:val="Normal"/>
    <w:rsid w:val="000A662A"/>
    <w:pPr>
      <w:numPr>
        <w:ilvl w:val="2"/>
        <w:numId w:val="5"/>
      </w:numPr>
      <w:spacing w:after="80"/>
    </w:pPr>
    <w:rPr>
      <w:rFonts w:eastAsia="SimSun"/>
      <w:sz w:val="22"/>
      <w:szCs w:val="22"/>
      <w:lang w:eastAsia="zh-CN"/>
    </w:rPr>
  </w:style>
  <w:style w:type="character" w:customStyle="1" w:styleId="bulletsChar">
    <w:name w:val="bullets Char"/>
    <w:aliases w:val="bu Char,bullets Char Char,bu-2 Char,bu Char Char"/>
    <w:link w:val="bullets"/>
    <w:rsid w:val="000A662A"/>
    <w:rPr>
      <w:rFonts w:eastAsia="SimSun"/>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2726">
      <w:bodyDiv w:val="1"/>
      <w:marLeft w:val="0"/>
      <w:marRight w:val="0"/>
      <w:marTop w:val="0"/>
      <w:marBottom w:val="0"/>
      <w:divBdr>
        <w:top w:val="none" w:sz="0" w:space="0" w:color="auto"/>
        <w:left w:val="none" w:sz="0" w:space="0" w:color="auto"/>
        <w:bottom w:val="none" w:sz="0" w:space="0" w:color="auto"/>
        <w:right w:val="none" w:sz="0" w:space="0" w:color="auto"/>
      </w:divBdr>
    </w:div>
    <w:div w:id="237061592">
      <w:bodyDiv w:val="1"/>
      <w:marLeft w:val="0"/>
      <w:marRight w:val="0"/>
      <w:marTop w:val="0"/>
      <w:marBottom w:val="0"/>
      <w:divBdr>
        <w:top w:val="none" w:sz="0" w:space="0" w:color="auto"/>
        <w:left w:val="none" w:sz="0" w:space="0" w:color="auto"/>
        <w:bottom w:val="none" w:sz="0" w:space="0" w:color="auto"/>
        <w:right w:val="none" w:sz="0" w:space="0" w:color="auto"/>
      </w:divBdr>
    </w:div>
    <w:div w:id="275140580">
      <w:bodyDiv w:val="1"/>
      <w:marLeft w:val="0"/>
      <w:marRight w:val="0"/>
      <w:marTop w:val="0"/>
      <w:marBottom w:val="0"/>
      <w:divBdr>
        <w:top w:val="none" w:sz="0" w:space="0" w:color="auto"/>
        <w:left w:val="none" w:sz="0" w:space="0" w:color="auto"/>
        <w:bottom w:val="none" w:sz="0" w:space="0" w:color="auto"/>
        <w:right w:val="none" w:sz="0" w:space="0" w:color="auto"/>
      </w:divBdr>
    </w:div>
    <w:div w:id="484200287">
      <w:bodyDiv w:val="1"/>
      <w:marLeft w:val="0"/>
      <w:marRight w:val="0"/>
      <w:marTop w:val="0"/>
      <w:marBottom w:val="0"/>
      <w:divBdr>
        <w:top w:val="none" w:sz="0" w:space="0" w:color="auto"/>
        <w:left w:val="none" w:sz="0" w:space="0" w:color="auto"/>
        <w:bottom w:val="none" w:sz="0" w:space="0" w:color="auto"/>
        <w:right w:val="none" w:sz="0" w:space="0" w:color="auto"/>
      </w:divBdr>
    </w:div>
    <w:div w:id="561335259">
      <w:bodyDiv w:val="1"/>
      <w:marLeft w:val="0"/>
      <w:marRight w:val="0"/>
      <w:marTop w:val="0"/>
      <w:marBottom w:val="0"/>
      <w:divBdr>
        <w:top w:val="none" w:sz="0" w:space="0" w:color="auto"/>
        <w:left w:val="none" w:sz="0" w:space="0" w:color="auto"/>
        <w:bottom w:val="none" w:sz="0" w:space="0" w:color="auto"/>
        <w:right w:val="none" w:sz="0" w:space="0" w:color="auto"/>
      </w:divBdr>
    </w:div>
    <w:div w:id="851645449">
      <w:bodyDiv w:val="1"/>
      <w:marLeft w:val="0"/>
      <w:marRight w:val="0"/>
      <w:marTop w:val="0"/>
      <w:marBottom w:val="0"/>
      <w:divBdr>
        <w:top w:val="none" w:sz="0" w:space="0" w:color="auto"/>
        <w:left w:val="none" w:sz="0" w:space="0" w:color="auto"/>
        <w:bottom w:val="none" w:sz="0" w:space="0" w:color="auto"/>
        <w:right w:val="none" w:sz="0" w:space="0" w:color="auto"/>
      </w:divBdr>
    </w:div>
    <w:div w:id="887031297">
      <w:bodyDiv w:val="1"/>
      <w:marLeft w:val="0"/>
      <w:marRight w:val="0"/>
      <w:marTop w:val="0"/>
      <w:marBottom w:val="0"/>
      <w:divBdr>
        <w:top w:val="none" w:sz="0" w:space="0" w:color="auto"/>
        <w:left w:val="none" w:sz="0" w:space="0" w:color="auto"/>
        <w:bottom w:val="none" w:sz="0" w:space="0" w:color="auto"/>
        <w:right w:val="none" w:sz="0" w:space="0" w:color="auto"/>
      </w:divBdr>
    </w:div>
    <w:div w:id="1086338233">
      <w:bodyDiv w:val="1"/>
      <w:marLeft w:val="0"/>
      <w:marRight w:val="0"/>
      <w:marTop w:val="0"/>
      <w:marBottom w:val="0"/>
      <w:divBdr>
        <w:top w:val="none" w:sz="0" w:space="0" w:color="auto"/>
        <w:left w:val="none" w:sz="0" w:space="0" w:color="auto"/>
        <w:bottom w:val="none" w:sz="0" w:space="0" w:color="auto"/>
        <w:right w:val="none" w:sz="0" w:space="0" w:color="auto"/>
      </w:divBdr>
    </w:div>
    <w:div w:id="1176727692">
      <w:bodyDiv w:val="1"/>
      <w:marLeft w:val="0"/>
      <w:marRight w:val="0"/>
      <w:marTop w:val="0"/>
      <w:marBottom w:val="0"/>
      <w:divBdr>
        <w:top w:val="none" w:sz="0" w:space="0" w:color="auto"/>
        <w:left w:val="none" w:sz="0" w:space="0" w:color="auto"/>
        <w:bottom w:val="none" w:sz="0" w:space="0" w:color="auto"/>
        <w:right w:val="none" w:sz="0" w:space="0" w:color="auto"/>
      </w:divBdr>
    </w:div>
    <w:div w:id="1198280372">
      <w:bodyDiv w:val="1"/>
      <w:marLeft w:val="0"/>
      <w:marRight w:val="0"/>
      <w:marTop w:val="0"/>
      <w:marBottom w:val="0"/>
      <w:divBdr>
        <w:top w:val="none" w:sz="0" w:space="0" w:color="auto"/>
        <w:left w:val="none" w:sz="0" w:space="0" w:color="auto"/>
        <w:bottom w:val="none" w:sz="0" w:space="0" w:color="auto"/>
        <w:right w:val="none" w:sz="0" w:space="0" w:color="auto"/>
      </w:divBdr>
    </w:div>
    <w:div w:id="1213690847">
      <w:bodyDiv w:val="1"/>
      <w:marLeft w:val="0"/>
      <w:marRight w:val="0"/>
      <w:marTop w:val="0"/>
      <w:marBottom w:val="0"/>
      <w:divBdr>
        <w:top w:val="none" w:sz="0" w:space="0" w:color="auto"/>
        <w:left w:val="none" w:sz="0" w:space="0" w:color="auto"/>
        <w:bottom w:val="none" w:sz="0" w:space="0" w:color="auto"/>
        <w:right w:val="none" w:sz="0" w:space="0" w:color="auto"/>
      </w:divBdr>
    </w:div>
    <w:div w:id="1253275320">
      <w:bodyDiv w:val="1"/>
      <w:marLeft w:val="0"/>
      <w:marRight w:val="0"/>
      <w:marTop w:val="0"/>
      <w:marBottom w:val="0"/>
      <w:divBdr>
        <w:top w:val="none" w:sz="0" w:space="0" w:color="auto"/>
        <w:left w:val="none" w:sz="0" w:space="0" w:color="auto"/>
        <w:bottom w:val="none" w:sz="0" w:space="0" w:color="auto"/>
        <w:right w:val="none" w:sz="0" w:space="0" w:color="auto"/>
      </w:divBdr>
    </w:div>
    <w:div w:id="1266156973">
      <w:bodyDiv w:val="1"/>
      <w:marLeft w:val="0"/>
      <w:marRight w:val="0"/>
      <w:marTop w:val="0"/>
      <w:marBottom w:val="0"/>
      <w:divBdr>
        <w:top w:val="none" w:sz="0" w:space="0" w:color="auto"/>
        <w:left w:val="none" w:sz="0" w:space="0" w:color="auto"/>
        <w:bottom w:val="none" w:sz="0" w:space="0" w:color="auto"/>
        <w:right w:val="none" w:sz="0" w:space="0" w:color="auto"/>
      </w:divBdr>
    </w:div>
    <w:div w:id="1431657650">
      <w:bodyDiv w:val="1"/>
      <w:marLeft w:val="0"/>
      <w:marRight w:val="0"/>
      <w:marTop w:val="0"/>
      <w:marBottom w:val="0"/>
      <w:divBdr>
        <w:top w:val="none" w:sz="0" w:space="0" w:color="auto"/>
        <w:left w:val="none" w:sz="0" w:space="0" w:color="auto"/>
        <w:bottom w:val="none" w:sz="0" w:space="0" w:color="auto"/>
        <w:right w:val="none" w:sz="0" w:space="0" w:color="auto"/>
      </w:divBdr>
      <w:divsChild>
        <w:div w:id="949318430">
          <w:marLeft w:val="720"/>
          <w:marRight w:val="0"/>
          <w:marTop w:val="86"/>
          <w:marBottom w:val="0"/>
          <w:divBdr>
            <w:top w:val="none" w:sz="0" w:space="0" w:color="auto"/>
            <w:left w:val="none" w:sz="0" w:space="0" w:color="auto"/>
            <w:bottom w:val="none" w:sz="0" w:space="0" w:color="auto"/>
            <w:right w:val="none" w:sz="0" w:space="0" w:color="auto"/>
          </w:divBdr>
        </w:div>
        <w:div w:id="92286217">
          <w:marLeft w:val="720"/>
          <w:marRight w:val="0"/>
          <w:marTop w:val="86"/>
          <w:marBottom w:val="0"/>
          <w:divBdr>
            <w:top w:val="none" w:sz="0" w:space="0" w:color="auto"/>
            <w:left w:val="none" w:sz="0" w:space="0" w:color="auto"/>
            <w:bottom w:val="none" w:sz="0" w:space="0" w:color="auto"/>
            <w:right w:val="none" w:sz="0" w:space="0" w:color="auto"/>
          </w:divBdr>
        </w:div>
      </w:divsChild>
    </w:div>
    <w:div w:id="1468476678">
      <w:bodyDiv w:val="1"/>
      <w:marLeft w:val="0"/>
      <w:marRight w:val="0"/>
      <w:marTop w:val="0"/>
      <w:marBottom w:val="0"/>
      <w:divBdr>
        <w:top w:val="none" w:sz="0" w:space="0" w:color="auto"/>
        <w:left w:val="none" w:sz="0" w:space="0" w:color="auto"/>
        <w:bottom w:val="none" w:sz="0" w:space="0" w:color="auto"/>
        <w:right w:val="none" w:sz="0" w:space="0" w:color="auto"/>
      </w:divBdr>
    </w:div>
    <w:div w:id="1552494674">
      <w:bodyDiv w:val="1"/>
      <w:marLeft w:val="0"/>
      <w:marRight w:val="0"/>
      <w:marTop w:val="0"/>
      <w:marBottom w:val="0"/>
      <w:divBdr>
        <w:top w:val="none" w:sz="0" w:space="0" w:color="auto"/>
        <w:left w:val="none" w:sz="0" w:space="0" w:color="auto"/>
        <w:bottom w:val="none" w:sz="0" w:space="0" w:color="auto"/>
        <w:right w:val="none" w:sz="0" w:space="0" w:color="auto"/>
      </w:divBdr>
    </w:div>
    <w:div w:id="1556968265">
      <w:bodyDiv w:val="1"/>
      <w:marLeft w:val="0"/>
      <w:marRight w:val="0"/>
      <w:marTop w:val="0"/>
      <w:marBottom w:val="0"/>
      <w:divBdr>
        <w:top w:val="none" w:sz="0" w:space="0" w:color="auto"/>
        <w:left w:val="none" w:sz="0" w:space="0" w:color="auto"/>
        <w:bottom w:val="none" w:sz="0" w:space="0" w:color="auto"/>
        <w:right w:val="none" w:sz="0" w:space="0" w:color="auto"/>
      </w:divBdr>
    </w:div>
    <w:div w:id="1780101562">
      <w:bodyDiv w:val="1"/>
      <w:marLeft w:val="0"/>
      <w:marRight w:val="0"/>
      <w:marTop w:val="0"/>
      <w:marBottom w:val="0"/>
      <w:divBdr>
        <w:top w:val="none" w:sz="0" w:space="0" w:color="auto"/>
        <w:left w:val="none" w:sz="0" w:space="0" w:color="auto"/>
        <w:bottom w:val="none" w:sz="0" w:space="0" w:color="auto"/>
        <w:right w:val="none" w:sz="0" w:space="0" w:color="auto"/>
      </w:divBdr>
    </w:div>
    <w:div w:id="1808669454">
      <w:bodyDiv w:val="1"/>
      <w:marLeft w:val="0"/>
      <w:marRight w:val="0"/>
      <w:marTop w:val="0"/>
      <w:marBottom w:val="0"/>
      <w:divBdr>
        <w:top w:val="none" w:sz="0" w:space="0" w:color="auto"/>
        <w:left w:val="none" w:sz="0" w:space="0" w:color="auto"/>
        <w:bottom w:val="none" w:sz="0" w:space="0" w:color="auto"/>
        <w:right w:val="none" w:sz="0" w:space="0" w:color="auto"/>
      </w:divBdr>
    </w:div>
    <w:div w:id="1851870004">
      <w:bodyDiv w:val="1"/>
      <w:marLeft w:val="0"/>
      <w:marRight w:val="0"/>
      <w:marTop w:val="0"/>
      <w:marBottom w:val="0"/>
      <w:divBdr>
        <w:top w:val="none" w:sz="0" w:space="0" w:color="auto"/>
        <w:left w:val="none" w:sz="0" w:space="0" w:color="auto"/>
        <w:bottom w:val="none" w:sz="0" w:space="0" w:color="auto"/>
        <w:right w:val="none" w:sz="0" w:space="0" w:color="auto"/>
      </w:divBdr>
    </w:div>
    <w:div w:id="1898668475">
      <w:bodyDiv w:val="1"/>
      <w:marLeft w:val="0"/>
      <w:marRight w:val="0"/>
      <w:marTop w:val="0"/>
      <w:marBottom w:val="0"/>
      <w:divBdr>
        <w:top w:val="none" w:sz="0" w:space="0" w:color="auto"/>
        <w:left w:val="none" w:sz="0" w:space="0" w:color="auto"/>
        <w:bottom w:val="none" w:sz="0" w:space="0" w:color="auto"/>
        <w:right w:val="none" w:sz="0" w:space="0" w:color="auto"/>
      </w:divBdr>
      <w:divsChild>
        <w:div w:id="2029864027">
          <w:marLeft w:val="446"/>
          <w:marRight w:val="0"/>
          <w:marTop w:val="60"/>
          <w:marBottom w:val="0"/>
          <w:divBdr>
            <w:top w:val="none" w:sz="0" w:space="0" w:color="auto"/>
            <w:left w:val="none" w:sz="0" w:space="0" w:color="auto"/>
            <w:bottom w:val="none" w:sz="0" w:space="0" w:color="auto"/>
            <w:right w:val="none" w:sz="0" w:space="0" w:color="auto"/>
          </w:divBdr>
        </w:div>
        <w:div w:id="211691658">
          <w:marLeft w:val="446"/>
          <w:marRight w:val="0"/>
          <w:marTop w:val="60"/>
          <w:marBottom w:val="0"/>
          <w:divBdr>
            <w:top w:val="none" w:sz="0" w:space="0" w:color="auto"/>
            <w:left w:val="none" w:sz="0" w:space="0" w:color="auto"/>
            <w:bottom w:val="none" w:sz="0" w:space="0" w:color="auto"/>
            <w:right w:val="none" w:sz="0" w:space="0" w:color="auto"/>
          </w:divBdr>
        </w:div>
        <w:div w:id="444277910">
          <w:marLeft w:val="446"/>
          <w:marRight w:val="0"/>
          <w:marTop w:val="60"/>
          <w:marBottom w:val="0"/>
          <w:divBdr>
            <w:top w:val="none" w:sz="0" w:space="0" w:color="auto"/>
            <w:left w:val="none" w:sz="0" w:space="0" w:color="auto"/>
            <w:bottom w:val="none" w:sz="0" w:space="0" w:color="auto"/>
            <w:right w:val="none" w:sz="0" w:space="0" w:color="auto"/>
          </w:divBdr>
        </w:div>
        <w:div w:id="239146603">
          <w:marLeft w:val="446"/>
          <w:marRight w:val="0"/>
          <w:marTop w:val="60"/>
          <w:marBottom w:val="0"/>
          <w:divBdr>
            <w:top w:val="none" w:sz="0" w:space="0" w:color="auto"/>
            <w:left w:val="none" w:sz="0" w:space="0" w:color="auto"/>
            <w:bottom w:val="none" w:sz="0" w:space="0" w:color="auto"/>
            <w:right w:val="none" w:sz="0" w:space="0" w:color="auto"/>
          </w:divBdr>
        </w:div>
        <w:div w:id="1155338181">
          <w:marLeft w:val="446"/>
          <w:marRight w:val="0"/>
          <w:marTop w:val="60"/>
          <w:marBottom w:val="0"/>
          <w:divBdr>
            <w:top w:val="none" w:sz="0" w:space="0" w:color="auto"/>
            <w:left w:val="none" w:sz="0" w:space="0" w:color="auto"/>
            <w:bottom w:val="none" w:sz="0" w:space="0" w:color="auto"/>
            <w:right w:val="none" w:sz="0" w:space="0" w:color="auto"/>
          </w:divBdr>
        </w:div>
        <w:div w:id="1429427629">
          <w:marLeft w:val="446"/>
          <w:marRight w:val="0"/>
          <w:marTop w:val="60"/>
          <w:marBottom w:val="0"/>
          <w:divBdr>
            <w:top w:val="none" w:sz="0" w:space="0" w:color="auto"/>
            <w:left w:val="none" w:sz="0" w:space="0" w:color="auto"/>
            <w:bottom w:val="none" w:sz="0" w:space="0" w:color="auto"/>
            <w:right w:val="none" w:sz="0" w:space="0" w:color="auto"/>
          </w:divBdr>
        </w:div>
        <w:div w:id="1121261559">
          <w:marLeft w:val="446"/>
          <w:marRight w:val="0"/>
          <w:marTop w:val="60"/>
          <w:marBottom w:val="0"/>
          <w:divBdr>
            <w:top w:val="none" w:sz="0" w:space="0" w:color="auto"/>
            <w:left w:val="none" w:sz="0" w:space="0" w:color="auto"/>
            <w:bottom w:val="none" w:sz="0" w:space="0" w:color="auto"/>
            <w:right w:val="none" w:sz="0" w:space="0" w:color="auto"/>
          </w:divBdr>
        </w:div>
      </w:divsChild>
    </w:div>
    <w:div w:id="1937782159">
      <w:bodyDiv w:val="1"/>
      <w:marLeft w:val="0"/>
      <w:marRight w:val="0"/>
      <w:marTop w:val="0"/>
      <w:marBottom w:val="0"/>
      <w:divBdr>
        <w:top w:val="none" w:sz="0" w:space="0" w:color="auto"/>
        <w:left w:val="none" w:sz="0" w:space="0" w:color="auto"/>
        <w:bottom w:val="none" w:sz="0" w:space="0" w:color="auto"/>
        <w:right w:val="none" w:sz="0" w:space="0" w:color="auto"/>
      </w:divBdr>
    </w:div>
    <w:div w:id="1952662389">
      <w:bodyDiv w:val="1"/>
      <w:marLeft w:val="0"/>
      <w:marRight w:val="0"/>
      <w:marTop w:val="0"/>
      <w:marBottom w:val="0"/>
      <w:divBdr>
        <w:top w:val="none" w:sz="0" w:space="0" w:color="auto"/>
        <w:left w:val="none" w:sz="0" w:space="0" w:color="auto"/>
        <w:bottom w:val="none" w:sz="0" w:space="0" w:color="auto"/>
        <w:right w:val="none" w:sz="0" w:space="0" w:color="auto"/>
      </w:divBdr>
    </w:div>
    <w:div w:id="1972831559">
      <w:bodyDiv w:val="1"/>
      <w:marLeft w:val="0"/>
      <w:marRight w:val="0"/>
      <w:marTop w:val="0"/>
      <w:marBottom w:val="0"/>
      <w:divBdr>
        <w:top w:val="none" w:sz="0" w:space="0" w:color="auto"/>
        <w:left w:val="none" w:sz="0" w:space="0" w:color="auto"/>
        <w:bottom w:val="none" w:sz="0" w:space="0" w:color="auto"/>
        <w:right w:val="none" w:sz="0" w:space="0" w:color="auto"/>
      </w:divBdr>
    </w:div>
    <w:div w:id="2075620393">
      <w:bodyDiv w:val="1"/>
      <w:marLeft w:val="0"/>
      <w:marRight w:val="0"/>
      <w:marTop w:val="0"/>
      <w:marBottom w:val="0"/>
      <w:divBdr>
        <w:top w:val="none" w:sz="0" w:space="0" w:color="auto"/>
        <w:left w:val="none" w:sz="0" w:space="0" w:color="auto"/>
        <w:bottom w:val="none" w:sz="0" w:space="0" w:color="auto"/>
        <w:right w:val="none" w:sz="0" w:space="0" w:color="auto"/>
      </w:divBdr>
    </w:div>
    <w:div w:id="2097902990">
      <w:bodyDiv w:val="1"/>
      <w:marLeft w:val="0"/>
      <w:marRight w:val="0"/>
      <w:marTop w:val="0"/>
      <w:marBottom w:val="0"/>
      <w:divBdr>
        <w:top w:val="none" w:sz="0" w:space="0" w:color="auto"/>
        <w:left w:val="none" w:sz="0" w:space="0" w:color="auto"/>
        <w:bottom w:val="none" w:sz="0" w:space="0" w:color="auto"/>
        <w:right w:val="none" w:sz="0" w:space="0" w:color="auto"/>
      </w:divBdr>
    </w:div>
    <w:div w:id="213621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olp/page/file/1228306/download" TargetMode="External"/><Relationship Id="rId13" Type="http://schemas.openxmlformats.org/officeDocument/2006/relationships/hyperlink" Target="https://www.nflis.deadiversion.usdoj.gov/DesktopModules/ReportDownloads/Reports/13121NFLISdrugSurveyRpt6Nov29.pdf"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nam04.safelinks.protection.outlook.com/?url=https%3A%2F%2Fdoi.org%2F10.1177%2F0886260520951303&amp;data=04%7C01%7Csmiley%40rti.org%7C27b389d23be94f3d369e08d89d804598%7C2ffc2ede4d4449948082487341fa43fb%7C0%7C0%7C637432521542592883%7CUnknown%7CTWFpbGZsb3d8eyJWIjoiMC4wLjAwMDAiLCJQIjoiV2luMzIiLCJBTiI6Ik1haWwiLCJXVCI6Mn0%3D%7C1000&amp;sdata=voCnwpRXyZRc5u5AlhQTUEWXMluIBqixoAuK5obkdUQ%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sr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ojpcifs56\bjs\Crime%20Labs\2019%20Crime%20Lab%20Census\OMB\(https:\www.bjs.gov\content\pub\pdf\pffclqap14.pdf" TargetMode="External"/><Relationship Id="rId4" Type="http://schemas.openxmlformats.org/officeDocument/2006/relationships/settings" Target="settings.xml"/><Relationship Id="rId9" Type="http://schemas.openxmlformats.org/officeDocument/2006/relationships/hyperlink" Target="https://www.bjs.gov/content/pub/pdf/pffclrs14.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ncjrs.gov/pdffiles1/nij/250552.pdf" TargetMode="External"/><Relationship Id="rId13" Type="http://schemas.openxmlformats.org/officeDocument/2006/relationships/hyperlink" Target="https://www.rand.org/pubs/research_reports/RR3209.html." TargetMode="External"/><Relationship Id="rId3" Type="http://schemas.openxmlformats.org/officeDocument/2006/relationships/hyperlink" Target="https://www.ncjrs.gov/pdffiles1/nij/253626.pdf" TargetMode="External"/><Relationship Id="rId7" Type="http://schemas.openxmlformats.org/officeDocument/2006/relationships/hyperlink" Target="https://www.justice.gov/olp/page/file/1228306/download" TargetMode="External"/><Relationship Id="rId12" Type="http://schemas.openxmlformats.org/officeDocument/2006/relationships/hyperlink" Target="https://pcms.icpsr.umich.edu/pcms/reports/studies/36759/utilization" TargetMode="External"/><Relationship Id="rId2" Type="http://schemas.openxmlformats.org/officeDocument/2006/relationships/hyperlink" Target="https://www.bjs.gov/content/pub/pdf/pffclrs14.pdf" TargetMode="External"/><Relationship Id="rId1" Type="http://schemas.openxmlformats.org/officeDocument/2006/relationships/hyperlink" Target="https://www.bjs.gov/content/pub/pdf/cpffcl05.pdf" TargetMode="External"/><Relationship Id="rId6" Type="http://schemas.openxmlformats.org/officeDocument/2006/relationships/hyperlink" Target="https://republicans-science.house.gov/sites/republicans.science.house.gov/files/2019-09-10%20Testimony%20Gamette.pdf" TargetMode="External"/><Relationship Id="rId11" Type="http://schemas.openxmlformats.org/officeDocument/2006/relationships/hyperlink" Target="https://www.govinfo.gov/content/pkg/CHRG-115hhrg26993/html/CHRG-115hhrg26993.htm" TargetMode="External"/><Relationship Id="rId5" Type="http://schemas.openxmlformats.org/officeDocument/2006/relationships/hyperlink" Target="https://www.justice.gov/olp/page/file/1228306/download" TargetMode="External"/><Relationship Id="rId10" Type="http://schemas.openxmlformats.org/officeDocument/2006/relationships/hyperlink" Target="https://www.txcourts.gov/media/1440436/forensic-technology-center-of-excellence-report-on-state-forensic-science-commissions.pdf" TargetMode="External"/><Relationship Id="rId4" Type="http://schemas.openxmlformats.org/officeDocument/2006/relationships/hyperlink" Target="https://www.bjs.gov/content/pub/pdf/pffclrs14.pdf" TargetMode="External"/><Relationship Id="rId9" Type="http://schemas.openxmlformats.org/officeDocument/2006/relationships/hyperlink" Target="https://nij.ojp.gov/topics/articles/sexual-assault-cases-exploring-importance-non-dna-forensic-evidence" TargetMode="External"/><Relationship Id="rId14" Type="http://schemas.openxmlformats.org/officeDocument/2006/relationships/hyperlink" Target="https://nij.ojp.gov/funding/awards/2020-dq-bx-0016"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8659B-C323-458E-9BD9-BDF1E994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7513</Words>
  <Characters>42827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 Snyder</dc:creator>
  <cp:lastModifiedBy>Brooks, Connor (OJP)</cp:lastModifiedBy>
  <cp:revision>10</cp:revision>
  <cp:lastPrinted>2013-02-12T20:02:00Z</cp:lastPrinted>
  <dcterms:created xsi:type="dcterms:W3CDTF">2021-03-16T14:18:00Z</dcterms:created>
  <dcterms:modified xsi:type="dcterms:W3CDTF">2021-03-23T12:12:00Z</dcterms:modified>
</cp:coreProperties>
</file>