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720" w:rsidR="00561732" w:rsidP="007A536F" w:rsidRDefault="00561732" w14:paraId="54464192" w14:textId="07DB3635">
      <w:pPr>
        <w:rPr>
          <w:b/>
          <w:bCs/>
        </w:rPr>
      </w:pPr>
      <w:r w:rsidRPr="00950720">
        <w:rPr>
          <w:b/>
          <w:bCs/>
        </w:rPr>
        <w:t>SUPPORTING STATEMENT – Part B</w:t>
      </w:r>
    </w:p>
    <w:p w:rsidRPr="00950720" w:rsidR="00561732" w:rsidP="007A536F" w:rsidRDefault="00561732" w14:paraId="4E1B7216" w14:textId="4C9B655C">
      <w:pPr>
        <w:pStyle w:val="ListParagraph"/>
        <w:ind w:left="0"/>
        <w:contextualSpacing w:val="0"/>
      </w:pPr>
    </w:p>
    <w:p w:rsidRPr="00950720" w:rsidR="00561732" w:rsidP="007A536F" w:rsidRDefault="00561732" w14:paraId="264E6DC2" w14:textId="77777777">
      <w:pPr>
        <w:rPr>
          <w:b/>
          <w:bCs/>
        </w:rPr>
      </w:pPr>
    </w:p>
    <w:p w:rsidRPr="00950720" w:rsidR="00561732" w:rsidP="007A536F" w:rsidRDefault="006F4BDC" w14:paraId="29D57EA6" w14:textId="2BC37C82">
      <w:pPr>
        <w:rPr>
          <w:b/>
          <w:bCs/>
        </w:rPr>
      </w:pPr>
      <w:r w:rsidRPr="00950720">
        <w:rPr>
          <w:b/>
          <w:bCs/>
        </w:rPr>
        <w:t>20</w:t>
      </w:r>
      <w:r w:rsidRPr="00950720" w:rsidR="00CC783D">
        <w:rPr>
          <w:b/>
          <w:bCs/>
        </w:rPr>
        <w:t>20</w:t>
      </w:r>
      <w:r w:rsidRPr="00950720" w:rsidR="002B50D1">
        <w:rPr>
          <w:b/>
          <w:bCs/>
        </w:rPr>
        <w:t xml:space="preserve"> </w:t>
      </w:r>
      <w:r w:rsidRPr="00950720" w:rsidR="00CC783D">
        <w:rPr>
          <w:b/>
          <w:bCs/>
        </w:rPr>
        <w:t xml:space="preserve">Census of Publicly Funded Forensic Crime Laboratories </w:t>
      </w:r>
      <w:r w:rsidRPr="00950720" w:rsidR="00851149">
        <w:rPr>
          <w:b/>
          <w:bCs/>
        </w:rPr>
        <w:t>(C</w:t>
      </w:r>
      <w:r w:rsidRPr="00950720" w:rsidR="00CC783D">
        <w:rPr>
          <w:b/>
          <w:bCs/>
        </w:rPr>
        <w:t>PFFCL</w:t>
      </w:r>
      <w:r w:rsidRPr="00950720" w:rsidR="00851149">
        <w:rPr>
          <w:b/>
          <w:bCs/>
        </w:rPr>
        <w:t>)</w:t>
      </w:r>
      <w:r w:rsidRPr="00950720" w:rsidR="00561732">
        <w:rPr>
          <w:b/>
          <w:bCs/>
        </w:rPr>
        <w:t xml:space="preserve"> </w:t>
      </w:r>
    </w:p>
    <w:p w:rsidRPr="00950720" w:rsidR="00561732" w:rsidP="007A536F" w:rsidRDefault="00561732" w14:paraId="68709A78" w14:textId="77777777">
      <w:pPr>
        <w:pStyle w:val="ListParagraph"/>
        <w:ind w:left="0"/>
        <w:contextualSpacing w:val="0"/>
        <w:rPr>
          <w:b/>
          <w:bCs/>
        </w:rPr>
      </w:pPr>
    </w:p>
    <w:p w:rsidRPr="00950720" w:rsidR="00421095" w:rsidP="007A536F" w:rsidRDefault="00421095" w14:paraId="2E291C4C" w14:textId="77777777"/>
    <w:p w:rsidRPr="00950720" w:rsidR="00421095" w:rsidP="007A536F" w:rsidRDefault="00421095" w14:paraId="7A2F66BF" w14:textId="77777777">
      <w:pPr>
        <w:pStyle w:val="ListParagraph"/>
        <w:numPr>
          <w:ilvl w:val="0"/>
          <w:numId w:val="5"/>
        </w:numPr>
        <w:ind w:left="360"/>
        <w:contextualSpacing w:val="0"/>
        <w:rPr>
          <w:b/>
          <w:u w:val="single"/>
        </w:rPr>
      </w:pPr>
      <w:r w:rsidRPr="00950720">
        <w:rPr>
          <w:b/>
          <w:u w:val="single"/>
        </w:rPr>
        <w:t>Universe and Respondent Selection</w:t>
      </w:r>
    </w:p>
    <w:p w:rsidRPr="00950720" w:rsidR="00421095" w:rsidP="007A536F" w:rsidRDefault="00421095" w14:paraId="0785B71C" w14:textId="77777777">
      <w:pPr>
        <w:pStyle w:val="SP-SglSpPara"/>
        <w:tabs>
          <w:tab w:val="clear" w:pos="576"/>
        </w:tabs>
        <w:spacing w:line="240" w:lineRule="auto"/>
        <w:ind w:firstLine="0"/>
        <w:jc w:val="left"/>
        <w:rPr>
          <w:sz w:val="24"/>
          <w:szCs w:val="24"/>
        </w:rPr>
      </w:pPr>
    </w:p>
    <w:p w:rsidRPr="00950720" w:rsidR="00233985" w:rsidP="007A536F" w:rsidRDefault="00421095" w14:paraId="3457DE3E" w14:textId="0AD72DF8">
      <w:r w:rsidRPr="00950720">
        <w:t xml:space="preserve">The </w:t>
      </w:r>
      <w:r w:rsidRPr="00950720" w:rsidR="00851149">
        <w:rPr>
          <w:b/>
          <w:bCs/>
        </w:rPr>
        <w:t>20</w:t>
      </w:r>
      <w:r w:rsidRPr="00950720" w:rsidR="00CC783D">
        <w:rPr>
          <w:b/>
          <w:bCs/>
        </w:rPr>
        <w:t>20</w:t>
      </w:r>
      <w:r w:rsidRPr="00950720" w:rsidR="00851149">
        <w:rPr>
          <w:b/>
          <w:bCs/>
        </w:rPr>
        <w:t xml:space="preserve"> Census of </w:t>
      </w:r>
      <w:r w:rsidRPr="00950720" w:rsidR="00CC783D">
        <w:rPr>
          <w:b/>
          <w:bCs/>
        </w:rPr>
        <w:t>Publicly Funded Forensic Crime Laboratories</w:t>
      </w:r>
      <w:r w:rsidRPr="00950720" w:rsidR="00851149">
        <w:rPr>
          <w:b/>
          <w:bCs/>
        </w:rPr>
        <w:t xml:space="preserve"> (</w:t>
      </w:r>
      <w:r w:rsidRPr="00950720" w:rsidR="00CC783D">
        <w:rPr>
          <w:b/>
          <w:bCs/>
        </w:rPr>
        <w:t>CPFFCL</w:t>
      </w:r>
      <w:r w:rsidRPr="00950720" w:rsidR="00851149">
        <w:rPr>
          <w:b/>
          <w:bCs/>
        </w:rPr>
        <w:t xml:space="preserve">) </w:t>
      </w:r>
      <w:r w:rsidRPr="00950720">
        <w:t xml:space="preserve">will </w:t>
      </w:r>
      <w:r w:rsidRPr="00950720" w:rsidR="002F54E1">
        <w:t xml:space="preserve">use </w:t>
      </w:r>
      <w:r w:rsidRPr="00950720">
        <w:t xml:space="preserve">procedures successfully employed in the prior </w:t>
      </w:r>
      <w:r w:rsidRPr="00950720" w:rsidR="00C0192C">
        <w:t>administration</w:t>
      </w:r>
      <w:r w:rsidRPr="00950720" w:rsidR="008378EB">
        <w:t xml:space="preserve"> of </w:t>
      </w:r>
      <w:r w:rsidRPr="00950720" w:rsidR="002F54E1">
        <w:t>20</w:t>
      </w:r>
      <w:r w:rsidRPr="00950720" w:rsidR="00CC783D">
        <w:t>1</w:t>
      </w:r>
      <w:r w:rsidRPr="00950720" w:rsidR="002F54E1">
        <w:t xml:space="preserve">4 </w:t>
      </w:r>
      <w:r w:rsidRPr="00950720" w:rsidR="00CC783D">
        <w:t>CPFFCL</w:t>
      </w:r>
      <w:r w:rsidRPr="00950720" w:rsidR="008378EB">
        <w:t xml:space="preserve"> </w:t>
      </w:r>
      <w:r w:rsidRPr="00950720">
        <w:t>to identify the universe of eligible</w:t>
      </w:r>
      <w:r w:rsidRPr="00950720" w:rsidR="00CC7CB4">
        <w:t xml:space="preserve"> </w:t>
      </w:r>
      <w:r w:rsidRPr="00950720" w:rsidR="00E63DD9">
        <w:t>laboratories</w:t>
      </w:r>
      <w:r w:rsidRPr="00950720" w:rsidR="00CC7CB4">
        <w:t xml:space="preserve">. </w:t>
      </w:r>
      <w:r w:rsidRPr="00950720" w:rsidR="000953EF">
        <w:t>This data collection is directed to federal, state, county, and municipal crime lab</w:t>
      </w:r>
      <w:r w:rsidRPr="00950720" w:rsidR="00420F1F">
        <w:t>oratorie</w:t>
      </w:r>
      <w:r w:rsidRPr="00950720" w:rsidR="000953EF">
        <w:t>s that are funded solely by the government or whose parent organization is a government agency. The CPFFCL includes agencies that employ one or more full-time scientists (1) with a minimum of a bachelor’s degree in chemistry, physics, biology, criminalistics, or a closely related forensic science field, and (2) whose principal function is examining physical evidence in criminal matters and providing reports and testimony to courts of law regarding such evidence.</w:t>
      </w:r>
      <w:r w:rsidRPr="00950720" w:rsidR="00B4474B">
        <w:t xml:space="preserve"> </w:t>
      </w:r>
    </w:p>
    <w:p w:rsidRPr="00950720" w:rsidR="000953EF" w:rsidP="007A536F" w:rsidRDefault="000953EF" w14:paraId="5384C562" w14:textId="77777777">
      <w:pPr>
        <w:pStyle w:val="SP-SglSpPara"/>
        <w:tabs>
          <w:tab w:val="clear" w:pos="576"/>
        </w:tabs>
        <w:ind w:firstLine="0"/>
        <w:jc w:val="left"/>
        <w:rPr>
          <w:sz w:val="24"/>
          <w:szCs w:val="24"/>
        </w:rPr>
      </w:pPr>
    </w:p>
    <w:p w:rsidRPr="00950720" w:rsidR="000953EF" w:rsidP="007A536F" w:rsidRDefault="000953EF" w14:paraId="598F3E12" w14:textId="6D32BC38">
      <w:pPr>
        <w:pStyle w:val="SP-SglSpPara"/>
        <w:tabs>
          <w:tab w:val="clear" w:pos="576"/>
        </w:tabs>
        <w:ind w:firstLine="0"/>
        <w:jc w:val="left"/>
        <w:rPr>
          <w:sz w:val="24"/>
          <w:szCs w:val="24"/>
        </w:rPr>
      </w:pPr>
      <w:r w:rsidRPr="00950720">
        <w:rPr>
          <w:sz w:val="24"/>
          <w:szCs w:val="24"/>
        </w:rPr>
        <w:t>The initial frame for the 20</w:t>
      </w:r>
      <w:r w:rsidRPr="00950720" w:rsidR="00420F1F">
        <w:rPr>
          <w:sz w:val="24"/>
          <w:szCs w:val="24"/>
        </w:rPr>
        <w:t>20 CPFFCL</w:t>
      </w:r>
      <w:r w:rsidRPr="00950720">
        <w:rPr>
          <w:sz w:val="24"/>
          <w:szCs w:val="24"/>
        </w:rPr>
        <w:t xml:space="preserve"> was provided </w:t>
      </w:r>
      <w:r w:rsidR="00E75C22">
        <w:rPr>
          <w:sz w:val="24"/>
          <w:szCs w:val="24"/>
        </w:rPr>
        <w:t>by</w:t>
      </w:r>
      <w:r w:rsidRPr="00950720" w:rsidR="00E75C22">
        <w:rPr>
          <w:sz w:val="24"/>
          <w:szCs w:val="24"/>
        </w:rPr>
        <w:t xml:space="preserve"> </w:t>
      </w:r>
      <w:r w:rsidRPr="00950720">
        <w:rPr>
          <w:sz w:val="24"/>
          <w:szCs w:val="24"/>
        </w:rPr>
        <w:t xml:space="preserve">BJS </w:t>
      </w:r>
      <w:r w:rsidRPr="00950720" w:rsidR="00420F1F">
        <w:rPr>
          <w:sz w:val="24"/>
          <w:szCs w:val="24"/>
        </w:rPr>
        <w:t xml:space="preserve">to RTI based on the 2014 </w:t>
      </w:r>
      <w:r w:rsidR="00E75C22">
        <w:rPr>
          <w:sz w:val="24"/>
          <w:szCs w:val="24"/>
        </w:rPr>
        <w:t>CPFFCL</w:t>
      </w:r>
      <w:r w:rsidRPr="00950720">
        <w:rPr>
          <w:sz w:val="24"/>
          <w:szCs w:val="24"/>
        </w:rPr>
        <w:t xml:space="preserve">. </w:t>
      </w:r>
      <w:r w:rsidRPr="00950720" w:rsidR="00420F1F">
        <w:rPr>
          <w:sz w:val="24"/>
          <w:szCs w:val="24"/>
        </w:rPr>
        <w:t xml:space="preserve">In addition, BJS supplied RTI with </w:t>
      </w:r>
      <w:r w:rsidR="009A4732">
        <w:rPr>
          <w:sz w:val="24"/>
          <w:szCs w:val="24"/>
        </w:rPr>
        <w:t>list of recent recipients of grants under the Paul Coverdell Forensic Science Improvement Grants Program to determine if any eligible laboratories were on that list that were not on the 2014 CPFFCL frame</w:t>
      </w:r>
      <w:r w:rsidRPr="00950720" w:rsidR="00420F1F">
        <w:rPr>
          <w:sz w:val="24"/>
          <w:szCs w:val="24"/>
        </w:rPr>
        <w:t xml:space="preserve">. The Drug Enforcement Administration granted </w:t>
      </w:r>
      <w:r w:rsidR="009A4732">
        <w:rPr>
          <w:sz w:val="24"/>
          <w:szCs w:val="24"/>
        </w:rPr>
        <w:t>BJS</w:t>
      </w:r>
      <w:r w:rsidRPr="00950720" w:rsidR="009A4732">
        <w:rPr>
          <w:sz w:val="24"/>
          <w:szCs w:val="24"/>
        </w:rPr>
        <w:t xml:space="preserve"> </w:t>
      </w:r>
      <w:r w:rsidRPr="00950720" w:rsidR="00420F1F">
        <w:rPr>
          <w:sz w:val="24"/>
          <w:szCs w:val="24"/>
        </w:rPr>
        <w:t xml:space="preserve">permission to use its NFLIS-Drug </w:t>
      </w:r>
      <w:r w:rsidRPr="00950720" w:rsidR="009A4732">
        <w:rPr>
          <w:sz w:val="24"/>
          <w:szCs w:val="24"/>
        </w:rPr>
        <w:t>(OMB Clearance #1117-0034)</w:t>
      </w:r>
      <w:r w:rsidR="009A4732">
        <w:rPr>
          <w:sz w:val="24"/>
          <w:szCs w:val="24"/>
        </w:rPr>
        <w:t xml:space="preserve"> </w:t>
      </w:r>
      <w:r w:rsidRPr="00950720" w:rsidR="00420F1F">
        <w:rPr>
          <w:sz w:val="24"/>
          <w:szCs w:val="24"/>
        </w:rPr>
        <w:t xml:space="preserve">frame to ensure </w:t>
      </w:r>
      <w:r w:rsidR="009A4732">
        <w:rPr>
          <w:sz w:val="24"/>
          <w:szCs w:val="24"/>
        </w:rPr>
        <w:t>laboratories not on the 2014 CPFFCL frame but surveyed as part of NFLIS were not overlooked</w:t>
      </w:r>
      <w:r w:rsidRPr="00950720" w:rsidR="00420F1F">
        <w:rPr>
          <w:sz w:val="24"/>
          <w:szCs w:val="24"/>
        </w:rPr>
        <w:t xml:space="preserve">. </w:t>
      </w:r>
      <w:r w:rsidRPr="00950720">
        <w:rPr>
          <w:sz w:val="24"/>
          <w:szCs w:val="24"/>
        </w:rPr>
        <w:t xml:space="preserve">Based on these </w:t>
      </w:r>
      <w:r w:rsidRPr="00950720" w:rsidR="00420F1F">
        <w:rPr>
          <w:sz w:val="24"/>
          <w:szCs w:val="24"/>
        </w:rPr>
        <w:t>resources</w:t>
      </w:r>
      <w:r w:rsidRPr="00950720">
        <w:rPr>
          <w:sz w:val="24"/>
          <w:szCs w:val="24"/>
        </w:rPr>
        <w:t xml:space="preserve">, BJS </w:t>
      </w:r>
      <w:r w:rsidR="00E75C22">
        <w:rPr>
          <w:sz w:val="24"/>
          <w:szCs w:val="24"/>
        </w:rPr>
        <w:t xml:space="preserve">plans to contact approximately </w:t>
      </w:r>
      <w:r w:rsidRPr="00950720" w:rsidR="00420F1F">
        <w:rPr>
          <w:sz w:val="24"/>
          <w:szCs w:val="24"/>
        </w:rPr>
        <w:t>500 laboratories</w:t>
      </w:r>
      <w:r w:rsidRPr="00950720">
        <w:rPr>
          <w:sz w:val="24"/>
          <w:szCs w:val="24"/>
        </w:rPr>
        <w:t xml:space="preserve"> </w:t>
      </w:r>
      <w:r w:rsidRPr="00950720" w:rsidR="00420F1F">
        <w:rPr>
          <w:sz w:val="24"/>
          <w:szCs w:val="24"/>
        </w:rPr>
        <w:t>for the 2020 CPFFCL</w:t>
      </w:r>
      <w:r w:rsidRPr="00950720">
        <w:rPr>
          <w:sz w:val="24"/>
          <w:szCs w:val="24"/>
        </w:rPr>
        <w:t>.</w:t>
      </w:r>
    </w:p>
    <w:p w:rsidRPr="00950720" w:rsidR="000953EF" w:rsidP="007A536F" w:rsidRDefault="000953EF" w14:paraId="04C09199" w14:textId="77777777">
      <w:pPr>
        <w:pStyle w:val="SP-SglSpPara"/>
        <w:tabs>
          <w:tab w:val="clear" w:pos="576"/>
        </w:tabs>
        <w:spacing w:line="240" w:lineRule="auto"/>
        <w:ind w:firstLine="0"/>
        <w:jc w:val="left"/>
        <w:rPr>
          <w:sz w:val="24"/>
          <w:szCs w:val="24"/>
        </w:rPr>
      </w:pPr>
    </w:p>
    <w:p w:rsidRPr="00950720" w:rsidR="000953EF" w:rsidP="007A536F" w:rsidRDefault="000953EF" w14:paraId="25B3B520" w14:textId="4E6BAE26">
      <w:pPr>
        <w:pStyle w:val="SP-SglSpPara"/>
        <w:tabs>
          <w:tab w:val="clear" w:pos="576"/>
        </w:tabs>
        <w:ind w:firstLine="0"/>
        <w:jc w:val="left"/>
        <w:rPr>
          <w:sz w:val="24"/>
          <w:szCs w:val="24"/>
        </w:rPr>
      </w:pPr>
      <w:r w:rsidRPr="00950720">
        <w:rPr>
          <w:sz w:val="24"/>
          <w:szCs w:val="24"/>
        </w:rPr>
        <w:t>Based on an OMB generic clearance approval (</w:t>
      </w:r>
      <w:bookmarkStart w:name="_Hlk58526531" w:id="0"/>
      <w:r w:rsidRPr="00950720" w:rsidR="002D325C">
        <w:rPr>
          <w:sz w:val="24"/>
          <w:szCs w:val="24"/>
        </w:rPr>
        <w:t>1121-0339</w:t>
      </w:r>
      <w:bookmarkEnd w:id="0"/>
      <w:r w:rsidRPr="00950720">
        <w:rPr>
          <w:sz w:val="24"/>
          <w:szCs w:val="24"/>
        </w:rPr>
        <w:t xml:space="preserve">), RTI </w:t>
      </w:r>
      <w:r w:rsidRPr="00950720" w:rsidR="002D325C">
        <w:rPr>
          <w:sz w:val="24"/>
          <w:szCs w:val="24"/>
        </w:rPr>
        <w:t>will soon</w:t>
      </w:r>
      <w:r w:rsidRPr="00950720">
        <w:rPr>
          <w:sz w:val="24"/>
          <w:szCs w:val="24"/>
        </w:rPr>
        <w:t xml:space="preserve"> conduct a frame verification effort. </w:t>
      </w:r>
      <w:r w:rsidRPr="00950720" w:rsidR="00A409D5">
        <w:rPr>
          <w:sz w:val="24"/>
          <w:szCs w:val="24"/>
        </w:rPr>
        <w:t xml:space="preserve">Of the 409 laboratories </w:t>
      </w:r>
      <w:r w:rsidR="00E75C22">
        <w:rPr>
          <w:sz w:val="24"/>
          <w:szCs w:val="24"/>
        </w:rPr>
        <w:t>in</w:t>
      </w:r>
      <w:r w:rsidRPr="00950720" w:rsidR="00A409D5">
        <w:rPr>
          <w:sz w:val="24"/>
          <w:szCs w:val="24"/>
        </w:rPr>
        <w:t xml:space="preserve"> the 2014 CPFFCL, 172 were surveyed as part of the NFLIS-Drug Survey of Crime Laboratory Drug Chemistry Sections survey in 2019. All but seven of those laboratories had at least some interaction with the NFLIS study team through prompting calls, data quality follow</w:t>
      </w:r>
      <w:r w:rsidR="00235097">
        <w:rPr>
          <w:sz w:val="24"/>
          <w:szCs w:val="24"/>
        </w:rPr>
        <w:t>-</w:t>
      </w:r>
      <w:r w:rsidRPr="00950720" w:rsidR="00A409D5">
        <w:rPr>
          <w:sz w:val="24"/>
          <w:szCs w:val="24"/>
        </w:rPr>
        <w:t xml:space="preserve">up calls, or nonresponse follow-up calls. The verification effort will include those seven laboratories that were not contacted for or did not respond to the 2019 NFLIS survey and the 237 forensic laboratories that were not part of the 2019 NFLIS survey effort because they lacked drug chemistry sections. As part of obtaining this information, the project team will conduct internet searches and </w:t>
      </w:r>
      <w:r w:rsidRPr="00950720" w:rsidR="008F20F3">
        <w:rPr>
          <w:sz w:val="24"/>
          <w:szCs w:val="24"/>
        </w:rPr>
        <w:t>u</w:t>
      </w:r>
      <w:r w:rsidRPr="00950720" w:rsidR="00A409D5">
        <w:rPr>
          <w:sz w:val="24"/>
          <w:szCs w:val="24"/>
        </w:rPr>
        <w:t>s</w:t>
      </w:r>
      <w:r w:rsidRPr="00950720" w:rsidR="008F20F3">
        <w:rPr>
          <w:sz w:val="24"/>
          <w:szCs w:val="24"/>
        </w:rPr>
        <w:t>e</w:t>
      </w:r>
      <w:r w:rsidRPr="00950720" w:rsidR="00A409D5">
        <w:rPr>
          <w:sz w:val="24"/>
          <w:szCs w:val="24"/>
        </w:rPr>
        <w:t xml:space="preserve"> the list of</w:t>
      </w:r>
      <w:r w:rsidR="009A4732">
        <w:rPr>
          <w:sz w:val="24"/>
          <w:szCs w:val="24"/>
        </w:rPr>
        <w:t xml:space="preserve"> recent</w:t>
      </w:r>
      <w:r w:rsidRPr="00950720" w:rsidR="00A409D5">
        <w:rPr>
          <w:sz w:val="24"/>
          <w:szCs w:val="24"/>
        </w:rPr>
        <w:t xml:space="preserve"> Paul Coverdell grantees. Because this is a community that is regularly surveyed by BJS and b</w:t>
      </w:r>
      <w:r w:rsidRPr="00950720" w:rsidR="00E63DD9">
        <w:rPr>
          <w:sz w:val="24"/>
          <w:szCs w:val="24"/>
        </w:rPr>
        <w:t>y</w:t>
      </w:r>
      <w:r w:rsidRPr="00950720" w:rsidR="00A409D5">
        <w:rPr>
          <w:sz w:val="24"/>
          <w:szCs w:val="24"/>
        </w:rPr>
        <w:t xml:space="preserve"> DEA, it is not anticipated that internet searches and list comparisons will yield more than 50 new laboratories. Thus, we anticipate about 300 laboratories will require verification calling efforts. BJS expects to the verification effort to commence in </w:t>
      </w:r>
      <w:r w:rsidRPr="00950720" w:rsidR="00E63DD9">
        <w:rPr>
          <w:sz w:val="24"/>
          <w:szCs w:val="24"/>
        </w:rPr>
        <w:t>March</w:t>
      </w:r>
      <w:r w:rsidRPr="00950720" w:rsidR="00A409D5">
        <w:rPr>
          <w:sz w:val="24"/>
          <w:szCs w:val="24"/>
        </w:rPr>
        <w:t xml:space="preserve"> 2021.</w:t>
      </w:r>
    </w:p>
    <w:p w:rsidRPr="00950720" w:rsidR="00A409D5" w:rsidP="007A536F" w:rsidRDefault="00A409D5" w14:paraId="258DA2FB" w14:textId="77777777">
      <w:pPr>
        <w:pStyle w:val="SP-SglSpPara"/>
        <w:tabs>
          <w:tab w:val="clear" w:pos="576"/>
        </w:tabs>
        <w:jc w:val="left"/>
        <w:rPr>
          <w:sz w:val="24"/>
          <w:szCs w:val="24"/>
        </w:rPr>
      </w:pPr>
    </w:p>
    <w:p w:rsidRPr="00950720" w:rsidR="000953EF" w:rsidP="007A536F" w:rsidRDefault="000953EF" w14:paraId="508485A2" w14:textId="6871323B">
      <w:pPr>
        <w:pStyle w:val="SP-SglSpPara"/>
        <w:tabs>
          <w:tab w:val="clear" w:pos="576"/>
        </w:tabs>
        <w:ind w:firstLine="0"/>
        <w:jc w:val="left"/>
        <w:rPr>
          <w:sz w:val="24"/>
          <w:szCs w:val="24"/>
        </w:rPr>
      </w:pPr>
      <w:r w:rsidRPr="00950720">
        <w:rPr>
          <w:sz w:val="24"/>
          <w:szCs w:val="24"/>
        </w:rPr>
        <w:t xml:space="preserve">The information gleaned from this effort will be combined to produce a current universe list of </w:t>
      </w:r>
      <w:r w:rsidRPr="00950720" w:rsidR="00A409D5">
        <w:rPr>
          <w:sz w:val="24"/>
          <w:szCs w:val="24"/>
        </w:rPr>
        <w:t>laboratorie</w:t>
      </w:r>
      <w:r w:rsidRPr="00950720">
        <w:rPr>
          <w:sz w:val="24"/>
          <w:szCs w:val="24"/>
        </w:rPr>
        <w:t xml:space="preserve">s. Any duplicates will be identified and removed by examining the file for identical or nearly identical addresses, phone numbers, or names of the </w:t>
      </w:r>
      <w:r w:rsidRPr="00950720" w:rsidR="00A409D5">
        <w:rPr>
          <w:sz w:val="24"/>
          <w:szCs w:val="24"/>
        </w:rPr>
        <w:t>laboratory director</w:t>
      </w:r>
      <w:r w:rsidRPr="00950720">
        <w:rPr>
          <w:sz w:val="24"/>
          <w:szCs w:val="24"/>
        </w:rPr>
        <w:t xml:space="preserve">. From this verification effort, BJS is estimating up to </w:t>
      </w:r>
      <w:r w:rsidRPr="00950720" w:rsidR="00A409D5">
        <w:rPr>
          <w:sz w:val="24"/>
          <w:szCs w:val="24"/>
        </w:rPr>
        <w:t xml:space="preserve">500 laboratories </w:t>
      </w:r>
      <w:r w:rsidRPr="00950720">
        <w:rPr>
          <w:sz w:val="24"/>
          <w:szCs w:val="24"/>
        </w:rPr>
        <w:t xml:space="preserve">may be contacted for the </w:t>
      </w:r>
      <w:r w:rsidRPr="00950720" w:rsidR="00A409D5">
        <w:rPr>
          <w:sz w:val="24"/>
          <w:szCs w:val="24"/>
        </w:rPr>
        <w:t>2020 CPFFCL.</w:t>
      </w:r>
    </w:p>
    <w:p w:rsidRPr="00950720" w:rsidR="00420F1F" w:rsidP="007A536F" w:rsidRDefault="00420F1F" w14:paraId="39082426" w14:textId="77777777">
      <w:pPr>
        <w:pStyle w:val="SP-SglSpPara"/>
        <w:tabs>
          <w:tab w:val="clear" w:pos="576"/>
        </w:tabs>
        <w:jc w:val="left"/>
        <w:rPr>
          <w:sz w:val="24"/>
          <w:szCs w:val="24"/>
        </w:rPr>
      </w:pPr>
    </w:p>
    <w:p w:rsidRPr="00950720" w:rsidR="000953EF" w:rsidP="007A536F" w:rsidRDefault="000953EF" w14:paraId="07076F72" w14:textId="66BB6FB7">
      <w:pPr>
        <w:pStyle w:val="SP-SglSpPara"/>
        <w:tabs>
          <w:tab w:val="clear" w:pos="576"/>
        </w:tabs>
        <w:ind w:firstLine="0"/>
        <w:jc w:val="left"/>
        <w:rPr>
          <w:sz w:val="24"/>
          <w:szCs w:val="24"/>
        </w:rPr>
      </w:pPr>
      <w:r w:rsidRPr="00950720">
        <w:rPr>
          <w:sz w:val="24"/>
          <w:szCs w:val="24"/>
        </w:rPr>
        <w:t xml:space="preserve">The </w:t>
      </w:r>
      <w:r w:rsidRPr="00950720" w:rsidR="00A409D5">
        <w:rPr>
          <w:sz w:val="24"/>
          <w:szCs w:val="24"/>
        </w:rPr>
        <w:t>2020 CPFFCL</w:t>
      </w:r>
      <w:r w:rsidRPr="00950720">
        <w:rPr>
          <w:sz w:val="24"/>
          <w:szCs w:val="24"/>
        </w:rPr>
        <w:t xml:space="preserve"> will be a census rather than a sample survey. The reasons for this decision include:</w:t>
      </w:r>
    </w:p>
    <w:p w:rsidRPr="00950720" w:rsidR="00A409D5" w:rsidP="007A536F" w:rsidRDefault="00A409D5" w14:paraId="3FB9B9D7" w14:textId="77777777">
      <w:pPr>
        <w:pStyle w:val="SP-SglSpPara"/>
        <w:tabs>
          <w:tab w:val="clear" w:pos="576"/>
        </w:tabs>
        <w:jc w:val="left"/>
        <w:rPr>
          <w:sz w:val="24"/>
          <w:szCs w:val="24"/>
        </w:rPr>
      </w:pPr>
    </w:p>
    <w:p w:rsidRPr="00950720" w:rsidR="000953EF" w:rsidP="007A536F" w:rsidRDefault="000953EF" w14:paraId="434B28DA" w14:textId="741B61C2">
      <w:pPr>
        <w:pStyle w:val="SP-SglSpPara"/>
        <w:numPr>
          <w:ilvl w:val="0"/>
          <w:numId w:val="26"/>
        </w:numPr>
        <w:tabs>
          <w:tab w:val="clear" w:pos="576"/>
        </w:tabs>
        <w:jc w:val="left"/>
        <w:rPr>
          <w:sz w:val="24"/>
          <w:szCs w:val="24"/>
        </w:rPr>
      </w:pPr>
      <w:r w:rsidRPr="00950720">
        <w:rPr>
          <w:sz w:val="24"/>
          <w:szCs w:val="24"/>
        </w:rPr>
        <w:t xml:space="preserve">The eligible population is approximately </w:t>
      </w:r>
      <w:r w:rsidRPr="00950720" w:rsidR="00A409D5">
        <w:rPr>
          <w:sz w:val="24"/>
          <w:szCs w:val="24"/>
        </w:rPr>
        <w:t>5</w:t>
      </w:r>
      <w:r w:rsidRPr="00950720">
        <w:rPr>
          <w:sz w:val="24"/>
          <w:szCs w:val="24"/>
        </w:rPr>
        <w:t xml:space="preserve">00 agencies. Moving to a sample survey with a universe of this size will not result in significant cost savings given the stratification dimensions needed to capture critical aspects of the universe, such as size and </w:t>
      </w:r>
      <w:r w:rsidRPr="00950720" w:rsidR="00E63DD9">
        <w:rPr>
          <w:sz w:val="24"/>
          <w:szCs w:val="24"/>
        </w:rPr>
        <w:t>government oversight</w:t>
      </w:r>
      <w:r w:rsidRPr="00950720">
        <w:rPr>
          <w:sz w:val="24"/>
          <w:szCs w:val="24"/>
        </w:rPr>
        <w:t xml:space="preserve">. The differences in </w:t>
      </w:r>
      <w:r w:rsidRPr="00950720" w:rsidR="00A409D5">
        <w:rPr>
          <w:sz w:val="24"/>
          <w:szCs w:val="24"/>
        </w:rPr>
        <w:t>laboratories and laboratory systems</w:t>
      </w:r>
      <w:r w:rsidRPr="00950720">
        <w:rPr>
          <w:sz w:val="24"/>
          <w:szCs w:val="24"/>
        </w:rPr>
        <w:t xml:space="preserve"> complicates efforts to create representative sampling strata. Table 5 shows the number of these </w:t>
      </w:r>
      <w:r w:rsidRPr="00950720" w:rsidR="00A409D5">
        <w:rPr>
          <w:sz w:val="24"/>
          <w:szCs w:val="24"/>
        </w:rPr>
        <w:t>laboratory types</w:t>
      </w:r>
      <w:r w:rsidRPr="00950720" w:rsidR="00E63DD9">
        <w:rPr>
          <w:sz w:val="24"/>
          <w:szCs w:val="24"/>
        </w:rPr>
        <w:t xml:space="preserve"> by jurisdiction type</w:t>
      </w:r>
      <w:r w:rsidRPr="00950720" w:rsidR="00A409D5">
        <w:rPr>
          <w:sz w:val="24"/>
          <w:szCs w:val="24"/>
        </w:rPr>
        <w:t xml:space="preserve"> based on the 2014 CPFFCL</w:t>
      </w:r>
      <w:r w:rsidRPr="00950720">
        <w:rPr>
          <w:sz w:val="24"/>
          <w:szCs w:val="24"/>
        </w:rPr>
        <w:t>.</w:t>
      </w:r>
    </w:p>
    <w:p w:rsidRPr="00950720" w:rsidR="00A409D5" w:rsidP="007A536F" w:rsidRDefault="00A409D5" w14:paraId="1AC2993D" w14:textId="77777777">
      <w:pPr>
        <w:pStyle w:val="SP-SglSpPara"/>
        <w:tabs>
          <w:tab w:val="clear" w:pos="576"/>
        </w:tabs>
        <w:ind w:firstLine="0"/>
        <w:jc w:val="left"/>
        <w:rPr>
          <w:sz w:val="24"/>
          <w:szCs w:val="24"/>
        </w:rPr>
      </w:pPr>
    </w:p>
    <w:p w:rsidRPr="00950720" w:rsidR="000953EF" w:rsidP="007A536F" w:rsidRDefault="000953EF" w14:paraId="5B25556F" w14:textId="5627FD77">
      <w:pPr>
        <w:pStyle w:val="SP-SglSpPara"/>
        <w:tabs>
          <w:tab w:val="clear" w:pos="576"/>
        </w:tabs>
        <w:spacing w:line="240" w:lineRule="auto"/>
        <w:ind w:left="720" w:firstLine="0"/>
        <w:jc w:val="left"/>
        <w:rPr>
          <w:b/>
          <w:bCs/>
          <w:sz w:val="24"/>
          <w:szCs w:val="24"/>
        </w:rPr>
      </w:pPr>
      <w:r w:rsidRPr="00950720">
        <w:rPr>
          <w:b/>
          <w:bCs/>
          <w:sz w:val="24"/>
          <w:szCs w:val="24"/>
        </w:rPr>
        <w:t xml:space="preserve">Table </w:t>
      </w:r>
      <w:r w:rsidR="00FC3850">
        <w:rPr>
          <w:b/>
          <w:bCs/>
          <w:sz w:val="24"/>
          <w:szCs w:val="24"/>
        </w:rPr>
        <w:t>6</w:t>
      </w:r>
      <w:r w:rsidRPr="00950720">
        <w:rPr>
          <w:b/>
          <w:bCs/>
          <w:sz w:val="24"/>
          <w:szCs w:val="24"/>
        </w:rPr>
        <w:t xml:space="preserve">. Distribution of </w:t>
      </w:r>
      <w:r w:rsidRPr="00950720" w:rsidR="00A409D5">
        <w:rPr>
          <w:b/>
          <w:bCs/>
          <w:sz w:val="24"/>
          <w:szCs w:val="24"/>
        </w:rPr>
        <w:t>Publicly Funded Forensic Laboratories by Jurisdiction Type</w:t>
      </w:r>
      <w:r w:rsidRPr="00950720">
        <w:rPr>
          <w:b/>
          <w:bCs/>
          <w:sz w:val="24"/>
          <w:szCs w:val="24"/>
        </w:rPr>
        <w:t>, 20</w:t>
      </w:r>
      <w:r w:rsidRPr="00950720" w:rsidR="00A409D5">
        <w:rPr>
          <w:b/>
          <w:bCs/>
          <w:sz w:val="24"/>
          <w:szCs w:val="24"/>
        </w:rPr>
        <w:t>1</w:t>
      </w:r>
      <w:r w:rsidRPr="00950720">
        <w:rPr>
          <w:b/>
          <w:bCs/>
          <w:sz w:val="24"/>
          <w:szCs w:val="24"/>
        </w:rPr>
        <w:t>4</w:t>
      </w:r>
    </w:p>
    <w:tbl>
      <w:tblPr>
        <w:tblStyle w:val="TableGrid"/>
        <w:tblW w:w="0" w:type="auto"/>
        <w:tblInd w:w="720" w:type="dxa"/>
        <w:tblLook w:val="04A0" w:firstRow="1" w:lastRow="0" w:firstColumn="1" w:lastColumn="0" w:noHBand="0" w:noVBand="1"/>
      </w:tblPr>
      <w:tblGrid>
        <w:gridCol w:w="4315"/>
        <w:gridCol w:w="4315"/>
      </w:tblGrid>
      <w:tr w:rsidRPr="00950720" w:rsidR="00A409D5" w:rsidTr="00A409D5" w14:paraId="3D912410" w14:textId="77777777">
        <w:tc>
          <w:tcPr>
            <w:tcW w:w="4315" w:type="dxa"/>
          </w:tcPr>
          <w:p w:rsidRPr="00950720" w:rsidR="00A409D5" w:rsidP="007A536F" w:rsidRDefault="00A409D5" w14:paraId="31B981A3" w14:textId="26C097EB">
            <w:pPr>
              <w:pStyle w:val="SP-SglSpPara"/>
              <w:tabs>
                <w:tab w:val="clear" w:pos="576"/>
              </w:tabs>
              <w:spacing w:line="240" w:lineRule="auto"/>
              <w:ind w:firstLine="0"/>
              <w:jc w:val="left"/>
              <w:rPr>
                <w:b/>
                <w:bCs/>
                <w:sz w:val="24"/>
                <w:szCs w:val="24"/>
              </w:rPr>
            </w:pPr>
            <w:r w:rsidRPr="00950720">
              <w:rPr>
                <w:b/>
                <w:bCs/>
                <w:sz w:val="24"/>
                <w:szCs w:val="24"/>
              </w:rPr>
              <w:t>Type of Jurisdiction</w:t>
            </w:r>
          </w:p>
        </w:tc>
        <w:tc>
          <w:tcPr>
            <w:tcW w:w="4315" w:type="dxa"/>
          </w:tcPr>
          <w:p w:rsidRPr="00950720" w:rsidR="00A409D5" w:rsidP="007A536F" w:rsidRDefault="00A409D5" w14:paraId="34AF20FC" w14:textId="12814BDF">
            <w:pPr>
              <w:pStyle w:val="SP-SglSpPara"/>
              <w:tabs>
                <w:tab w:val="clear" w:pos="576"/>
              </w:tabs>
              <w:spacing w:line="240" w:lineRule="auto"/>
              <w:ind w:firstLine="0"/>
              <w:jc w:val="left"/>
              <w:rPr>
                <w:b/>
                <w:bCs/>
                <w:sz w:val="24"/>
                <w:szCs w:val="24"/>
              </w:rPr>
            </w:pPr>
            <w:r w:rsidRPr="00950720">
              <w:rPr>
                <w:b/>
                <w:bCs/>
                <w:sz w:val="24"/>
                <w:szCs w:val="24"/>
              </w:rPr>
              <w:t>All Laboratories in the 2014 CPFFCL</w:t>
            </w:r>
          </w:p>
        </w:tc>
      </w:tr>
      <w:tr w:rsidRPr="00950720" w:rsidR="00A409D5" w:rsidTr="00A409D5" w14:paraId="63CFE1FF" w14:textId="77777777">
        <w:tc>
          <w:tcPr>
            <w:tcW w:w="4315" w:type="dxa"/>
          </w:tcPr>
          <w:p w:rsidRPr="00950720" w:rsidR="00A409D5" w:rsidP="007A536F" w:rsidRDefault="00A409D5" w14:paraId="04213C5A" w14:textId="385551DF">
            <w:pPr>
              <w:pStyle w:val="SP-SglSpPara"/>
              <w:tabs>
                <w:tab w:val="clear" w:pos="576"/>
              </w:tabs>
              <w:spacing w:line="240" w:lineRule="auto"/>
              <w:ind w:firstLine="0"/>
              <w:jc w:val="left"/>
              <w:rPr>
                <w:sz w:val="24"/>
                <w:szCs w:val="24"/>
              </w:rPr>
            </w:pPr>
            <w:r w:rsidRPr="00950720">
              <w:rPr>
                <w:sz w:val="24"/>
                <w:szCs w:val="24"/>
              </w:rPr>
              <w:t>All Laboratories</w:t>
            </w:r>
          </w:p>
        </w:tc>
        <w:tc>
          <w:tcPr>
            <w:tcW w:w="4315" w:type="dxa"/>
          </w:tcPr>
          <w:p w:rsidRPr="00950720" w:rsidR="00A409D5" w:rsidP="007A536F" w:rsidRDefault="00A409D5" w14:paraId="0A150790" w14:textId="5919E818">
            <w:pPr>
              <w:pStyle w:val="SP-SglSpPara"/>
              <w:tabs>
                <w:tab w:val="clear" w:pos="576"/>
              </w:tabs>
              <w:spacing w:line="240" w:lineRule="auto"/>
              <w:ind w:firstLine="0"/>
              <w:jc w:val="right"/>
              <w:rPr>
                <w:sz w:val="24"/>
                <w:szCs w:val="24"/>
              </w:rPr>
            </w:pPr>
            <w:r w:rsidRPr="00950720">
              <w:rPr>
                <w:sz w:val="24"/>
                <w:szCs w:val="24"/>
              </w:rPr>
              <w:t>409</w:t>
            </w:r>
          </w:p>
        </w:tc>
      </w:tr>
      <w:tr w:rsidRPr="00950720" w:rsidR="00A409D5" w:rsidTr="00A409D5" w14:paraId="77EBC2B4" w14:textId="77777777">
        <w:tc>
          <w:tcPr>
            <w:tcW w:w="4315" w:type="dxa"/>
          </w:tcPr>
          <w:p w:rsidRPr="00950720" w:rsidR="00A409D5" w:rsidP="007A536F" w:rsidRDefault="00A409D5" w14:paraId="391DE6CD" w14:textId="154181D0">
            <w:pPr>
              <w:pStyle w:val="SP-SglSpPara"/>
              <w:tabs>
                <w:tab w:val="clear" w:pos="576"/>
              </w:tabs>
              <w:spacing w:line="240" w:lineRule="auto"/>
              <w:ind w:left="576" w:firstLine="0"/>
              <w:jc w:val="left"/>
              <w:rPr>
                <w:i/>
                <w:iCs/>
                <w:sz w:val="24"/>
                <w:szCs w:val="24"/>
              </w:rPr>
            </w:pPr>
            <w:r w:rsidRPr="00950720">
              <w:rPr>
                <w:i/>
                <w:iCs/>
                <w:sz w:val="24"/>
                <w:szCs w:val="24"/>
              </w:rPr>
              <w:t>Federal</w:t>
            </w:r>
          </w:p>
        </w:tc>
        <w:tc>
          <w:tcPr>
            <w:tcW w:w="4315" w:type="dxa"/>
          </w:tcPr>
          <w:p w:rsidRPr="00950720" w:rsidR="00A409D5" w:rsidP="007A536F" w:rsidRDefault="00A409D5" w14:paraId="4B2C2748" w14:textId="0E001920">
            <w:pPr>
              <w:pStyle w:val="SP-SglSpPara"/>
              <w:tabs>
                <w:tab w:val="clear" w:pos="576"/>
              </w:tabs>
              <w:spacing w:line="240" w:lineRule="auto"/>
              <w:ind w:firstLine="0"/>
              <w:jc w:val="right"/>
              <w:rPr>
                <w:i/>
                <w:iCs/>
                <w:sz w:val="24"/>
                <w:szCs w:val="24"/>
              </w:rPr>
            </w:pPr>
            <w:r w:rsidRPr="00950720">
              <w:rPr>
                <w:i/>
                <w:iCs/>
                <w:sz w:val="24"/>
                <w:szCs w:val="24"/>
              </w:rPr>
              <w:t>39</w:t>
            </w:r>
          </w:p>
        </w:tc>
      </w:tr>
      <w:tr w:rsidRPr="00950720" w:rsidR="00A409D5" w:rsidTr="00A409D5" w14:paraId="5ACEDD11" w14:textId="77777777">
        <w:tc>
          <w:tcPr>
            <w:tcW w:w="4315" w:type="dxa"/>
          </w:tcPr>
          <w:p w:rsidRPr="00950720" w:rsidR="00A409D5" w:rsidP="007A536F" w:rsidRDefault="00A409D5" w14:paraId="2A997385" w14:textId="335795CD">
            <w:pPr>
              <w:pStyle w:val="SP-SglSpPara"/>
              <w:tabs>
                <w:tab w:val="clear" w:pos="576"/>
              </w:tabs>
              <w:spacing w:line="240" w:lineRule="auto"/>
              <w:ind w:left="576" w:firstLine="0"/>
              <w:jc w:val="left"/>
              <w:rPr>
                <w:i/>
                <w:iCs/>
                <w:sz w:val="24"/>
                <w:szCs w:val="24"/>
              </w:rPr>
            </w:pPr>
            <w:r w:rsidRPr="00950720">
              <w:rPr>
                <w:i/>
                <w:iCs/>
                <w:sz w:val="24"/>
                <w:szCs w:val="24"/>
              </w:rPr>
              <w:t>State</w:t>
            </w:r>
          </w:p>
        </w:tc>
        <w:tc>
          <w:tcPr>
            <w:tcW w:w="4315" w:type="dxa"/>
          </w:tcPr>
          <w:p w:rsidRPr="00950720" w:rsidR="00A409D5" w:rsidP="007A536F" w:rsidRDefault="00A409D5" w14:paraId="5BF1802B" w14:textId="0B245B0C">
            <w:pPr>
              <w:pStyle w:val="SP-SglSpPara"/>
              <w:tabs>
                <w:tab w:val="clear" w:pos="576"/>
              </w:tabs>
              <w:spacing w:line="240" w:lineRule="auto"/>
              <w:ind w:firstLine="0"/>
              <w:jc w:val="right"/>
              <w:rPr>
                <w:i/>
                <w:iCs/>
                <w:sz w:val="24"/>
                <w:szCs w:val="24"/>
              </w:rPr>
            </w:pPr>
            <w:r w:rsidRPr="00950720">
              <w:rPr>
                <w:i/>
                <w:iCs/>
                <w:sz w:val="24"/>
                <w:szCs w:val="24"/>
              </w:rPr>
              <w:t>193</w:t>
            </w:r>
          </w:p>
        </w:tc>
      </w:tr>
      <w:tr w:rsidRPr="00950720" w:rsidR="00A409D5" w:rsidTr="00A409D5" w14:paraId="6C7B048D" w14:textId="77777777">
        <w:tc>
          <w:tcPr>
            <w:tcW w:w="4315" w:type="dxa"/>
          </w:tcPr>
          <w:p w:rsidRPr="00950720" w:rsidR="00A409D5" w:rsidP="007A536F" w:rsidRDefault="00A409D5" w14:paraId="4D03C126" w14:textId="6F4A1122">
            <w:pPr>
              <w:pStyle w:val="SP-SglSpPara"/>
              <w:tabs>
                <w:tab w:val="clear" w:pos="576"/>
              </w:tabs>
              <w:spacing w:line="240" w:lineRule="auto"/>
              <w:ind w:left="576" w:firstLine="0"/>
              <w:jc w:val="left"/>
              <w:rPr>
                <w:i/>
                <w:iCs/>
                <w:sz w:val="24"/>
                <w:szCs w:val="24"/>
              </w:rPr>
            </w:pPr>
            <w:r w:rsidRPr="00950720">
              <w:rPr>
                <w:i/>
                <w:iCs/>
                <w:sz w:val="24"/>
                <w:szCs w:val="24"/>
              </w:rPr>
              <w:t xml:space="preserve">County </w:t>
            </w:r>
          </w:p>
        </w:tc>
        <w:tc>
          <w:tcPr>
            <w:tcW w:w="4315" w:type="dxa"/>
          </w:tcPr>
          <w:p w:rsidRPr="00950720" w:rsidR="00A409D5" w:rsidP="007A536F" w:rsidRDefault="00A409D5" w14:paraId="24159ED5" w14:textId="10D1E741">
            <w:pPr>
              <w:pStyle w:val="SP-SglSpPara"/>
              <w:tabs>
                <w:tab w:val="clear" w:pos="576"/>
              </w:tabs>
              <w:spacing w:line="240" w:lineRule="auto"/>
              <w:ind w:firstLine="0"/>
              <w:jc w:val="right"/>
              <w:rPr>
                <w:i/>
                <w:iCs/>
                <w:sz w:val="24"/>
                <w:szCs w:val="24"/>
              </w:rPr>
            </w:pPr>
            <w:r w:rsidRPr="00950720">
              <w:rPr>
                <w:i/>
                <w:iCs/>
                <w:sz w:val="24"/>
                <w:szCs w:val="24"/>
              </w:rPr>
              <w:t>98</w:t>
            </w:r>
          </w:p>
        </w:tc>
      </w:tr>
      <w:tr w:rsidRPr="00950720" w:rsidR="00A409D5" w:rsidTr="00A409D5" w14:paraId="47B4EACF" w14:textId="77777777">
        <w:tc>
          <w:tcPr>
            <w:tcW w:w="4315" w:type="dxa"/>
          </w:tcPr>
          <w:p w:rsidRPr="00950720" w:rsidR="00A409D5" w:rsidP="007A536F" w:rsidRDefault="00A409D5" w14:paraId="466A97BF" w14:textId="1ECBA615">
            <w:pPr>
              <w:pStyle w:val="SP-SglSpPara"/>
              <w:tabs>
                <w:tab w:val="clear" w:pos="576"/>
              </w:tabs>
              <w:spacing w:line="240" w:lineRule="auto"/>
              <w:ind w:left="576" w:firstLine="0"/>
              <w:jc w:val="left"/>
              <w:rPr>
                <w:i/>
                <w:iCs/>
                <w:sz w:val="24"/>
                <w:szCs w:val="24"/>
              </w:rPr>
            </w:pPr>
            <w:r w:rsidRPr="00950720">
              <w:rPr>
                <w:i/>
                <w:iCs/>
                <w:sz w:val="24"/>
                <w:szCs w:val="24"/>
              </w:rPr>
              <w:t>Municipal</w:t>
            </w:r>
          </w:p>
        </w:tc>
        <w:tc>
          <w:tcPr>
            <w:tcW w:w="4315" w:type="dxa"/>
          </w:tcPr>
          <w:p w:rsidRPr="00950720" w:rsidR="00A409D5" w:rsidP="007A536F" w:rsidRDefault="00A409D5" w14:paraId="024C646A" w14:textId="4F1CB015">
            <w:pPr>
              <w:pStyle w:val="SP-SglSpPara"/>
              <w:tabs>
                <w:tab w:val="clear" w:pos="576"/>
              </w:tabs>
              <w:spacing w:line="240" w:lineRule="auto"/>
              <w:ind w:firstLine="0"/>
              <w:jc w:val="right"/>
              <w:rPr>
                <w:i/>
                <w:iCs/>
                <w:sz w:val="24"/>
                <w:szCs w:val="24"/>
              </w:rPr>
            </w:pPr>
            <w:r w:rsidRPr="00950720">
              <w:rPr>
                <w:i/>
                <w:iCs/>
                <w:sz w:val="24"/>
                <w:szCs w:val="24"/>
              </w:rPr>
              <w:t>79</w:t>
            </w:r>
          </w:p>
        </w:tc>
      </w:tr>
    </w:tbl>
    <w:p w:rsidRPr="00950720" w:rsidR="00A409D5" w:rsidP="007A536F" w:rsidRDefault="00A409D5" w14:paraId="6B32EC63" w14:textId="7C4DC713">
      <w:pPr>
        <w:pStyle w:val="SP-SglSpPara"/>
        <w:tabs>
          <w:tab w:val="clear" w:pos="576"/>
        </w:tabs>
        <w:spacing w:line="240" w:lineRule="auto"/>
        <w:ind w:left="720" w:firstLine="0"/>
        <w:jc w:val="left"/>
        <w:rPr>
          <w:sz w:val="24"/>
          <w:szCs w:val="24"/>
        </w:rPr>
      </w:pPr>
      <w:r w:rsidRPr="00950720">
        <w:rPr>
          <w:sz w:val="24"/>
          <w:szCs w:val="24"/>
        </w:rPr>
        <w:t>Source: Bureau of Justice Statistics, Census of Publicly Funded Forensic Crime Laboratories (CPFFCL), 2014.</w:t>
      </w:r>
    </w:p>
    <w:p w:rsidRPr="00950720" w:rsidR="000953EF" w:rsidP="007A536F" w:rsidRDefault="000953EF" w14:paraId="3BED1A22" w14:textId="4CD529C8">
      <w:pPr>
        <w:pStyle w:val="SP-SglSpPara"/>
        <w:tabs>
          <w:tab w:val="clear" w:pos="576"/>
        </w:tabs>
        <w:spacing w:line="240" w:lineRule="auto"/>
        <w:ind w:firstLine="0"/>
        <w:jc w:val="left"/>
        <w:rPr>
          <w:sz w:val="24"/>
          <w:szCs w:val="24"/>
        </w:rPr>
      </w:pPr>
    </w:p>
    <w:p w:rsidRPr="00950720" w:rsidR="000953EF" w:rsidP="007A536F" w:rsidRDefault="000953EF" w14:paraId="3D9834B6" w14:textId="442FF83C">
      <w:pPr>
        <w:pStyle w:val="SP-SglSpPara"/>
        <w:numPr>
          <w:ilvl w:val="0"/>
          <w:numId w:val="26"/>
        </w:numPr>
        <w:tabs>
          <w:tab w:val="clear" w:pos="576"/>
        </w:tabs>
        <w:jc w:val="left"/>
        <w:rPr>
          <w:sz w:val="24"/>
          <w:szCs w:val="24"/>
        </w:rPr>
      </w:pPr>
      <w:r w:rsidRPr="00950720">
        <w:rPr>
          <w:sz w:val="24"/>
          <w:szCs w:val="24"/>
        </w:rPr>
        <w:t xml:space="preserve">A census provides BJS with the opportunity to show how </w:t>
      </w:r>
      <w:r w:rsidRPr="00950720" w:rsidR="008F20F3">
        <w:rPr>
          <w:sz w:val="24"/>
          <w:szCs w:val="24"/>
        </w:rPr>
        <w:t>laboratories</w:t>
      </w:r>
      <w:r w:rsidRPr="00950720">
        <w:rPr>
          <w:sz w:val="24"/>
          <w:szCs w:val="24"/>
        </w:rPr>
        <w:t xml:space="preserve"> vary. Being able to compare </w:t>
      </w:r>
      <w:r w:rsidRPr="00950720" w:rsidR="008F20F3">
        <w:rPr>
          <w:sz w:val="24"/>
          <w:szCs w:val="24"/>
        </w:rPr>
        <w:t>laboratories</w:t>
      </w:r>
      <w:r w:rsidRPr="00950720">
        <w:rPr>
          <w:sz w:val="24"/>
          <w:szCs w:val="24"/>
        </w:rPr>
        <w:t xml:space="preserve"> is particularly important considering the variability that exists among these </w:t>
      </w:r>
      <w:r w:rsidRPr="00950720" w:rsidR="008F20F3">
        <w:rPr>
          <w:sz w:val="24"/>
          <w:szCs w:val="24"/>
        </w:rPr>
        <w:t>agencies</w:t>
      </w:r>
      <w:r w:rsidRPr="00950720">
        <w:rPr>
          <w:sz w:val="24"/>
          <w:szCs w:val="24"/>
        </w:rPr>
        <w:t xml:space="preserve"> in terms of administration, caseload, policies, procedures, resources, staffing, and infrastructure</w:t>
      </w:r>
      <w:r w:rsidRPr="00950720" w:rsidR="008F20F3">
        <w:rPr>
          <w:sz w:val="24"/>
          <w:szCs w:val="24"/>
        </w:rPr>
        <w:t xml:space="preserve"> (as shown in the 2014 CPFFCL reports: </w:t>
      </w:r>
      <w:hyperlink w:history="1" r:id="rId8">
        <w:r w:rsidRPr="00950720" w:rsidR="008F20F3">
          <w:rPr>
            <w:rStyle w:val="Hyperlink"/>
            <w:sz w:val="24"/>
            <w:szCs w:val="24"/>
          </w:rPr>
          <w:t>https://www.bjs.gov/content/pub/pdf/pffclrs14.pdf</w:t>
        </w:r>
      </w:hyperlink>
      <w:r w:rsidRPr="00950720" w:rsidR="00E63DD9">
        <w:rPr>
          <w:sz w:val="24"/>
          <w:szCs w:val="24"/>
        </w:rPr>
        <w:t xml:space="preserve">; </w:t>
      </w:r>
      <w:hyperlink w:history="1" r:id="rId9">
        <w:r w:rsidRPr="00950720" w:rsidR="00E63DD9">
          <w:rPr>
            <w:rStyle w:val="Hyperlink"/>
            <w:sz w:val="24"/>
            <w:szCs w:val="24"/>
          </w:rPr>
          <w:t>https://www.bjs.gov/content/pub/pdf/pffclqap14.pdf</w:t>
        </w:r>
      </w:hyperlink>
      <w:r w:rsidRPr="00950720" w:rsidR="00E63DD9">
        <w:rPr>
          <w:sz w:val="24"/>
          <w:szCs w:val="24"/>
        </w:rPr>
        <w:t xml:space="preserve"> </w:t>
      </w:r>
      <w:r w:rsidRPr="00950720" w:rsidR="008F20F3">
        <w:rPr>
          <w:sz w:val="24"/>
          <w:szCs w:val="24"/>
        </w:rPr>
        <w:t xml:space="preserve">) </w:t>
      </w:r>
    </w:p>
    <w:p w:rsidRPr="00950720" w:rsidR="000953EF" w:rsidP="007A536F" w:rsidRDefault="000953EF" w14:paraId="1BACFEA1" w14:textId="15632A2B">
      <w:pPr>
        <w:pStyle w:val="SP-SglSpPara"/>
        <w:numPr>
          <w:ilvl w:val="0"/>
          <w:numId w:val="26"/>
        </w:numPr>
        <w:tabs>
          <w:tab w:val="clear" w:pos="576"/>
        </w:tabs>
        <w:jc w:val="left"/>
        <w:rPr>
          <w:sz w:val="24"/>
          <w:szCs w:val="24"/>
        </w:rPr>
      </w:pPr>
      <w:r w:rsidRPr="00950720">
        <w:rPr>
          <w:sz w:val="24"/>
          <w:szCs w:val="24"/>
        </w:rPr>
        <w:t xml:space="preserve">A census provides an opportunity to build a foundation for conducting future surveys of </w:t>
      </w:r>
      <w:r w:rsidR="005A736A">
        <w:rPr>
          <w:sz w:val="24"/>
          <w:szCs w:val="24"/>
        </w:rPr>
        <w:t>laboratories</w:t>
      </w:r>
      <w:r w:rsidRPr="00950720" w:rsidR="005A736A">
        <w:rPr>
          <w:sz w:val="24"/>
          <w:szCs w:val="24"/>
        </w:rPr>
        <w:t xml:space="preserve"> </w:t>
      </w:r>
      <w:r w:rsidRPr="00950720">
        <w:rPr>
          <w:sz w:val="24"/>
          <w:szCs w:val="24"/>
        </w:rPr>
        <w:t>by other federal agencies</w:t>
      </w:r>
      <w:r w:rsidRPr="00950720" w:rsidR="008F20F3">
        <w:rPr>
          <w:sz w:val="24"/>
          <w:szCs w:val="24"/>
        </w:rPr>
        <w:t xml:space="preserve"> and by the research community</w:t>
      </w:r>
      <w:r w:rsidRPr="00950720">
        <w:rPr>
          <w:sz w:val="24"/>
          <w:szCs w:val="24"/>
        </w:rPr>
        <w:t xml:space="preserve">. Completing the census, for example, will provide the information necessary to produce samples based on a more comprehensive and fuller understanding of how each </w:t>
      </w:r>
      <w:r w:rsidRPr="00950720" w:rsidR="008F20F3">
        <w:rPr>
          <w:sz w:val="24"/>
          <w:szCs w:val="24"/>
        </w:rPr>
        <w:t>laboratory</w:t>
      </w:r>
      <w:r w:rsidRPr="00950720">
        <w:rPr>
          <w:sz w:val="24"/>
          <w:szCs w:val="24"/>
        </w:rPr>
        <w:t xml:space="preserve"> operates given the variability that exists within and across states. Generating samples </w:t>
      </w:r>
      <w:r w:rsidRPr="00950720" w:rsidR="008F20F3">
        <w:rPr>
          <w:sz w:val="24"/>
          <w:szCs w:val="24"/>
        </w:rPr>
        <w:t>of laboratories</w:t>
      </w:r>
      <w:r w:rsidRPr="00950720">
        <w:rPr>
          <w:sz w:val="24"/>
          <w:szCs w:val="24"/>
        </w:rPr>
        <w:t xml:space="preserve"> without this crucial information would be more time intensive and costly. </w:t>
      </w:r>
    </w:p>
    <w:p w:rsidRPr="00950720" w:rsidR="00420F1F" w:rsidP="007A536F" w:rsidRDefault="00420F1F" w14:paraId="34427CEB" w14:textId="77777777">
      <w:pPr>
        <w:pStyle w:val="SP-SglSpPara"/>
        <w:tabs>
          <w:tab w:val="clear" w:pos="576"/>
        </w:tabs>
        <w:jc w:val="left"/>
        <w:rPr>
          <w:sz w:val="24"/>
          <w:szCs w:val="24"/>
        </w:rPr>
      </w:pPr>
    </w:p>
    <w:p w:rsidRPr="00950720" w:rsidR="00420F1F" w:rsidP="007A536F" w:rsidRDefault="00420F1F" w14:paraId="625BA603" w14:textId="77777777">
      <w:pPr>
        <w:pStyle w:val="ListParagraph"/>
        <w:numPr>
          <w:ilvl w:val="0"/>
          <w:numId w:val="5"/>
        </w:numPr>
        <w:ind w:left="360"/>
        <w:contextualSpacing w:val="0"/>
        <w:rPr>
          <w:b/>
          <w:u w:val="single"/>
        </w:rPr>
      </w:pPr>
      <w:r w:rsidRPr="00950720">
        <w:rPr>
          <w:b/>
          <w:u w:val="single"/>
        </w:rPr>
        <w:t>Procedures for Collecting Information</w:t>
      </w:r>
    </w:p>
    <w:p w:rsidRPr="00950720" w:rsidR="00420F1F" w:rsidP="007A536F" w:rsidRDefault="00420F1F" w14:paraId="3E692275" w14:textId="77777777">
      <w:pPr>
        <w:pStyle w:val="SP-SglSpPara"/>
        <w:tabs>
          <w:tab w:val="clear" w:pos="576"/>
        </w:tabs>
        <w:rPr>
          <w:sz w:val="24"/>
          <w:szCs w:val="24"/>
        </w:rPr>
      </w:pPr>
    </w:p>
    <w:p w:rsidRPr="00950720" w:rsidR="000953EF" w:rsidP="007A536F" w:rsidRDefault="008F20F3" w14:paraId="3585C745" w14:textId="2A15DE8C">
      <w:pPr>
        <w:pStyle w:val="SP-SglSpPara"/>
        <w:tabs>
          <w:tab w:val="clear" w:pos="576"/>
        </w:tabs>
        <w:ind w:firstLine="0"/>
        <w:jc w:val="left"/>
        <w:rPr>
          <w:sz w:val="24"/>
          <w:szCs w:val="24"/>
        </w:rPr>
      </w:pPr>
      <w:r w:rsidRPr="00950720">
        <w:rPr>
          <w:sz w:val="24"/>
          <w:szCs w:val="24"/>
        </w:rPr>
        <w:t>The CPFFCL</w:t>
      </w:r>
      <w:r w:rsidRPr="00950720" w:rsidR="000953EF">
        <w:rPr>
          <w:sz w:val="24"/>
          <w:szCs w:val="24"/>
        </w:rPr>
        <w:t xml:space="preserve"> </w:t>
      </w:r>
      <w:r w:rsidRPr="00950720">
        <w:rPr>
          <w:sz w:val="24"/>
          <w:szCs w:val="24"/>
        </w:rPr>
        <w:t xml:space="preserve">team </w:t>
      </w:r>
      <w:r w:rsidRPr="00950720" w:rsidR="000953EF">
        <w:rPr>
          <w:sz w:val="24"/>
          <w:szCs w:val="24"/>
        </w:rPr>
        <w:t>will u</w:t>
      </w:r>
      <w:r w:rsidRPr="00950720">
        <w:rPr>
          <w:sz w:val="24"/>
          <w:szCs w:val="24"/>
        </w:rPr>
        <w:t>s</w:t>
      </w:r>
      <w:r w:rsidRPr="00950720" w:rsidR="000953EF">
        <w:rPr>
          <w:sz w:val="24"/>
          <w:szCs w:val="24"/>
        </w:rPr>
        <w:t xml:space="preserve">e a multi-mode data collection approach with web as the primary mode (see </w:t>
      </w:r>
      <w:r w:rsidRPr="007E75FC" w:rsidR="000953EF">
        <w:rPr>
          <w:b/>
          <w:sz w:val="24"/>
          <w:szCs w:val="24"/>
        </w:rPr>
        <w:t xml:space="preserve">Attachment </w:t>
      </w:r>
      <w:r w:rsidR="0079729D">
        <w:rPr>
          <w:b/>
          <w:sz w:val="24"/>
          <w:szCs w:val="24"/>
        </w:rPr>
        <w:t>3</w:t>
      </w:r>
      <w:r w:rsidRPr="00950720" w:rsidR="0079729D">
        <w:rPr>
          <w:sz w:val="24"/>
          <w:szCs w:val="24"/>
        </w:rPr>
        <w:t xml:space="preserve"> </w:t>
      </w:r>
      <w:r w:rsidRPr="00950720" w:rsidR="000953EF">
        <w:rPr>
          <w:sz w:val="24"/>
          <w:szCs w:val="24"/>
        </w:rPr>
        <w:t xml:space="preserve">for example screenshots) and hard copy data collection as an alternative. </w:t>
      </w:r>
      <w:r w:rsidRPr="00950720">
        <w:rPr>
          <w:sz w:val="24"/>
          <w:szCs w:val="24"/>
        </w:rPr>
        <w:t>CPFFCL</w:t>
      </w:r>
      <w:r w:rsidRPr="00950720" w:rsidR="000953EF">
        <w:rPr>
          <w:sz w:val="24"/>
          <w:szCs w:val="24"/>
        </w:rPr>
        <w:t xml:space="preserve"> will u</w:t>
      </w:r>
      <w:r w:rsidRPr="00950720" w:rsidR="00E63DD9">
        <w:rPr>
          <w:sz w:val="24"/>
          <w:szCs w:val="24"/>
        </w:rPr>
        <w:t>s</w:t>
      </w:r>
      <w:r w:rsidRPr="00950720" w:rsidR="000953EF">
        <w:rPr>
          <w:sz w:val="24"/>
          <w:szCs w:val="24"/>
        </w:rPr>
        <w:t>e mail, email, and telephone follow-up as needed. The data collection period is planned for approximately seven months and will involve initial invitations, several reminders, and an end-of-study letter. There will be data quality follow-up and non-response follow-up. To promote an efficient and cost</w:t>
      </w:r>
      <w:r w:rsidR="00235097">
        <w:rPr>
          <w:sz w:val="24"/>
          <w:szCs w:val="24"/>
        </w:rPr>
        <w:t>-</w:t>
      </w:r>
      <w:r w:rsidRPr="00950720" w:rsidR="000953EF">
        <w:rPr>
          <w:sz w:val="24"/>
          <w:szCs w:val="24"/>
        </w:rPr>
        <w:t xml:space="preserve">effective data collection, the web-based submission method will be promoted over submitting printed copies of the questionnaire and initial mailing will not include a copy of the paper instrument, but rather instructions to complete the questionnaire online. </w:t>
      </w:r>
      <w:r w:rsidRPr="00950720" w:rsidR="000953EF">
        <w:rPr>
          <w:b/>
          <w:bCs/>
          <w:sz w:val="24"/>
          <w:szCs w:val="24"/>
        </w:rPr>
        <w:t xml:space="preserve">Table </w:t>
      </w:r>
      <w:r w:rsidR="00FC3850">
        <w:rPr>
          <w:b/>
          <w:bCs/>
          <w:sz w:val="24"/>
          <w:szCs w:val="24"/>
        </w:rPr>
        <w:t>7</w:t>
      </w:r>
      <w:r w:rsidRPr="00950720" w:rsidR="00FC3850">
        <w:rPr>
          <w:sz w:val="24"/>
          <w:szCs w:val="24"/>
        </w:rPr>
        <w:t xml:space="preserve"> </w:t>
      </w:r>
      <w:r w:rsidRPr="00950720" w:rsidR="000953EF">
        <w:rPr>
          <w:sz w:val="24"/>
          <w:szCs w:val="24"/>
        </w:rPr>
        <w:t>shows the 20</w:t>
      </w:r>
      <w:r w:rsidR="009C7FED">
        <w:rPr>
          <w:sz w:val="24"/>
          <w:szCs w:val="24"/>
        </w:rPr>
        <w:t>20</w:t>
      </w:r>
      <w:r w:rsidRPr="00950720" w:rsidR="000953EF">
        <w:rPr>
          <w:sz w:val="24"/>
          <w:szCs w:val="24"/>
        </w:rPr>
        <w:t xml:space="preserve"> </w:t>
      </w:r>
      <w:r w:rsidR="009C7FED">
        <w:rPr>
          <w:sz w:val="24"/>
          <w:szCs w:val="24"/>
        </w:rPr>
        <w:t>CPFFCL</w:t>
      </w:r>
      <w:r w:rsidRPr="00950720" w:rsidR="000953EF">
        <w:rPr>
          <w:sz w:val="24"/>
          <w:szCs w:val="24"/>
        </w:rPr>
        <w:t xml:space="preserve"> contact schedule.</w:t>
      </w:r>
    </w:p>
    <w:p w:rsidRPr="00950720" w:rsidR="008F20F3" w:rsidP="007A536F" w:rsidRDefault="008F20F3" w14:paraId="125AD4FD" w14:textId="77777777">
      <w:pPr>
        <w:pStyle w:val="SP-SglSpPara"/>
        <w:tabs>
          <w:tab w:val="clear" w:pos="576"/>
        </w:tabs>
        <w:spacing w:line="240" w:lineRule="auto"/>
        <w:ind w:firstLine="0"/>
        <w:jc w:val="left"/>
        <w:rPr>
          <w:sz w:val="24"/>
          <w:szCs w:val="24"/>
        </w:rPr>
      </w:pPr>
    </w:p>
    <w:p w:rsidRPr="00950720" w:rsidR="000953EF" w:rsidP="007A536F" w:rsidRDefault="000953EF" w14:paraId="18736DE6" w14:textId="31E51EBB">
      <w:pPr>
        <w:pStyle w:val="SP-SglSpPara"/>
        <w:tabs>
          <w:tab w:val="clear" w:pos="576"/>
        </w:tabs>
        <w:spacing w:line="240" w:lineRule="auto"/>
        <w:ind w:firstLine="0"/>
        <w:jc w:val="left"/>
        <w:rPr>
          <w:b/>
          <w:bCs/>
          <w:sz w:val="24"/>
          <w:szCs w:val="24"/>
        </w:rPr>
      </w:pPr>
      <w:r w:rsidRPr="00950720">
        <w:rPr>
          <w:b/>
          <w:bCs/>
          <w:sz w:val="24"/>
          <w:szCs w:val="24"/>
        </w:rPr>
        <w:t xml:space="preserve">Table </w:t>
      </w:r>
      <w:r w:rsidR="00FC3850">
        <w:rPr>
          <w:b/>
          <w:bCs/>
          <w:sz w:val="24"/>
          <w:szCs w:val="24"/>
        </w:rPr>
        <w:t>7</w:t>
      </w:r>
      <w:r w:rsidRPr="00950720">
        <w:rPr>
          <w:b/>
          <w:bCs/>
          <w:sz w:val="24"/>
          <w:szCs w:val="24"/>
        </w:rPr>
        <w:t xml:space="preserve">. </w:t>
      </w:r>
      <w:r w:rsidR="009C7FED">
        <w:rPr>
          <w:b/>
          <w:bCs/>
          <w:sz w:val="24"/>
          <w:szCs w:val="24"/>
        </w:rPr>
        <w:t>2020 CPFFCL</w:t>
      </w:r>
      <w:r w:rsidRPr="00950720">
        <w:rPr>
          <w:b/>
          <w:bCs/>
          <w:sz w:val="24"/>
          <w:szCs w:val="24"/>
        </w:rPr>
        <w:t xml:space="preserve"> Contact Schedule</w:t>
      </w:r>
    </w:p>
    <w:tbl>
      <w:tblPr>
        <w:tblStyle w:val="GridTable1Light"/>
        <w:tblW w:w="9985" w:type="dxa"/>
        <w:tblLayout w:type="fixed"/>
        <w:tblLook w:val="04A0" w:firstRow="1" w:lastRow="0" w:firstColumn="1" w:lastColumn="0" w:noHBand="0" w:noVBand="1"/>
      </w:tblPr>
      <w:tblGrid>
        <w:gridCol w:w="1705"/>
        <w:gridCol w:w="6750"/>
        <w:gridCol w:w="1530"/>
      </w:tblGrid>
      <w:tr w:rsidRPr="00950720" w:rsidR="008F20F3" w:rsidTr="00FF0053" w14:paraId="7C35C18B" w14:textId="2F813DC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05" w:type="dxa"/>
            <w:noWrap/>
            <w:hideMark/>
          </w:tcPr>
          <w:p w:rsidRPr="00950720" w:rsidR="008F20F3" w:rsidP="007A536F" w:rsidRDefault="00FF0053" w14:paraId="52B4C6A6" w14:textId="42F9AC5A">
            <w:pPr>
              <w:keepNext/>
              <w:keepLines/>
              <w:rPr>
                <w:b w:val="0"/>
                <w:bCs w:val="0"/>
              </w:rPr>
            </w:pPr>
            <w:r w:rsidRPr="00950720">
              <w:t>Week</w:t>
            </w:r>
          </w:p>
        </w:tc>
        <w:tc>
          <w:tcPr>
            <w:tcW w:w="6750" w:type="dxa"/>
          </w:tcPr>
          <w:p w:rsidRPr="00950720" w:rsidR="008F20F3" w:rsidP="007A536F" w:rsidRDefault="008F20F3" w14:paraId="4A48C794" w14:textId="2C64DDA9">
            <w:pPr>
              <w:keepNext/>
              <w:keepLines/>
              <w:cnfStyle w:val="100000000000" w:firstRow="1" w:lastRow="0" w:firstColumn="0" w:lastColumn="0" w:oddVBand="0" w:evenVBand="0" w:oddHBand="0" w:evenHBand="0" w:firstRowFirstColumn="0" w:firstRowLastColumn="0" w:lastRowFirstColumn="0" w:lastRowLastColumn="0"/>
            </w:pPr>
            <w:r w:rsidRPr="00950720">
              <w:t>Contact Description</w:t>
            </w:r>
          </w:p>
        </w:tc>
        <w:tc>
          <w:tcPr>
            <w:tcW w:w="1530" w:type="dxa"/>
          </w:tcPr>
          <w:p w:rsidRPr="00950720" w:rsidR="008F20F3" w:rsidP="007A536F" w:rsidRDefault="008F20F3" w14:paraId="0C2BC1CE" w14:textId="7835DAEA">
            <w:pPr>
              <w:keepNext/>
              <w:keepLines/>
              <w:jc w:val="right"/>
              <w:cnfStyle w:val="100000000000" w:firstRow="1" w:lastRow="0" w:firstColumn="0" w:lastColumn="0" w:oddVBand="0" w:evenVBand="0" w:oddHBand="0" w:evenHBand="0" w:firstRowFirstColumn="0" w:firstRowLastColumn="0" w:lastRowFirstColumn="0" w:lastRowLastColumn="0"/>
            </w:pPr>
            <w:r w:rsidRPr="00950720">
              <w:t>Attachments</w:t>
            </w:r>
          </w:p>
        </w:tc>
      </w:tr>
      <w:tr w:rsidRPr="00950720" w:rsidR="008F20F3" w:rsidTr="00FF0053" w14:paraId="2CF21BF0" w14:textId="05B6AC65">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F20F3" w14:paraId="354ED946" w14:textId="2D8C5027">
            <w:pPr>
              <w:keepNext/>
              <w:keepLines/>
            </w:pPr>
            <w:r w:rsidRPr="00950720">
              <w:t>0</w:t>
            </w:r>
          </w:p>
        </w:tc>
        <w:tc>
          <w:tcPr>
            <w:tcW w:w="6750" w:type="dxa"/>
          </w:tcPr>
          <w:p w:rsidRPr="00950720" w:rsidR="008F20F3" w:rsidP="007A536F" w:rsidRDefault="008F20F3" w14:paraId="3097FA40" w14:textId="185571BD">
            <w:pPr>
              <w:keepNext/>
              <w:keepLines/>
              <w:cnfStyle w:val="000000000000" w:firstRow="0" w:lastRow="0" w:firstColumn="0" w:lastColumn="0" w:oddVBand="0" w:evenVBand="0" w:oddHBand="0" w:evenHBand="0" w:firstRowFirstColumn="0" w:firstRowLastColumn="0" w:lastRowFirstColumn="0" w:lastRowLastColumn="0"/>
            </w:pPr>
            <w:r w:rsidRPr="00950720">
              <w:t xml:space="preserve">Mailed </w:t>
            </w:r>
            <w:r w:rsidRPr="00950720" w:rsidR="00FF0053">
              <w:t>p</w:t>
            </w:r>
            <w:r w:rsidRPr="00950720">
              <w:t xml:space="preserve">re-notification </w:t>
            </w:r>
            <w:r w:rsidR="005A736A">
              <w:t>l</w:t>
            </w:r>
            <w:r w:rsidRPr="00950720">
              <w:t>etter</w:t>
            </w:r>
          </w:p>
        </w:tc>
        <w:tc>
          <w:tcPr>
            <w:tcW w:w="1530" w:type="dxa"/>
          </w:tcPr>
          <w:p w:rsidRPr="00950720" w:rsidR="008F20F3" w:rsidP="007A536F" w:rsidRDefault="00FF0053" w14:paraId="4C0046C7" w14:textId="67562581">
            <w:pPr>
              <w:keepNext/>
              <w:keepLines/>
              <w:jc w:val="center"/>
              <w:cnfStyle w:val="000000000000" w:firstRow="0" w:lastRow="0" w:firstColumn="0" w:lastColumn="0" w:oddVBand="0" w:evenVBand="0" w:oddHBand="0" w:evenHBand="0" w:firstRowFirstColumn="0" w:firstRowLastColumn="0" w:lastRowFirstColumn="0" w:lastRowLastColumn="0"/>
            </w:pPr>
            <w:r w:rsidRPr="00950720">
              <w:t>6</w:t>
            </w:r>
          </w:p>
        </w:tc>
      </w:tr>
      <w:tr w:rsidRPr="00950720" w:rsidR="008F20F3" w:rsidTr="00FF0053" w14:paraId="632D13E2" w14:textId="41A820F3">
        <w:trPr>
          <w:trHeight w:val="162"/>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F20F3" w14:paraId="5F2680EE" w14:textId="7AEBA515">
            <w:pPr>
              <w:keepNext/>
              <w:keepLines/>
            </w:pPr>
            <w:r w:rsidRPr="00950720">
              <w:t>2</w:t>
            </w:r>
          </w:p>
        </w:tc>
        <w:tc>
          <w:tcPr>
            <w:tcW w:w="6750" w:type="dxa"/>
          </w:tcPr>
          <w:p w:rsidRPr="00950720" w:rsidR="008F20F3" w:rsidP="007A536F" w:rsidRDefault="00FF0053" w14:paraId="253399F0" w14:textId="327E0221">
            <w:pPr>
              <w:keepNext/>
              <w:keepLines/>
              <w:cnfStyle w:val="000000000000" w:firstRow="0" w:lastRow="0" w:firstColumn="0" w:lastColumn="0" w:oddVBand="0" w:evenVBand="0" w:oddHBand="0" w:evenHBand="0" w:firstRowFirstColumn="0" w:firstRowLastColumn="0" w:lastRowFirstColumn="0" w:lastRowLastColumn="0"/>
            </w:pPr>
            <w:r w:rsidRPr="00950720">
              <w:t>Mailed s</w:t>
            </w:r>
            <w:r w:rsidRPr="00950720" w:rsidR="008F20F3">
              <w:t xml:space="preserve">urvey invitation letter </w:t>
            </w:r>
            <w:r w:rsidRPr="00950720">
              <w:t xml:space="preserve">and </w:t>
            </w:r>
            <w:r w:rsidRPr="00950720" w:rsidR="008F20F3">
              <w:t>endorsement letters</w:t>
            </w:r>
          </w:p>
        </w:tc>
        <w:tc>
          <w:tcPr>
            <w:tcW w:w="1530" w:type="dxa"/>
          </w:tcPr>
          <w:p w:rsidRPr="00950720" w:rsidR="008F20F3" w:rsidP="007A536F" w:rsidRDefault="00FF0053" w14:paraId="6A04F041" w14:textId="1AC7701B">
            <w:pPr>
              <w:keepNext/>
              <w:keepLines/>
              <w:jc w:val="center"/>
              <w:cnfStyle w:val="000000000000" w:firstRow="0" w:lastRow="0" w:firstColumn="0" w:lastColumn="0" w:oddVBand="0" w:evenVBand="0" w:oddHBand="0" w:evenHBand="0" w:firstRowFirstColumn="0" w:firstRowLastColumn="0" w:lastRowFirstColumn="0" w:lastRowLastColumn="0"/>
            </w:pPr>
            <w:r w:rsidRPr="00950720">
              <w:t>7, 22</w:t>
            </w:r>
          </w:p>
        </w:tc>
      </w:tr>
      <w:tr w:rsidRPr="00950720" w:rsidR="008F20F3" w:rsidTr="00FF0053" w14:paraId="4002CF97" w14:textId="5A81CF9E">
        <w:trPr>
          <w:trHeight w:val="963"/>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F20F3" w14:paraId="5360B4BE" w14:textId="3D290A52">
            <w:pPr>
              <w:keepNext/>
              <w:keepLines/>
            </w:pPr>
            <w:r w:rsidRPr="00950720">
              <w:t>3</w:t>
            </w:r>
          </w:p>
        </w:tc>
        <w:tc>
          <w:tcPr>
            <w:tcW w:w="6750" w:type="dxa"/>
          </w:tcPr>
          <w:p w:rsidRPr="00950720" w:rsidR="008F20F3" w:rsidP="007A536F" w:rsidRDefault="008F20F3" w14:paraId="2D56A297" w14:textId="63570F6B">
            <w:pPr>
              <w:keepNext/>
              <w:keepLines/>
              <w:cnfStyle w:val="000000000000" w:firstRow="0" w:lastRow="0" w:firstColumn="0" w:lastColumn="0" w:oddVBand="0" w:evenVBand="0" w:oddHBand="0" w:evenHBand="0" w:firstRowFirstColumn="0" w:firstRowLastColumn="0" w:lastRowFirstColumn="0" w:lastRowLastColumn="0"/>
            </w:pPr>
            <w:r w:rsidRPr="00950720">
              <w:t xml:space="preserve">Email invitation </w:t>
            </w:r>
            <w:r w:rsidRPr="00950720" w:rsidR="00FF0053">
              <w:t xml:space="preserve">and </w:t>
            </w:r>
            <w:r w:rsidRPr="00950720">
              <w:t>endorsements letters</w:t>
            </w:r>
          </w:p>
        </w:tc>
        <w:tc>
          <w:tcPr>
            <w:tcW w:w="1530" w:type="dxa"/>
          </w:tcPr>
          <w:p w:rsidRPr="00950720" w:rsidR="008F20F3" w:rsidP="007A536F" w:rsidRDefault="00FF0053" w14:paraId="4106D0B7" w14:textId="510659F1">
            <w:pPr>
              <w:keepNext/>
              <w:keepLines/>
              <w:jc w:val="center"/>
              <w:cnfStyle w:val="000000000000" w:firstRow="0" w:lastRow="0" w:firstColumn="0" w:lastColumn="0" w:oddVBand="0" w:evenVBand="0" w:oddHBand="0" w:evenHBand="0" w:firstRowFirstColumn="0" w:firstRowLastColumn="0" w:lastRowFirstColumn="0" w:lastRowLastColumn="0"/>
            </w:pPr>
            <w:r w:rsidRPr="00950720">
              <w:t>8, 22</w:t>
            </w:r>
          </w:p>
        </w:tc>
      </w:tr>
      <w:tr w:rsidRPr="00950720" w:rsidR="008F20F3" w:rsidTr="00FF0053" w14:paraId="7F9EC94F" w14:textId="3D81E109">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F20F3" w14:paraId="46E2A348" w14:textId="6A7DB0A5">
            <w:pPr>
              <w:keepNext/>
              <w:keepLines/>
            </w:pPr>
            <w:r w:rsidRPr="00950720">
              <w:t>6</w:t>
            </w:r>
          </w:p>
        </w:tc>
        <w:tc>
          <w:tcPr>
            <w:tcW w:w="6750" w:type="dxa"/>
          </w:tcPr>
          <w:p w:rsidRPr="00950720" w:rsidR="008F20F3" w:rsidP="007A536F" w:rsidRDefault="00FF0053" w14:paraId="25507EA9" w14:textId="02944D6A">
            <w:pPr>
              <w:keepNext/>
              <w:keepLines/>
              <w:cnfStyle w:val="000000000000" w:firstRow="0" w:lastRow="0" w:firstColumn="0" w:lastColumn="0" w:oddVBand="0" w:evenVBand="0" w:oddHBand="0" w:evenHBand="0" w:firstRowFirstColumn="0" w:firstRowLastColumn="0" w:lastRowFirstColumn="0" w:lastRowLastColumn="0"/>
            </w:pPr>
            <w:r w:rsidRPr="00950720">
              <w:t xml:space="preserve">Reminder 1 – </w:t>
            </w:r>
            <w:r w:rsidR="0089772B">
              <w:t>postcard</w:t>
            </w:r>
            <w:r w:rsidRPr="00950720" w:rsidR="0089772B">
              <w:t xml:space="preserve"> </w:t>
            </w:r>
            <w:r w:rsidRPr="00950720">
              <w:t>and email</w:t>
            </w:r>
          </w:p>
        </w:tc>
        <w:tc>
          <w:tcPr>
            <w:tcW w:w="1530" w:type="dxa"/>
          </w:tcPr>
          <w:p w:rsidRPr="00950720" w:rsidR="008F20F3" w:rsidP="007A536F" w:rsidRDefault="00FF0053" w14:paraId="3AA2E6F8" w14:textId="4BCF213A">
            <w:pPr>
              <w:keepNext/>
              <w:keepLines/>
              <w:jc w:val="center"/>
              <w:cnfStyle w:val="000000000000" w:firstRow="0" w:lastRow="0" w:firstColumn="0" w:lastColumn="0" w:oddVBand="0" w:evenVBand="0" w:oddHBand="0" w:evenHBand="0" w:firstRowFirstColumn="0" w:firstRowLastColumn="0" w:lastRowFirstColumn="0" w:lastRowLastColumn="0"/>
            </w:pPr>
            <w:r w:rsidRPr="00950720">
              <w:t>9, 10</w:t>
            </w:r>
          </w:p>
        </w:tc>
      </w:tr>
      <w:tr w:rsidRPr="00950720" w:rsidR="008E0647" w:rsidTr="00FF0053" w14:paraId="05FFDE12" w14:textId="77777777">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60A6D" w:rsidR="008E0647" w:rsidP="008E0647" w:rsidRDefault="008E0647" w14:paraId="02325BFC" w14:textId="00DCDFDC">
            <w:pPr>
              <w:keepNext/>
              <w:keepLines/>
            </w:pPr>
            <w:r w:rsidRPr="00960A6D">
              <w:t>6</w:t>
            </w:r>
          </w:p>
        </w:tc>
        <w:tc>
          <w:tcPr>
            <w:tcW w:w="6750" w:type="dxa"/>
          </w:tcPr>
          <w:p w:rsidRPr="00960A6D" w:rsidR="008E0647" w:rsidP="008E0647" w:rsidRDefault="008E0647" w14:paraId="60FF7E27" w14:textId="75B14CD7">
            <w:pPr>
              <w:keepNext/>
              <w:keepLines/>
              <w:cnfStyle w:val="000000000000" w:firstRow="0" w:lastRow="0" w:firstColumn="0" w:lastColumn="0" w:oddVBand="0" w:evenVBand="0" w:oddHBand="0" w:evenHBand="0" w:firstRowFirstColumn="0" w:firstRowLastColumn="0" w:lastRowFirstColumn="0" w:lastRowLastColumn="0"/>
            </w:pPr>
            <w:r w:rsidRPr="00960A6D">
              <w:t>Start telephone/email data quality follow up</w:t>
            </w:r>
          </w:p>
        </w:tc>
        <w:tc>
          <w:tcPr>
            <w:tcW w:w="1530" w:type="dxa"/>
          </w:tcPr>
          <w:p w:rsidRPr="00960A6D" w:rsidR="008E0647" w:rsidP="008E0647" w:rsidRDefault="008E0647" w14:paraId="4497936F" w14:textId="2DDDD715">
            <w:pPr>
              <w:keepNext/>
              <w:keepLines/>
              <w:jc w:val="center"/>
              <w:cnfStyle w:val="000000000000" w:firstRow="0" w:lastRow="0" w:firstColumn="0" w:lastColumn="0" w:oddVBand="0" w:evenVBand="0" w:oddHBand="0" w:evenHBand="0" w:firstRowFirstColumn="0" w:firstRowLastColumn="0" w:lastRowFirstColumn="0" w:lastRowLastColumn="0"/>
            </w:pPr>
            <w:r w:rsidRPr="00960A6D">
              <w:t>16</w:t>
            </w:r>
          </w:p>
        </w:tc>
      </w:tr>
      <w:tr w:rsidRPr="00950720" w:rsidR="008F20F3" w:rsidTr="00FF0053" w14:paraId="0794240C" w14:textId="168383A0">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60A6D" w:rsidR="008F20F3" w:rsidP="007A536F" w:rsidRDefault="008F20F3" w14:paraId="099DD8D5" w14:textId="72EEA75E">
            <w:pPr>
              <w:keepNext/>
              <w:keepLines/>
            </w:pPr>
            <w:r w:rsidRPr="00960A6D">
              <w:t>8</w:t>
            </w:r>
          </w:p>
        </w:tc>
        <w:tc>
          <w:tcPr>
            <w:tcW w:w="6750" w:type="dxa"/>
          </w:tcPr>
          <w:p w:rsidRPr="00960A6D" w:rsidR="008F20F3" w:rsidP="007A536F" w:rsidRDefault="00FF0053" w14:paraId="5B12368A" w14:textId="2EC0CABC">
            <w:pPr>
              <w:keepNext/>
              <w:keepLines/>
              <w:cnfStyle w:val="000000000000" w:firstRow="0" w:lastRow="0" w:firstColumn="0" w:lastColumn="0" w:oddVBand="0" w:evenVBand="0" w:oddHBand="0" w:evenHBand="0" w:firstRowFirstColumn="0" w:firstRowLastColumn="0" w:lastRowFirstColumn="0" w:lastRowLastColumn="0"/>
            </w:pPr>
            <w:r w:rsidRPr="00960A6D">
              <w:t xml:space="preserve">Reminder 2 – </w:t>
            </w:r>
            <w:r w:rsidRPr="00960A6D" w:rsidR="006C5BA1">
              <w:t>letter</w:t>
            </w:r>
            <w:r w:rsidRPr="00960A6D">
              <w:t>/email</w:t>
            </w:r>
            <w:r w:rsidRPr="00960A6D" w:rsidR="008F20F3">
              <w:t xml:space="preserve"> </w:t>
            </w:r>
            <w:r w:rsidRPr="00960A6D" w:rsidR="00825C2D">
              <w:t>with questionnaire and business reply envelope</w:t>
            </w:r>
          </w:p>
        </w:tc>
        <w:tc>
          <w:tcPr>
            <w:tcW w:w="1530" w:type="dxa"/>
          </w:tcPr>
          <w:p w:rsidRPr="00960A6D" w:rsidR="008F20F3" w:rsidP="007A536F" w:rsidRDefault="00FF0053" w14:paraId="4E5D4832" w14:textId="3DD8B716">
            <w:pPr>
              <w:keepNext/>
              <w:keepLines/>
              <w:jc w:val="center"/>
              <w:cnfStyle w:val="000000000000" w:firstRow="0" w:lastRow="0" w:firstColumn="0" w:lastColumn="0" w:oddVBand="0" w:evenVBand="0" w:oddHBand="0" w:evenHBand="0" w:firstRowFirstColumn="0" w:firstRowLastColumn="0" w:lastRowFirstColumn="0" w:lastRowLastColumn="0"/>
            </w:pPr>
            <w:r w:rsidRPr="00960A6D">
              <w:t>11</w:t>
            </w:r>
            <w:r w:rsidRPr="00960A6D" w:rsidR="00825C2D">
              <w:t>, 2</w:t>
            </w:r>
          </w:p>
        </w:tc>
      </w:tr>
      <w:tr w:rsidRPr="00950720" w:rsidR="008F20F3" w:rsidTr="00FF0053" w14:paraId="42C7FA94" w14:textId="6BA79368">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60A6D" w:rsidR="008F20F3" w:rsidP="007A536F" w:rsidRDefault="008F20F3" w14:paraId="59378A78" w14:textId="0143270D">
            <w:pPr>
              <w:keepNext/>
              <w:keepLines/>
            </w:pPr>
            <w:r w:rsidRPr="00960A6D">
              <w:t>11</w:t>
            </w:r>
          </w:p>
        </w:tc>
        <w:tc>
          <w:tcPr>
            <w:tcW w:w="6750" w:type="dxa"/>
          </w:tcPr>
          <w:p w:rsidRPr="00960A6D" w:rsidR="008F20F3" w:rsidP="007A536F" w:rsidRDefault="00580D77" w14:paraId="3132297D" w14:textId="74869F78">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60A6D">
              <w:rPr>
                <w:rFonts w:ascii="Times New Roman" w:hAnsi="Times New Roman" w:cs="Times New Roman"/>
              </w:rPr>
              <w:t>S</w:t>
            </w:r>
            <w:r w:rsidRPr="00960A6D" w:rsidR="00FF0053">
              <w:rPr>
                <w:rFonts w:ascii="Times New Roman" w:hAnsi="Times New Roman" w:cs="Times New Roman"/>
              </w:rPr>
              <w:t>tart telephone prompting for in</w:t>
            </w:r>
            <w:r w:rsidRPr="00960A6D" w:rsidR="00C45485">
              <w:rPr>
                <w:rFonts w:ascii="Times New Roman" w:hAnsi="Times New Roman" w:cs="Times New Roman"/>
              </w:rPr>
              <w:t xml:space="preserve">complete respondents </w:t>
            </w:r>
            <w:r w:rsidRPr="00960A6D" w:rsidR="008E0647">
              <w:rPr>
                <w:rFonts w:ascii="Times New Roman" w:hAnsi="Times New Roman" w:cs="Times New Roman"/>
              </w:rPr>
              <w:t>and non-respondents</w:t>
            </w:r>
          </w:p>
        </w:tc>
        <w:tc>
          <w:tcPr>
            <w:tcW w:w="1530" w:type="dxa"/>
          </w:tcPr>
          <w:p w:rsidRPr="00960A6D" w:rsidR="008F20F3" w:rsidP="007A536F" w:rsidRDefault="00580D77" w14:paraId="16CEF68B" w14:textId="425DC008">
            <w:pPr>
              <w:keepNext/>
              <w:keepLines/>
              <w:jc w:val="center"/>
              <w:cnfStyle w:val="000000000000" w:firstRow="0" w:lastRow="0" w:firstColumn="0" w:lastColumn="0" w:oddVBand="0" w:evenVBand="0" w:oddHBand="0" w:evenHBand="0" w:firstRowFirstColumn="0" w:firstRowLastColumn="0" w:lastRowFirstColumn="0" w:lastRowLastColumn="0"/>
            </w:pPr>
            <w:r w:rsidRPr="00960A6D">
              <w:t>17</w:t>
            </w:r>
            <w:r w:rsidRPr="00960A6D" w:rsidR="00C45485">
              <w:t>, 18</w:t>
            </w:r>
          </w:p>
        </w:tc>
      </w:tr>
      <w:tr w:rsidRPr="00950720" w:rsidR="008F20F3" w:rsidTr="00FF0053" w14:paraId="44E1256F" w14:textId="1CD4EC6B">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25C2D" w14:paraId="0CE4E991" w14:textId="3DF4A7F3">
            <w:pPr>
              <w:keepNext/>
              <w:keepLines/>
            </w:pPr>
            <w:r w:rsidRPr="00950720">
              <w:t>1</w:t>
            </w:r>
            <w:r>
              <w:t>1</w:t>
            </w:r>
          </w:p>
        </w:tc>
        <w:tc>
          <w:tcPr>
            <w:tcW w:w="6750" w:type="dxa"/>
          </w:tcPr>
          <w:p w:rsidRPr="00950720" w:rsidR="008F20F3" w:rsidP="007A536F" w:rsidRDefault="00FF0053" w14:paraId="61DF62C1" w14:textId="764EA6C6">
            <w:pPr>
              <w:keepNext/>
              <w:keepLines/>
              <w:cnfStyle w:val="000000000000" w:firstRow="0" w:lastRow="0" w:firstColumn="0" w:lastColumn="0" w:oddVBand="0" w:evenVBand="0" w:oddHBand="0" w:evenHBand="0" w:firstRowFirstColumn="0" w:firstRowLastColumn="0" w:lastRowFirstColumn="0" w:lastRowLastColumn="0"/>
            </w:pPr>
            <w:r w:rsidRPr="00950720">
              <w:t>Reminder 3 – mail and email</w:t>
            </w:r>
          </w:p>
        </w:tc>
        <w:tc>
          <w:tcPr>
            <w:tcW w:w="1530" w:type="dxa"/>
          </w:tcPr>
          <w:p w:rsidRPr="00950720" w:rsidR="008F20F3" w:rsidP="007A536F" w:rsidRDefault="00FF0053" w14:paraId="2F7E8802" w14:textId="47E0E214">
            <w:pPr>
              <w:keepNext/>
              <w:keepLines/>
              <w:jc w:val="center"/>
              <w:cnfStyle w:val="000000000000" w:firstRow="0" w:lastRow="0" w:firstColumn="0" w:lastColumn="0" w:oddVBand="0" w:evenVBand="0" w:oddHBand="0" w:evenHBand="0" w:firstRowFirstColumn="0" w:firstRowLastColumn="0" w:lastRowFirstColumn="0" w:lastRowLastColumn="0"/>
            </w:pPr>
            <w:r w:rsidRPr="00950720">
              <w:t>12, 13</w:t>
            </w:r>
          </w:p>
        </w:tc>
      </w:tr>
      <w:tr w:rsidRPr="00950720" w:rsidR="008F20F3" w:rsidTr="00FF0053" w14:paraId="3DE64ED1" w14:textId="243484FA">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25C2D" w14:paraId="0C65F14A" w14:textId="6DDBF0C3">
            <w:pPr>
              <w:keepNext/>
              <w:keepLines/>
            </w:pPr>
            <w:r>
              <w:t>14</w:t>
            </w:r>
          </w:p>
        </w:tc>
        <w:tc>
          <w:tcPr>
            <w:tcW w:w="6750" w:type="dxa"/>
          </w:tcPr>
          <w:p w:rsidRPr="00950720" w:rsidR="008F20F3" w:rsidP="007A536F" w:rsidRDefault="00FF0053" w14:paraId="0ECCE025" w14:textId="29B060BA">
            <w:pPr>
              <w:keepNext/>
              <w:keepLines/>
              <w:cnfStyle w:val="000000000000" w:firstRow="0" w:lastRow="0" w:firstColumn="0" w:lastColumn="0" w:oddVBand="0" w:evenVBand="0" w:oddHBand="0" w:evenHBand="0" w:firstRowFirstColumn="0" w:firstRowLastColumn="0" w:lastRowFirstColumn="0" w:lastRowLastColumn="0"/>
            </w:pPr>
            <w:r w:rsidRPr="00950720">
              <w:t xml:space="preserve">Reminder 4 – letter </w:t>
            </w:r>
          </w:p>
        </w:tc>
        <w:tc>
          <w:tcPr>
            <w:tcW w:w="1530" w:type="dxa"/>
          </w:tcPr>
          <w:p w:rsidRPr="00950720" w:rsidR="008F20F3" w:rsidP="007A536F" w:rsidRDefault="00FF0053" w14:paraId="0DDE32E8" w14:textId="6E7B8B05">
            <w:pPr>
              <w:keepNext/>
              <w:keepLines/>
              <w:jc w:val="center"/>
              <w:cnfStyle w:val="000000000000" w:firstRow="0" w:lastRow="0" w:firstColumn="0" w:lastColumn="0" w:oddVBand="0" w:evenVBand="0" w:oddHBand="0" w:evenHBand="0" w:firstRowFirstColumn="0" w:firstRowLastColumn="0" w:lastRowFirstColumn="0" w:lastRowLastColumn="0"/>
            </w:pPr>
            <w:r w:rsidRPr="00950720">
              <w:t>14</w:t>
            </w:r>
          </w:p>
        </w:tc>
      </w:tr>
      <w:tr w:rsidRPr="00950720" w:rsidR="008F20F3" w:rsidTr="00FF0053" w14:paraId="1C67BCBF" w14:textId="36CD5AD9">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25C2D" w14:paraId="58C51948" w14:textId="22AA1A76">
            <w:pPr>
              <w:keepNext/>
              <w:keepLines/>
            </w:pPr>
            <w:r>
              <w:t>17</w:t>
            </w:r>
          </w:p>
        </w:tc>
        <w:tc>
          <w:tcPr>
            <w:tcW w:w="6750" w:type="dxa"/>
          </w:tcPr>
          <w:p w:rsidRPr="00950720" w:rsidR="008F20F3" w:rsidP="007A536F" w:rsidRDefault="00FF0053" w14:paraId="78AA6E26" w14:textId="0AF1C9F5">
            <w:pPr>
              <w:keepNext/>
              <w:keepLines/>
              <w:cnfStyle w:val="000000000000" w:firstRow="0" w:lastRow="0" w:firstColumn="0" w:lastColumn="0" w:oddVBand="0" w:evenVBand="0" w:oddHBand="0" w:evenHBand="0" w:firstRowFirstColumn="0" w:firstRowLastColumn="0" w:lastRowFirstColumn="0" w:lastRowLastColumn="0"/>
            </w:pPr>
            <w:r w:rsidRPr="00950720">
              <w:t>Reminder 5 – postcard/email</w:t>
            </w:r>
          </w:p>
        </w:tc>
        <w:tc>
          <w:tcPr>
            <w:tcW w:w="1530" w:type="dxa"/>
          </w:tcPr>
          <w:p w:rsidRPr="00950720" w:rsidR="008F20F3" w:rsidP="007A536F" w:rsidRDefault="00FF0053" w14:paraId="7F22F937" w14:textId="6FA323C5">
            <w:pPr>
              <w:keepNext/>
              <w:keepLines/>
              <w:jc w:val="center"/>
              <w:cnfStyle w:val="000000000000" w:firstRow="0" w:lastRow="0" w:firstColumn="0" w:lastColumn="0" w:oddVBand="0" w:evenVBand="0" w:oddHBand="0" w:evenHBand="0" w:firstRowFirstColumn="0" w:firstRowLastColumn="0" w:lastRowFirstColumn="0" w:lastRowLastColumn="0"/>
            </w:pPr>
            <w:r w:rsidRPr="00950720">
              <w:t>15</w:t>
            </w:r>
          </w:p>
        </w:tc>
      </w:tr>
      <w:tr w:rsidRPr="00950720" w:rsidR="008F20F3" w:rsidTr="00FF0053" w14:paraId="41DABE9F" w14:textId="7BBFB0A2">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8F20F3" w14:paraId="52C099D7" w14:textId="1C313016">
            <w:pPr>
              <w:keepNext/>
              <w:keepLines/>
            </w:pPr>
            <w:r w:rsidRPr="00950720">
              <w:t>22</w:t>
            </w:r>
          </w:p>
        </w:tc>
        <w:tc>
          <w:tcPr>
            <w:tcW w:w="6750" w:type="dxa"/>
          </w:tcPr>
          <w:p w:rsidRPr="00950720" w:rsidR="008F20F3" w:rsidP="007A536F" w:rsidRDefault="00FF0053" w14:paraId="5B1368F5" w14:textId="219CD284">
            <w:pPr>
              <w:keepNext/>
              <w:keepLines/>
              <w:cnfStyle w:val="000000000000" w:firstRow="0" w:lastRow="0" w:firstColumn="0" w:lastColumn="0" w:oddVBand="0" w:evenVBand="0" w:oddHBand="0" w:evenHBand="0" w:firstRowFirstColumn="0" w:firstRowLastColumn="0" w:lastRowFirstColumn="0" w:lastRowLastColumn="0"/>
            </w:pPr>
            <w:r w:rsidRPr="00950720">
              <w:t>End-of-study email/letter reminder</w:t>
            </w:r>
          </w:p>
        </w:tc>
        <w:tc>
          <w:tcPr>
            <w:tcW w:w="1530" w:type="dxa"/>
          </w:tcPr>
          <w:p w:rsidRPr="00950720" w:rsidR="008F20F3" w:rsidP="007A536F" w:rsidRDefault="00FF0053" w14:paraId="03E82839" w14:textId="3644290B">
            <w:pPr>
              <w:keepNext/>
              <w:keepLines/>
              <w:jc w:val="center"/>
              <w:cnfStyle w:val="000000000000" w:firstRow="0" w:lastRow="0" w:firstColumn="0" w:lastColumn="0" w:oddVBand="0" w:evenVBand="0" w:oddHBand="0" w:evenHBand="0" w:firstRowFirstColumn="0" w:firstRowLastColumn="0" w:lastRowFirstColumn="0" w:lastRowLastColumn="0"/>
            </w:pPr>
            <w:r w:rsidRPr="00950720">
              <w:t>19, 20</w:t>
            </w:r>
          </w:p>
        </w:tc>
      </w:tr>
      <w:tr w:rsidRPr="00950720" w:rsidR="008F20F3" w:rsidTr="00FF0053" w14:paraId="5F3B0054" w14:textId="7C5BBF70">
        <w:trPr>
          <w:trHeight w:val="300"/>
        </w:trPr>
        <w:tc>
          <w:tcPr>
            <w:cnfStyle w:val="001000000000" w:firstRow="0" w:lastRow="0" w:firstColumn="1" w:lastColumn="0" w:oddVBand="0" w:evenVBand="0" w:oddHBand="0" w:evenHBand="0" w:firstRowFirstColumn="0" w:firstRowLastColumn="0" w:lastRowFirstColumn="0" w:lastRowLastColumn="0"/>
            <w:tcW w:w="1705" w:type="dxa"/>
          </w:tcPr>
          <w:p w:rsidRPr="00950720" w:rsidR="008F20F3" w:rsidP="007A536F" w:rsidRDefault="00FF0053" w14:paraId="7FCFBAB7" w14:textId="20E7D98D">
            <w:pPr>
              <w:keepNext/>
              <w:keepLines/>
            </w:pPr>
            <w:r w:rsidRPr="00950720">
              <w:t>Variable</w:t>
            </w:r>
          </w:p>
        </w:tc>
        <w:tc>
          <w:tcPr>
            <w:tcW w:w="6750" w:type="dxa"/>
          </w:tcPr>
          <w:p w:rsidRPr="00950720" w:rsidR="008F20F3" w:rsidP="007A536F" w:rsidRDefault="00FF0053" w14:paraId="49281EE3" w14:textId="2566571A">
            <w:pPr>
              <w:keepNext/>
              <w:keepLines/>
              <w:cnfStyle w:val="000000000000" w:firstRow="0" w:lastRow="0" w:firstColumn="0" w:lastColumn="0" w:oddVBand="0" w:evenVBand="0" w:oddHBand="0" w:evenHBand="0" w:firstRowFirstColumn="0" w:firstRowLastColumn="0" w:lastRowFirstColumn="0" w:lastRowLastColumn="0"/>
            </w:pPr>
            <w:r w:rsidRPr="00950720">
              <w:t>Thank you letter</w:t>
            </w:r>
          </w:p>
        </w:tc>
        <w:tc>
          <w:tcPr>
            <w:tcW w:w="1530" w:type="dxa"/>
          </w:tcPr>
          <w:p w:rsidRPr="00950720" w:rsidR="008F20F3" w:rsidP="007A536F" w:rsidRDefault="00FF0053" w14:paraId="66CC1662" w14:textId="17DB3C89">
            <w:pPr>
              <w:keepNext/>
              <w:keepLines/>
              <w:jc w:val="center"/>
              <w:cnfStyle w:val="000000000000" w:firstRow="0" w:lastRow="0" w:firstColumn="0" w:lastColumn="0" w:oddVBand="0" w:evenVBand="0" w:oddHBand="0" w:evenHBand="0" w:firstRowFirstColumn="0" w:firstRowLastColumn="0" w:lastRowFirstColumn="0" w:lastRowLastColumn="0"/>
            </w:pPr>
            <w:r w:rsidRPr="00950720">
              <w:t>21</w:t>
            </w:r>
          </w:p>
        </w:tc>
      </w:tr>
    </w:tbl>
    <w:p w:rsidRPr="00950720" w:rsidR="000953EF" w:rsidP="007A536F" w:rsidRDefault="000953EF" w14:paraId="41F5DF3E" w14:textId="10821FCC">
      <w:pPr>
        <w:pStyle w:val="SP-SglSpPara"/>
        <w:tabs>
          <w:tab w:val="clear" w:pos="576"/>
        </w:tabs>
        <w:spacing w:line="240" w:lineRule="auto"/>
        <w:ind w:firstLine="0"/>
        <w:jc w:val="left"/>
        <w:rPr>
          <w:sz w:val="24"/>
          <w:szCs w:val="24"/>
        </w:rPr>
      </w:pPr>
    </w:p>
    <w:p w:rsidRPr="00950720" w:rsidR="000953EF" w:rsidP="007A536F" w:rsidRDefault="000953EF" w14:paraId="6B0A9984" w14:textId="278DC2E0">
      <w:pPr>
        <w:pStyle w:val="SP-SglSpPara"/>
        <w:tabs>
          <w:tab w:val="clear" w:pos="576"/>
        </w:tabs>
        <w:spacing w:line="240" w:lineRule="auto"/>
        <w:ind w:firstLine="0"/>
        <w:jc w:val="left"/>
        <w:rPr>
          <w:sz w:val="24"/>
          <w:szCs w:val="24"/>
        </w:rPr>
      </w:pPr>
      <w:r w:rsidRPr="00950720">
        <w:rPr>
          <w:b/>
          <w:bCs/>
          <w:sz w:val="24"/>
          <w:szCs w:val="24"/>
        </w:rPr>
        <w:t>Pre-notification letter.</w:t>
      </w:r>
      <w:r w:rsidRPr="00950720">
        <w:rPr>
          <w:sz w:val="24"/>
          <w:szCs w:val="24"/>
        </w:rPr>
        <w:t xml:space="preserve"> The data collection period will open with a pre-notification letter (see </w:t>
      </w:r>
      <w:r w:rsidRPr="007E75FC">
        <w:rPr>
          <w:b/>
          <w:sz w:val="24"/>
          <w:szCs w:val="24"/>
        </w:rPr>
        <w:t>Attachment 6</w:t>
      </w:r>
      <w:r w:rsidRPr="00950720">
        <w:rPr>
          <w:sz w:val="24"/>
          <w:szCs w:val="24"/>
        </w:rPr>
        <w:t>), on BJS letterhead and signed by the BJS director</w:t>
      </w:r>
      <w:r w:rsidRPr="00950720" w:rsidR="00FF0053">
        <w:rPr>
          <w:sz w:val="24"/>
          <w:szCs w:val="24"/>
        </w:rPr>
        <w:t>, which will be sent to all laboratory directors</w:t>
      </w:r>
      <w:r w:rsidRPr="00950720">
        <w:rPr>
          <w:sz w:val="24"/>
          <w:szCs w:val="24"/>
        </w:rPr>
        <w:t xml:space="preserve">. The pre-notification letter highlights the importance of the </w:t>
      </w:r>
      <w:r w:rsidRPr="00950720" w:rsidR="00FF0053">
        <w:rPr>
          <w:sz w:val="24"/>
          <w:szCs w:val="24"/>
        </w:rPr>
        <w:t>2020 CPFFCL</w:t>
      </w:r>
      <w:r w:rsidRPr="00950720">
        <w:rPr>
          <w:sz w:val="24"/>
          <w:szCs w:val="24"/>
        </w:rPr>
        <w:t xml:space="preserve"> and encourages participation. It also provides contact information that can be used to obtain additional information.</w:t>
      </w:r>
    </w:p>
    <w:p w:rsidRPr="00950720" w:rsidR="000953EF" w:rsidP="007A536F" w:rsidRDefault="000953EF" w14:paraId="3DC706A0" w14:textId="1755F501">
      <w:pPr>
        <w:pStyle w:val="SP-SglSpPara"/>
        <w:tabs>
          <w:tab w:val="clear" w:pos="576"/>
        </w:tabs>
        <w:spacing w:line="240" w:lineRule="auto"/>
        <w:ind w:firstLine="0"/>
        <w:jc w:val="left"/>
        <w:rPr>
          <w:sz w:val="24"/>
          <w:szCs w:val="24"/>
        </w:rPr>
      </w:pPr>
    </w:p>
    <w:p w:rsidRPr="00950720" w:rsidR="000953EF" w:rsidP="007A536F" w:rsidRDefault="000953EF" w14:paraId="68EA2E62" w14:textId="7D555F78">
      <w:pPr>
        <w:pStyle w:val="SP-SglSpPara"/>
        <w:tabs>
          <w:tab w:val="clear" w:pos="576"/>
        </w:tabs>
        <w:ind w:firstLine="0"/>
        <w:jc w:val="left"/>
        <w:rPr>
          <w:sz w:val="24"/>
          <w:szCs w:val="24"/>
        </w:rPr>
      </w:pPr>
      <w:r w:rsidRPr="00950720">
        <w:rPr>
          <w:b/>
          <w:bCs/>
          <w:sz w:val="24"/>
          <w:szCs w:val="24"/>
        </w:rPr>
        <w:t>Invitation package and email message.</w:t>
      </w:r>
      <w:r w:rsidRPr="00950720">
        <w:rPr>
          <w:sz w:val="24"/>
          <w:szCs w:val="24"/>
        </w:rPr>
        <w:t xml:space="preserve"> Two weeks after the pre-notification letter is sent, RTI will mail an invitation package including a cover letter (</w:t>
      </w:r>
      <w:r w:rsidRPr="007E75FC">
        <w:rPr>
          <w:b/>
          <w:sz w:val="24"/>
          <w:szCs w:val="24"/>
        </w:rPr>
        <w:t>Attachment 7</w:t>
      </w:r>
      <w:r w:rsidRPr="00950720">
        <w:rPr>
          <w:sz w:val="24"/>
          <w:szCs w:val="24"/>
        </w:rPr>
        <w:t xml:space="preserve">) to the </w:t>
      </w:r>
      <w:r w:rsidRPr="00950720" w:rsidR="00FF0053">
        <w:rPr>
          <w:sz w:val="24"/>
          <w:szCs w:val="24"/>
        </w:rPr>
        <w:t xml:space="preserve">laboratory </w:t>
      </w:r>
      <w:r w:rsidRPr="00950720">
        <w:rPr>
          <w:sz w:val="24"/>
          <w:szCs w:val="24"/>
        </w:rPr>
        <w:t xml:space="preserve">director of all eligible </w:t>
      </w:r>
      <w:r w:rsidRPr="00950720" w:rsidR="00FF0053">
        <w:rPr>
          <w:sz w:val="24"/>
          <w:szCs w:val="24"/>
        </w:rPr>
        <w:t>laboratories</w:t>
      </w:r>
      <w:r w:rsidRPr="00950720">
        <w:rPr>
          <w:sz w:val="24"/>
          <w:szCs w:val="24"/>
        </w:rPr>
        <w:t xml:space="preserve">. This letter, signed by the BJS program manager, will include the survey web address, </w:t>
      </w:r>
      <w:r w:rsidRPr="00950720" w:rsidR="00FF0053">
        <w:rPr>
          <w:sz w:val="24"/>
          <w:szCs w:val="24"/>
        </w:rPr>
        <w:t>laboratory</w:t>
      </w:r>
      <w:r w:rsidRPr="00950720">
        <w:rPr>
          <w:sz w:val="24"/>
          <w:szCs w:val="24"/>
        </w:rPr>
        <w:t xml:space="preserve"> specific log-in credentials, and instructions to complete the web survey. The letter will stress the purpose and importance of </w:t>
      </w:r>
      <w:r w:rsidRPr="00950720" w:rsidR="00FF0053">
        <w:rPr>
          <w:sz w:val="24"/>
          <w:szCs w:val="24"/>
        </w:rPr>
        <w:t>CPFFCL</w:t>
      </w:r>
      <w:r w:rsidRPr="00950720">
        <w:rPr>
          <w:sz w:val="24"/>
          <w:szCs w:val="24"/>
        </w:rPr>
        <w:t xml:space="preserve"> and the need for participation. It will notify the recipient of the survey due date and provide RTI </w:t>
      </w:r>
      <w:r w:rsidR="000B35D4">
        <w:rPr>
          <w:sz w:val="24"/>
          <w:szCs w:val="24"/>
        </w:rPr>
        <w:t xml:space="preserve">and BJS </w:t>
      </w:r>
      <w:r w:rsidRPr="00950720">
        <w:rPr>
          <w:sz w:val="24"/>
          <w:szCs w:val="24"/>
        </w:rPr>
        <w:t>contacts for any questions or comments. Th</w:t>
      </w:r>
      <w:r w:rsidRPr="00950720" w:rsidR="00FF0053">
        <w:rPr>
          <w:sz w:val="24"/>
          <w:szCs w:val="24"/>
        </w:rPr>
        <w:t>e</w:t>
      </w:r>
      <w:r w:rsidRPr="00950720">
        <w:rPr>
          <w:sz w:val="24"/>
          <w:szCs w:val="24"/>
        </w:rPr>
        <w:t xml:space="preserve"> invitation package will include </w:t>
      </w:r>
      <w:r w:rsidRPr="00950720" w:rsidR="00FF0053">
        <w:rPr>
          <w:sz w:val="24"/>
          <w:szCs w:val="24"/>
        </w:rPr>
        <w:t xml:space="preserve">a </w:t>
      </w:r>
      <w:r w:rsidRPr="00950720">
        <w:rPr>
          <w:sz w:val="24"/>
          <w:szCs w:val="24"/>
        </w:rPr>
        <w:t xml:space="preserve">letter of support from </w:t>
      </w:r>
      <w:r w:rsidRPr="00950720" w:rsidR="00FF0053">
        <w:rPr>
          <w:sz w:val="24"/>
          <w:szCs w:val="24"/>
        </w:rPr>
        <w:t>the American Society of Crime Laboratory Directors</w:t>
      </w:r>
      <w:r w:rsidRPr="00950720">
        <w:rPr>
          <w:sz w:val="24"/>
          <w:szCs w:val="24"/>
        </w:rPr>
        <w:t xml:space="preserve"> (</w:t>
      </w:r>
      <w:r w:rsidRPr="007E75FC">
        <w:rPr>
          <w:b/>
          <w:sz w:val="24"/>
          <w:szCs w:val="24"/>
        </w:rPr>
        <w:t>Attachment 22</w:t>
      </w:r>
      <w:r w:rsidRPr="00950720">
        <w:rPr>
          <w:sz w:val="24"/>
          <w:szCs w:val="24"/>
        </w:rPr>
        <w:t xml:space="preserve">). </w:t>
      </w:r>
    </w:p>
    <w:p w:rsidRPr="00950720" w:rsidR="00FF0053" w:rsidP="007A536F" w:rsidRDefault="00FF0053" w14:paraId="739B121A" w14:textId="77777777">
      <w:pPr>
        <w:pStyle w:val="SP-SglSpPara"/>
        <w:tabs>
          <w:tab w:val="clear" w:pos="576"/>
        </w:tabs>
        <w:ind w:firstLine="0"/>
        <w:jc w:val="left"/>
        <w:rPr>
          <w:sz w:val="24"/>
          <w:szCs w:val="24"/>
        </w:rPr>
      </w:pPr>
    </w:p>
    <w:p w:rsidRPr="00950720" w:rsidR="00FF0053" w:rsidP="007A536F" w:rsidRDefault="000953EF" w14:paraId="5F64CCAB" w14:textId="4B5904BD">
      <w:pPr>
        <w:pStyle w:val="SP-SglSpPara"/>
        <w:tabs>
          <w:tab w:val="clear" w:pos="576"/>
        </w:tabs>
        <w:ind w:firstLine="0"/>
        <w:jc w:val="left"/>
        <w:rPr>
          <w:sz w:val="24"/>
          <w:szCs w:val="24"/>
        </w:rPr>
      </w:pPr>
      <w:r w:rsidRPr="00950720">
        <w:rPr>
          <w:sz w:val="24"/>
          <w:szCs w:val="24"/>
        </w:rPr>
        <w:t xml:space="preserve">Within a week after the mailed invitation letter is sent, an email invitation (see </w:t>
      </w:r>
      <w:r w:rsidRPr="007E75FC">
        <w:rPr>
          <w:b/>
          <w:sz w:val="24"/>
          <w:szCs w:val="24"/>
        </w:rPr>
        <w:t>Attachment 8</w:t>
      </w:r>
      <w:r w:rsidRPr="00950720">
        <w:rPr>
          <w:sz w:val="24"/>
          <w:szCs w:val="24"/>
        </w:rPr>
        <w:t>) will be sent to those directors for whom an email address is available. This invitation is closely aligned with the mailed invitation letter but contains a hyperlink to the web survey.</w:t>
      </w:r>
    </w:p>
    <w:p w:rsidRPr="00950720" w:rsidR="00FF0053" w:rsidP="007A536F" w:rsidRDefault="00FF0053" w14:paraId="327A54B2" w14:textId="77777777">
      <w:pPr>
        <w:pStyle w:val="SP-SglSpPara"/>
        <w:tabs>
          <w:tab w:val="clear" w:pos="576"/>
        </w:tabs>
        <w:jc w:val="left"/>
        <w:rPr>
          <w:sz w:val="24"/>
          <w:szCs w:val="24"/>
        </w:rPr>
      </w:pPr>
    </w:p>
    <w:p w:rsidRPr="00950720" w:rsidR="000953EF" w:rsidP="007A536F" w:rsidRDefault="000953EF" w14:paraId="22176EE7" w14:textId="390C9343">
      <w:pPr>
        <w:pStyle w:val="SP-SglSpPara"/>
        <w:tabs>
          <w:tab w:val="clear" w:pos="576"/>
        </w:tabs>
        <w:ind w:firstLine="0"/>
        <w:jc w:val="left"/>
        <w:rPr>
          <w:sz w:val="24"/>
          <w:szCs w:val="24"/>
        </w:rPr>
      </w:pPr>
      <w:r w:rsidRPr="00950720">
        <w:rPr>
          <w:b/>
          <w:bCs/>
          <w:sz w:val="24"/>
          <w:szCs w:val="24"/>
        </w:rPr>
        <w:t>Mail and email reminders.</w:t>
      </w:r>
      <w:r w:rsidRPr="00950720">
        <w:rPr>
          <w:sz w:val="24"/>
          <w:szCs w:val="24"/>
        </w:rPr>
        <w:t xml:space="preserve"> Starting three weeks after the invitation package is sent, the project team will begin to send reminders to respondents alternating between mail and email to keep survey reminders fresh according to the following schedule—</w:t>
      </w:r>
    </w:p>
    <w:p w:rsidRPr="00950720" w:rsidR="00FF0053" w:rsidP="007A536F" w:rsidRDefault="00FF0053" w14:paraId="2344B50A" w14:textId="77777777">
      <w:pPr>
        <w:pStyle w:val="SP-SglSpPara"/>
        <w:tabs>
          <w:tab w:val="clear" w:pos="576"/>
        </w:tabs>
        <w:ind w:firstLine="0"/>
        <w:jc w:val="left"/>
        <w:rPr>
          <w:sz w:val="24"/>
          <w:szCs w:val="24"/>
        </w:rPr>
      </w:pPr>
    </w:p>
    <w:p w:rsidRPr="00950720" w:rsidR="000953EF" w:rsidP="007A536F" w:rsidRDefault="000953EF" w14:paraId="78066211" w14:textId="18A3159E">
      <w:pPr>
        <w:pStyle w:val="SP-SglSpPara"/>
        <w:numPr>
          <w:ilvl w:val="0"/>
          <w:numId w:val="27"/>
        </w:numPr>
        <w:tabs>
          <w:tab w:val="clear" w:pos="576"/>
        </w:tabs>
        <w:jc w:val="left"/>
        <w:rPr>
          <w:sz w:val="24"/>
          <w:szCs w:val="24"/>
        </w:rPr>
      </w:pPr>
      <w:r w:rsidRPr="00950720">
        <w:rPr>
          <w:sz w:val="24"/>
          <w:szCs w:val="24"/>
        </w:rPr>
        <w:t xml:space="preserve">Week 6: Three weeks after the invitation package is sent, the project team will send the first reminder via </w:t>
      </w:r>
      <w:r w:rsidR="0089772B">
        <w:rPr>
          <w:sz w:val="24"/>
          <w:szCs w:val="24"/>
        </w:rPr>
        <w:t>postcard</w:t>
      </w:r>
      <w:r w:rsidRPr="00950720" w:rsidR="0089772B">
        <w:rPr>
          <w:sz w:val="24"/>
          <w:szCs w:val="24"/>
        </w:rPr>
        <w:t xml:space="preserve"> </w:t>
      </w:r>
      <w:r w:rsidRPr="00950720">
        <w:rPr>
          <w:sz w:val="24"/>
          <w:szCs w:val="24"/>
        </w:rPr>
        <w:t>to non</w:t>
      </w:r>
      <w:r w:rsidR="00977B7F">
        <w:rPr>
          <w:sz w:val="24"/>
          <w:szCs w:val="24"/>
        </w:rPr>
        <w:t>-</w:t>
      </w:r>
      <w:r w:rsidRPr="00950720">
        <w:rPr>
          <w:sz w:val="24"/>
          <w:szCs w:val="24"/>
        </w:rPr>
        <w:t xml:space="preserve">respondents for whom it has no email address </w:t>
      </w:r>
      <w:r w:rsidRPr="00950720">
        <w:rPr>
          <w:sz w:val="24"/>
          <w:szCs w:val="24"/>
        </w:rPr>
        <w:lastRenderedPageBreak/>
        <w:t>(</w:t>
      </w:r>
      <w:r w:rsidRPr="007E75FC">
        <w:rPr>
          <w:b/>
          <w:sz w:val="24"/>
          <w:szCs w:val="24"/>
        </w:rPr>
        <w:t>Attachment 9</w:t>
      </w:r>
      <w:r w:rsidRPr="00950720">
        <w:rPr>
          <w:sz w:val="24"/>
          <w:szCs w:val="24"/>
        </w:rPr>
        <w:t xml:space="preserve">). Respondents for whom the project teams </w:t>
      </w:r>
      <w:r w:rsidRPr="00950720" w:rsidR="00633D2E">
        <w:rPr>
          <w:sz w:val="24"/>
          <w:szCs w:val="24"/>
        </w:rPr>
        <w:t>have</w:t>
      </w:r>
      <w:r w:rsidRPr="00950720">
        <w:rPr>
          <w:sz w:val="24"/>
          <w:szCs w:val="24"/>
        </w:rPr>
        <w:t xml:space="preserve"> an email will also receive a reminder via email (</w:t>
      </w:r>
      <w:r w:rsidRPr="007E75FC">
        <w:rPr>
          <w:b/>
          <w:sz w:val="24"/>
          <w:szCs w:val="24"/>
        </w:rPr>
        <w:t>Attachment 10</w:t>
      </w:r>
      <w:r w:rsidRPr="00950720">
        <w:rPr>
          <w:sz w:val="24"/>
          <w:szCs w:val="24"/>
        </w:rPr>
        <w:t>).</w:t>
      </w:r>
    </w:p>
    <w:p w:rsidRPr="00825C2D" w:rsidR="000953EF" w:rsidP="00825C2D" w:rsidRDefault="000953EF" w14:paraId="27ED1153" w14:textId="43810446">
      <w:pPr>
        <w:pStyle w:val="SP-SglSpPara"/>
        <w:numPr>
          <w:ilvl w:val="0"/>
          <w:numId w:val="27"/>
        </w:numPr>
        <w:tabs>
          <w:tab w:val="clear" w:pos="576"/>
        </w:tabs>
        <w:jc w:val="left"/>
        <w:rPr>
          <w:sz w:val="24"/>
          <w:szCs w:val="24"/>
        </w:rPr>
      </w:pPr>
      <w:r w:rsidRPr="00950720">
        <w:rPr>
          <w:sz w:val="24"/>
          <w:szCs w:val="24"/>
        </w:rPr>
        <w:t xml:space="preserve">Week </w:t>
      </w:r>
      <w:r w:rsidR="00825C2D">
        <w:rPr>
          <w:sz w:val="24"/>
          <w:szCs w:val="24"/>
        </w:rPr>
        <w:t>8</w:t>
      </w:r>
      <w:r w:rsidRPr="00950720">
        <w:rPr>
          <w:sz w:val="24"/>
          <w:szCs w:val="24"/>
        </w:rPr>
        <w:t xml:space="preserve">: </w:t>
      </w:r>
      <w:r w:rsidR="00825C2D">
        <w:rPr>
          <w:sz w:val="24"/>
          <w:szCs w:val="24"/>
        </w:rPr>
        <w:t>Three</w:t>
      </w:r>
      <w:r w:rsidRPr="00950720" w:rsidR="00825C2D">
        <w:rPr>
          <w:sz w:val="24"/>
          <w:szCs w:val="24"/>
        </w:rPr>
        <w:t xml:space="preserve"> </w:t>
      </w:r>
      <w:r w:rsidRPr="00950720">
        <w:rPr>
          <w:sz w:val="24"/>
          <w:szCs w:val="24"/>
        </w:rPr>
        <w:t xml:space="preserve">weeks after the first reminder, the project team will mail a second reminder via </w:t>
      </w:r>
      <w:r w:rsidR="0089772B">
        <w:rPr>
          <w:sz w:val="24"/>
          <w:szCs w:val="24"/>
        </w:rPr>
        <w:t xml:space="preserve">letter </w:t>
      </w:r>
      <w:r w:rsidRPr="00950720">
        <w:rPr>
          <w:sz w:val="24"/>
          <w:szCs w:val="24"/>
        </w:rPr>
        <w:t>(</w:t>
      </w:r>
      <w:r w:rsidRPr="007E75FC">
        <w:rPr>
          <w:b/>
          <w:sz w:val="24"/>
          <w:szCs w:val="24"/>
        </w:rPr>
        <w:t>Attachment 11</w:t>
      </w:r>
      <w:r w:rsidRPr="00950720">
        <w:rPr>
          <w:sz w:val="24"/>
          <w:szCs w:val="24"/>
        </w:rPr>
        <w:t>)</w:t>
      </w:r>
      <w:r w:rsidR="00825C2D">
        <w:rPr>
          <w:sz w:val="24"/>
          <w:szCs w:val="24"/>
        </w:rPr>
        <w:t xml:space="preserve"> </w:t>
      </w:r>
      <w:r w:rsidRPr="00950720" w:rsidR="00825C2D">
        <w:rPr>
          <w:sz w:val="24"/>
          <w:szCs w:val="24"/>
        </w:rPr>
        <w:t>including the questionnaire (</w:t>
      </w:r>
      <w:r w:rsidRPr="007E75FC" w:rsidR="00825C2D">
        <w:rPr>
          <w:b/>
          <w:sz w:val="24"/>
          <w:szCs w:val="24"/>
        </w:rPr>
        <w:t>Attachment 2</w:t>
      </w:r>
      <w:r w:rsidRPr="00950720" w:rsidR="00825C2D">
        <w:rPr>
          <w:sz w:val="24"/>
          <w:szCs w:val="24"/>
        </w:rPr>
        <w:t>) and a business reply envelope with which to return the completed form.</w:t>
      </w:r>
    </w:p>
    <w:p w:rsidRPr="00950720" w:rsidR="000953EF" w:rsidP="007A536F" w:rsidRDefault="000953EF" w14:paraId="4CBE6D66" w14:textId="7FCBC473">
      <w:pPr>
        <w:pStyle w:val="SP-SglSpPara"/>
        <w:numPr>
          <w:ilvl w:val="0"/>
          <w:numId w:val="27"/>
        </w:numPr>
        <w:tabs>
          <w:tab w:val="clear" w:pos="576"/>
        </w:tabs>
        <w:jc w:val="left"/>
        <w:rPr>
          <w:sz w:val="24"/>
          <w:szCs w:val="24"/>
        </w:rPr>
      </w:pPr>
      <w:r w:rsidRPr="00950720">
        <w:rPr>
          <w:sz w:val="24"/>
          <w:szCs w:val="24"/>
        </w:rPr>
        <w:t xml:space="preserve">Week </w:t>
      </w:r>
      <w:r w:rsidR="00825C2D">
        <w:rPr>
          <w:sz w:val="24"/>
          <w:szCs w:val="24"/>
        </w:rPr>
        <w:t>11</w:t>
      </w:r>
      <w:r w:rsidRPr="00950720">
        <w:rPr>
          <w:sz w:val="24"/>
          <w:szCs w:val="24"/>
        </w:rPr>
        <w:t>: Three weeks after the second reminder, the project team will send a third reminder via email (</w:t>
      </w:r>
      <w:r w:rsidRPr="007E75FC">
        <w:rPr>
          <w:b/>
          <w:sz w:val="24"/>
          <w:szCs w:val="24"/>
        </w:rPr>
        <w:t>Attachment 12</w:t>
      </w:r>
      <w:r w:rsidRPr="00950720">
        <w:rPr>
          <w:sz w:val="24"/>
          <w:szCs w:val="24"/>
        </w:rPr>
        <w:t>) or via letter (</w:t>
      </w:r>
      <w:r w:rsidRPr="007E75FC">
        <w:rPr>
          <w:b/>
          <w:sz w:val="24"/>
          <w:szCs w:val="24"/>
        </w:rPr>
        <w:t>Attachment 13</w:t>
      </w:r>
      <w:r w:rsidRPr="00950720">
        <w:rPr>
          <w:sz w:val="24"/>
          <w:szCs w:val="24"/>
        </w:rPr>
        <w:t xml:space="preserve">) for those </w:t>
      </w:r>
      <w:r w:rsidRPr="00950720" w:rsidR="00FF0053">
        <w:rPr>
          <w:sz w:val="24"/>
          <w:szCs w:val="24"/>
        </w:rPr>
        <w:t>laboratories</w:t>
      </w:r>
      <w:r w:rsidRPr="00950720">
        <w:rPr>
          <w:sz w:val="24"/>
          <w:szCs w:val="24"/>
        </w:rPr>
        <w:t xml:space="preserve"> </w:t>
      </w:r>
      <w:r w:rsidRPr="00950720" w:rsidR="00FF0053">
        <w:rPr>
          <w:sz w:val="24"/>
          <w:szCs w:val="24"/>
        </w:rPr>
        <w:t>that do not have</w:t>
      </w:r>
      <w:r w:rsidRPr="00950720">
        <w:rPr>
          <w:sz w:val="24"/>
          <w:szCs w:val="24"/>
        </w:rPr>
        <w:t xml:space="preserve"> email address</w:t>
      </w:r>
      <w:r w:rsidRPr="00950720" w:rsidR="00FF0053">
        <w:rPr>
          <w:sz w:val="24"/>
          <w:szCs w:val="24"/>
        </w:rPr>
        <w:t>es</w:t>
      </w:r>
      <w:r w:rsidRPr="00950720">
        <w:rPr>
          <w:sz w:val="24"/>
          <w:szCs w:val="24"/>
        </w:rPr>
        <w:t>.</w:t>
      </w:r>
    </w:p>
    <w:p w:rsidRPr="00950720" w:rsidR="000953EF" w:rsidP="007A536F" w:rsidRDefault="000953EF" w14:paraId="4077D080" w14:textId="73814EDC">
      <w:pPr>
        <w:pStyle w:val="SP-SglSpPara"/>
        <w:numPr>
          <w:ilvl w:val="0"/>
          <w:numId w:val="27"/>
        </w:numPr>
        <w:tabs>
          <w:tab w:val="clear" w:pos="576"/>
        </w:tabs>
        <w:jc w:val="left"/>
        <w:rPr>
          <w:sz w:val="24"/>
          <w:szCs w:val="24"/>
        </w:rPr>
      </w:pPr>
      <w:r w:rsidRPr="00950720">
        <w:rPr>
          <w:sz w:val="24"/>
          <w:szCs w:val="24"/>
        </w:rPr>
        <w:t xml:space="preserve">Week </w:t>
      </w:r>
      <w:r w:rsidR="00825C2D">
        <w:rPr>
          <w:sz w:val="24"/>
          <w:szCs w:val="24"/>
        </w:rPr>
        <w:t>14</w:t>
      </w:r>
      <w:r w:rsidRPr="00950720">
        <w:rPr>
          <w:sz w:val="24"/>
          <w:szCs w:val="24"/>
        </w:rPr>
        <w:t>: Three weeks after the third reminder, the project team will send the fourth reminder via letter (</w:t>
      </w:r>
      <w:r w:rsidRPr="007E75FC">
        <w:rPr>
          <w:b/>
          <w:sz w:val="24"/>
          <w:szCs w:val="24"/>
        </w:rPr>
        <w:t>Attachment 14</w:t>
      </w:r>
      <w:r w:rsidRPr="00950720">
        <w:rPr>
          <w:sz w:val="24"/>
          <w:szCs w:val="24"/>
        </w:rPr>
        <w:t xml:space="preserve">) </w:t>
      </w:r>
    </w:p>
    <w:p w:rsidRPr="00950720" w:rsidR="000953EF" w:rsidP="007A536F" w:rsidRDefault="000953EF" w14:paraId="4F868E4C" w14:textId="42BB4AC1">
      <w:pPr>
        <w:pStyle w:val="SP-SglSpPara"/>
        <w:numPr>
          <w:ilvl w:val="0"/>
          <w:numId w:val="27"/>
        </w:numPr>
        <w:tabs>
          <w:tab w:val="clear" w:pos="576"/>
        </w:tabs>
        <w:jc w:val="left"/>
        <w:rPr>
          <w:sz w:val="24"/>
          <w:szCs w:val="24"/>
        </w:rPr>
      </w:pPr>
      <w:r w:rsidRPr="00950720">
        <w:rPr>
          <w:sz w:val="24"/>
          <w:szCs w:val="24"/>
        </w:rPr>
        <w:t xml:space="preserve">Week </w:t>
      </w:r>
      <w:r w:rsidR="00825C2D">
        <w:rPr>
          <w:sz w:val="24"/>
          <w:szCs w:val="24"/>
        </w:rPr>
        <w:t>17</w:t>
      </w:r>
      <w:r w:rsidRPr="00950720">
        <w:rPr>
          <w:sz w:val="24"/>
          <w:szCs w:val="24"/>
        </w:rPr>
        <w:t>: Three weeks after the fourth reminder, the project team will send the fifth reminder via postcard (</w:t>
      </w:r>
      <w:r w:rsidRPr="007E75FC">
        <w:rPr>
          <w:b/>
          <w:sz w:val="24"/>
          <w:szCs w:val="24"/>
        </w:rPr>
        <w:t>Attachment 15</w:t>
      </w:r>
      <w:r w:rsidRPr="00950720">
        <w:rPr>
          <w:sz w:val="24"/>
          <w:szCs w:val="24"/>
        </w:rPr>
        <w:t>).</w:t>
      </w:r>
    </w:p>
    <w:p w:rsidRPr="00950720" w:rsidR="00FF0053" w:rsidP="007A536F" w:rsidRDefault="00FF0053" w14:paraId="6B3B0F84" w14:textId="77777777">
      <w:pPr>
        <w:pStyle w:val="SP-SglSpPara"/>
        <w:tabs>
          <w:tab w:val="clear" w:pos="576"/>
        </w:tabs>
        <w:ind w:firstLine="0"/>
        <w:jc w:val="left"/>
        <w:rPr>
          <w:sz w:val="24"/>
          <w:szCs w:val="24"/>
        </w:rPr>
      </w:pPr>
    </w:p>
    <w:p w:rsidRPr="00950720" w:rsidR="000953EF" w:rsidP="007A536F" w:rsidRDefault="000953EF" w14:paraId="780DE49B" w14:textId="18C12611">
      <w:pPr>
        <w:pStyle w:val="SP-SglSpPara"/>
        <w:tabs>
          <w:tab w:val="clear" w:pos="576"/>
        </w:tabs>
        <w:ind w:firstLine="0"/>
        <w:jc w:val="left"/>
        <w:rPr>
          <w:sz w:val="24"/>
          <w:szCs w:val="24"/>
        </w:rPr>
      </w:pPr>
      <w:r w:rsidRPr="00950720">
        <w:rPr>
          <w:b/>
          <w:bCs/>
          <w:sz w:val="24"/>
          <w:szCs w:val="24"/>
        </w:rPr>
        <w:t>Telephone and email data quality follow-up.</w:t>
      </w:r>
      <w:r w:rsidRPr="00950720">
        <w:rPr>
          <w:sz w:val="24"/>
          <w:szCs w:val="24"/>
        </w:rPr>
        <w:t xml:space="preserve"> Approximately </w:t>
      </w:r>
      <w:r w:rsidR="00986085">
        <w:rPr>
          <w:sz w:val="24"/>
          <w:szCs w:val="24"/>
        </w:rPr>
        <w:t xml:space="preserve">6 </w:t>
      </w:r>
      <w:r w:rsidRPr="00950720">
        <w:rPr>
          <w:sz w:val="24"/>
          <w:szCs w:val="24"/>
        </w:rPr>
        <w:t>weeks after data collection begins, RTI will begin reviewing the data received. As data discrepancies or missing data values are discovered, RTI staff will follow up with respondents via telephone or email to clarify responses or obtain missing information (</w:t>
      </w:r>
      <w:r w:rsidRPr="007E75FC">
        <w:rPr>
          <w:b/>
          <w:sz w:val="24"/>
          <w:szCs w:val="24"/>
        </w:rPr>
        <w:t>Attachment 16</w:t>
      </w:r>
      <w:r w:rsidRPr="00950720">
        <w:rPr>
          <w:sz w:val="24"/>
          <w:szCs w:val="24"/>
        </w:rPr>
        <w:t>).</w:t>
      </w:r>
    </w:p>
    <w:p w:rsidRPr="00950720" w:rsidR="00FF0053" w:rsidP="007A536F" w:rsidRDefault="00FF0053" w14:paraId="4DC75A2D" w14:textId="77777777">
      <w:pPr>
        <w:pStyle w:val="SP-SglSpPara"/>
        <w:tabs>
          <w:tab w:val="clear" w:pos="576"/>
        </w:tabs>
        <w:ind w:firstLine="0"/>
        <w:jc w:val="left"/>
        <w:rPr>
          <w:sz w:val="24"/>
          <w:szCs w:val="24"/>
        </w:rPr>
      </w:pPr>
    </w:p>
    <w:p w:rsidRPr="00950720" w:rsidR="000953EF" w:rsidP="007A536F" w:rsidRDefault="000953EF" w14:paraId="57A4E8C6" w14:textId="17D4EA51">
      <w:pPr>
        <w:pStyle w:val="SP-SglSpPara"/>
        <w:tabs>
          <w:tab w:val="clear" w:pos="576"/>
        </w:tabs>
        <w:spacing w:line="240" w:lineRule="auto"/>
        <w:ind w:firstLine="0"/>
        <w:jc w:val="left"/>
        <w:rPr>
          <w:sz w:val="24"/>
          <w:szCs w:val="24"/>
        </w:rPr>
      </w:pPr>
      <w:r w:rsidRPr="00950720">
        <w:rPr>
          <w:b/>
          <w:bCs/>
          <w:sz w:val="24"/>
          <w:szCs w:val="24"/>
        </w:rPr>
        <w:t>Telephone prompting for incomplete responses.</w:t>
      </w:r>
      <w:r w:rsidRPr="00950720">
        <w:rPr>
          <w:sz w:val="24"/>
          <w:szCs w:val="24"/>
        </w:rPr>
        <w:t xml:space="preserve"> Approximately </w:t>
      </w:r>
      <w:r w:rsidRPr="00950720" w:rsidR="00633D2E">
        <w:rPr>
          <w:sz w:val="24"/>
          <w:szCs w:val="24"/>
        </w:rPr>
        <w:t>11</w:t>
      </w:r>
      <w:r w:rsidRPr="00950720">
        <w:rPr>
          <w:sz w:val="24"/>
          <w:szCs w:val="24"/>
        </w:rPr>
        <w:t xml:space="preserve"> weeks into data collection, RTI will be begin telephone prompting for incomplete </w:t>
      </w:r>
      <w:r w:rsidR="00986085">
        <w:rPr>
          <w:sz w:val="24"/>
          <w:szCs w:val="24"/>
        </w:rPr>
        <w:t>respondents</w:t>
      </w:r>
      <w:r w:rsidRPr="00950720">
        <w:rPr>
          <w:sz w:val="24"/>
          <w:szCs w:val="24"/>
        </w:rPr>
        <w:t xml:space="preserve">. As </w:t>
      </w:r>
      <w:r w:rsidR="00986085">
        <w:rPr>
          <w:sz w:val="24"/>
          <w:szCs w:val="24"/>
        </w:rPr>
        <w:t>respondents</w:t>
      </w:r>
      <w:r w:rsidRPr="00950720">
        <w:rPr>
          <w:sz w:val="24"/>
          <w:szCs w:val="24"/>
        </w:rPr>
        <w:t xml:space="preserve"> have the ability to break off from a survey and pause, this effort will be geared toward prompting respondents who have begun but did not complete their surveys (</w:t>
      </w:r>
      <w:r w:rsidRPr="007E75FC">
        <w:rPr>
          <w:b/>
          <w:sz w:val="24"/>
          <w:szCs w:val="24"/>
        </w:rPr>
        <w:t>Attachment 17</w:t>
      </w:r>
      <w:r w:rsidRPr="00950720">
        <w:rPr>
          <w:sz w:val="24"/>
          <w:szCs w:val="24"/>
        </w:rPr>
        <w:t>). These communications will also allow the project staff to assess whether respondents have any issues accessing and completing the survey. Responses will be considered incomplete if a form is partially completed, and remains incomplete for three weeks.</w:t>
      </w:r>
    </w:p>
    <w:p w:rsidRPr="00950720" w:rsidR="000953EF" w:rsidP="007A536F" w:rsidRDefault="000953EF" w14:paraId="1AB3D327" w14:textId="7FB8461F">
      <w:pPr>
        <w:pStyle w:val="SP-SglSpPara"/>
        <w:tabs>
          <w:tab w:val="clear" w:pos="576"/>
        </w:tabs>
        <w:spacing w:line="240" w:lineRule="auto"/>
        <w:ind w:firstLine="0"/>
        <w:jc w:val="left"/>
        <w:rPr>
          <w:sz w:val="24"/>
          <w:szCs w:val="24"/>
        </w:rPr>
      </w:pPr>
    </w:p>
    <w:p w:rsidRPr="00950720" w:rsidR="000953EF" w:rsidP="007A536F" w:rsidRDefault="000953EF" w14:paraId="7FB88C1B" w14:textId="241CD718">
      <w:pPr>
        <w:pStyle w:val="SP-SglSpPara"/>
        <w:tabs>
          <w:tab w:val="clear" w:pos="576"/>
        </w:tabs>
        <w:ind w:firstLine="0"/>
        <w:jc w:val="left"/>
        <w:rPr>
          <w:sz w:val="24"/>
          <w:szCs w:val="24"/>
        </w:rPr>
      </w:pPr>
      <w:r w:rsidRPr="00950720">
        <w:rPr>
          <w:b/>
          <w:bCs/>
          <w:sz w:val="24"/>
          <w:szCs w:val="24"/>
        </w:rPr>
        <w:t>Telephone and nonresponse follow-up.</w:t>
      </w:r>
      <w:r w:rsidRPr="00950720">
        <w:rPr>
          <w:sz w:val="24"/>
          <w:szCs w:val="24"/>
        </w:rPr>
        <w:t xml:space="preserve"> </w:t>
      </w:r>
      <w:r w:rsidRPr="00960A6D" w:rsidR="00986085">
        <w:rPr>
          <w:sz w:val="24"/>
          <w:szCs w:val="24"/>
        </w:rPr>
        <w:t>Eleven</w:t>
      </w:r>
      <w:r w:rsidRPr="00960A6D" w:rsidR="00825C2D">
        <w:rPr>
          <w:sz w:val="24"/>
          <w:szCs w:val="24"/>
        </w:rPr>
        <w:t xml:space="preserve"> </w:t>
      </w:r>
      <w:r w:rsidRPr="00960A6D">
        <w:rPr>
          <w:sz w:val="24"/>
          <w:szCs w:val="24"/>
        </w:rPr>
        <w:t>weeks</w:t>
      </w:r>
      <w:r w:rsidRPr="00950720">
        <w:rPr>
          <w:sz w:val="24"/>
          <w:szCs w:val="24"/>
        </w:rPr>
        <w:t xml:space="preserve"> into the data collection</w:t>
      </w:r>
      <w:r w:rsidR="00986085">
        <w:rPr>
          <w:sz w:val="24"/>
          <w:szCs w:val="24"/>
        </w:rPr>
        <w:t xml:space="preserve">, </w:t>
      </w:r>
      <w:r w:rsidRPr="00950720">
        <w:rPr>
          <w:sz w:val="24"/>
          <w:szCs w:val="24"/>
        </w:rPr>
        <w:t>telephone follow-up with non</w:t>
      </w:r>
      <w:r w:rsidR="00986085">
        <w:rPr>
          <w:sz w:val="24"/>
          <w:szCs w:val="24"/>
        </w:rPr>
        <w:t>-</w:t>
      </w:r>
      <w:r w:rsidRPr="00950720">
        <w:rPr>
          <w:sz w:val="24"/>
          <w:szCs w:val="24"/>
        </w:rPr>
        <w:t>respondents will begin (</w:t>
      </w:r>
      <w:r w:rsidRPr="007E75FC">
        <w:rPr>
          <w:b/>
          <w:sz w:val="24"/>
          <w:szCs w:val="24"/>
        </w:rPr>
        <w:t>Attachment 18</w:t>
      </w:r>
      <w:r w:rsidRPr="00950720">
        <w:rPr>
          <w:sz w:val="24"/>
          <w:szCs w:val="24"/>
        </w:rPr>
        <w:t xml:space="preserve">). Respondents will be reminded of the purpose and importance of the survey and informed of the goal of receiving a completed survey from each </w:t>
      </w:r>
      <w:r w:rsidRPr="00950720" w:rsidR="00E63DD9">
        <w:rPr>
          <w:sz w:val="24"/>
          <w:szCs w:val="24"/>
        </w:rPr>
        <w:t>laboratory</w:t>
      </w:r>
      <w:r w:rsidRPr="00950720">
        <w:rPr>
          <w:sz w:val="24"/>
          <w:szCs w:val="24"/>
        </w:rPr>
        <w:t xml:space="preserve">. They will be asked to submit the survey online but will be sent another hard copy version of the survey if requested. Up to 10 calls will be made by RTI until surveys are received (or </w:t>
      </w:r>
      <w:r w:rsidRPr="00950720" w:rsidR="00E63DD9">
        <w:rPr>
          <w:sz w:val="24"/>
          <w:szCs w:val="24"/>
        </w:rPr>
        <w:t>a laboratory</w:t>
      </w:r>
      <w:r w:rsidRPr="00950720">
        <w:rPr>
          <w:sz w:val="24"/>
          <w:szCs w:val="24"/>
        </w:rPr>
        <w:t xml:space="preserve"> refuses to participate) and will reference the most recent communication (e.g., reminder letters, reminder emails, etc.). This effort will also be used to capture survey items deemed critical from non-</w:t>
      </w:r>
      <w:r w:rsidR="00986085">
        <w:rPr>
          <w:sz w:val="24"/>
          <w:szCs w:val="24"/>
        </w:rPr>
        <w:t>respondent</w:t>
      </w:r>
      <w:r w:rsidRPr="00950720">
        <w:rPr>
          <w:sz w:val="24"/>
          <w:szCs w:val="24"/>
        </w:rPr>
        <w:t>s.</w:t>
      </w:r>
    </w:p>
    <w:p w:rsidRPr="00950720" w:rsidR="00633D2E" w:rsidP="007A536F" w:rsidRDefault="00633D2E" w14:paraId="302410DC" w14:textId="77777777">
      <w:pPr>
        <w:pStyle w:val="SP-SglSpPara"/>
        <w:tabs>
          <w:tab w:val="clear" w:pos="576"/>
        </w:tabs>
        <w:ind w:firstLine="0"/>
        <w:jc w:val="left"/>
        <w:rPr>
          <w:sz w:val="24"/>
          <w:szCs w:val="24"/>
        </w:rPr>
      </w:pPr>
    </w:p>
    <w:p w:rsidRPr="00950720" w:rsidR="000953EF" w:rsidP="007A536F" w:rsidRDefault="000953EF" w14:paraId="65E3F5A5" w14:textId="651F220D">
      <w:pPr>
        <w:pStyle w:val="SP-SglSpPara"/>
        <w:tabs>
          <w:tab w:val="clear" w:pos="576"/>
        </w:tabs>
        <w:ind w:firstLine="0"/>
        <w:jc w:val="left"/>
        <w:rPr>
          <w:sz w:val="24"/>
          <w:szCs w:val="24"/>
        </w:rPr>
      </w:pPr>
      <w:r w:rsidRPr="00950720">
        <w:rPr>
          <w:b/>
          <w:bCs/>
          <w:sz w:val="24"/>
          <w:szCs w:val="24"/>
        </w:rPr>
        <w:t>Mail and email the end-of-study notification.</w:t>
      </w:r>
      <w:r w:rsidRPr="00950720">
        <w:rPr>
          <w:sz w:val="24"/>
          <w:szCs w:val="24"/>
        </w:rPr>
        <w:t xml:space="preserve"> In week 22 of the data collection (</w:t>
      </w:r>
      <w:r w:rsidR="0057079B">
        <w:rPr>
          <w:sz w:val="24"/>
          <w:szCs w:val="24"/>
        </w:rPr>
        <w:t>five</w:t>
      </w:r>
      <w:r w:rsidRPr="00950720" w:rsidR="0057079B">
        <w:rPr>
          <w:sz w:val="24"/>
          <w:szCs w:val="24"/>
        </w:rPr>
        <w:t xml:space="preserve"> </w:t>
      </w:r>
      <w:r w:rsidRPr="00950720">
        <w:rPr>
          <w:sz w:val="24"/>
          <w:szCs w:val="24"/>
        </w:rPr>
        <w:t>weeks after the fifth reminder), RTI will send an end-of-study notification both via mail and email to notify non</w:t>
      </w:r>
      <w:r w:rsidR="00986085">
        <w:rPr>
          <w:sz w:val="24"/>
          <w:szCs w:val="24"/>
        </w:rPr>
        <w:t>-</w:t>
      </w:r>
      <w:r w:rsidRPr="00950720">
        <w:rPr>
          <w:sz w:val="24"/>
          <w:szCs w:val="24"/>
        </w:rPr>
        <w:t>respondents that the study is coming to an end and that their response is needed within two weeks (</w:t>
      </w:r>
      <w:r w:rsidRPr="007E75FC">
        <w:rPr>
          <w:b/>
          <w:sz w:val="24"/>
          <w:szCs w:val="24"/>
        </w:rPr>
        <w:t>Attachments 19, 20</w:t>
      </w:r>
      <w:r w:rsidRPr="00950720">
        <w:rPr>
          <w:sz w:val="24"/>
          <w:szCs w:val="24"/>
        </w:rPr>
        <w:t>). Data collection will continue for approximately three more weeks to allow for receipt of any remaining questionnaires.</w:t>
      </w:r>
    </w:p>
    <w:p w:rsidRPr="00950720" w:rsidR="00633D2E" w:rsidP="007A536F" w:rsidRDefault="00633D2E" w14:paraId="66B81B69" w14:textId="77777777">
      <w:pPr>
        <w:pStyle w:val="SP-SglSpPara"/>
        <w:tabs>
          <w:tab w:val="clear" w:pos="576"/>
        </w:tabs>
        <w:ind w:firstLine="0"/>
        <w:jc w:val="left"/>
        <w:rPr>
          <w:sz w:val="24"/>
          <w:szCs w:val="24"/>
        </w:rPr>
      </w:pPr>
    </w:p>
    <w:p w:rsidR="000953EF" w:rsidP="007A536F" w:rsidRDefault="000953EF" w14:paraId="7553B54C" w14:textId="6DB56C26">
      <w:pPr>
        <w:pStyle w:val="SP-SglSpPara"/>
        <w:tabs>
          <w:tab w:val="clear" w:pos="576"/>
        </w:tabs>
        <w:ind w:firstLine="0"/>
        <w:jc w:val="left"/>
        <w:rPr>
          <w:sz w:val="24"/>
          <w:szCs w:val="24"/>
        </w:rPr>
      </w:pPr>
      <w:r w:rsidRPr="00950720">
        <w:rPr>
          <w:b/>
          <w:bCs/>
          <w:sz w:val="24"/>
          <w:szCs w:val="24"/>
        </w:rPr>
        <w:t>Thank-you letters.</w:t>
      </w:r>
      <w:r w:rsidRPr="00950720">
        <w:rPr>
          <w:sz w:val="24"/>
          <w:szCs w:val="24"/>
        </w:rPr>
        <w:t xml:space="preserve"> Beginning two weeks after the invitation package is sent out, RTI will mail thank you letters to those respondents who have completed the survey (</w:t>
      </w:r>
      <w:r w:rsidRPr="007E75FC">
        <w:rPr>
          <w:b/>
          <w:sz w:val="24"/>
          <w:szCs w:val="24"/>
        </w:rPr>
        <w:t>Attachment 21</w:t>
      </w:r>
      <w:r w:rsidRPr="00950720">
        <w:rPr>
          <w:sz w:val="24"/>
          <w:szCs w:val="24"/>
        </w:rPr>
        <w:t xml:space="preserve">). These letters will thank them for the time and effort necessary to complete the survey and once again emphasize the importance of </w:t>
      </w:r>
      <w:r w:rsidRPr="00950720" w:rsidR="00633D2E">
        <w:rPr>
          <w:sz w:val="24"/>
          <w:szCs w:val="24"/>
        </w:rPr>
        <w:t>CPFFCL</w:t>
      </w:r>
      <w:r w:rsidRPr="00950720">
        <w:rPr>
          <w:sz w:val="24"/>
          <w:szCs w:val="24"/>
        </w:rPr>
        <w:t xml:space="preserve"> data. Mailings of thank you letters will continue until the survey ends and all </w:t>
      </w:r>
      <w:r w:rsidR="00986085">
        <w:rPr>
          <w:sz w:val="24"/>
          <w:szCs w:val="24"/>
        </w:rPr>
        <w:t>respondent</w:t>
      </w:r>
      <w:r w:rsidRPr="00950720">
        <w:rPr>
          <w:sz w:val="24"/>
          <w:szCs w:val="24"/>
        </w:rPr>
        <w:t>s have been mailed a letter.</w:t>
      </w:r>
    </w:p>
    <w:p w:rsidRPr="00950720" w:rsidR="0057079B" w:rsidP="007A536F" w:rsidRDefault="0057079B" w14:paraId="18280469" w14:textId="77777777">
      <w:pPr>
        <w:pStyle w:val="SP-SglSpPara"/>
        <w:tabs>
          <w:tab w:val="clear" w:pos="576"/>
        </w:tabs>
        <w:ind w:firstLine="0"/>
        <w:jc w:val="left"/>
        <w:rPr>
          <w:sz w:val="24"/>
          <w:szCs w:val="24"/>
        </w:rPr>
      </w:pPr>
    </w:p>
    <w:p w:rsidRPr="00950720" w:rsidR="000953EF" w:rsidP="007A536F" w:rsidRDefault="000953EF" w14:paraId="275F1634" w14:textId="721753EA">
      <w:pPr>
        <w:pStyle w:val="SP-SglSpPara"/>
        <w:tabs>
          <w:tab w:val="clear" w:pos="576"/>
        </w:tabs>
        <w:ind w:firstLine="0"/>
        <w:jc w:val="left"/>
        <w:rPr>
          <w:sz w:val="24"/>
          <w:szCs w:val="24"/>
        </w:rPr>
      </w:pPr>
      <w:r w:rsidRPr="00950720">
        <w:rPr>
          <w:b/>
          <w:bCs/>
          <w:sz w:val="24"/>
          <w:szCs w:val="24"/>
        </w:rPr>
        <w:t>Data Editing.</w:t>
      </w:r>
      <w:r w:rsidRPr="00950720">
        <w:rPr>
          <w:sz w:val="24"/>
          <w:szCs w:val="24"/>
        </w:rPr>
        <w:t xml:space="preserve"> As part of the data quality follow-up, RTI will attempt to reconcile missing or erroneous data through automated and manual edits of questionnaires within two weeks of completion. In collaboration with BJS, RTI will develop a set of edits that will use other data provided by the respondent on the survey instrument to confirm acceptable responses or identify possible errors due to missing or inconsistent data elements. For example, if a screening question was left blank, but the follow-up questions were completed, a manual edit would be made to indicate the intended positive response to the screening question. Through this process, RTI can quickly identify which hard copy questionnaires require follow-up and indicate the items that need clarification or retrieval from the respondent.</w:t>
      </w:r>
    </w:p>
    <w:p w:rsidRPr="00950720" w:rsidR="00633D2E" w:rsidP="007A536F" w:rsidRDefault="00633D2E" w14:paraId="03FB2EB3" w14:textId="77777777">
      <w:pPr>
        <w:pStyle w:val="SP-SglSpPara"/>
        <w:tabs>
          <w:tab w:val="clear" w:pos="576"/>
        </w:tabs>
        <w:ind w:firstLine="0"/>
        <w:jc w:val="left"/>
        <w:rPr>
          <w:sz w:val="24"/>
          <w:szCs w:val="24"/>
        </w:rPr>
      </w:pPr>
    </w:p>
    <w:p w:rsidRPr="00950720" w:rsidR="000953EF" w:rsidP="007A536F" w:rsidRDefault="000953EF" w14:paraId="05E38A75" w14:textId="563B31B6">
      <w:pPr>
        <w:pStyle w:val="SP-SglSpPara"/>
        <w:tabs>
          <w:tab w:val="clear" w:pos="576"/>
        </w:tabs>
        <w:ind w:firstLine="0"/>
        <w:jc w:val="left"/>
        <w:rPr>
          <w:sz w:val="24"/>
          <w:szCs w:val="24"/>
        </w:rPr>
      </w:pPr>
      <w:r w:rsidRPr="00950720">
        <w:rPr>
          <w:b/>
          <w:bCs/>
          <w:sz w:val="24"/>
          <w:szCs w:val="24"/>
        </w:rPr>
        <w:t>Data Retrieval.</w:t>
      </w:r>
      <w:r w:rsidRPr="00950720">
        <w:rPr>
          <w:sz w:val="24"/>
          <w:szCs w:val="24"/>
        </w:rPr>
        <w:t xml:space="preserve"> When errors due to missing or inconsistent data elements are found during data review and editing, attempts to verify or collect the correct information with the respondent will occur. When it is determined that data retrieval is needed, a project staff member will contact the respondent for clarification. Throughout the data retrieval process, RTI will document the questions needing retrieval (e.g. missing or inconsistent data elements) then request clarification on the provided information, obtain values for missing data elements, and discuss any other issues related to the respondent’s submission.</w:t>
      </w:r>
    </w:p>
    <w:p w:rsidRPr="00950720" w:rsidR="00633D2E" w:rsidP="007A536F" w:rsidRDefault="00633D2E" w14:paraId="37EF0529" w14:textId="77777777">
      <w:pPr>
        <w:pStyle w:val="SP-SglSpPara"/>
        <w:tabs>
          <w:tab w:val="clear" w:pos="576"/>
        </w:tabs>
        <w:ind w:firstLine="0"/>
        <w:rPr>
          <w:sz w:val="24"/>
          <w:szCs w:val="24"/>
        </w:rPr>
      </w:pPr>
    </w:p>
    <w:p w:rsidRPr="00950720" w:rsidR="000953EF" w:rsidP="007A536F" w:rsidRDefault="000953EF" w14:paraId="5B6713FD" w14:textId="0ECDC4D2">
      <w:pPr>
        <w:pStyle w:val="SP-SglSpPara"/>
        <w:tabs>
          <w:tab w:val="clear" w:pos="576"/>
        </w:tabs>
        <w:spacing w:line="240" w:lineRule="auto"/>
        <w:ind w:firstLine="0"/>
        <w:jc w:val="left"/>
        <w:rPr>
          <w:sz w:val="24"/>
          <w:szCs w:val="24"/>
        </w:rPr>
      </w:pPr>
      <w:r w:rsidRPr="00950720">
        <w:rPr>
          <w:b/>
          <w:bCs/>
          <w:sz w:val="24"/>
          <w:szCs w:val="24"/>
        </w:rPr>
        <w:t>Data Entry.</w:t>
      </w:r>
      <w:r w:rsidRPr="00950720">
        <w:rPr>
          <w:sz w:val="24"/>
          <w:szCs w:val="24"/>
        </w:rPr>
        <w:t xml:space="preserve"> Respondents completing the survey via the web instrument will enter their responses directly into the online instrument. The instrument will have quality control checks programmed in to enforce skip patterns and check for out-of-range values. For those respondents returning the survey via hardcopy (mail or fax), the survey responses will be hand keyed by trained and certified data entry personnel at RTI’s Raleigh Operations Center (ROC). Twenty percent of these manually coded surveys will be entered a second time and have results compared as a form of quality control. Additionally, supervisors will conduct random spot checks of all manually entered surveys. Any anomalies, inconsistencies, or unexpected values will be investigated and resolved. Throughout the remainder of the data collection period, RTI and BJS staff will conduct regular data frequency reviews to evaluate the quality and completeness of data captured in both the web and hard copy modes. Data files will be made available to BJS via an SFTP site when response rates reach 50%, 75%, and 90%.</w:t>
      </w:r>
    </w:p>
    <w:p w:rsidRPr="00950720" w:rsidR="000953EF" w:rsidP="007A536F" w:rsidRDefault="000953EF" w14:paraId="62F9718F" w14:textId="77777777">
      <w:pPr>
        <w:pStyle w:val="SP-SglSpPara"/>
        <w:tabs>
          <w:tab w:val="clear" w:pos="576"/>
        </w:tabs>
        <w:spacing w:line="240" w:lineRule="auto"/>
        <w:ind w:firstLine="0"/>
        <w:jc w:val="left"/>
        <w:rPr>
          <w:sz w:val="24"/>
          <w:szCs w:val="24"/>
        </w:rPr>
      </w:pPr>
    </w:p>
    <w:p w:rsidRPr="00950720" w:rsidR="00421095" w:rsidP="007A536F" w:rsidRDefault="00421095" w14:paraId="7F1604A9" w14:textId="77777777">
      <w:pPr>
        <w:pStyle w:val="ListParagraph"/>
        <w:numPr>
          <w:ilvl w:val="0"/>
          <w:numId w:val="5"/>
        </w:numPr>
        <w:ind w:left="360"/>
        <w:contextualSpacing w:val="0"/>
        <w:rPr>
          <w:b/>
          <w:u w:val="single"/>
        </w:rPr>
      </w:pPr>
      <w:r w:rsidRPr="00950720">
        <w:rPr>
          <w:b/>
          <w:u w:val="single"/>
        </w:rPr>
        <w:t>Methods to Maximize Response Rates</w:t>
      </w:r>
    </w:p>
    <w:p w:rsidRPr="00950720" w:rsidR="00633D2E" w:rsidP="007A536F" w:rsidRDefault="00633D2E" w14:paraId="5A43A936" w14:textId="77777777">
      <w:pPr>
        <w:autoSpaceDE w:val="0"/>
        <w:autoSpaceDN w:val="0"/>
        <w:adjustRightInd w:val="0"/>
        <w:spacing w:before="3"/>
        <w:ind w:right="59"/>
        <w:rPr>
          <w:rFonts w:eastAsiaTheme="minorHAnsi"/>
        </w:rPr>
      </w:pPr>
    </w:p>
    <w:p w:rsidRPr="00950720" w:rsidR="000E7DFF" w:rsidP="007A536F" w:rsidRDefault="000E7DFF" w14:paraId="1BEA05EC" w14:textId="1D64C61A">
      <w:pPr>
        <w:autoSpaceDE w:val="0"/>
        <w:autoSpaceDN w:val="0"/>
        <w:adjustRightInd w:val="0"/>
        <w:spacing w:before="3"/>
        <w:ind w:right="59"/>
        <w:rPr>
          <w:rFonts w:eastAsiaTheme="minorHAnsi"/>
        </w:rPr>
      </w:pPr>
      <w:r w:rsidRPr="00950720">
        <w:rPr>
          <w:rFonts w:eastAsiaTheme="minorHAnsi"/>
        </w:rPr>
        <w:t>The 20</w:t>
      </w:r>
      <w:r w:rsidRPr="00950720" w:rsidR="00633D2E">
        <w:rPr>
          <w:rFonts w:eastAsiaTheme="minorHAnsi"/>
        </w:rPr>
        <w:t>1</w:t>
      </w:r>
      <w:r w:rsidRPr="00950720">
        <w:rPr>
          <w:rFonts w:eastAsiaTheme="minorHAnsi"/>
        </w:rPr>
        <w:t>4 C</w:t>
      </w:r>
      <w:r w:rsidRPr="00950720" w:rsidR="00633D2E">
        <w:rPr>
          <w:rFonts w:eastAsiaTheme="minorHAnsi"/>
        </w:rPr>
        <w:t>PFFCL</w:t>
      </w:r>
      <w:r w:rsidRPr="00950720">
        <w:rPr>
          <w:rFonts w:eastAsiaTheme="minorHAnsi"/>
        </w:rPr>
        <w:t xml:space="preserve"> achieved an 8</w:t>
      </w:r>
      <w:r w:rsidRPr="00950720" w:rsidR="00633D2E">
        <w:rPr>
          <w:rFonts w:eastAsiaTheme="minorHAnsi"/>
        </w:rPr>
        <w:t>8</w:t>
      </w:r>
      <w:r w:rsidRPr="00950720">
        <w:rPr>
          <w:rFonts w:eastAsiaTheme="minorHAnsi"/>
        </w:rPr>
        <w:t xml:space="preserve">% response rate. BJS and RTI will undertake various activities to ensure that high response rates are again achieved for the </w:t>
      </w:r>
      <w:r w:rsidRPr="00950720" w:rsidR="00633D2E">
        <w:rPr>
          <w:rFonts w:eastAsiaTheme="minorHAnsi"/>
        </w:rPr>
        <w:t>2020 CPFFCL</w:t>
      </w:r>
      <w:r w:rsidRPr="00950720">
        <w:rPr>
          <w:rFonts w:eastAsiaTheme="minorHAnsi"/>
        </w:rPr>
        <w:t xml:space="preserve">. </w:t>
      </w:r>
      <w:r w:rsidRPr="00950720" w:rsidR="00633D2E">
        <w:rPr>
          <w:rFonts w:eastAsiaTheme="minorHAnsi"/>
        </w:rPr>
        <w:t xml:space="preserve">The CPFFCL team </w:t>
      </w:r>
      <w:r w:rsidRPr="00950720">
        <w:rPr>
          <w:rFonts w:eastAsiaTheme="minorHAnsi"/>
        </w:rPr>
        <w:t>will use a web-based instrument supported by various online help functions to maximize response rates. A toll-free number will also be provided for both substantive and technical assistance. RTI staff will respond to these requests for assistance.</w:t>
      </w:r>
    </w:p>
    <w:p w:rsidRPr="00950720" w:rsidR="00633D2E" w:rsidP="007A536F" w:rsidRDefault="00633D2E" w14:paraId="3C689C0C" w14:textId="77777777">
      <w:pPr>
        <w:autoSpaceDE w:val="0"/>
        <w:autoSpaceDN w:val="0"/>
        <w:adjustRightInd w:val="0"/>
        <w:spacing w:before="3"/>
        <w:ind w:right="59"/>
        <w:rPr>
          <w:rFonts w:eastAsiaTheme="minorHAnsi"/>
        </w:rPr>
      </w:pPr>
    </w:p>
    <w:p w:rsidRPr="00950720" w:rsidR="000E7DFF" w:rsidP="007A536F" w:rsidRDefault="000E7DFF" w14:paraId="7BF1FBFB" w14:textId="57358A39">
      <w:pPr>
        <w:autoSpaceDE w:val="0"/>
        <w:autoSpaceDN w:val="0"/>
        <w:adjustRightInd w:val="0"/>
        <w:spacing w:before="3"/>
        <w:ind w:right="59"/>
        <w:rPr>
          <w:rFonts w:eastAsiaTheme="minorHAnsi"/>
        </w:rPr>
      </w:pPr>
      <w:r w:rsidRPr="00950720">
        <w:rPr>
          <w:rFonts w:eastAsiaTheme="minorHAnsi"/>
        </w:rPr>
        <w:t>The survey instrument was reviewed to ensure the collection of the most pertinent information, removing any unnecessary questions to reduce burden. An item-level review of the 20</w:t>
      </w:r>
      <w:r w:rsidRPr="00950720" w:rsidR="00633D2E">
        <w:rPr>
          <w:rFonts w:eastAsiaTheme="minorHAnsi"/>
        </w:rPr>
        <w:t>20</w:t>
      </w:r>
      <w:r w:rsidRPr="00950720">
        <w:rPr>
          <w:rFonts w:eastAsiaTheme="minorHAnsi"/>
        </w:rPr>
        <w:t xml:space="preserve"> </w:t>
      </w:r>
      <w:r w:rsidRPr="00950720" w:rsidR="00633D2E">
        <w:rPr>
          <w:rFonts w:eastAsiaTheme="minorHAnsi"/>
        </w:rPr>
        <w:t>CPFFCL</w:t>
      </w:r>
      <w:r w:rsidRPr="00950720">
        <w:rPr>
          <w:rFonts w:eastAsiaTheme="minorHAnsi"/>
        </w:rPr>
        <w:t xml:space="preserve"> was done to look for patterns of non-response (</w:t>
      </w:r>
      <w:r w:rsidRPr="007E75FC">
        <w:rPr>
          <w:rFonts w:eastAsiaTheme="minorHAnsi"/>
          <w:b/>
        </w:rPr>
        <w:t>Attachment 24</w:t>
      </w:r>
      <w:r w:rsidRPr="00950720">
        <w:rPr>
          <w:rFonts w:eastAsiaTheme="minorHAnsi"/>
        </w:rPr>
        <w:t xml:space="preserve">). </w:t>
      </w:r>
      <w:r w:rsidRPr="00950720" w:rsidR="00633D2E">
        <w:rPr>
          <w:rFonts w:eastAsiaTheme="minorHAnsi"/>
        </w:rPr>
        <w:t>Because the item response rate on the 2014 CPFFCL was high—the vast majority of survey items achieved over 90%—few items were flagged as problematic</w:t>
      </w:r>
      <w:r w:rsidRPr="00950720">
        <w:rPr>
          <w:rFonts w:eastAsiaTheme="minorHAnsi"/>
        </w:rPr>
        <w:t xml:space="preserve">. The questionnaire was also reviewed for ease of use, flow, and additional survey methodology best practices to ensure ease in administration by </w:t>
      </w:r>
      <w:r w:rsidRPr="00950720">
        <w:rPr>
          <w:rFonts w:eastAsiaTheme="minorHAnsi"/>
        </w:rPr>
        <w:lastRenderedPageBreak/>
        <w:t xml:space="preserve">expert panel reviewers and by BJS and RTI. BJS and RTI worked with a group of subject matter experts from </w:t>
      </w:r>
      <w:r w:rsidRPr="00950720" w:rsidR="00633D2E">
        <w:rPr>
          <w:rFonts w:eastAsiaTheme="minorHAnsi"/>
        </w:rPr>
        <w:t>laboratories</w:t>
      </w:r>
      <w:r w:rsidRPr="00950720">
        <w:rPr>
          <w:rFonts w:eastAsiaTheme="minorHAnsi"/>
        </w:rPr>
        <w:t xml:space="preserve"> that varied in characteristics (</w:t>
      </w:r>
      <w:r w:rsidRPr="00950720" w:rsidR="00633D2E">
        <w:rPr>
          <w:rFonts w:eastAsiaTheme="minorHAnsi"/>
        </w:rPr>
        <w:t>type of laboratory</w:t>
      </w:r>
      <w:r w:rsidRPr="00950720">
        <w:rPr>
          <w:rFonts w:eastAsiaTheme="minorHAnsi"/>
        </w:rPr>
        <w:t xml:space="preserve"> and geographical location) to further clarify questions that could create confusion, eliminate questions that were not relevant to the field, and to revise questions that were out of date. Because </w:t>
      </w:r>
      <w:r w:rsidRPr="00950720" w:rsidR="00633D2E">
        <w:rPr>
          <w:rFonts w:eastAsiaTheme="minorHAnsi"/>
        </w:rPr>
        <w:t>laboratories can</w:t>
      </w:r>
      <w:r w:rsidRPr="00950720">
        <w:rPr>
          <w:rFonts w:eastAsiaTheme="minorHAnsi"/>
        </w:rPr>
        <w:t xml:space="preserve"> use differing vocabulary to describe similar procedures, additional directions and definitions have been added to those questions to provide a direct example of the information BJS </w:t>
      </w:r>
      <w:r w:rsidRPr="00950720" w:rsidR="00C23734">
        <w:rPr>
          <w:rFonts w:eastAsiaTheme="minorHAnsi"/>
        </w:rPr>
        <w:t>sought to improve the survey.</w:t>
      </w:r>
    </w:p>
    <w:p w:rsidRPr="00950720" w:rsidR="00C23734" w:rsidP="007A536F" w:rsidRDefault="00C23734" w14:paraId="3C048B91" w14:textId="77777777">
      <w:pPr>
        <w:autoSpaceDE w:val="0"/>
        <w:autoSpaceDN w:val="0"/>
        <w:adjustRightInd w:val="0"/>
        <w:spacing w:before="3"/>
        <w:ind w:right="59"/>
        <w:rPr>
          <w:rFonts w:eastAsiaTheme="minorHAnsi"/>
        </w:rPr>
      </w:pPr>
    </w:p>
    <w:p w:rsidRPr="00950720" w:rsidR="000E7DFF" w:rsidP="007A536F" w:rsidRDefault="000E7DFF" w14:paraId="0D5CD6CE" w14:textId="30DD1524">
      <w:pPr>
        <w:autoSpaceDE w:val="0"/>
        <w:autoSpaceDN w:val="0"/>
        <w:adjustRightInd w:val="0"/>
        <w:spacing w:before="3"/>
        <w:ind w:right="59"/>
        <w:rPr>
          <w:rFonts w:eastAsiaTheme="minorHAnsi"/>
        </w:rPr>
      </w:pPr>
      <w:r w:rsidRPr="00950720">
        <w:rPr>
          <w:rFonts w:eastAsiaTheme="minorHAnsi"/>
        </w:rPr>
        <w:t>BJS will encourage respondents to submit their information via the web survey. Close attention has been paid to the formatting of the web survey instrument. The survey is formatted in a user-friendly manner and in such a way that respondents can complete it on a computer or tablet, through various browsers (</w:t>
      </w:r>
      <w:r w:rsidRPr="00950720" w:rsidR="00235097">
        <w:rPr>
          <w:rFonts w:eastAsiaTheme="minorHAnsi"/>
        </w:rPr>
        <w:t>e.g.,</w:t>
      </w:r>
      <w:r w:rsidRPr="00950720">
        <w:rPr>
          <w:rFonts w:eastAsiaTheme="minorHAnsi"/>
        </w:rPr>
        <w:t xml:space="preserve"> Internet Explorer, Firefox, and Google Chrome), and at various resolutions or screen sizes. The web survey saves respondents’ answers automatically and gives them the option to save their progress, leave the survey and resume at a later time. Data will be checked as it is collected for completeness and logical consistency of responses. The online survey is programmed with data consistency checks and prompts to ensure logical consistency like enforcement of skip patterns and out-of-range responses. This will help reduce the need for data quality follow up calls following respondents’ submission of the questionnaire. However, where information does appear to be incomplete or inconsistent RTI project staff will follow up with respondents via telephone (</w:t>
      </w:r>
      <w:r w:rsidRPr="007E75FC">
        <w:rPr>
          <w:rFonts w:eastAsiaTheme="minorHAnsi"/>
          <w:b/>
        </w:rPr>
        <w:t>Attachment 16</w:t>
      </w:r>
      <w:r w:rsidRPr="00950720">
        <w:rPr>
          <w:rFonts w:eastAsiaTheme="minorHAnsi"/>
        </w:rPr>
        <w:t>).</w:t>
      </w:r>
    </w:p>
    <w:p w:rsidRPr="00950720" w:rsidR="00C23734" w:rsidP="007A536F" w:rsidRDefault="00C23734" w14:paraId="47994378" w14:textId="77777777">
      <w:pPr>
        <w:autoSpaceDE w:val="0"/>
        <w:autoSpaceDN w:val="0"/>
        <w:adjustRightInd w:val="0"/>
        <w:spacing w:before="3"/>
        <w:ind w:right="59"/>
        <w:rPr>
          <w:rFonts w:eastAsiaTheme="minorHAnsi"/>
        </w:rPr>
      </w:pPr>
    </w:p>
    <w:p w:rsidRPr="00950720" w:rsidR="000E7DFF" w:rsidP="007A536F" w:rsidRDefault="000E7DFF" w14:paraId="3DA951D0" w14:textId="1C919BA6">
      <w:pPr>
        <w:autoSpaceDE w:val="0"/>
        <w:autoSpaceDN w:val="0"/>
        <w:adjustRightInd w:val="0"/>
        <w:spacing w:before="3"/>
        <w:ind w:right="59"/>
        <w:rPr>
          <w:rFonts w:eastAsiaTheme="minorHAnsi"/>
        </w:rPr>
      </w:pPr>
      <w:r w:rsidRPr="00950720">
        <w:rPr>
          <w:rFonts w:eastAsiaTheme="minorHAnsi"/>
        </w:rPr>
        <w:t>To encourage participation and obtain higher response rates, project staff will conduct outreach and follow-up procedures at various points during the data collection. This includes reminders to take the survey (</w:t>
      </w:r>
      <w:r w:rsidRPr="007E75FC">
        <w:rPr>
          <w:rFonts w:eastAsiaTheme="minorHAnsi"/>
          <w:b/>
        </w:rPr>
        <w:t>Attachments 9–15</w:t>
      </w:r>
      <w:r w:rsidRPr="00950720">
        <w:rPr>
          <w:rFonts w:eastAsiaTheme="minorHAnsi"/>
        </w:rPr>
        <w:t>), data quality follow</w:t>
      </w:r>
      <w:r w:rsidR="00235097">
        <w:rPr>
          <w:rFonts w:eastAsiaTheme="minorHAnsi"/>
        </w:rPr>
        <w:t>-</w:t>
      </w:r>
      <w:r w:rsidRPr="00950720">
        <w:rPr>
          <w:rFonts w:eastAsiaTheme="minorHAnsi"/>
        </w:rPr>
        <w:t>up (</w:t>
      </w:r>
      <w:r w:rsidRPr="007E75FC">
        <w:rPr>
          <w:rFonts w:eastAsiaTheme="minorHAnsi"/>
          <w:b/>
        </w:rPr>
        <w:t>Attachment 16</w:t>
      </w:r>
      <w:r w:rsidRPr="00950720">
        <w:rPr>
          <w:rFonts w:eastAsiaTheme="minorHAnsi"/>
        </w:rPr>
        <w:t>), survey completion prompting (</w:t>
      </w:r>
      <w:r w:rsidRPr="007E75FC">
        <w:rPr>
          <w:rFonts w:eastAsiaTheme="minorHAnsi"/>
          <w:b/>
        </w:rPr>
        <w:t>Attachment 17</w:t>
      </w:r>
      <w:r w:rsidRPr="00950720">
        <w:rPr>
          <w:rFonts w:eastAsiaTheme="minorHAnsi"/>
        </w:rPr>
        <w:t>), and nonresponse follow</w:t>
      </w:r>
      <w:r w:rsidR="0057079B">
        <w:rPr>
          <w:rFonts w:eastAsiaTheme="minorHAnsi"/>
        </w:rPr>
        <w:t>-</w:t>
      </w:r>
      <w:r w:rsidRPr="00950720">
        <w:rPr>
          <w:rFonts w:eastAsiaTheme="minorHAnsi"/>
        </w:rPr>
        <w:t>up calls (</w:t>
      </w:r>
      <w:r w:rsidRPr="007E75FC">
        <w:rPr>
          <w:rFonts w:eastAsiaTheme="minorHAnsi"/>
          <w:b/>
        </w:rPr>
        <w:t>Attachment 18</w:t>
      </w:r>
      <w:r w:rsidRPr="00950720">
        <w:rPr>
          <w:rFonts w:eastAsiaTheme="minorHAnsi"/>
        </w:rPr>
        <w:t>). Throughout the data collection, resources will be available to help respondents complete the survey. For technical help this includes telephone and email Help Desk support, and for overall questions or concerns with the survey, this includes providing respondents with BJS contacts. The non-response follow</w:t>
      </w:r>
      <w:r w:rsidR="00235097">
        <w:rPr>
          <w:rFonts w:eastAsiaTheme="minorHAnsi"/>
        </w:rPr>
        <w:t>-</w:t>
      </w:r>
      <w:r w:rsidRPr="00950720">
        <w:rPr>
          <w:rFonts w:eastAsiaTheme="minorHAnsi"/>
        </w:rPr>
        <w:t xml:space="preserve">up script also includes prompts for </w:t>
      </w:r>
      <w:r w:rsidR="00F351BB">
        <w:rPr>
          <w:rFonts w:eastAsiaTheme="minorHAnsi"/>
        </w:rPr>
        <w:t>non-respondents</w:t>
      </w:r>
      <w:r w:rsidRPr="00950720">
        <w:rPr>
          <w:rFonts w:eastAsiaTheme="minorHAnsi"/>
        </w:rPr>
        <w:t xml:space="preserve"> to provide items deemed critical for the </w:t>
      </w:r>
      <w:r w:rsidRPr="00950720" w:rsidR="00C23734">
        <w:rPr>
          <w:rFonts w:eastAsiaTheme="minorHAnsi"/>
        </w:rPr>
        <w:t>CPFFCL</w:t>
      </w:r>
      <w:r w:rsidRPr="00950720">
        <w:rPr>
          <w:rFonts w:eastAsiaTheme="minorHAnsi"/>
        </w:rPr>
        <w:t xml:space="preserve"> to capture. These items are highlighted on the survey form (</w:t>
      </w:r>
      <w:r w:rsidRPr="007E75FC">
        <w:rPr>
          <w:rFonts w:eastAsiaTheme="minorHAnsi"/>
          <w:b/>
        </w:rPr>
        <w:t>Attachment 2</w:t>
      </w:r>
      <w:r w:rsidRPr="00950720">
        <w:rPr>
          <w:rFonts w:eastAsiaTheme="minorHAnsi"/>
        </w:rPr>
        <w:t>).</w:t>
      </w:r>
    </w:p>
    <w:p w:rsidRPr="00950720" w:rsidR="00C23734" w:rsidP="007A536F" w:rsidRDefault="00C23734" w14:paraId="607D6A36" w14:textId="77777777">
      <w:pPr>
        <w:autoSpaceDE w:val="0"/>
        <w:autoSpaceDN w:val="0"/>
        <w:adjustRightInd w:val="0"/>
        <w:spacing w:before="3"/>
        <w:ind w:right="59"/>
        <w:rPr>
          <w:rFonts w:eastAsiaTheme="minorHAnsi"/>
        </w:rPr>
      </w:pPr>
    </w:p>
    <w:p w:rsidRPr="00950720" w:rsidR="000E7DFF" w:rsidP="007A536F" w:rsidRDefault="000E7DFF" w14:paraId="23B45C26" w14:textId="706D5480">
      <w:pPr>
        <w:autoSpaceDE w:val="0"/>
        <w:autoSpaceDN w:val="0"/>
        <w:adjustRightInd w:val="0"/>
        <w:spacing w:before="3"/>
        <w:ind w:right="59"/>
        <w:rPr>
          <w:rFonts w:eastAsiaTheme="minorHAnsi"/>
        </w:rPr>
      </w:pPr>
      <w:r w:rsidRPr="00950720">
        <w:rPr>
          <w:rFonts w:eastAsiaTheme="minorHAnsi"/>
        </w:rPr>
        <w:t xml:space="preserve">The </w:t>
      </w:r>
      <w:r w:rsidRPr="00950720" w:rsidR="00C23734">
        <w:rPr>
          <w:rFonts w:eastAsiaTheme="minorHAnsi"/>
        </w:rPr>
        <w:t>2014 CPFFCL</w:t>
      </w:r>
      <w:r w:rsidRPr="00950720">
        <w:rPr>
          <w:rFonts w:eastAsiaTheme="minorHAnsi"/>
        </w:rPr>
        <w:t xml:space="preserve"> </w:t>
      </w:r>
      <w:r w:rsidR="00E75C22">
        <w:rPr>
          <w:rFonts w:eastAsiaTheme="minorHAnsi"/>
        </w:rPr>
        <w:t>received</w:t>
      </w:r>
      <w:r w:rsidRPr="00950720" w:rsidR="00E75C22">
        <w:rPr>
          <w:rFonts w:eastAsiaTheme="minorHAnsi"/>
        </w:rPr>
        <w:t xml:space="preserve"> </w:t>
      </w:r>
      <w:r w:rsidRPr="00950720">
        <w:rPr>
          <w:rFonts w:eastAsiaTheme="minorHAnsi"/>
        </w:rPr>
        <w:t xml:space="preserve">widespread support by the </w:t>
      </w:r>
      <w:r w:rsidRPr="00950720" w:rsidR="00C23734">
        <w:rPr>
          <w:rFonts w:eastAsiaTheme="minorHAnsi"/>
        </w:rPr>
        <w:t>American Society of Crime Laboratory Directors</w:t>
      </w:r>
      <w:r w:rsidRPr="00950720">
        <w:rPr>
          <w:rFonts w:eastAsiaTheme="minorHAnsi"/>
        </w:rPr>
        <w:t xml:space="preserve">, which </w:t>
      </w:r>
      <w:r w:rsidRPr="00950720" w:rsidR="00C23734">
        <w:rPr>
          <w:rFonts w:eastAsiaTheme="minorHAnsi"/>
        </w:rPr>
        <w:t>was</w:t>
      </w:r>
      <w:r w:rsidRPr="00950720">
        <w:rPr>
          <w:rFonts w:eastAsiaTheme="minorHAnsi"/>
        </w:rPr>
        <w:t xml:space="preserve"> enlisted to help </w:t>
      </w:r>
      <w:r w:rsidR="00E75C22">
        <w:rPr>
          <w:rFonts w:eastAsiaTheme="minorHAnsi"/>
        </w:rPr>
        <w:t xml:space="preserve">develop </w:t>
      </w:r>
      <w:r w:rsidRPr="00950720">
        <w:rPr>
          <w:rFonts w:eastAsiaTheme="minorHAnsi"/>
        </w:rPr>
        <w:t xml:space="preserve">the questionnaire and to encourage individual </w:t>
      </w:r>
      <w:r w:rsidRPr="00950720" w:rsidR="00E63DD9">
        <w:rPr>
          <w:rFonts w:eastAsiaTheme="minorHAnsi"/>
        </w:rPr>
        <w:t>laboratory</w:t>
      </w:r>
      <w:r w:rsidRPr="00950720">
        <w:rPr>
          <w:rFonts w:eastAsiaTheme="minorHAnsi"/>
        </w:rPr>
        <w:t xml:space="preserve"> to respond to the survey. This continues to be case for 20</w:t>
      </w:r>
      <w:r w:rsidRPr="00950720" w:rsidR="00C23734">
        <w:rPr>
          <w:rFonts w:eastAsiaTheme="minorHAnsi"/>
        </w:rPr>
        <w:t>20 CPFFCL</w:t>
      </w:r>
      <w:r w:rsidRPr="00950720">
        <w:rPr>
          <w:rFonts w:eastAsiaTheme="minorHAnsi"/>
        </w:rPr>
        <w:t xml:space="preserve">, and </w:t>
      </w:r>
      <w:r w:rsidRPr="00950720" w:rsidR="00C23734">
        <w:rPr>
          <w:rFonts w:eastAsiaTheme="minorHAnsi"/>
        </w:rPr>
        <w:t xml:space="preserve">their </w:t>
      </w:r>
      <w:r w:rsidRPr="00950720">
        <w:rPr>
          <w:rFonts w:eastAsiaTheme="minorHAnsi"/>
        </w:rPr>
        <w:t>letter of support will be included in the survey invitation package (</w:t>
      </w:r>
      <w:r w:rsidRPr="007E75FC">
        <w:rPr>
          <w:rFonts w:eastAsiaTheme="minorHAnsi"/>
          <w:b/>
        </w:rPr>
        <w:t>Attachment 22</w:t>
      </w:r>
      <w:r w:rsidRPr="00950720">
        <w:rPr>
          <w:rFonts w:eastAsiaTheme="minorHAnsi"/>
        </w:rPr>
        <w:t>).</w:t>
      </w:r>
    </w:p>
    <w:p w:rsidRPr="00950720" w:rsidR="00C23734" w:rsidP="007A536F" w:rsidRDefault="00C23734" w14:paraId="0EB54658" w14:textId="77777777">
      <w:pPr>
        <w:autoSpaceDE w:val="0"/>
        <w:autoSpaceDN w:val="0"/>
        <w:adjustRightInd w:val="0"/>
        <w:spacing w:before="3"/>
        <w:ind w:right="59"/>
        <w:rPr>
          <w:rFonts w:eastAsiaTheme="minorHAnsi"/>
        </w:rPr>
      </w:pPr>
    </w:p>
    <w:p w:rsidRPr="00950720" w:rsidR="000E7DFF" w:rsidP="007A536F" w:rsidRDefault="000E7DFF" w14:paraId="593FF180" w14:textId="5B58472E">
      <w:pPr>
        <w:autoSpaceDE w:val="0"/>
        <w:autoSpaceDN w:val="0"/>
        <w:adjustRightInd w:val="0"/>
        <w:spacing w:before="3"/>
        <w:ind w:right="59"/>
        <w:rPr>
          <w:rFonts w:eastAsiaTheme="minorHAnsi"/>
        </w:rPr>
      </w:pPr>
      <w:r w:rsidRPr="00950720">
        <w:rPr>
          <w:rFonts w:eastAsiaTheme="minorHAnsi"/>
        </w:rPr>
        <w:t>To promote 100% item completion by respondents, RTI will monitor item response rates as surveys are submitted. RTI has a survey management system linked to the web-based application that will flag missing items and invalid responses. RTI will also flag missing items on hard copy submissions on a flow basis. The data collection manager will oversee phone and email outreach to respondents to clarify missing or invalid responses and to take corrective action (</w:t>
      </w:r>
      <w:r w:rsidRPr="007E75FC">
        <w:rPr>
          <w:rFonts w:eastAsiaTheme="minorHAnsi"/>
          <w:b/>
        </w:rPr>
        <w:t>Attachment 16</w:t>
      </w:r>
      <w:r w:rsidRPr="00950720">
        <w:rPr>
          <w:rFonts w:eastAsiaTheme="minorHAnsi"/>
        </w:rPr>
        <w:t>). Changes to survey responses obtained through this follow-up effort will be tracked and entered in the data collection database.</w:t>
      </w:r>
    </w:p>
    <w:p w:rsidRPr="00950720" w:rsidR="00C23734" w:rsidP="007A536F" w:rsidRDefault="00C23734" w14:paraId="64AF85CD" w14:textId="77777777">
      <w:pPr>
        <w:autoSpaceDE w:val="0"/>
        <w:autoSpaceDN w:val="0"/>
        <w:adjustRightInd w:val="0"/>
        <w:spacing w:before="3"/>
        <w:ind w:right="59"/>
        <w:rPr>
          <w:rFonts w:eastAsiaTheme="minorHAnsi"/>
        </w:rPr>
      </w:pPr>
    </w:p>
    <w:p w:rsidRPr="00950720" w:rsidR="000E7DFF" w:rsidP="007A536F" w:rsidRDefault="000E7DFF" w14:paraId="05209139" w14:textId="6EB2B3FF">
      <w:pPr>
        <w:autoSpaceDE w:val="0"/>
        <w:autoSpaceDN w:val="0"/>
        <w:adjustRightInd w:val="0"/>
        <w:spacing w:before="3"/>
        <w:ind w:right="59"/>
        <w:rPr>
          <w:rFonts w:eastAsiaTheme="minorHAnsi"/>
        </w:rPr>
      </w:pPr>
      <w:r w:rsidRPr="00950720">
        <w:rPr>
          <w:rFonts w:eastAsiaTheme="minorHAnsi"/>
        </w:rPr>
        <w:lastRenderedPageBreak/>
        <w:t xml:space="preserve">As the </w:t>
      </w:r>
      <w:r w:rsidRPr="00950720" w:rsidR="00147EF3">
        <w:rPr>
          <w:rFonts w:eastAsiaTheme="minorHAnsi"/>
        </w:rPr>
        <w:t>2020 CPFFCL</w:t>
      </w:r>
      <w:r w:rsidRPr="00950720">
        <w:rPr>
          <w:rFonts w:eastAsiaTheme="minorHAnsi"/>
        </w:rPr>
        <w:t xml:space="preserve"> is planned to be a complete census of </w:t>
      </w:r>
      <w:r w:rsidRPr="00950720" w:rsidR="00147EF3">
        <w:rPr>
          <w:rFonts w:eastAsiaTheme="minorHAnsi"/>
        </w:rPr>
        <w:t>laboratories</w:t>
      </w:r>
      <w:r w:rsidRPr="00950720">
        <w:rPr>
          <w:rFonts w:eastAsiaTheme="minorHAnsi"/>
        </w:rPr>
        <w:t>, sampling weights are not necessary. However, in the event unit response rates are lower than anticipated, some weighting of the data may be required. The extent of this step will depend on response rates within sub-groups of the respondent pool. Response rates within jurisdiction size grouping</w:t>
      </w:r>
      <w:r w:rsidRPr="00950720" w:rsidR="00147EF3">
        <w:rPr>
          <w:rFonts w:eastAsiaTheme="minorHAnsi"/>
        </w:rPr>
        <w:t xml:space="preserve"> and laboratory </w:t>
      </w:r>
      <w:r w:rsidRPr="00950720">
        <w:rPr>
          <w:rFonts w:eastAsiaTheme="minorHAnsi"/>
        </w:rPr>
        <w:t xml:space="preserve">type will be reviewed to determine if a weighting adjustment is necessary. To ensure that nonresponding agencies are not different than those that participate, a nonresponse bias analysis will be conducted if the unit response rate falls below 80 percent. </w:t>
      </w:r>
    </w:p>
    <w:p w:rsidRPr="00950720" w:rsidR="00147EF3" w:rsidP="007A536F" w:rsidRDefault="00147EF3" w14:paraId="3A870510" w14:textId="77777777">
      <w:pPr>
        <w:autoSpaceDE w:val="0"/>
        <w:autoSpaceDN w:val="0"/>
        <w:adjustRightInd w:val="0"/>
        <w:spacing w:before="3"/>
        <w:ind w:right="59"/>
        <w:rPr>
          <w:rFonts w:eastAsiaTheme="minorHAnsi"/>
        </w:rPr>
      </w:pPr>
    </w:p>
    <w:p w:rsidRPr="00950720" w:rsidR="000E7DFF" w:rsidP="007A536F" w:rsidRDefault="000E7DFF" w14:paraId="4D6FE364" w14:textId="2E2C07FC">
      <w:pPr>
        <w:autoSpaceDE w:val="0"/>
        <w:autoSpaceDN w:val="0"/>
        <w:adjustRightInd w:val="0"/>
        <w:spacing w:before="3"/>
        <w:ind w:right="59"/>
        <w:rPr>
          <w:rFonts w:eastAsiaTheme="minorHAnsi"/>
        </w:rPr>
      </w:pPr>
      <w:r w:rsidRPr="00950720">
        <w:rPr>
          <w:rFonts w:eastAsiaTheme="minorHAnsi"/>
        </w:rPr>
        <w:t>Imputation procedures will be used to address issues of item nonresponse.</w:t>
      </w:r>
      <w:r w:rsidRPr="00950720" w:rsidR="00147EF3">
        <w:rPr>
          <w:rFonts w:eastAsiaTheme="minorHAnsi"/>
        </w:rPr>
        <w:t xml:space="preserve"> The 2014 CPFFCL may provide the team with a</w:t>
      </w:r>
      <w:r w:rsidRPr="00950720">
        <w:rPr>
          <w:rFonts w:eastAsiaTheme="minorHAnsi"/>
        </w:rPr>
        <w:t xml:space="preserve"> cold-deck imputation solution for item nonresponse</w:t>
      </w:r>
      <w:r w:rsidRPr="00950720" w:rsidR="00147EF3">
        <w:rPr>
          <w:rFonts w:eastAsiaTheme="minorHAnsi"/>
        </w:rPr>
        <w:t xml:space="preserve"> where there is item overlap between the two administrations</w:t>
      </w:r>
      <w:r w:rsidRPr="00950720">
        <w:rPr>
          <w:rFonts w:eastAsiaTheme="minorHAnsi"/>
        </w:rPr>
        <w:t>. As needed, BJS will consider multiple imputation methods, flagging observations and values that were imputed in the archived dataset.</w:t>
      </w:r>
    </w:p>
    <w:p w:rsidRPr="00950720" w:rsidR="00421095" w:rsidP="007A536F" w:rsidRDefault="00421095" w14:paraId="6A6362C5" w14:textId="77777777"/>
    <w:p w:rsidRPr="00950720" w:rsidR="00421095" w:rsidP="007A536F" w:rsidRDefault="00421095" w14:paraId="01D11907" w14:textId="5CA6872E">
      <w:pPr>
        <w:pStyle w:val="ListParagraph"/>
        <w:numPr>
          <w:ilvl w:val="0"/>
          <w:numId w:val="5"/>
        </w:numPr>
        <w:ind w:left="360"/>
        <w:contextualSpacing w:val="0"/>
        <w:rPr>
          <w:b/>
          <w:u w:val="single"/>
        </w:rPr>
      </w:pPr>
      <w:r w:rsidRPr="00950720">
        <w:rPr>
          <w:b/>
          <w:u w:val="single"/>
        </w:rPr>
        <w:t>Testing of Procedures</w:t>
      </w:r>
    </w:p>
    <w:p w:rsidRPr="00950720" w:rsidR="00421095" w:rsidP="007A536F" w:rsidRDefault="00421095" w14:paraId="4DB9E5E1" w14:textId="3A5CC961">
      <w:pPr>
        <w:pStyle w:val="ListParagraph"/>
        <w:ind w:left="360"/>
        <w:contextualSpacing w:val="0"/>
        <w:rPr>
          <w:highlight w:val="yellow"/>
          <w:u w:val="single"/>
        </w:rPr>
      </w:pPr>
    </w:p>
    <w:p w:rsidRPr="00950720" w:rsidR="000E7DFF" w:rsidP="007A536F" w:rsidRDefault="000E7DFF" w14:paraId="14A662D6" w14:textId="2638D80E">
      <w:pPr>
        <w:pStyle w:val="ListParagraph"/>
        <w:ind w:left="0"/>
        <w:contextualSpacing w:val="0"/>
      </w:pPr>
      <w:r w:rsidRPr="00950720">
        <w:t xml:space="preserve">The proposed new questions in the </w:t>
      </w:r>
      <w:r w:rsidRPr="00950720" w:rsidR="00147EF3">
        <w:t>2020 CPFFCL</w:t>
      </w:r>
      <w:r w:rsidRPr="00950720">
        <w:t xml:space="preserve"> data collection instrument and the revisions made to those retained from 20</w:t>
      </w:r>
      <w:r w:rsidRPr="00950720" w:rsidR="00147EF3">
        <w:t>1</w:t>
      </w:r>
      <w:r w:rsidRPr="00950720">
        <w:t>4 were reviewed by BJS and RTI staff, suggested and discussed by the Expert Panelists, and cognitively tested.</w:t>
      </w:r>
    </w:p>
    <w:p w:rsidRPr="00950720" w:rsidR="00420F1F" w:rsidP="007A536F" w:rsidRDefault="00420F1F" w14:paraId="205EFBF7" w14:textId="76F4FEA1">
      <w:pPr>
        <w:pStyle w:val="ListParagraph"/>
        <w:ind w:left="0"/>
        <w:contextualSpacing w:val="0"/>
      </w:pPr>
    </w:p>
    <w:p w:rsidRPr="00950720" w:rsidR="00420F1F" w:rsidP="007A536F" w:rsidRDefault="00420F1F" w14:paraId="3C66D960" w14:textId="1B0E3CA5">
      <w:pPr>
        <w:pStyle w:val="ListParagraph"/>
        <w:ind w:left="0"/>
      </w:pPr>
      <w:r w:rsidRPr="00950720">
        <w:t xml:space="preserve">BJS and RTI cognitively tested the instrument with </w:t>
      </w:r>
      <w:r w:rsidRPr="00950720" w:rsidR="00147EF3">
        <w:t>23 laboratories</w:t>
      </w:r>
      <w:r w:rsidRPr="00950720">
        <w:t xml:space="preserve">. </w:t>
      </w:r>
      <w:r w:rsidRPr="00950720" w:rsidR="00147EF3">
        <w:t>Laboratories</w:t>
      </w:r>
      <w:r w:rsidRPr="00950720">
        <w:t xml:space="preserve"> varied by geographic region, size, and population served. To conduct the cognitive interviews, RTI talked with respondents via telephone for about </w:t>
      </w:r>
      <w:r w:rsidRPr="00950720" w:rsidR="00147EF3">
        <w:t>an hour</w:t>
      </w:r>
      <w:r w:rsidRPr="00950720">
        <w:t xml:space="preserve"> while respondents read through the questionnaire item by item. Each item had at least one probing question the RTI interviewer would ask the respondent to assess clarity and ease of answering the questions. The cognitive testing provided insight into whether respondents fully understood questions and provided expected answers, informed our phrasing and response options, and provided an estimate of the burden (</w:t>
      </w:r>
      <w:r w:rsidRPr="007E75FC">
        <w:rPr>
          <w:b/>
        </w:rPr>
        <w:t>Attachment 25</w:t>
      </w:r>
      <w:r w:rsidRPr="00950720">
        <w:t>). The instrument was modified to increase comprehension as a result of these interviews.</w:t>
      </w:r>
    </w:p>
    <w:p w:rsidRPr="00950720" w:rsidR="00147EF3" w:rsidP="007A536F" w:rsidRDefault="00147EF3" w14:paraId="0C393DB1" w14:textId="77777777">
      <w:pPr>
        <w:pStyle w:val="ListParagraph"/>
        <w:ind w:left="0"/>
      </w:pPr>
    </w:p>
    <w:p w:rsidRPr="00950720" w:rsidR="00420F1F" w:rsidP="007A536F" w:rsidRDefault="00420F1F" w14:paraId="50AE0AE5" w14:textId="77777777">
      <w:pPr>
        <w:pStyle w:val="ListParagraph"/>
        <w:ind w:left="0"/>
      </w:pPr>
      <w:r w:rsidRPr="00950720">
        <w:t>In addition, RTI and BJS will thoroughly test the web-based survey administration system through systematic user testing, including testing skip patterns, attempting to “break” the instrument, and back-end data checks on entered responses.</w:t>
      </w:r>
    </w:p>
    <w:p w:rsidRPr="00950720" w:rsidR="00C23734" w:rsidP="007A536F" w:rsidRDefault="00C23734" w14:paraId="240A5A3E" w14:textId="77777777">
      <w:pPr>
        <w:pStyle w:val="ListParagraph"/>
        <w:ind w:left="0"/>
        <w:contextualSpacing w:val="0"/>
      </w:pPr>
    </w:p>
    <w:p w:rsidRPr="00950720" w:rsidR="00420F1F" w:rsidP="007A536F" w:rsidRDefault="00420F1F" w14:paraId="2FD966C4" w14:textId="256B0074">
      <w:pPr>
        <w:pStyle w:val="ListParagraph"/>
        <w:ind w:left="0"/>
        <w:contextualSpacing w:val="0"/>
        <w:rPr>
          <w:highlight w:val="yellow"/>
        </w:rPr>
      </w:pPr>
      <w:r w:rsidRPr="00950720">
        <w:t xml:space="preserve">The </w:t>
      </w:r>
      <w:r w:rsidRPr="00950720" w:rsidR="00147EF3">
        <w:t>2020 CPFFCL</w:t>
      </w:r>
      <w:r w:rsidRPr="00950720">
        <w:t xml:space="preserve"> will maintain similar respondent recruitment and support procedures as the 20</w:t>
      </w:r>
      <w:r w:rsidRPr="00950720" w:rsidR="00147EF3">
        <w:t>1</w:t>
      </w:r>
      <w:r w:rsidRPr="00950720">
        <w:t xml:space="preserve">4 </w:t>
      </w:r>
      <w:r w:rsidRPr="00950720" w:rsidR="00147EF3">
        <w:t>CPFFCL</w:t>
      </w:r>
      <w:r w:rsidRPr="00950720">
        <w:t xml:space="preserve"> administration, which was field tested and successfully employed. We expect that response rates for the </w:t>
      </w:r>
      <w:r w:rsidRPr="00950720" w:rsidR="00147EF3">
        <w:t>2020 CPFFCL</w:t>
      </w:r>
      <w:r w:rsidRPr="00950720">
        <w:t xml:space="preserve"> will at a minimum match the 8</w:t>
      </w:r>
      <w:r w:rsidRPr="00950720" w:rsidR="00147EF3">
        <w:t>8</w:t>
      </w:r>
      <w:r w:rsidRPr="00950720">
        <w:t>% response rate set by the 20</w:t>
      </w:r>
      <w:r w:rsidRPr="00950720" w:rsidR="00147EF3">
        <w:t>1</w:t>
      </w:r>
      <w:r w:rsidRPr="00950720">
        <w:t>4 administration and potentially, achieve over a 95% response rate. RTI has previously u</w:t>
      </w:r>
      <w:r w:rsidRPr="00950720" w:rsidR="00147EF3">
        <w:t>s</w:t>
      </w:r>
      <w:r w:rsidRPr="00950720">
        <w:t>ed web-based survey instruments that are substantially similar to the format in design for the 20</w:t>
      </w:r>
      <w:r w:rsidRPr="00950720" w:rsidR="00147EF3">
        <w:t>20 CPFFCL, including the 2018 Census of Medical Examiner and Coroner Offices (CMEC; OMB# 1221-0296), the</w:t>
      </w:r>
      <w:r w:rsidRPr="00950720">
        <w:t xml:space="preserve"> Law Enforcement Management and Administrative Statistics survey (</w:t>
      </w:r>
      <w:r w:rsidRPr="00950720" w:rsidR="00147EF3">
        <w:t xml:space="preserve">LEMAS; </w:t>
      </w:r>
      <w:r w:rsidRPr="00950720">
        <w:t>OMB #1121-0240) and Census of State and Local Law Enforcement Agencies (CSLLEA</w:t>
      </w:r>
      <w:r w:rsidRPr="00950720" w:rsidR="00147EF3">
        <w:t xml:space="preserve">; </w:t>
      </w:r>
      <w:r w:rsidRPr="00950720">
        <w:t xml:space="preserve">OMB #1121-0346) administrations. The web-based survey administration procedures successfully employed in the </w:t>
      </w:r>
      <w:r w:rsidRPr="00950720" w:rsidR="00147EF3">
        <w:t xml:space="preserve">CMEC, </w:t>
      </w:r>
      <w:r w:rsidRPr="00950720">
        <w:t>LEMAS</w:t>
      </w:r>
      <w:r w:rsidRPr="00950720" w:rsidR="00147EF3">
        <w:t>,</w:t>
      </w:r>
      <w:r w:rsidRPr="00950720">
        <w:t xml:space="preserve"> and CSLLEA survey designs have been substantially retained but modified as necessary to accommodate the </w:t>
      </w:r>
      <w:r w:rsidRPr="00950720" w:rsidR="00147EF3">
        <w:t>2020 CPFFCL</w:t>
      </w:r>
      <w:r w:rsidRPr="00950720">
        <w:t xml:space="preserve"> instrument and respondents.</w:t>
      </w:r>
    </w:p>
    <w:p w:rsidRPr="00950720" w:rsidR="00E63DD9" w:rsidP="007A536F" w:rsidRDefault="00E63DD9" w14:paraId="244BEE37" w14:textId="77777777">
      <w:pPr>
        <w:spacing w:after="200" w:line="276" w:lineRule="auto"/>
        <w:rPr>
          <w:b/>
          <w:u w:val="single"/>
        </w:rPr>
      </w:pPr>
      <w:r w:rsidRPr="00950720">
        <w:rPr>
          <w:b/>
          <w:u w:val="single"/>
        </w:rPr>
        <w:br w:type="page"/>
      </w:r>
    </w:p>
    <w:p w:rsidRPr="00950720" w:rsidR="00E73CDF" w:rsidP="007A536F" w:rsidRDefault="00E73CDF" w14:paraId="05D5CDA9" w14:textId="14588DFD">
      <w:pPr>
        <w:pStyle w:val="ListParagraph"/>
        <w:numPr>
          <w:ilvl w:val="0"/>
          <w:numId w:val="5"/>
        </w:numPr>
        <w:ind w:left="360"/>
        <w:contextualSpacing w:val="0"/>
        <w:rPr>
          <w:b/>
          <w:u w:val="single"/>
        </w:rPr>
      </w:pPr>
      <w:r w:rsidRPr="00950720">
        <w:rPr>
          <w:b/>
          <w:u w:val="single"/>
        </w:rPr>
        <w:lastRenderedPageBreak/>
        <w:t>Contacts for Statistical Aspects and Data Collection</w:t>
      </w:r>
    </w:p>
    <w:p w:rsidRPr="00950720" w:rsidR="00E73CDF" w:rsidP="007A536F" w:rsidRDefault="00E73CDF" w14:paraId="763F6CFC" w14:textId="77777777"/>
    <w:p w:rsidRPr="00950720" w:rsidR="00E73CDF" w:rsidP="007A536F" w:rsidRDefault="00E73CDF" w14:paraId="7A450045" w14:textId="77777777">
      <w:pPr>
        <w:pStyle w:val="ListParagraph"/>
        <w:numPr>
          <w:ilvl w:val="0"/>
          <w:numId w:val="6"/>
        </w:numPr>
        <w:ind w:left="0" w:firstLine="0"/>
        <w:contextualSpacing w:val="0"/>
      </w:pPr>
      <w:r w:rsidRPr="00950720">
        <w:t>BJS contacts include:</w:t>
      </w:r>
    </w:p>
    <w:p w:rsidRPr="00950720" w:rsidR="00E73CDF" w:rsidP="007A536F" w:rsidRDefault="00E73CDF" w14:paraId="442859AB" w14:textId="77777777">
      <w:pPr>
        <w:pStyle w:val="ListParagraph"/>
        <w:ind w:left="0"/>
        <w:contextualSpacing w:val="0"/>
      </w:pPr>
      <w:r w:rsidRPr="00950720">
        <w:t xml:space="preserve"> </w:t>
      </w:r>
    </w:p>
    <w:p w:rsidRPr="00950720" w:rsidR="003436E1" w:rsidP="007A536F" w:rsidRDefault="004040A2" w14:paraId="1EB0BC59" w14:textId="65F2E7C1">
      <w:pPr>
        <w:ind w:left="720"/>
      </w:pPr>
      <w:r w:rsidRPr="00950720">
        <w:t>Connor Brooks</w:t>
      </w:r>
    </w:p>
    <w:p w:rsidRPr="00950720" w:rsidR="004040A2" w:rsidP="007A536F" w:rsidRDefault="00CC783D" w14:paraId="48A00A1A" w14:textId="52C655B9">
      <w:pPr>
        <w:ind w:left="720"/>
      </w:pPr>
      <w:r w:rsidRPr="00950720">
        <w:t>CPFFCL</w:t>
      </w:r>
      <w:r w:rsidRPr="00950720" w:rsidR="00427159">
        <w:t xml:space="preserve"> Program Manager</w:t>
      </w:r>
    </w:p>
    <w:p w:rsidRPr="00950720" w:rsidR="004040A2" w:rsidP="007A536F" w:rsidRDefault="004040A2" w14:paraId="15063617" w14:textId="4222BB99">
      <w:pPr>
        <w:ind w:left="720"/>
      </w:pPr>
      <w:r w:rsidRPr="00950720">
        <w:t>Bureau of Justice Statistics</w:t>
      </w:r>
    </w:p>
    <w:p w:rsidRPr="00950720" w:rsidR="00E63DD9" w:rsidP="007A536F" w:rsidRDefault="00E63DD9" w14:paraId="07737458" w14:textId="79A5F102">
      <w:pPr>
        <w:spacing w:line="182" w:lineRule="atLeast"/>
        <w:ind w:firstLine="720"/>
      </w:pPr>
      <w:r w:rsidRPr="00950720">
        <w:t>202-514-8633</w:t>
      </w:r>
    </w:p>
    <w:p w:rsidRPr="00950720" w:rsidR="004040A2" w:rsidP="007A536F" w:rsidRDefault="00417741" w14:paraId="2EF5ADD6" w14:textId="36C4A82B">
      <w:pPr>
        <w:ind w:left="720"/>
      </w:pPr>
      <w:hyperlink w:history="1" r:id="rId10">
        <w:r w:rsidRPr="00950720" w:rsidR="00E63DD9">
          <w:rPr>
            <w:rStyle w:val="Hyperlink"/>
          </w:rPr>
          <w:t>connor.brooks@usdoj.gov</w:t>
        </w:r>
      </w:hyperlink>
      <w:r w:rsidRPr="00950720" w:rsidR="00E63DD9">
        <w:t xml:space="preserve"> </w:t>
      </w:r>
    </w:p>
    <w:p w:rsidRPr="00950720" w:rsidR="004040A2" w:rsidP="007A536F" w:rsidRDefault="004040A2" w14:paraId="6CA978B1" w14:textId="77777777">
      <w:pPr>
        <w:ind w:left="720"/>
      </w:pPr>
    </w:p>
    <w:p w:rsidRPr="00950720" w:rsidR="004040A2" w:rsidP="007A536F" w:rsidRDefault="004040A2" w14:paraId="1058F8D7" w14:textId="77777777">
      <w:pPr>
        <w:ind w:left="720"/>
      </w:pPr>
      <w:r w:rsidRPr="00950720">
        <w:t>Kevin M. Scott, Ph.D.</w:t>
      </w:r>
    </w:p>
    <w:p w:rsidRPr="00950720" w:rsidR="004040A2" w:rsidP="007A536F" w:rsidRDefault="004040A2" w14:paraId="404F175D" w14:textId="77777777">
      <w:pPr>
        <w:ind w:left="720"/>
      </w:pPr>
      <w:r w:rsidRPr="00950720">
        <w:t>Law Enforcement Statistics Unit Chief</w:t>
      </w:r>
    </w:p>
    <w:p w:rsidRPr="00950720" w:rsidR="004040A2" w:rsidP="007A536F" w:rsidRDefault="004040A2" w14:paraId="35401AA9" w14:textId="77777777">
      <w:pPr>
        <w:ind w:left="720"/>
      </w:pPr>
      <w:r w:rsidRPr="00950720">
        <w:t>Bureau of Justice Statistics</w:t>
      </w:r>
    </w:p>
    <w:p w:rsidRPr="00950720" w:rsidR="004040A2" w:rsidP="007A536F" w:rsidRDefault="004040A2" w14:paraId="774B90FE" w14:textId="77777777">
      <w:pPr>
        <w:ind w:left="720"/>
      </w:pPr>
      <w:r w:rsidRPr="00950720">
        <w:t>202-616-3615</w:t>
      </w:r>
    </w:p>
    <w:p w:rsidRPr="00950720" w:rsidR="004040A2" w:rsidP="007A536F" w:rsidRDefault="00417741" w14:paraId="29066B0B" w14:textId="77777777">
      <w:pPr>
        <w:ind w:left="720"/>
      </w:pPr>
      <w:hyperlink w:history="1" r:id="rId11">
        <w:r w:rsidRPr="00950720" w:rsidR="004040A2">
          <w:rPr>
            <w:rStyle w:val="Hyperlink"/>
          </w:rPr>
          <w:t>Kevin.M.Scott@usdoj.gov</w:t>
        </w:r>
      </w:hyperlink>
    </w:p>
    <w:p w:rsidRPr="00950720" w:rsidR="00E73CDF" w:rsidP="007A536F" w:rsidRDefault="00E73CDF" w14:paraId="5AE78D0A" w14:textId="77777777">
      <w:pPr>
        <w:ind w:left="720"/>
      </w:pPr>
    </w:p>
    <w:p w:rsidRPr="00950720" w:rsidR="00E73CDF" w:rsidP="007A536F" w:rsidRDefault="00E73CDF" w14:paraId="0AE19AA9" w14:textId="77777777">
      <w:pPr>
        <w:pStyle w:val="ListParagraph"/>
        <w:numPr>
          <w:ilvl w:val="0"/>
          <w:numId w:val="6"/>
        </w:numPr>
        <w:ind w:left="0" w:firstLine="0"/>
        <w:contextualSpacing w:val="0"/>
      </w:pPr>
      <w:r w:rsidRPr="00950720">
        <w:t>Persons consulted on data collection and analysis:</w:t>
      </w:r>
    </w:p>
    <w:p w:rsidRPr="00950720" w:rsidR="00E73CDF" w:rsidP="007A536F" w:rsidRDefault="00E73CDF" w14:paraId="0BF6EF22" w14:textId="77777777">
      <w:pPr>
        <w:pStyle w:val="ListParagraph"/>
        <w:ind w:left="0"/>
        <w:contextualSpacing w:val="0"/>
      </w:pPr>
    </w:p>
    <w:p w:rsidRPr="00950720" w:rsidR="000E7DFF" w:rsidP="007A536F" w:rsidRDefault="000E7DFF" w14:paraId="27D03983" w14:textId="77777777">
      <w:pPr>
        <w:ind w:left="720"/>
      </w:pPr>
      <w:r w:rsidRPr="00950720">
        <w:t>Hope Smiley-McDonald, PhD</w:t>
      </w:r>
    </w:p>
    <w:p w:rsidRPr="00950720" w:rsidR="000E7DFF" w:rsidP="007A536F" w:rsidRDefault="000E7DFF" w14:paraId="7A3B1BE5" w14:textId="77777777">
      <w:pPr>
        <w:ind w:left="720"/>
      </w:pPr>
      <w:r w:rsidRPr="00950720">
        <w:t>Program Director</w:t>
      </w:r>
    </w:p>
    <w:p w:rsidRPr="00950720" w:rsidR="000E7DFF" w:rsidP="007A536F" w:rsidRDefault="000E7DFF" w14:paraId="48AA2111" w14:textId="77777777">
      <w:pPr>
        <w:ind w:left="720"/>
      </w:pPr>
      <w:r w:rsidRPr="00950720">
        <w:t>3040 East Cornwallis Road</w:t>
      </w:r>
    </w:p>
    <w:p w:rsidRPr="00950720" w:rsidR="000E7DFF" w:rsidP="007A536F" w:rsidRDefault="000E7DFF" w14:paraId="41C37333" w14:textId="77777777">
      <w:pPr>
        <w:ind w:left="720"/>
      </w:pPr>
      <w:r w:rsidRPr="00950720">
        <w:t>Research Triangle Park, NC 27709</w:t>
      </w:r>
    </w:p>
    <w:p w:rsidRPr="00950720" w:rsidR="000E7DFF" w:rsidP="007A536F" w:rsidRDefault="000E7DFF" w14:paraId="02274632" w14:textId="77777777">
      <w:pPr>
        <w:ind w:left="720"/>
      </w:pPr>
      <w:r w:rsidRPr="00950720">
        <w:t>919-485-5743</w:t>
      </w:r>
    </w:p>
    <w:p w:rsidRPr="00950720" w:rsidR="000E7DFF" w:rsidP="007A536F" w:rsidRDefault="00417741" w14:paraId="37BC9766" w14:textId="77777777">
      <w:pPr>
        <w:ind w:left="720"/>
      </w:pPr>
      <w:hyperlink w:history="1" r:id="rId12">
        <w:r w:rsidRPr="00950720" w:rsidR="000E7DFF">
          <w:rPr>
            <w:rStyle w:val="Hyperlink"/>
          </w:rPr>
          <w:t>smiley@rti.org</w:t>
        </w:r>
      </w:hyperlink>
    </w:p>
    <w:p w:rsidRPr="00950720" w:rsidR="000E7DFF" w:rsidP="007A536F" w:rsidRDefault="000E7DFF" w14:paraId="47E48FAB" w14:textId="77777777">
      <w:pPr>
        <w:ind w:left="720"/>
      </w:pPr>
    </w:p>
    <w:p w:rsidRPr="00950720" w:rsidR="00F45304" w:rsidP="007A536F" w:rsidRDefault="00F45304" w14:paraId="3927172A" w14:textId="5908F67A">
      <w:pPr>
        <w:ind w:left="720"/>
      </w:pPr>
      <w:r w:rsidRPr="00950720">
        <w:t>Jeri Roper Miller, PhD</w:t>
      </w:r>
    </w:p>
    <w:p w:rsidRPr="00950720" w:rsidR="00F45304" w:rsidP="007A536F" w:rsidRDefault="00C23734" w14:paraId="2BB07678" w14:textId="114C7500">
      <w:pPr>
        <w:ind w:left="720"/>
      </w:pPr>
      <w:r w:rsidRPr="00950720">
        <w:t>Center Director</w:t>
      </w:r>
    </w:p>
    <w:p w:rsidRPr="00950720" w:rsidR="00F45304" w:rsidP="007A536F" w:rsidRDefault="00F45304" w14:paraId="2BBD9A69" w14:textId="77777777">
      <w:pPr>
        <w:ind w:left="720"/>
      </w:pPr>
      <w:r w:rsidRPr="00950720">
        <w:t>3040 East Cornwallis Road</w:t>
      </w:r>
    </w:p>
    <w:p w:rsidRPr="00950720" w:rsidR="00F45304" w:rsidP="007A536F" w:rsidRDefault="00F45304" w14:paraId="23D96631" w14:textId="77777777">
      <w:pPr>
        <w:ind w:left="720"/>
      </w:pPr>
      <w:r w:rsidRPr="00950720">
        <w:t>Research Triangle Park, NC 27709</w:t>
      </w:r>
    </w:p>
    <w:p w:rsidRPr="00950720" w:rsidR="00F45304" w:rsidP="007A536F" w:rsidRDefault="00F45304" w14:paraId="66323A8B" w14:textId="77777777">
      <w:pPr>
        <w:ind w:left="720"/>
      </w:pPr>
      <w:r w:rsidRPr="00950720">
        <w:t>919-485-5685</w:t>
      </w:r>
    </w:p>
    <w:p w:rsidRPr="00950720" w:rsidR="00F45304" w:rsidP="007A536F" w:rsidRDefault="00417741" w14:paraId="2FFCD10C" w14:textId="77777777">
      <w:pPr>
        <w:ind w:left="720"/>
      </w:pPr>
      <w:hyperlink w:history="1" r:id="rId13">
        <w:r w:rsidRPr="00950720" w:rsidR="00F45304">
          <w:rPr>
            <w:rStyle w:val="Hyperlink"/>
          </w:rPr>
          <w:t>jerimiller@rti.org</w:t>
        </w:r>
      </w:hyperlink>
    </w:p>
    <w:p w:rsidRPr="00950720" w:rsidR="00F45304" w:rsidP="007A536F" w:rsidRDefault="00F45304" w14:paraId="10EC7814" w14:textId="77777777">
      <w:pPr>
        <w:ind w:left="720"/>
      </w:pPr>
    </w:p>
    <w:p w:rsidRPr="00950720" w:rsidR="008A50EA" w:rsidP="007A536F" w:rsidRDefault="008A50EA" w14:paraId="0DCF6D31" w14:textId="77777777">
      <w:pPr>
        <w:pStyle w:val="ListParagraph"/>
        <w:contextualSpacing w:val="0"/>
      </w:pPr>
    </w:p>
    <w:tbl>
      <w:tblPr>
        <w:tblW w:w="4750" w:type="pct"/>
        <w:tblCellSpacing w:w="0" w:type="dxa"/>
        <w:tblCellMar>
          <w:left w:w="0" w:type="dxa"/>
          <w:right w:w="0" w:type="dxa"/>
        </w:tblCellMar>
        <w:tblLook w:val="04A0" w:firstRow="1" w:lastRow="0" w:firstColumn="1" w:lastColumn="0" w:noHBand="0" w:noVBand="1"/>
      </w:tblPr>
      <w:tblGrid>
        <w:gridCol w:w="8892"/>
      </w:tblGrid>
      <w:tr w:rsidRPr="00950720" w:rsidR="00E73CDF" w:rsidTr="00CA35A2" w14:paraId="514BD2CD" w14:textId="77777777">
        <w:trPr>
          <w:tblCellSpacing w:w="0" w:type="dxa"/>
        </w:trPr>
        <w:tc>
          <w:tcPr>
            <w:tcW w:w="0" w:type="auto"/>
            <w:vAlign w:val="center"/>
            <w:hideMark/>
          </w:tcPr>
          <w:p w:rsidRPr="00950720" w:rsidR="004C3B1A" w:rsidP="007A536F" w:rsidRDefault="00E73CDF" w14:paraId="5242372E" w14:textId="77777777">
            <w:pPr>
              <w:spacing w:before="100" w:beforeAutospacing="1" w:after="100" w:afterAutospacing="1"/>
            </w:pPr>
            <w:r w:rsidRPr="00950720">
              <w:rPr>
                <w:b/>
                <w:u w:val="single"/>
              </w:rPr>
              <w:br w:type="column"/>
            </w:r>
          </w:p>
        </w:tc>
      </w:tr>
    </w:tbl>
    <w:p w:rsidRPr="00950720" w:rsidR="00E73CDF" w:rsidP="007A536F" w:rsidRDefault="00E73CDF" w14:paraId="64E2DC4F" w14:textId="77777777">
      <w:pPr>
        <w:spacing w:after="120"/>
        <w:rPr>
          <w:b/>
          <w:u w:val="single"/>
        </w:rPr>
      </w:pPr>
      <w:r w:rsidRPr="00950720">
        <w:rPr>
          <w:b/>
          <w:u w:val="single"/>
        </w:rPr>
        <w:t>Attachments:</w:t>
      </w:r>
    </w:p>
    <w:p w:rsidRPr="00950720" w:rsidR="00634474" w:rsidP="007A536F" w:rsidRDefault="00BC41F3" w14:paraId="6E2ABABB" w14:textId="236EA241">
      <w:pPr>
        <w:pStyle w:val="ListParagraph"/>
        <w:numPr>
          <w:ilvl w:val="0"/>
          <w:numId w:val="19"/>
        </w:numPr>
        <w:contextualSpacing w:val="0"/>
      </w:pPr>
      <w:r>
        <w:t>34 U.S.C. § 10131-10132</w:t>
      </w:r>
    </w:p>
    <w:p w:rsidR="008D7A43" w:rsidP="007A536F" w:rsidRDefault="00BC41F3" w14:paraId="784A97AF" w14:textId="66534B76">
      <w:pPr>
        <w:pStyle w:val="ListParagraph"/>
        <w:numPr>
          <w:ilvl w:val="0"/>
          <w:numId w:val="19"/>
        </w:numPr>
        <w:contextualSpacing w:val="0"/>
      </w:pPr>
      <w:r>
        <w:t>2020 CPFFCL questionnaire: Formatted paper instrument</w:t>
      </w:r>
    </w:p>
    <w:p w:rsidRPr="00950720" w:rsidR="00BC41F3" w:rsidP="007A536F" w:rsidRDefault="00BC41F3" w14:paraId="37DB18B3" w14:textId="4B2F56D6">
      <w:pPr>
        <w:pStyle w:val="ListParagraph"/>
        <w:numPr>
          <w:ilvl w:val="0"/>
          <w:numId w:val="19"/>
        </w:numPr>
        <w:contextualSpacing w:val="0"/>
      </w:pPr>
      <w:r>
        <w:t xml:space="preserve">2020 CPFFCL questionnaire: Example screen shots of web instrument </w:t>
      </w:r>
    </w:p>
    <w:p w:rsidRPr="00950720" w:rsidR="0007040A" w:rsidP="007A536F" w:rsidRDefault="0007040A" w14:paraId="60AA093C" w14:textId="77777777">
      <w:pPr>
        <w:pStyle w:val="ListParagraph"/>
        <w:numPr>
          <w:ilvl w:val="0"/>
          <w:numId w:val="19"/>
        </w:numPr>
        <w:contextualSpacing w:val="0"/>
      </w:pPr>
      <w:r w:rsidRPr="00950720">
        <w:t>60-day Federal Register notice</w:t>
      </w:r>
    </w:p>
    <w:p w:rsidRPr="00950720" w:rsidR="0007040A" w:rsidP="007A536F" w:rsidRDefault="0007040A" w14:paraId="76313BF4" w14:textId="77777777">
      <w:pPr>
        <w:pStyle w:val="ListParagraph"/>
        <w:numPr>
          <w:ilvl w:val="0"/>
          <w:numId w:val="19"/>
        </w:numPr>
        <w:contextualSpacing w:val="0"/>
      </w:pPr>
      <w:r w:rsidRPr="00950720">
        <w:t>30-day Federal Register notice</w:t>
      </w:r>
    </w:p>
    <w:p w:rsidRPr="00950720" w:rsidR="00E73CDF" w:rsidP="007A536F" w:rsidRDefault="003143E4" w14:paraId="5C9BEBE5" w14:textId="214523DC">
      <w:pPr>
        <w:pStyle w:val="ListParagraph"/>
        <w:numPr>
          <w:ilvl w:val="0"/>
          <w:numId w:val="19"/>
        </w:numPr>
        <w:contextualSpacing w:val="0"/>
      </w:pPr>
      <w:bookmarkStart w:name="_Hlk529198762" w:id="1"/>
      <w:bookmarkStart w:name="_Hlk62480440" w:id="2"/>
      <w:r w:rsidRPr="00950720">
        <w:t xml:space="preserve">Pre-notification letter </w:t>
      </w:r>
    </w:p>
    <w:p w:rsidRPr="00950720" w:rsidR="00F1799B" w:rsidP="007A536F" w:rsidRDefault="0071435B" w14:paraId="64B598A4" w14:textId="2AE92B20">
      <w:pPr>
        <w:pStyle w:val="ListParagraph"/>
        <w:numPr>
          <w:ilvl w:val="0"/>
          <w:numId w:val="19"/>
        </w:numPr>
        <w:contextualSpacing w:val="0"/>
      </w:pPr>
      <w:r w:rsidRPr="00950720">
        <w:t>Survey invitation</w:t>
      </w:r>
      <w:r w:rsidRPr="00950720" w:rsidR="00F74153">
        <w:t xml:space="preserve"> </w:t>
      </w:r>
      <w:r w:rsidR="00580D77">
        <w:t>cover letter</w:t>
      </w:r>
      <w:r w:rsidRPr="00950720" w:rsidR="003143E4">
        <w:t xml:space="preserve"> </w:t>
      </w:r>
    </w:p>
    <w:p w:rsidRPr="00950720" w:rsidR="0071435B" w:rsidP="007A536F" w:rsidRDefault="0071435B" w14:paraId="4C2BD3B4" w14:textId="38CB997F">
      <w:pPr>
        <w:pStyle w:val="ListParagraph"/>
        <w:numPr>
          <w:ilvl w:val="0"/>
          <w:numId w:val="19"/>
        </w:numPr>
        <w:contextualSpacing w:val="0"/>
      </w:pPr>
      <w:r w:rsidRPr="00950720">
        <w:t>Survey invitation email</w:t>
      </w:r>
    </w:p>
    <w:p w:rsidRPr="00950720" w:rsidR="00F1799B" w:rsidP="007A536F" w:rsidRDefault="00F74153" w14:paraId="25ADAD5D" w14:textId="06C162CD">
      <w:pPr>
        <w:pStyle w:val="ListParagraph"/>
        <w:numPr>
          <w:ilvl w:val="0"/>
          <w:numId w:val="19"/>
        </w:numPr>
        <w:contextualSpacing w:val="0"/>
      </w:pPr>
      <w:bookmarkStart w:name="_Hlk529196826" w:id="3"/>
      <w:bookmarkStart w:name="_Hlk529197040" w:id="4"/>
      <w:r w:rsidRPr="00950720">
        <w:t>1</w:t>
      </w:r>
      <w:r w:rsidRPr="00950720">
        <w:rPr>
          <w:vertAlign w:val="superscript"/>
        </w:rPr>
        <w:t>st</w:t>
      </w:r>
      <w:r w:rsidRPr="00950720">
        <w:t xml:space="preserve"> reminder</w:t>
      </w:r>
      <w:r w:rsidRPr="00950720" w:rsidR="003143E4">
        <w:t xml:space="preserve"> </w:t>
      </w:r>
      <w:r w:rsidR="00417741">
        <w:t>–</w:t>
      </w:r>
      <w:r w:rsidRPr="00950720" w:rsidR="001D5FA9">
        <w:t xml:space="preserve"> </w:t>
      </w:r>
      <w:r w:rsidR="0089772B">
        <w:t>postcard</w:t>
      </w:r>
    </w:p>
    <w:p w:rsidRPr="00950720" w:rsidR="0071435B" w:rsidP="007A536F" w:rsidRDefault="0071435B" w14:paraId="575989E1" w14:textId="6F6D0CCE">
      <w:pPr>
        <w:pStyle w:val="ListParagraph"/>
        <w:numPr>
          <w:ilvl w:val="0"/>
          <w:numId w:val="19"/>
        </w:numPr>
        <w:contextualSpacing w:val="0"/>
      </w:pPr>
      <w:r w:rsidRPr="00950720">
        <w:t>1</w:t>
      </w:r>
      <w:r w:rsidRPr="00950720">
        <w:rPr>
          <w:vertAlign w:val="superscript"/>
        </w:rPr>
        <w:t>st</w:t>
      </w:r>
      <w:r w:rsidRPr="00950720">
        <w:t xml:space="preserve"> reminder</w:t>
      </w:r>
      <w:r w:rsidR="00417741">
        <w:t xml:space="preserve"> – </w:t>
      </w:r>
      <w:r w:rsidRPr="00950720">
        <w:t>email</w:t>
      </w:r>
    </w:p>
    <w:p w:rsidRPr="00950720" w:rsidR="0071435B" w:rsidP="007A536F" w:rsidRDefault="0071435B" w14:paraId="14212A1E" w14:textId="712224BE">
      <w:pPr>
        <w:pStyle w:val="ListParagraph"/>
        <w:numPr>
          <w:ilvl w:val="0"/>
          <w:numId w:val="19"/>
        </w:numPr>
        <w:contextualSpacing w:val="0"/>
      </w:pPr>
      <w:r w:rsidRPr="00950720">
        <w:t>2</w:t>
      </w:r>
      <w:r w:rsidRPr="00950720">
        <w:rPr>
          <w:vertAlign w:val="superscript"/>
        </w:rPr>
        <w:t>nd</w:t>
      </w:r>
      <w:r w:rsidRPr="00950720">
        <w:t xml:space="preserve"> reminder </w:t>
      </w:r>
      <w:r w:rsidR="0089772B">
        <w:t>–</w:t>
      </w:r>
      <w:r w:rsidRPr="00950720" w:rsidR="001D5FA9">
        <w:t xml:space="preserve"> </w:t>
      </w:r>
      <w:r w:rsidR="0089772B">
        <w:t>letter</w:t>
      </w:r>
    </w:p>
    <w:p w:rsidRPr="00950720" w:rsidR="0071435B" w:rsidP="007A536F" w:rsidRDefault="00867D6E" w14:paraId="242A5A1F" w14:textId="57E28E36">
      <w:pPr>
        <w:pStyle w:val="ListParagraph"/>
        <w:numPr>
          <w:ilvl w:val="0"/>
          <w:numId w:val="19"/>
        </w:numPr>
        <w:contextualSpacing w:val="0"/>
      </w:pPr>
      <w:r>
        <w:lastRenderedPageBreak/>
        <w:t>3</w:t>
      </w:r>
      <w:r w:rsidRPr="00977B7F">
        <w:rPr>
          <w:vertAlign w:val="superscript"/>
        </w:rPr>
        <w:t>rd</w:t>
      </w:r>
      <w:r>
        <w:t xml:space="preserve"> </w:t>
      </w:r>
      <w:r w:rsidRPr="00950720" w:rsidR="0071435B">
        <w:t xml:space="preserve">reminder </w:t>
      </w:r>
      <w:r w:rsidR="00417741">
        <w:t>–</w:t>
      </w:r>
      <w:r w:rsidRPr="00950720" w:rsidR="001D5FA9">
        <w:t xml:space="preserve"> </w:t>
      </w:r>
      <w:r w:rsidRPr="00950720" w:rsidR="0071435B">
        <w:t>email</w:t>
      </w:r>
      <w:r w:rsidR="00417741">
        <w:t xml:space="preserve"> </w:t>
      </w:r>
    </w:p>
    <w:p w:rsidRPr="00950720" w:rsidR="0071435B" w:rsidP="007A536F" w:rsidRDefault="0071435B" w14:paraId="21DBBE21" w14:textId="42829C70">
      <w:pPr>
        <w:pStyle w:val="ListParagraph"/>
        <w:numPr>
          <w:ilvl w:val="0"/>
          <w:numId w:val="19"/>
        </w:numPr>
        <w:contextualSpacing w:val="0"/>
      </w:pPr>
      <w:r w:rsidRPr="00950720">
        <w:t>3</w:t>
      </w:r>
      <w:r w:rsidRPr="00950720">
        <w:rPr>
          <w:vertAlign w:val="superscript"/>
        </w:rPr>
        <w:t>rd</w:t>
      </w:r>
      <w:r w:rsidRPr="00950720">
        <w:t xml:space="preserve"> reminder </w:t>
      </w:r>
      <w:r w:rsidR="00417741">
        <w:t>–</w:t>
      </w:r>
      <w:r w:rsidRPr="00950720" w:rsidR="001D5FA9">
        <w:t xml:space="preserve"> </w:t>
      </w:r>
      <w:r w:rsidR="00867D6E">
        <w:t>letter</w:t>
      </w:r>
      <w:r w:rsidR="00417741">
        <w:t xml:space="preserve"> </w:t>
      </w:r>
    </w:p>
    <w:p w:rsidRPr="00950720" w:rsidR="0071435B" w:rsidP="007A536F" w:rsidRDefault="00867D6E" w14:paraId="4A39185A" w14:textId="76B60D42">
      <w:pPr>
        <w:pStyle w:val="ListParagraph"/>
        <w:numPr>
          <w:ilvl w:val="0"/>
          <w:numId w:val="19"/>
        </w:numPr>
        <w:contextualSpacing w:val="0"/>
      </w:pPr>
      <w:r>
        <w:t>4</w:t>
      </w:r>
      <w:r w:rsidRPr="00977B7F">
        <w:rPr>
          <w:vertAlign w:val="superscript"/>
        </w:rPr>
        <w:t>th</w:t>
      </w:r>
      <w:r>
        <w:t xml:space="preserve"> </w:t>
      </w:r>
      <w:r w:rsidRPr="00950720" w:rsidR="0071435B">
        <w:t xml:space="preserve">reminder </w:t>
      </w:r>
      <w:r w:rsidR="00417741">
        <w:t>–</w:t>
      </w:r>
      <w:r w:rsidRPr="00950720" w:rsidR="001D5FA9">
        <w:t xml:space="preserve"> </w:t>
      </w:r>
      <w:r>
        <w:t>letter</w:t>
      </w:r>
      <w:r w:rsidR="00417741">
        <w:t xml:space="preserve"> </w:t>
      </w:r>
    </w:p>
    <w:p w:rsidRPr="00950720" w:rsidR="0071435B" w:rsidP="007A536F" w:rsidRDefault="00867D6E" w14:paraId="115ACE70" w14:textId="5F0A91C1">
      <w:pPr>
        <w:pStyle w:val="ListParagraph"/>
        <w:numPr>
          <w:ilvl w:val="0"/>
          <w:numId w:val="19"/>
        </w:numPr>
        <w:contextualSpacing w:val="0"/>
      </w:pPr>
      <w:r>
        <w:t>5</w:t>
      </w:r>
      <w:r w:rsidRPr="00977B7F">
        <w:rPr>
          <w:vertAlign w:val="superscript"/>
        </w:rPr>
        <w:t>th</w:t>
      </w:r>
      <w:r>
        <w:t xml:space="preserve"> </w:t>
      </w:r>
      <w:r w:rsidRPr="00950720" w:rsidR="0071435B">
        <w:t xml:space="preserve">reminder </w:t>
      </w:r>
      <w:r w:rsidR="00417741">
        <w:t>–</w:t>
      </w:r>
      <w:r w:rsidRPr="00950720" w:rsidR="001D5FA9">
        <w:t xml:space="preserve"> </w:t>
      </w:r>
      <w:r>
        <w:t>postcard</w:t>
      </w:r>
      <w:r w:rsidR="00417741">
        <w:t xml:space="preserve"> </w:t>
      </w:r>
      <w:bookmarkStart w:name="_GoBack" w:id="5"/>
      <w:bookmarkEnd w:id="5"/>
    </w:p>
    <w:bookmarkEnd w:id="3"/>
    <w:p w:rsidRPr="00950720" w:rsidR="0015460D" w:rsidP="007A536F" w:rsidRDefault="0015460D" w14:paraId="3CBA4688" w14:textId="77777777">
      <w:pPr>
        <w:pStyle w:val="ListParagraph"/>
        <w:numPr>
          <w:ilvl w:val="0"/>
          <w:numId w:val="19"/>
        </w:numPr>
        <w:contextualSpacing w:val="0"/>
      </w:pPr>
      <w:r w:rsidRPr="00950720">
        <w:t>Data quality follow-up telephone script</w:t>
      </w:r>
    </w:p>
    <w:p w:rsidRPr="00977B7F" w:rsidR="003B187E" w:rsidP="007A536F" w:rsidRDefault="003B187E" w14:paraId="1A39207A" w14:textId="01412F43">
      <w:pPr>
        <w:pStyle w:val="ListParagraph"/>
        <w:numPr>
          <w:ilvl w:val="0"/>
          <w:numId w:val="19"/>
        </w:numPr>
        <w:contextualSpacing w:val="0"/>
        <w:rPr>
          <w:b/>
          <w:u w:val="single"/>
        </w:rPr>
      </w:pPr>
      <w:r w:rsidRPr="00950720">
        <w:t xml:space="preserve">Sample call script for telephone </w:t>
      </w:r>
      <w:r w:rsidR="0079729D">
        <w:t xml:space="preserve">prompting </w:t>
      </w:r>
      <w:r w:rsidRPr="00950720">
        <w:t>calls</w:t>
      </w:r>
    </w:p>
    <w:p w:rsidRPr="00950720" w:rsidR="00867D6E" w:rsidP="007A536F" w:rsidRDefault="00867D6E" w14:paraId="135D2B63" w14:textId="6BE4D11C">
      <w:pPr>
        <w:pStyle w:val="ListParagraph"/>
        <w:numPr>
          <w:ilvl w:val="0"/>
          <w:numId w:val="19"/>
        </w:numPr>
        <w:contextualSpacing w:val="0"/>
        <w:rPr>
          <w:b/>
          <w:u w:val="single"/>
        </w:rPr>
      </w:pPr>
      <w:r>
        <w:t>Sample call script for nonresponse telephone calls</w:t>
      </w:r>
    </w:p>
    <w:p w:rsidRPr="00950720" w:rsidR="0038287B" w:rsidP="007A536F" w:rsidRDefault="0038287B" w14:paraId="2229C8FF" w14:textId="6DC1F58D">
      <w:pPr>
        <w:pStyle w:val="ListParagraph"/>
        <w:numPr>
          <w:ilvl w:val="0"/>
          <w:numId w:val="19"/>
        </w:numPr>
        <w:contextualSpacing w:val="0"/>
      </w:pPr>
      <w:r w:rsidRPr="00950720">
        <w:t xml:space="preserve">End-of-Study letter </w:t>
      </w:r>
    </w:p>
    <w:p w:rsidRPr="00950720" w:rsidR="00F74153" w:rsidP="007A536F" w:rsidRDefault="0038287B" w14:paraId="7C8271F4" w14:textId="57C33DCC">
      <w:pPr>
        <w:pStyle w:val="ListParagraph"/>
        <w:numPr>
          <w:ilvl w:val="0"/>
          <w:numId w:val="19"/>
        </w:numPr>
        <w:contextualSpacing w:val="0"/>
      </w:pPr>
      <w:r w:rsidRPr="00950720">
        <w:t>End-of-Study email</w:t>
      </w:r>
    </w:p>
    <w:p w:rsidRPr="00950720" w:rsidR="00447024" w:rsidP="007A536F" w:rsidRDefault="00447024" w14:paraId="445E7503" w14:textId="04BAD9CE">
      <w:pPr>
        <w:pStyle w:val="ListParagraph"/>
        <w:numPr>
          <w:ilvl w:val="0"/>
          <w:numId w:val="19"/>
        </w:numPr>
        <w:contextualSpacing w:val="0"/>
      </w:pPr>
      <w:r w:rsidRPr="00950720">
        <w:t>Thank you letter</w:t>
      </w:r>
    </w:p>
    <w:p w:rsidRPr="00950720" w:rsidR="00830E89" w:rsidP="007A536F" w:rsidRDefault="00D5685E" w14:paraId="69C3BD04" w14:textId="1DF57E6D">
      <w:pPr>
        <w:pStyle w:val="ListParagraph"/>
        <w:numPr>
          <w:ilvl w:val="0"/>
          <w:numId w:val="19"/>
        </w:numPr>
        <w:contextualSpacing w:val="0"/>
      </w:pPr>
      <w:r w:rsidRPr="00950720">
        <w:t>Letter of Support</w:t>
      </w:r>
      <w:r w:rsidRPr="00950720" w:rsidR="00830E89">
        <w:t xml:space="preserve">: </w:t>
      </w:r>
      <w:r w:rsidRPr="00950720" w:rsidR="00C23734">
        <w:t>American Society of Crime Laboratory Directors</w:t>
      </w:r>
    </w:p>
    <w:p w:rsidR="00385B08" w:rsidP="007A536F" w:rsidRDefault="00385B08" w14:paraId="5A7778E0" w14:textId="3CBEC594">
      <w:pPr>
        <w:pStyle w:val="ListParagraph"/>
        <w:numPr>
          <w:ilvl w:val="0"/>
          <w:numId w:val="19"/>
        </w:numPr>
        <w:contextualSpacing w:val="0"/>
      </w:pPr>
      <w:r>
        <w:t>Data quality assessment of 2014 CPFFCL</w:t>
      </w:r>
    </w:p>
    <w:p w:rsidRPr="00950720" w:rsidR="00427159" w:rsidP="007A536F" w:rsidRDefault="00385B08" w14:paraId="3CE3A464" w14:textId="087F8F05">
      <w:pPr>
        <w:pStyle w:val="ListParagraph"/>
        <w:numPr>
          <w:ilvl w:val="0"/>
          <w:numId w:val="19"/>
        </w:numPr>
        <w:contextualSpacing w:val="0"/>
      </w:pPr>
      <w:r>
        <w:t>Cognitive testing report</w:t>
      </w:r>
      <w:r w:rsidRPr="00950720" w:rsidR="00830E89">
        <w:t xml:space="preserve"> </w:t>
      </w:r>
      <w:bookmarkEnd w:id="1"/>
      <w:bookmarkEnd w:id="2"/>
      <w:bookmarkEnd w:id="4"/>
    </w:p>
    <w:sectPr w:rsidRPr="00950720" w:rsidR="00427159" w:rsidSect="002A780B">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A1D4" w14:textId="77777777" w:rsidR="00C25E3F" w:rsidRDefault="00C25E3F" w:rsidP="00421095">
      <w:r>
        <w:separator/>
      </w:r>
    </w:p>
  </w:endnote>
  <w:endnote w:type="continuationSeparator" w:id="0">
    <w:p w14:paraId="02CD5F71" w14:textId="77777777" w:rsidR="00C25E3F" w:rsidRDefault="00C25E3F"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ook">
    <w:altName w:val="Baskerville Old Fac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FC84" w14:textId="51C137D2" w:rsidR="00CA35A2" w:rsidRDefault="00CA35A2">
    <w:pPr>
      <w:pStyle w:val="Footer"/>
      <w:jc w:val="center"/>
    </w:pPr>
    <w:r>
      <w:fldChar w:fldCharType="begin"/>
    </w:r>
    <w:r>
      <w:instrText xml:space="preserve"> PAGE   \* MERGEFORMAT </w:instrText>
    </w:r>
    <w:r>
      <w:fldChar w:fldCharType="separate"/>
    </w:r>
    <w:r w:rsidR="00C53092">
      <w:rPr>
        <w:noProof/>
      </w:rPr>
      <w:t>5</w:t>
    </w:r>
    <w:r>
      <w:rPr>
        <w:noProof/>
      </w:rPr>
      <w:fldChar w:fldCharType="end"/>
    </w:r>
  </w:p>
  <w:p w14:paraId="015F4254" w14:textId="77777777" w:rsidR="00CA35A2" w:rsidRDefault="00CA3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2AEFB" w14:textId="77777777" w:rsidR="00C25E3F" w:rsidRDefault="00C25E3F" w:rsidP="00421095">
      <w:r>
        <w:separator/>
      </w:r>
    </w:p>
  </w:footnote>
  <w:footnote w:type="continuationSeparator" w:id="0">
    <w:p w14:paraId="5A2B992F" w14:textId="77777777" w:rsidR="00C25E3F" w:rsidRDefault="00C25E3F" w:rsidP="00421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5" w15:restartNumberingAfterBreak="0">
    <w:nsid w:val="1F1220F5"/>
    <w:multiLevelType w:val="hybridMultilevel"/>
    <w:tmpl w:val="E7B4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12E68"/>
    <w:multiLevelType w:val="hybridMultilevel"/>
    <w:tmpl w:val="8208E9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23869"/>
    <w:multiLevelType w:val="hybridMultilevel"/>
    <w:tmpl w:val="A5D69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E6EC9"/>
    <w:multiLevelType w:val="hybridMultilevel"/>
    <w:tmpl w:val="BD76C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050B2"/>
    <w:multiLevelType w:val="hybridMultilevel"/>
    <w:tmpl w:val="E60E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DB255F"/>
    <w:multiLevelType w:val="hybridMultilevel"/>
    <w:tmpl w:val="4C7EF74E"/>
    <w:lvl w:ilvl="0" w:tplc="C168574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5B1F0B"/>
    <w:multiLevelType w:val="hybridMultilevel"/>
    <w:tmpl w:val="6490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F4B34"/>
    <w:multiLevelType w:val="hybridMultilevel"/>
    <w:tmpl w:val="BAD04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6"/>
  </w:num>
  <w:num w:numId="6">
    <w:abstractNumId w:val="3"/>
  </w:num>
  <w:num w:numId="7">
    <w:abstractNumId w:val="6"/>
  </w:num>
  <w:num w:numId="8">
    <w:abstractNumId w:val="17"/>
  </w:num>
  <w:num w:numId="9">
    <w:abstractNumId w:val="4"/>
  </w:num>
  <w:num w:numId="10">
    <w:abstractNumId w:val="25"/>
  </w:num>
  <w:num w:numId="11">
    <w:abstractNumId w:val="15"/>
  </w:num>
  <w:num w:numId="12">
    <w:abstractNumId w:val="0"/>
  </w:num>
  <w:num w:numId="13">
    <w:abstractNumId w:val="23"/>
  </w:num>
  <w:num w:numId="14">
    <w:abstractNumId w:val="16"/>
  </w:num>
  <w:num w:numId="15">
    <w:abstractNumId w:val="2"/>
  </w:num>
  <w:num w:numId="16">
    <w:abstractNumId w:val="13"/>
  </w:num>
  <w:num w:numId="17">
    <w:abstractNumId w:val="1"/>
  </w:num>
  <w:num w:numId="18">
    <w:abstractNumId w:val="20"/>
  </w:num>
  <w:num w:numId="19">
    <w:abstractNumId w:val="21"/>
  </w:num>
  <w:num w:numId="20">
    <w:abstractNumId w:val="14"/>
  </w:num>
  <w:num w:numId="21">
    <w:abstractNumId w:val="8"/>
  </w:num>
  <w:num w:numId="22">
    <w:abstractNumId w:val="10"/>
  </w:num>
  <w:num w:numId="23">
    <w:abstractNumId w:val="19"/>
  </w:num>
  <w:num w:numId="24">
    <w:abstractNumId w:val="18"/>
  </w:num>
  <w:num w:numId="25">
    <w:abstractNumId w:val="9"/>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5"/>
    <w:rsid w:val="00023294"/>
    <w:rsid w:val="0003333C"/>
    <w:rsid w:val="00033F8F"/>
    <w:rsid w:val="00050157"/>
    <w:rsid w:val="00054646"/>
    <w:rsid w:val="0007040A"/>
    <w:rsid w:val="00072948"/>
    <w:rsid w:val="00085720"/>
    <w:rsid w:val="00085D5C"/>
    <w:rsid w:val="000926FE"/>
    <w:rsid w:val="000953EF"/>
    <w:rsid w:val="000A4419"/>
    <w:rsid w:val="000A650C"/>
    <w:rsid w:val="000B35D4"/>
    <w:rsid w:val="000C0276"/>
    <w:rsid w:val="000D35CC"/>
    <w:rsid w:val="000D6E27"/>
    <w:rsid w:val="000E0900"/>
    <w:rsid w:val="000E758D"/>
    <w:rsid w:val="000E776D"/>
    <w:rsid w:val="000E7DFF"/>
    <w:rsid w:val="00102480"/>
    <w:rsid w:val="00141E43"/>
    <w:rsid w:val="0014205B"/>
    <w:rsid w:val="00142812"/>
    <w:rsid w:val="00147EF3"/>
    <w:rsid w:val="0015008F"/>
    <w:rsid w:val="00150A68"/>
    <w:rsid w:val="0015460D"/>
    <w:rsid w:val="00156D8C"/>
    <w:rsid w:val="001621E2"/>
    <w:rsid w:val="0016367F"/>
    <w:rsid w:val="001756B1"/>
    <w:rsid w:val="001772F0"/>
    <w:rsid w:val="00181DFB"/>
    <w:rsid w:val="00184F74"/>
    <w:rsid w:val="00195506"/>
    <w:rsid w:val="001B2FDB"/>
    <w:rsid w:val="001C1809"/>
    <w:rsid w:val="001D0069"/>
    <w:rsid w:val="001D0B80"/>
    <w:rsid w:val="001D2403"/>
    <w:rsid w:val="001D5736"/>
    <w:rsid w:val="001D5FA9"/>
    <w:rsid w:val="001D7A84"/>
    <w:rsid w:val="0021346F"/>
    <w:rsid w:val="00216E40"/>
    <w:rsid w:val="00233985"/>
    <w:rsid w:val="00235097"/>
    <w:rsid w:val="002529F3"/>
    <w:rsid w:val="0025383E"/>
    <w:rsid w:val="002571A7"/>
    <w:rsid w:val="0028322C"/>
    <w:rsid w:val="002934A5"/>
    <w:rsid w:val="0029378F"/>
    <w:rsid w:val="0029771E"/>
    <w:rsid w:val="002A780B"/>
    <w:rsid w:val="002B40A1"/>
    <w:rsid w:val="002B50D1"/>
    <w:rsid w:val="002B7B74"/>
    <w:rsid w:val="002C1195"/>
    <w:rsid w:val="002C14AB"/>
    <w:rsid w:val="002D325C"/>
    <w:rsid w:val="002E5530"/>
    <w:rsid w:val="002F54E1"/>
    <w:rsid w:val="00303236"/>
    <w:rsid w:val="003143E4"/>
    <w:rsid w:val="0031564D"/>
    <w:rsid w:val="003176AF"/>
    <w:rsid w:val="0033618A"/>
    <w:rsid w:val="003436E1"/>
    <w:rsid w:val="00372124"/>
    <w:rsid w:val="00372210"/>
    <w:rsid w:val="003737A5"/>
    <w:rsid w:val="003764E3"/>
    <w:rsid w:val="0038287B"/>
    <w:rsid w:val="00385B08"/>
    <w:rsid w:val="00396959"/>
    <w:rsid w:val="003B187E"/>
    <w:rsid w:val="003B3F4F"/>
    <w:rsid w:val="003C176B"/>
    <w:rsid w:val="003C23F7"/>
    <w:rsid w:val="003D761B"/>
    <w:rsid w:val="004040A2"/>
    <w:rsid w:val="00417741"/>
    <w:rsid w:val="00420F1F"/>
    <w:rsid w:val="00421095"/>
    <w:rsid w:val="00427159"/>
    <w:rsid w:val="00447024"/>
    <w:rsid w:val="00451D4F"/>
    <w:rsid w:val="00470EDF"/>
    <w:rsid w:val="00486047"/>
    <w:rsid w:val="004867CD"/>
    <w:rsid w:val="004A3F67"/>
    <w:rsid w:val="004A43EC"/>
    <w:rsid w:val="004A60CF"/>
    <w:rsid w:val="004B36A6"/>
    <w:rsid w:val="004C04D7"/>
    <w:rsid w:val="004C3B1A"/>
    <w:rsid w:val="004C7B82"/>
    <w:rsid w:val="004D3163"/>
    <w:rsid w:val="004E7722"/>
    <w:rsid w:val="00520BFE"/>
    <w:rsid w:val="00522972"/>
    <w:rsid w:val="00525D9F"/>
    <w:rsid w:val="00536F56"/>
    <w:rsid w:val="00561732"/>
    <w:rsid w:val="00563991"/>
    <w:rsid w:val="0057079B"/>
    <w:rsid w:val="00580D77"/>
    <w:rsid w:val="00584ED2"/>
    <w:rsid w:val="00586018"/>
    <w:rsid w:val="00597314"/>
    <w:rsid w:val="00597E58"/>
    <w:rsid w:val="005A2FFF"/>
    <w:rsid w:val="005A736A"/>
    <w:rsid w:val="005D6CDA"/>
    <w:rsid w:val="005E4BE4"/>
    <w:rsid w:val="006019B8"/>
    <w:rsid w:val="00605F88"/>
    <w:rsid w:val="00610E68"/>
    <w:rsid w:val="00624AB4"/>
    <w:rsid w:val="00633D2E"/>
    <w:rsid w:val="00634474"/>
    <w:rsid w:val="00634B4A"/>
    <w:rsid w:val="00644982"/>
    <w:rsid w:val="00645FE4"/>
    <w:rsid w:val="00646C6F"/>
    <w:rsid w:val="00653917"/>
    <w:rsid w:val="00653DFC"/>
    <w:rsid w:val="00654F27"/>
    <w:rsid w:val="0067742B"/>
    <w:rsid w:val="00685121"/>
    <w:rsid w:val="00693D82"/>
    <w:rsid w:val="006C36B5"/>
    <w:rsid w:val="006C5BA1"/>
    <w:rsid w:val="006C6576"/>
    <w:rsid w:val="006E2F09"/>
    <w:rsid w:val="006E3648"/>
    <w:rsid w:val="006E4EAA"/>
    <w:rsid w:val="006F4BDC"/>
    <w:rsid w:val="006F5109"/>
    <w:rsid w:val="006F5AE4"/>
    <w:rsid w:val="0071435B"/>
    <w:rsid w:val="00723A04"/>
    <w:rsid w:val="00730FD5"/>
    <w:rsid w:val="00732182"/>
    <w:rsid w:val="007363C1"/>
    <w:rsid w:val="00740EF8"/>
    <w:rsid w:val="00747B75"/>
    <w:rsid w:val="007518E2"/>
    <w:rsid w:val="007525F0"/>
    <w:rsid w:val="00787BCA"/>
    <w:rsid w:val="00792E7B"/>
    <w:rsid w:val="00795B4C"/>
    <w:rsid w:val="0079729D"/>
    <w:rsid w:val="00797C04"/>
    <w:rsid w:val="007A50F4"/>
    <w:rsid w:val="007A536F"/>
    <w:rsid w:val="007B49A0"/>
    <w:rsid w:val="007B71F8"/>
    <w:rsid w:val="007D0F2F"/>
    <w:rsid w:val="007D2796"/>
    <w:rsid w:val="007E75FC"/>
    <w:rsid w:val="00825AEE"/>
    <w:rsid w:val="00825C2D"/>
    <w:rsid w:val="00830E89"/>
    <w:rsid w:val="008378EB"/>
    <w:rsid w:val="00851149"/>
    <w:rsid w:val="008633F7"/>
    <w:rsid w:val="00866401"/>
    <w:rsid w:val="00867D6E"/>
    <w:rsid w:val="00873656"/>
    <w:rsid w:val="00874996"/>
    <w:rsid w:val="0087770F"/>
    <w:rsid w:val="00880043"/>
    <w:rsid w:val="00881132"/>
    <w:rsid w:val="00894A6E"/>
    <w:rsid w:val="0089772B"/>
    <w:rsid w:val="008A50EA"/>
    <w:rsid w:val="008B4351"/>
    <w:rsid w:val="008C5B49"/>
    <w:rsid w:val="008D0673"/>
    <w:rsid w:val="008D4883"/>
    <w:rsid w:val="008D7A43"/>
    <w:rsid w:val="008E0647"/>
    <w:rsid w:val="008E488A"/>
    <w:rsid w:val="008F0D7E"/>
    <w:rsid w:val="008F20F3"/>
    <w:rsid w:val="008F30CB"/>
    <w:rsid w:val="008F607E"/>
    <w:rsid w:val="009015FB"/>
    <w:rsid w:val="00901BDE"/>
    <w:rsid w:val="00902134"/>
    <w:rsid w:val="00902FB6"/>
    <w:rsid w:val="009065C7"/>
    <w:rsid w:val="00907513"/>
    <w:rsid w:val="00912246"/>
    <w:rsid w:val="00924F9A"/>
    <w:rsid w:val="00950720"/>
    <w:rsid w:val="009561F8"/>
    <w:rsid w:val="00960A6D"/>
    <w:rsid w:val="00961A19"/>
    <w:rsid w:val="00962657"/>
    <w:rsid w:val="00965177"/>
    <w:rsid w:val="00965D80"/>
    <w:rsid w:val="00967556"/>
    <w:rsid w:val="009732F7"/>
    <w:rsid w:val="00977B7F"/>
    <w:rsid w:val="009814ED"/>
    <w:rsid w:val="00986085"/>
    <w:rsid w:val="009A4732"/>
    <w:rsid w:val="009C7FED"/>
    <w:rsid w:val="009D4CDB"/>
    <w:rsid w:val="009F1CA6"/>
    <w:rsid w:val="00A03BFC"/>
    <w:rsid w:val="00A04ED7"/>
    <w:rsid w:val="00A10D6D"/>
    <w:rsid w:val="00A251E6"/>
    <w:rsid w:val="00A409D5"/>
    <w:rsid w:val="00A631F2"/>
    <w:rsid w:val="00A64312"/>
    <w:rsid w:val="00A877BF"/>
    <w:rsid w:val="00AA4A60"/>
    <w:rsid w:val="00AB7673"/>
    <w:rsid w:val="00AF7385"/>
    <w:rsid w:val="00B30A3C"/>
    <w:rsid w:val="00B42DC5"/>
    <w:rsid w:val="00B4474B"/>
    <w:rsid w:val="00B46342"/>
    <w:rsid w:val="00B66151"/>
    <w:rsid w:val="00B6669C"/>
    <w:rsid w:val="00B824FD"/>
    <w:rsid w:val="00B948CD"/>
    <w:rsid w:val="00BA3119"/>
    <w:rsid w:val="00BA38BB"/>
    <w:rsid w:val="00BA760A"/>
    <w:rsid w:val="00BB1B5F"/>
    <w:rsid w:val="00BC09EC"/>
    <w:rsid w:val="00BC41F3"/>
    <w:rsid w:val="00BD114C"/>
    <w:rsid w:val="00BE0863"/>
    <w:rsid w:val="00BF3C9C"/>
    <w:rsid w:val="00C0192C"/>
    <w:rsid w:val="00C03D85"/>
    <w:rsid w:val="00C12383"/>
    <w:rsid w:val="00C15403"/>
    <w:rsid w:val="00C23734"/>
    <w:rsid w:val="00C25E3F"/>
    <w:rsid w:val="00C406FB"/>
    <w:rsid w:val="00C40F27"/>
    <w:rsid w:val="00C45267"/>
    <w:rsid w:val="00C45485"/>
    <w:rsid w:val="00C46F7B"/>
    <w:rsid w:val="00C53092"/>
    <w:rsid w:val="00C629F7"/>
    <w:rsid w:val="00C75265"/>
    <w:rsid w:val="00C7554E"/>
    <w:rsid w:val="00C77279"/>
    <w:rsid w:val="00CA35A2"/>
    <w:rsid w:val="00CC783D"/>
    <w:rsid w:val="00CC7CB4"/>
    <w:rsid w:val="00CD12AC"/>
    <w:rsid w:val="00CD2DCA"/>
    <w:rsid w:val="00CD2FA8"/>
    <w:rsid w:val="00CD4F69"/>
    <w:rsid w:val="00CE72C2"/>
    <w:rsid w:val="00D07046"/>
    <w:rsid w:val="00D43F9C"/>
    <w:rsid w:val="00D45F93"/>
    <w:rsid w:val="00D5685E"/>
    <w:rsid w:val="00D91DDC"/>
    <w:rsid w:val="00D9243D"/>
    <w:rsid w:val="00DA6ABB"/>
    <w:rsid w:val="00DA7A77"/>
    <w:rsid w:val="00DC2E20"/>
    <w:rsid w:val="00DC499A"/>
    <w:rsid w:val="00DD16EA"/>
    <w:rsid w:val="00DE2AA7"/>
    <w:rsid w:val="00DE4BBB"/>
    <w:rsid w:val="00E0154D"/>
    <w:rsid w:val="00E253B2"/>
    <w:rsid w:val="00E505CC"/>
    <w:rsid w:val="00E5337D"/>
    <w:rsid w:val="00E555FB"/>
    <w:rsid w:val="00E60C72"/>
    <w:rsid w:val="00E636FE"/>
    <w:rsid w:val="00E63DD9"/>
    <w:rsid w:val="00E703D2"/>
    <w:rsid w:val="00E714C5"/>
    <w:rsid w:val="00E73CDF"/>
    <w:rsid w:val="00E75C22"/>
    <w:rsid w:val="00E8034C"/>
    <w:rsid w:val="00E87E54"/>
    <w:rsid w:val="00E94DD9"/>
    <w:rsid w:val="00EA0A38"/>
    <w:rsid w:val="00EA179E"/>
    <w:rsid w:val="00EB0028"/>
    <w:rsid w:val="00EC7CC2"/>
    <w:rsid w:val="00ED7214"/>
    <w:rsid w:val="00EE03F2"/>
    <w:rsid w:val="00F1799B"/>
    <w:rsid w:val="00F31385"/>
    <w:rsid w:val="00F351BB"/>
    <w:rsid w:val="00F45304"/>
    <w:rsid w:val="00F514BF"/>
    <w:rsid w:val="00F572D8"/>
    <w:rsid w:val="00F6199F"/>
    <w:rsid w:val="00F71507"/>
    <w:rsid w:val="00F74153"/>
    <w:rsid w:val="00F744CB"/>
    <w:rsid w:val="00F86F8D"/>
    <w:rsid w:val="00FA096B"/>
    <w:rsid w:val="00FC3850"/>
    <w:rsid w:val="00FC4251"/>
    <w:rsid w:val="00FF0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ADBF"/>
  <w15:docId w15:val="{CB6FF5A4-69EE-4E3F-83BB-C5C1AB97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0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semiHidden/>
    <w:rsid w:val="00421095"/>
    <w:rPr>
      <w:sz w:val="20"/>
      <w:szCs w:val="20"/>
    </w:rPr>
  </w:style>
  <w:style w:type="character" w:customStyle="1" w:styleId="FootnoteTextChar">
    <w:name w:val="Footnote Text Char"/>
    <w:basedOn w:val="DefaultParagraphFont"/>
    <w:link w:val="FootnoteText"/>
    <w:uiPriority w:val="99"/>
    <w:semiHidden/>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semiHidden/>
    <w:rsid w:val="00421095"/>
    <w:rPr>
      <w:rFonts w:cs="Times New Roman"/>
      <w:sz w:val="16"/>
    </w:rPr>
  </w:style>
  <w:style w:type="paragraph" w:styleId="CommentText">
    <w:name w:val="annotation text"/>
    <w:basedOn w:val="Normal"/>
    <w:link w:val="CommentTextChar"/>
    <w:uiPriority w:val="99"/>
    <w:semiHidden/>
    <w:rsid w:val="00421095"/>
    <w:rPr>
      <w:sz w:val="20"/>
      <w:szCs w:val="20"/>
    </w:rPr>
  </w:style>
  <w:style w:type="character" w:customStyle="1" w:styleId="CommentTextChar">
    <w:name w:val="Comment Text Char"/>
    <w:basedOn w:val="DefaultParagraphFont"/>
    <w:link w:val="CommentText"/>
    <w:uiPriority w:val="99"/>
    <w:semiHidden/>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character" w:customStyle="1" w:styleId="UnresolvedMention1">
    <w:name w:val="Unresolved Mention1"/>
    <w:basedOn w:val="DefaultParagraphFont"/>
    <w:uiPriority w:val="99"/>
    <w:semiHidden/>
    <w:unhideWhenUsed/>
    <w:rsid w:val="003436E1"/>
    <w:rPr>
      <w:color w:val="808080"/>
      <w:shd w:val="clear" w:color="auto" w:fill="E6E6E6"/>
    </w:rPr>
  </w:style>
  <w:style w:type="character" w:styleId="UnresolvedMention">
    <w:name w:val="Unresolved Mention"/>
    <w:basedOn w:val="DefaultParagraphFont"/>
    <w:uiPriority w:val="99"/>
    <w:semiHidden/>
    <w:unhideWhenUsed/>
    <w:rsid w:val="001772F0"/>
    <w:rPr>
      <w:color w:val="605E5C"/>
      <w:shd w:val="clear" w:color="auto" w:fill="E1DFDD"/>
    </w:rPr>
  </w:style>
  <w:style w:type="table" w:styleId="GridTable1Light">
    <w:name w:val="Grid Table 1 Light"/>
    <w:basedOn w:val="TableNormal"/>
    <w:uiPriority w:val="46"/>
    <w:rsid w:val="00FF00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6382">
      <w:bodyDiv w:val="1"/>
      <w:marLeft w:val="0"/>
      <w:marRight w:val="0"/>
      <w:marTop w:val="0"/>
      <w:marBottom w:val="0"/>
      <w:divBdr>
        <w:top w:val="none" w:sz="0" w:space="0" w:color="auto"/>
        <w:left w:val="none" w:sz="0" w:space="0" w:color="auto"/>
        <w:bottom w:val="none" w:sz="0" w:space="0" w:color="auto"/>
        <w:right w:val="none" w:sz="0" w:space="0" w:color="auto"/>
      </w:divBdr>
    </w:div>
    <w:div w:id="577792749">
      <w:bodyDiv w:val="1"/>
      <w:marLeft w:val="0"/>
      <w:marRight w:val="0"/>
      <w:marTop w:val="0"/>
      <w:marBottom w:val="0"/>
      <w:divBdr>
        <w:top w:val="none" w:sz="0" w:space="0" w:color="auto"/>
        <w:left w:val="none" w:sz="0" w:space="0" w:color="auto"/>
        <w:bottom w:val="none" w:sz="0" w:space="0" w:color="auto"/>
        <w:right w:val="none" w:sz="0" w:space="0" w:color="auto"/>
      </w:divBdr>
    </w:div>
    <w:div w:id="668211798">
      <w:bodyDiv w:val="1"/>
      <w:marLeft w:val="0"/>
      <w:marRight w:val="0"/>
      <w:marTop w:val="0"/>
      <w:marBottom w:val="0"/>
      <w:divBdr>
        <w:top w:val="none" w:sz="0" w:space="0" w:color="auto"/>
        <w:left w:val="none" w:sz="0" w:space="0" w:color="auto"/>
        <w:bottom w:val="none" w:sz="0" w:space="0" w:color="auto"/>
        <w:right w:val="none" w:sz="0" w:space="0" w:color="auto"/>
      </w:divBdr>
    </w:div>
    <w:div w:id="853306297">
      <w:bodyDiv w:val="1"/>
      <w:marLeft w:val="0"/>
      <w:marRight w:val="0"/>
      <w:marTop w:val="0"/>
      <w:marBottom w:val="0"/>
      <w:divBdr>
        <w:top w:val="none" w:sz="0" w:space="0" w:color="auto"/>
        <w:left w:val="none" w:sz="0" w:space="0" w:color="auto"/>
        <w:bottom w:val="none" w:sz="0" w:space="0" w:color="auto"/>
        <w:right w:val="none" w:sz="0" w:space="0" w:color="auto"/>
      </w:divBdr>
    </w:div>
    <w:div w:id="998852396">
      <w:bodyDiv w:val="1"/>
      <w:marLeft w:val="0"/>
      <w:marRight w:val="0"/>
      <w:marTop w:val="0"/>
      <w:marBottom w:val="0"/>
      <w:divBdr>
        <w:top w:val="none" w:sz="0" w:space="0" w:color="auto"/>
        <w:left w:val="none" w:sz="0" w:space="0" w:color="auto"/>
        <w:bottom w:val="none" w:sz="0" w:space="0" w:color="auto"/>
        <w:right w:val="none" w:sz="0" w:space="0" w:color="auto"/>
      </w:divBdr>
    </w:div>
    <w:div w:id="1338773117">
      <w:bodyDiv w:val="1"/>
      <w:marLeft w:val="0"/>
      <w:marRight w:val="0"/>
      <w:marTop w:val="0"/>
      <w:marBottom w:val="0"/>
      <w:divBdr>
        <w:top w:val="none" w:sz="0" w:space="0" w:color="auto"/>
        <w:left w:val="none" w:sz="0" w:space="0" w:color="auto"/>
        <w:bottom w:val="none" w:sz="0" w:space="0" w:color="auto"/>
        <w:right w:val="none" w:sz="0" w:space="0" w:color="auto"/>
      </w:divBdr>
    </w:div>
    <w:div w:id="1358776351">
      <w:bodyDiv w:val="1"/>
      <w:marLeft w:val="0"/>
      <w:marRight w:val="0"/>
      <w:marTop w:val="0"/>
      <w:marBottom w:val="0"/>
      <w:divBdr>
        <w:top w:val="none" w:sz="0" w:space="0" w:color="auto"/>
        <w:left w:val="none" w:sz="0" w:space="0" w:color="auto"/>
        <w:bottom w:val="none" w:sz="0" w:space="0" w:color="auto"/>
        <w:right w:val="none" w:sz="0" w:space="0" w:color="auto"/>
      </w:divBdr>
    </w:div>
    <w:div w:id="1589263621">
      <w:bodyDiv w:val="1"/>
      <w:marLeft w:val="0"/>
      <w:marRight w:val="0"/>
      <w:marTop w:val="0"/>
      <w:marBottom w:val="0"/>
      <w:divBdr>
        <w:top w:val="none" w:sz="0" w:space="0" w:color="auto"/>
        <w:left w:val="none" w:sz="0" w:space="0" w:color="auto"/>
        <w:bottom w:val="none" w:sz="0" w:space="0" w:color="auto"/>
        <w:right w:val="none" w:sz="0" w:space="0" w:color="auto"/>
      </w:divBdr>
    </w:div>
    <w:div w:id="1790128838">
      <w:bodyDiv w:val="1"/>
      <w:marLeft w:val="0"/>
      <w:marRight w:val="0"/>
      <w:marTop w:val="0"/>
      <w:marBottom w:val="0"/>
      <w:divBdr>
        <w:top w:val="none" w:sz="0" w:space="0" w:color="auto"/>
        <w:left w:val="none" w:sz="0" w:space="0" w:color="auto"/>
        <w:bottom w:val="none" w:sz="0" w:space="0" w:color="auto"/>
        <w:right w:val="none" w:sz="0" w:space="0" w:color="auto"/>
      </w:divBdr>
    </w:div>
    <w:div w:id="19037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js.gov/content/pub/pdf/pffclrs14.pdf" TargetMode="External"/><Relationship Id="rId13" Type="http://schemas.openxmlformats.org/officeDocument/2006/relationships/hyperlink" Target="mailto:jerimiller@rt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ley@rt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M.Scott@usdoj.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nor.brooks@usdoj.gov" TargetMode="External"/><Relationship Id="rId4" Type="http://schemas.openxmlformats.org/officeDocument/2006/relationships/settings" Target="settings.xml"/><Relationship Id="rId9" Type="http://schemas.openxmlformats.org/officeDocument/2006/relationships/hyperlink" Target="https://www.bjs.gov/content/pub/pdf/pffclqap1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30303-6919-4D70-BB76-B527821A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3653</Words>
  <Characters>20024</Characters>
  <Application>Microsoft Office Word</Application>
  <DocSecurity>0</DocSecurity>
  <Lines>1540</Lines>
  <Paragraphs>657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adamsd</dc:creator>
  <cp:lastModifiedBy>Brooks, Connor (OJP)</cp:lastModifiedBy>
  <cp:revision>10</cp:revision>
  <cp:lastPrinted>2013-04-10T22:17:00Z</cp:lastPrinted>
  <dcterms:created xsi:type="dcterms:W3CDTF">2021-01-28T21:39:00Z</dcterms:created>
  <dcterms:modified xsi:type="dcterms:W3CDTF">2021-03-23T12:23:00Z</dcterms:modified>
</cp:coreProperties>
</file>