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BAC" w:rsidRDefault="0053555D" w14:paraId="37250838" w14:textId="77777777">
      <w:pPr>
        <w:pStyle w:val="BodyText"/>
        <w:spacing w:before="74"/>
        <w:ind w:left="1602" w:right="1603"/>
        <w:jc w:val="center"/>
      </w:pPr>
      <w:r>
        <w:t>Department of Justice</w:t>
      </w:r>
    </w:p>
    <w:p w:rsidRPr="007554E6" w:rsidR="00DD7BAC" w:rsidP="007554E6" w:rsidRDefault="0053555D" w14:paraId="22B92F67" w14:textId="77777777">
      <w:pPr>
        <w:pStyle w:val="BodyText"/>
        <w:ind w:left="1602" w:right="1603"/>
        <w:jc w:val="center"/>
      </w:pPr>
      <w:r>
        <w:t>Bureau of Alcohol, Tobacco, Firearms and Explosives Information Collection Request</w:t>
      </w:r>
    </w:p>
    <w:p w:rsidR="007554E6" w:rsidRDefault="0053555D" w14:paraId="355C3AD7" w14:textId="77777777">
      <w:pPr>
        <w:pStyle w:val="BodyText"/>
        <w:ind w:left="1603" w:right="1603"/>
        <w:jc w:val="center"/>
      </w:pPr>
      <w:r>
        <w:t xml:space="preserve">OMB 1140-0068 </w:t>
      </w:r>
    </w:p>
    <w:p w:rsidR="00DD7BAC" w:rsidRDefault="0053555D" w14:paraId="2E4A1B54" w14:textId="692A66BD">
      <w:pPr>
        <w:pStyle w:val="BodyText"/>
        <w:ind w:left="1603" w:right="1603"/>
        <w:jc w:val="center"/>
      </w:pPr>
      <w:r>
        <w:t>Polic</w:t>
      </w:r>
      <w:r w:rsidR="007554E6">
        <w:t>e Check Inquiry - ATF F</w:t>
      </w:r>
      <w:r w:rsidR="00306DAC">
        <w:t>orm</w:t>
      </w:r>
      <w:r w:rsidR="007554E6">
        <w:t xml:space="preserve"> 8620.42</w:t>
      </w:r>
    </w:p>
    <w:p w:rsidR="00DD7BAC" w:rsidRDefault="00DD7BAC" w14:paraId="6C073B75" w14:textId="77777777">
      <w:pPr>
        <w:pStyle w:val="BodyText"/>
        <w:rPr>
          <w:sz w:val="26"/>
        </w:rPr>
      </w:pPr>
    </w:p>
    <w:p w:rsidR="00DD7BAC" w:rsidRDefault="00DD7BAC" w14:paraId="6C80DE74" w14:textId="77777777">
      <w:pPr>
        <w:pStyle w:val="BodyText"/>
        <w:spacing w:before="5"/>
        <w:rPr>
          <w:sz w:val="22"/>
        </w:rPr>
      </w:pPr>
    </w:p>
    <w:p w:rsidR="00DD7BAC" w:rsidRDefault="0053555D" w14:paraId="26E2F829" w14:textId="77777777">
      <w:pPr>
        <w:pStyle w:val="Heading1"/>
        <w:numPr>
          <w:ilvl w:val="0"/>
          <w:numId w:val="3"/>
        </w:numPr>
        <w:tabs>
          <w:tab w:val="left" w:pos="819"/>
          <w:tab w:val="left" w:pos="820"/>
        </w:tabs>
      </w:pPr>
      <w:r>
        <w:t>JUSTIFICATION</w:t>
      </w:r>
    </w:p>
    <w:p w:rsidR="00DD7BAC" w:rsidRDefault="00DD7BAC" w14:paraId="6C5705A6" w14:textId="77777777">
      <w:pPr>
        <w:pStyle w:val="BodyText"/>
        <w:spacing w:before="7"/>
        <w:rPr>
          <w:b/>
          <w:sz w:val="23"/>
        </w:rPr>
      </w:pPr>
    </w:p>
    <w:p w:rsidR="00DD7BAC" w:rsidRDefault="0053555D" w14:paraId="61809974" w14:textId="77777777">
      <w:pPr>
        <w:pStyle w:val="ListParagraph"/>
        <w:numPr>
          <w:ilvl w:val="1"/>
          <w:numId w:val="3"/>
        </w:numPr>
        <w:tabs>
          <w:tab w:val="left" w:pos="1539"/>
          <w:tab w:val="left" w:pos="1540"/>
        </w:tabs>
        <w:rPr>
          <w:sz w:val="24"/>
        </w:rPr>
      </w:pPr>
      <w:r>
        <w:rPr>
          <w:sz w:val="24"/>
          <w:u w:val="single"/>
        </w:rPr>
        <w:t>Necessity of Information</w:t>
      </w:r>
      <w:r>
        <w:rPr>
          <w:spacing w:val="-3"/>
          <w:sz w:val="24"/>
          <w:u w:val="single"/>
        </w:rPr>
        <w:t xml:space="preserve"> </w:t>
      </w:r>
      <w:r>
        <w:rPr>
          <w:sz w:val="24"/>
          <w:u w:val="single"/>
        </w:rPr>
        <w:t>Collection</w:t>
      </w:r>
    </w:p>
    <w:p w:rsidR="00DD7BAC" w:rsidRDefault="00DD7BAC" w14:paraId="1D8BE390" w14:textId="77777777">
      <w:pPr>
        <w:pStyle w:val="BodyText"/>
      </w:pPr>
    </w:p>
    <w:p w:rsidR="007554E6" w:rsidP="007554E6" w:rsidRDefault="0053555D" w14:paraId="1AA5DEC9" w14:textId="17ABB94A">
      <w:pPr>
        <w:pStyle w:val="BodyText"/>
        <w:ind w:left="820" w:right="104"/>
      </w:pPr>
      <w:r>
        <w:t>Pursuant to a Memorandum of Understanding and Agreement</w:t>
      </w:r>
      <w:r w:rsidR="00676C79">
        <w:t xml:space="preserve"> (MOU)</w:t>
      </w:r>
      <w:r>
        <w:t xml:space="preserve"> between the Office of Personnel Management (OPM) and the Bureau of Alcohol, Tobacco, Firearms and Explosives (ATF), ATF is authorized to conduct security and suitability background investigations on applicants for, or appointees of</w:t>
      </w:r>
      <w:r w:rsidR="00676C79">
        <w:t>,</w:t>
      </w:r>
      <w:r>
        <w:t xml:space="preserve"> ATF</w:t>
      </w:r>
      <w:r w:rsidR="0087000B">
        <w:t xml:space="preserve"> positions</w:t>
      </w:r>
      <w:r>
        <w:t xml:space="preserve">. </w:t>
      </w:r>
      <w:r w:rsidR="007554E6">
        <w:t>Also,</w:t>
      </w:r>
      <w:r>
        <w:t xml:space="preserve"> pursuant to Executive Orders 10450 and 13467, ATF has the authority to conduct suitability background investigations on contractors an</w:t>
      </w:r>
      <w:r w:rsidR="007554E6">
        <w:t xml:space="preserve">d other non-ATF personnel who </w:t>
      </w:r>
      <w:r>
        <w:t>need to access ATF information, information technology</w:t>
      </w:r>
      <w:r w:rsidR="00BE2CF0">
        <w:t xml:space="preserve"> (IT)</w:t>
      </w:r>
      <w:r>
        <w:t xml:space="preserve"> systems, and/or</w:t>
      </w:r>
      <w:r>
        <w:rPr>
          <w:spacing w:val="-13"/>
        </w:rPr>
        <w:t xml:space="preserve"> </w:t>
      </w:r>
      <w:r>
        <w:t>facilities.</w:t>
      </w:r>
      <w:r w:rsidR="007554E6">
        <w:t xml:space="preserve"> ATF contracts multiple </w:t>
      </w:r>
      <w:r>
        <w:t>services to private industry</w:t>
      </w:r>
      <w:r w:rsidR="007554E6">
        <w:t xml:space="preserve">, </w:t>
      </w:r>
      <w:r w:rsidR="00A41AF9">
        <w:t xml:space="preserve">which </w:t>
      </w:r>
      <w:r w:rsidR="007554E6">
        <w:t xml:space="preserve">include, </w:t>
      </w:r>
      <w:r>
        <w:t xml:space="preserve">but are not limited to, janitorial and cleaning, maintenance and repair, professional and legal, </w:t>
      </w:r>
      <w:r w:rsidR="00BE2CF0">
        <w:t>IT</w:t>
      </w:r>
      <w:r>
        <w:t xml:space="preserve">, laboratory, and construction services. Additionally, ATF </w:t>
      </w:r>
      <w:r w:rsidR="00A41AF9">
        <w:t>hires</w:t>
      </w:r>
      <w:r>
        <w:t xml:space="preserve"> consultants to provide advice in their </w:t>
      </w:r>
      <w:r w:rsidR="00367684">
        <w:t>field</w:t>
      </w:r>
      <w:r>
        <w:t xml:space="preserve"> of expertise. </w:t>
      </w:r>
    </w:p>
    <w:p w:rsidR="007554E6" w:rsidP="007554E6" w:rsidRDefault="007554E6" w14:paraId="686085D5" w14:textId="77777777">
      <w:pPr>
        <w:pStyle w:val="BodyText"/>
        <w:ind w:left="820" w:right="104"/>
      </w:pPr>
    </w:p>
    <w:p w:rsidR="00DD7BAC" w:rsidP="007554E6" w:rsidRDefault="0053555D" w14:paraId="59FB1ACA" w14:textId="67A88FBC">
      <w:pPr>
        <w:pStyle w:val="BodyText"/>
        <w:ind w:left="820" w:right="104"/>
      </w:pPr>
      <w:r>
        <w:rPr>
          <w:spacing w:val="-3"/>
        </w:rPr>
        <w:t xml:space="preserve">In </w:t>
      </w:r>
      <w:r>
        <w:t>the area of law enforcement, ATF routinely asks members of State and local law enforcement agencies to join in a multi-jurisdictional approach to combating crime. In those instances, State and local law enforcement officers not only share ATF space and facilities, but also have access to ATF computer systems and intelligence apparatus.</w:t>
      </w:r>
      <w:r w:rsidR="007554E6">
        <w:t xml:space="preserve"> </w:t>
      </w:r>
      <w:r>
        <w:t>In t</w:t>
      </w:r>
      <w:r w:rsidR="007554E6">
        <w:t xml:space="preserve">he event </w:t>
      </w:r>
      <w:r w:rsidR="00367684">
        <w:t>a contractor or other non-ATF personnel</w:t>
      </w:r>
      <w:r>
        <w:t xml:space="preserve"> </w:t>
      </w:r>
      <w:r w:rsidR="007554E6">
        <w:t>require</w:t>
      </w:r>
      <w:r>
        <w:t xml:space="preserve"> escorted access to facilities, ATF will perform a </w:t>
      </w:r>
      <w:r w:rsidR="00A41AF9">
        <w:t xml:space="preserve">police check </w:t>
      </w:r>
      <w:r w:rsidR="00676C79">
        <w:t xml:space="preserve">using </w:t>
      </w:r>
      <w:r w:rsidR="00A41AF9">
        <w:t xml:space="preserve">the </w:t>
      </w:r>
      <w:r>
        <w:t>Police Check Inquiry</w:t>
      </w:r>
      <w:r w:rsidR="00A41AF9">
        <w:t>-</w:t>
      </w:r>
      <w:r>
        <w:t xml:space="preserve"> ATF Form 8620.42. Escorted access to ATF facilities will be </w:t>
      </w:r>
      <w:r w:rsidR="007554E6">
        <w:t>un</w:t>
      </w:r>
      <w:r>
        <w:t xml:space="preserve">authorized </w:t>
      </w:r>
      <w:r w:rsidR="00A41AF9">
        <w:t xml:space="preserve">without </w:t>
      </w:r>
      <w:r>
        <w:t>a favorably adjudicated inquiry</w:t>
      </w:r>
      <w:r w:rsidR="00A41AF9">
        <w:t>.</w:t>
      </w:r>
    </w:p>
    <w:p w:rsidR="00DD7BAC" w:rsidRDefault="00DD7BAC" w14:paraId="113F8C21" w14:textId="77777777">
      <w:pPr>
        <w:pStyle w:val="BodyText"/>
      </w:pPr>
    </w:p>
    <w:p w:rsidR="00DD7BAC" w:rsidRDefault="0053555D" w14:paraId="4DEF922C" w14:textId="77777777">
      <w:pPr>
        <w:pStyle w:val="ListParagraph"/>
        <w:numPr>
          <w:ilvl w:val="1"/>
          <w:numId w:val="3"/>
        </w:numPr>
        <w:tabs>
          <w:tab w:val="left" w:pos="1539"/>
          <w:tab w:val="left" w:pos="1540"/>
        </w:tabs>
        <w:spacing w:before="1"/>
        <w:ind w:hanging="721"/>
        <w:rPr>
          <w:sz w:val="24"/>
        </w:rPr>
      </w:pPr>
      <w:r>
        <w:rPr>
          <w:sz w:val="24"/>
          <w:u w:val="single"/>
        </w:rPr>
        <w:t>Needs and</w:t>
      </w:r>
      <w:r>
        <w:rPr>
          <w:spacing w:val="1"/>
          <w:sz w:val="24"/>
          <w:u w:val="single"/>
        </w:rPr>
        <w:t xml:space="preserve"> </w:t>
      </w:r>
      <w:r>
        <w:rPr>
          <w:sz w:val="24"/>
          <w:u w:val="single"/>
        </w:rPr>
        <w:t>Uses</w:t>
      </w:r>
    </w:p>
    <w:p w:rsidR="00DD7BAC" w:rsidRDefault="00DD7BAC" w14:paraId="7AC7870F" w14:textId="77777777">
      <w:pPr>
        <w:pStyle w:val="BodyText"/>
        <w:spacing w:before="11"/>
        <w:rPr>
          <w:sz w:val="23"/>
        </w:rPr>
      </w:pPr>
    </w:p>
    <w:p w:rsidR="00DD7BAC" w:rsidRDefault="0053555D" w14:paraId="53954BED" w14:textId="37C70DEC">
      <w:pPr>
        <w:pStyle w:val="BodyText"/>
        <w:ind w:left="819" w:right="123"/>
      </w:pPr>
      <w:r>
        <w:t xml:space="preserve">ATF Form 8620.42 is </w:t>
      </w:r>
      <w:r w:rsidR="00A41AF9">
        <w:t xml:space="preserve">used </w:t>
      </w:r>
      <w:r>
        <w:t>to gather preliminary information from an individual requiring escorted access to ATF facilities. Th</w:t>
      </w:r>
      <w:r w:rsidR="00BE2CF0">
        <w:t>e</w:t>
      </w:r>
      <w:r w:rsidR="00A41AF9">
        <w:t xml:space="preserve"> requested</w:t>
      </w:r>
      <w:r>
        <w:t xml:space="preserve"> </w:t>
      </w:r>
      <w:r w:rsidR="007554E6">
        <w:t xml:space="preserve">information </w:t>
      </w:r>
      <w:r w:rsidR="00A41AF9">
        <w:t>enables</w:t>
      </w:r>
      <w:r>
        <w:t xml:space="preserve"> ATF to complete and/or initiate a police check</w:t>
      </w:r>
      <w:r w:rsidR="00BE2CF0">
        <w:t>, which</w:t>
      </w:r>
      <w:r>
        <w:t xml:space="preserve"> </w:t>
      </w:r>
      <w:r w:rsidR="007554E6">
        <w:t>includes conducting a criminal record search</w:t>
      </w:r>
      <w:r w:rsidR="00A41AF9">
        <w:t xml:space="preserve"> </w:t>
      </w:r>
      <w:r w:rsidR="007554E6">
        <w:t xml:space="preserve">for the </w:t>
      </w:r>
      <w:r w:rsidR="00A41AF9">
        <w:t>non-ATF personnel</w:t>
      </w:r>
      <w:r>
        <w:t>. Th</w:t>
      </w:r>
      <w:r w:rsidR="007554E6">
        <w:t>is</w:t>
      </w:r>
      <w:r>
        <w:t xml:space="preserve"> form </w:t>
      </w:r>
      <w:r w:rsidR="007554E6">
        <w:t xml:space="preserve">also </w:t>
      </w:r>
      <w:r w:rsidR="00A41AF9">
        <w:t>collects</w:t>
      </w:r>
      <w:r>
        <w:t xml:space="preserve"> </w:t>
      </w:r>
      <w:r w:rsidR="00A41AF9">
        <w:t xml:space="preserve">personally </w:t>
      </w:r>
      <w:r>
        <w:t>identif</w:t>
      </w:r>
      <w:r w:rsidR="00A41AF9">
        <w:t>iable</w:t>
      </w:r>
      <w:r>
        <w:t xml:space="preserve"> information </w:t>
      </w:r>
      <w:r w:rsidR="00A41AF9">
        <w:t xml:space="preserve">(PII) </w:t>
      </w:r>
      <w:r>
        <w:t xml:space="preserve">such as name, </w:t>
      </w:r>
      <w:r w:rsidR="00A41AF9">
        <w:t>Social Security Number</w:t>
      </w:r>
      <w:r w:rsidR="00367684">
        <w:t xml:space="preserve"> (SSN)</w:t>
      </w:r>
      <w:r>
        <w:t xml:space="preserve">, date of birth, place of birth, race, sex, any aliases, naturalization information, current and previous addresses, and current and previous employers. </w:t>
      </w:r>
      <w:r w:rsidR="00367684">
        <w:t>T</w:t>
      </w:r>
      <w:r>
        <w:t xml:space="preserve">o ensure compliance with DOJ’s residency requirement, ATF must review the individual’s home addresses for the </w:t>
      </w:r>
      <w:r w:rsidR="00876343">
        <w:t>last five</w:t>
      </w:r>
      <w:r>
        <w:t xml:space="preserve"> years. </w:t>
      </w:r>
      <w:r w:rsidR="00A41AF9">
        <w:t>The</w:t>
      </w:r>
      <w:r>
        <w:t xml:space="preserve"> </w:t>
      </w:r>
      <w:r w:rsidR="00A41AF9">
        <w:t>Department of Justice (</w:t>
      </w:r>
      <w:r>
        <w:t>DOJ</w:t>
      </w:r>
      <w:r w:rsidR="00A41AF9">
        <w:t xml:space="preserve">) guidelines </w:t>
      </w:r>
      <w:r w:rsidR="00BE2CF0">
        <w:t xml:space="preserve">also </w:t>
      </w:r>
      <w:r w:rsidR="00A41AF9">
        <w:t xml:space="preserve">stipulate that </w:t>
      </w:r>
      <w:r>
        <w:t xml:space="preserve">an individual who has not resided in the United States for </w:t>
      </w:r>
      <w:r w:rsidR="00A41AF9">
        <w:t xml:space="preserve">three </w:t>
      </w:r>
      <w:r>
        <w:t xml:space="preserve">of the past </w:t>
      </w:r>
      <w:r w:rsidR="00A41AF9">
        <w:t xml:space="preserve">five </w:t>
      </w:r>
      <w:r>
        <w:t xml:space="preserve">years (with a few exceptions) cannot obtain approval to access DOJ information, IT systems, and/or facilities. In </w:t>
      </w:r>
      <w:r>
        <w:lastRenderedPageBreak/>
        <w:t>addition,</w:t>
      </w:r>
      <w:r w:rsidR="00234A15">
        <w:t xml:space="preserve"> </w:t>
      </w:r>
      <w:r w:rsidRPr="00234A15" w:rsidR="00234A15">
        <w:t>employment</w:t>
      </w:r>
      <w:r w:rsidR="00676C79">
        <w:t>,</w:t>
      </w:r>
      <w:r w:rsidRPr="00234A15" w:rsidR="00234A15">
        <w:t xml:space="preserve"> and home addresses are required</w:t>
      </w:r>
      <w:r>
        <w:t xml:space="preserve"> to perform the mandatory police checks in</w:t>
      </w:r>
      <w:r w:rsidR="002762FC">
        <w:t xml:space="preserve"> all applicable</w:t>
      </w:r>
      <w:r>
        <w:t xml:space="preserve"> jurisdictions</w:t>
      </w:r>
      <w:r w:rsidR="00BE2CF0">
        <w:t xml:space="preserve"> where </w:t>
      </w:r>
      <w:r w:rsidR="007554E6">
        <w:t>the</w:t>
      </w:r>
      <w:r w:rsidR="00BE2CF0">
        <w:t xml:space="preserve"> non-ATF personnel resided</w:t>
      </w:r>
      <w:r>
        <w:t xml:space="preserve"> </w:t>
      </w:r>
      <w:r w:rsidR="002762FC">
        <w:t xml:space="preserve">during </w:t>
      </w:r>
      <w:r>
        <w:t xml:space="preserve">the past </w:t>
      </w:r>
      <w:r w:rsidR="002762FC">
        <w:t>five</w:t>
      </w:r>
      <w:r w:rsidR="00BE2CF0">
        <w:t xml:space="preserve"> </w:t>
      </w:r>
      <w:r>
        <w:t>years</w:t>
      </w:r>
      <w:r w:rsidR="002762FC">
        <w:t>.</w:t>
      </w:r>
      <w:r>
        <w:t xml:space="preserve"> </w:t>
      </w:r>
      <w:r w:rsidR="007554E6">
        <w:t>N</w:t>
      </w:r>
      <w:r w:rsidR="00BE2CF0">
        <w:t>on-ATF personnel</w:t>
      </w:r>
      <w:r>
        <w:t xml:space="preserve"> will be denied escorted access to ATF facilities</w:t>
      </w:r>
      <w:r w:rsidR="00BE2CF0">
        <w:t xml:space="preserve"> if ATF determines they have a cr</w:t>
      </w:r>
      <w:r w:rsidR="00BC4DA5">
        <w:t xml:space="preserve">iminal record or </w:t>
      </w:r>
      <w:r w:rsidR="00676C79">
        <w:t xml:space="preserve">are </w:t>
      </w:r>
      <w:r w:rsidR="00BC4DA5">
        <w:t>otherwise ineligible for access</w:t>
      </w:r>
      <w:r>
        <w:t>.</w:t>
      </w:r>
    </w:p>
    <w:p w:rsidR="00DD7BAC" w:rsidRDefault="00DD7BAC" w14:paraId="766F7D22" w14:textId="77777777">
      <w:pPr>
        <w:pStyle w:val="BodyText"/>
        <w:rPr>
          <w:sz w:val="22"/>
        </w:rPr>
      </w:pPr>
    </w:p>
    <w:p w:rsidR="00DD7BAC" w:rsidRDefault="0053555D" w14:paraId="2E207C4F" w14:textId="77777777">
      <w:pPr>
        <w:pStyle w:val="ListParagraph"/>
        <w:numPr>
          <w:ilvl w:val="1"/>
          <w:numId w:val="3"/>
        </w:numPr>
        <w:tabs>
          <w:tab w:val="left" w:pos="1539"/>
          <w:tab w:val="left" w:pos="1540"/>
        </w:tabs>
        <w:ind w:hanging="721"/>
        <w:rPr>
          <w:sz w:val="24"/>
        </w:rPr>
      </w:pPr>
      <w:r>
        <w:rPr>
          <w:sz w:val="24"/>
          <w:u w:val="single"/>
        </w:rPr>
        <w:t>Use of Information</w:t>
      </w:r>
      <w:r>
        <w:rPr>
          <w:spacing w:val="-1"/>
          <w:sz w:val="24"/>
          <w:u w:val="single"/>
        </w:rPr>
        <w:t xml:space="preserve"> </w:t>
      </w:r>
      <w:r>
        <w:rPr>
          <w:sz w:val="24"/>
          <w:u w:val="single"/>
        </w:rPr>
        <w:t>Technology</w:t>
      </w:r>
    </w:p>
    <w:p w:rsidR="00DD7BAC" w:rsidRDefault="00DD7BAC" w14:paraId="2F4DBF63" w14:textId="77777777">
      <w:pPr>
        <w:pStyle w:val="BodyText"/>
      </w:pPr>
    </w:p>
    <w:p w:rsidR="00DD7BAC" w:rsidRDefault="0053555D" w14:paraId="54B406E4" w14:textId="77777777">
      <w:pPr>
        <w:pStyle w:val="BodyText"/>
        <w:spacing w:before="1"/>
        <w:ind w:left="819" w:right="96"/>
      </w:pPr>
      <w:r>
        <w:t xml:space="preserve">ATF makes every effort to take advantage of the electronic collection and dissemination capabilities available. </w:t>
      </w:r>
      <w:r w:rsidR="002762FC">
        <w:t>T</w:t>
      </w:r>
      <w:r>
        <w:t xml:space="preserve">he fillable </w:t>
      </w:r>
      <w:r w:rsidR="002762FC">
        <w:t xml:space="preserve">ATF Form 8620.42 is </w:t>
      </w:r>
      <w:r>
        <w:t>available on the ATF website to download and print. The forms may be submitted to ATF by scanning the completed and electronically/digitally signed document and emailing them to a specific ATF email address</w:t>
      </w:r>
      <w:r w:rsidR="002762FC">
        <w:t xml:space="preserve"> indicated on the form</w:t>
      </w:r>
      <w:r>
        <w:t>. Individuals with disabilities can access this form.</w:t>
      </w:r>
    </w:p>
    <w:p w:rsidR="00DD7BAC" w:rsidRDefault="00DD7BAC" w14:paraId="19792F13" w14:textId="77777777">
      <w:pPr>
        <w:pStyle w:val="BodyText"/>
        <w:spacing w:before="11"/>
        <w:rPr>
          <w:sz w:val="23"/>
        </w:rPr>
      </w:pPr>
    </w:p>
    <w:p w:rsidR="00DD7BAC" w:rsidRDefault="0053555D" w14:paraId="590FA200" w14:textId="77777777">
      <w:pPr>
        <w:pStyle w:val="ListParagraph"/>
        <w:numPr>
          <w:ilvl w:val="1"/>
          <w:numId w:val="3"/>
        </w:numPr>
        <w:tabs>
          <w:tab w:val="left" w:pos="1539"/>
          <w:tab w:val="left" w:pos="1540"/>
        </w:tabs>
        <w:ind w:hanging="721"/>
        <w:rPr>
          <w:sz w:val="24"/>
        </w:rPr>
      </w:pPr>
      <w:r>
        <w:rPr>
          <w:sz w:val="24"/>
          <w:u w:val="single"/>
        </w:rPr>
        <w:t>Efforts to Identify</w:t>
      </w:r>
      <w:r>
        <w:rPr>
          <w:spacing w:val="-4"/>
          <w:sz w:val="24"/>
          <w:u w:val="single"/>
        </w:rPr>
        <w:t xml:space="preserve"> </w:t>
      </w:r>
      <w:r>
        <w:rPr>
          <w:sz w:val="24"/>
          <w:u w:val="single"/>
        </w:rPr>
        <w:t>Duplication</w:t>
      </w:r>
    </w:p>
    <w:p w:rsidR="00DD7BAC" w:rsidRDefault="00DD7BAC" w14:paraId="47C6B962" w14:textId="77777777">
      <w:pPr>
        <w:pStyle w:val="BodyText"/>
      </w:pPr>
    </w:p>
    <w:p w:rsidR="007049C4" w:rsidP="007049C4" w:rsidRDefault="0053555D" w14:paraId="2DC2C735" w14:textId="65890F59">
      <w:pPr>
        <w:pStyle w:val="BodyText"/>
        <w:ind w:left="819" w:right="142"/>
      </w:pPr>
      <w:r>
        <w:t xml:space="preserve">Similar information is available from another collection source. However, </w:t>
      </w:r>
      <w:r w:rsidR="007049C4">
        <w:t xml:space="preserve">that </w:t>
      </w:r>
      <w:r>
        <w:t>collection</w:t>
      </w:r>
      <w:r w:rsidR="007049C4">
        <w:t xml:space="preserve"> is</w:t>
      </w:r>
      <w:r w:rsidR="007554E6">
        <w:t xml:space="preserve"> more</w:t>
      </w:r>
      <w:r>
        <w:t xml:space="preserve"> burdensome on the respondent than ATF Form 8620.42.</w:t>
      </w:r>
      <w:r w:rsidR="002762FC">
        <w:t xml:space="preserve"> For </w:t>
      </w:r>
      <w:r w:rsidR="00BC4DA5">
        <w:t>instance, persons</w:t>
      </w:r>
      <w:r>
        <w:t xml:space="preserve"> requiring access to certain levels of sensitive or classified information must complete </w:t>
      </w:r>
      <w:r w:rsidR="002762FC">
        <w:t xml:space="preserve">either </w:t>
      </w:r>
      <w:r>
        <w:t xml:space="preserve">the Questionnaire for National Security Positions (SF-86) or </w:t>
      </w:r>
      <w:r w:rsidR="002762FC">
        <w:t xml:space="preserve">the </w:t>
      </w:r>
      <w:r>
        <w:t xml:space="preserve">Questionnaire for Public Trust Positions (SF-85P) through the Office of Personnel Management’s Electronic Questionnaires for Investigations Processing (e-QIP) system. </w:t>
      </w:r>
      <w:r w:rsidR="002762FC">
        <w:t xml:space="preserve">Both </w:t>
      </w:r>
      <w:r w:rsidR="007049C4">
        <w:t>t</w:t>
      </w:r>
      <w:r>
        <w:t>he SF-86 and</w:t>
      </w:r>
      <w:r w:rsidRPr="007049C4" w:rsidR="007049C4">
        <w:t xml:space="preserve"> </w:t>
      </w:r>
      <w:r w:rsidR="007049C4">
        <w:t>SF-85P require the respondent to supply certain PII</w:t>
      </w:r>
      <w:r w:rsidR="00367684">
        <w:t>,</w:t>
      </w:r>
      <w:r w:rsidR="007049C4">
        <w:t xml:space="preserve"> so that the investigating agency may conduct the requisite criminal record searches, security index and credit inquiries, and other background checks related to the respondent. The e-QIP process takes a respondent several hours to complete. However, ATF Form 8620.42 was proposed as a less burdensome alternative for individuals requiring escorted access to ATF facilities. Specifically, this form allows an individual to obtain a quick police inquiry to determine if they meet the basic requirements for access to ATF facilities, without having to complete the SF-86 or SF-85P.</w:t>
      </w:r>
    </w:p>
    <w:p w:rsidR="000426FF" w:rsidP="000426FF" w:rsidRDefault="000426FF" w14:paraId="24611798" w14:textId="77777777">
      <w:pPr>
        <w:pStyle w:val="BodyText"/>
      </w:pPr>
    </w:p>
    <w:p w:rsidR="000426FF" w:rsidP="000426FF" w:rsidRDefault="000426FF" w14:paraId="3BD2E5CE" w14:textId="77777777">
      <w:pPr>
        <w:pStyle w:val="ListParagraph"/>
        <w:numPr>
          <w:ilvl w:val="1"/>
          <w:numId w:val="3"/>
        </w:numPr>
        <w:tabs>
          <w:tab w:val="left" w:pos="1539"/>
          <w:tab w:val="left" w:pos="1540"/>
        </w:tabs>
        <w:rPr>
          <w:sz w:val="24"/>
        </w:rPr>
      </w:pPr>
      <w:r>
        <w:rPr>
          <w:sz w:val="24"/>
          <w:u w:val="single"/>
        </w:rPr>
        <w:t>Minimizing Burden on Small</w:t>
      </w:r>
      <w:r>
        <w:rPr>
          <w:spacing w:val="-4"/>
          <w:sz w:val="24"/>
          <w:u w:val="single"/>
        </w:rPr>
        <w:t xml:space="preserve"> </w:t>
      </w:r>
      <w:r>
        <w:rPr>
          <w:sz w:val="24"/>
          <w:u w:val="single"/>
        </w:rPr>
        <w:t>Businesses</w:t>
      </w:r>
    </w:p>
    <w:p w:rsidR="000426FF" w:rsidP="000426FF" w:rsidRDefault="000426FF" w14:paraId="24C6E388" w14:textId="77777777">
      <w:pPr>
        <w:pStyle w:val="BodyText"/>
      </w:pPr>
    </w:p>
    <w:p w:rsidR="000426FF" w:rsidP="000426FF" w:rsidRDefault="000426FF" w14:paraId="7D13AE1F" w14:textId="2B8719BB">
      <w:pPr>
        <w:pStyle w:val="BodyText"/>
        <w:ind w:left="820" w:right="414"/>
      </w:pPr>
      <w:r>
        <w:t xml:space="preserve">This information collection (IC) has no effect on small businesses. The information sought is personal in nature and is requested to identify the person undergoing </w:t>
      </w:r>
      <w:r w:rsidR="00367684">
        <w:t xml:space="preserve">the </w:t>
      </w:r>
      <w:r>
        <w:t>police check inquiry.</w:t>
      </w:r>
    </w:p>
    <w:p w:rsidR="000426FF" w:rsidP="000426FF" w:rsidRDefault="000426FF" w14:paraId="770BD3AB" w14:textId="77777777">
      <w:pPr>
        <w:pStyle w:val="BodyText"/>
      </w:pPr>
    </w:p>
    <w:p w:rsidR="000426FF" w:rsidP="000426FF" w:rsidRDefault="000426FF" w14:paraId="1BC4436E" w14:textId="77777777">
      <w:pPr>
        <w:pStyle w:val="ListParagraph"/>
        <w:numPr>
          <w:ilvl w:val="1"/>
          <w:numId w:val="3"/>
        </w:numPr>
        <w:tabs>
          <w:tab w:val="left" w:pos="1539"/>
          <w:tab w:val="left" w:pos="1540"/>
        </w:tabs>
        <w:spacing w:before="1"/>
        <w:rPr>
          <w:sz w:val="24"/>
        </w:rPr>
      </w:pPr>
      <w:r>
        <w:rPr>
          <w:sz w:val="24"/>
          <w:u w:val="single"/>
        </w:rPr>
        <w:t>Consequences of Not Conducting or Less Frequent</w:t>
      </w:r>
      <w:r>
        <w:rPr>
          <w:spacing w:val="-4"/>
          <w:sz w:val="24"/>
          <w:u w:val="single"/>
        </w:rPr>
        <w:t xml:space="preserve"> </w:t>
      </w:r>
      <w:r>
        <w:rPr>
          <w:sz w:val="24"/>
          <w:u w:val="single"/>
        </w:rPr>
        <w:t>Collection</w:t>
      </w:r>
    </w:p>
    <w:p w:rsidR="000426FF" w:rsidP="000426FF" w:rsidRDefault="000426FF" w14:paraId="535B93A0" w14:textId="77777777">
      <w:pPr>
        <w:pStyle w:val="BodyText"/>
        <w:spacing w:before="11"/>
        <w:rPr>
          <w:sz w:val="23"/>
        </w:rPr>
      </w:pPr>
    </w:p>
    <w:p w:rsidR="000426FF" w:rsidP="000426FF" w:rsidRDefault="000426FF" w14:paraId="7B3B3198" w14:textId="78F2EEB3">
      <w:pPr>
        <w:pStyle w:val="BodyText"/>
        <w:ind w:left="819" w:right="201"/>
      </w:pPr>
      <w:r>
        <w:t xml:space="preserve">As an agency upholding the laws of the United States, </w:t>
      </w:r>
      <w:r w:rsidR="00676C79">
        <w:t xml:space="preserve">ATF </w:t>
      </w:r>
      <w:r>
        <w:t xml:space="preserve">must ensure ATF employees and non-ATF personnel </w:t>
      </w:r>
      <w:r w:rsidR="00676C79">
        <w:t xml:space="preserve">have </w:t>
      </w:r>
      <w:r>
        <w:t xml:space="preserve">the highest degree of integrity and character. ATF personnel must also ensure the safety and security of our government facilities, information, and information technology systems. ATF Form 8620.42 is the primary medium used to gather the PII to conduct police checks for non-ATF personnel requiring escorted access to ATF facilities. ATF would be unable to ensure the safety and security of its resources from non-ATF </w:t>
      </w:r>
      <w:r>
        <w:lastRenderedPageBreak/>
        <w:t>personnel without this IC.</w:t>
      </w:r>
    </w:p>
    <w:p w:rsidR="000426FF" w:rsidP="000426FF" w:rsidRDefault="000426FF" w14:paraId="28EA9792" w14:textId="77777777">
      <w:pPr>
        <w:pStyle w:val="BodyText"/>
      </w:pPr>
    </w:p>
    <w:p w:rsidR="000426FF" w:rsidP="000426FF" w:rsidRDefault="000426FF" w14:paraId="4AC57F8D" w14:textId="77777777">
      <w:pPr>
        <w:pStyle w:val="ListParagraph"/>
        <w:numPr>
          <w:ilvl w:val="1"/>
          <w:numId w:val="3"/>
        </w:numPr>
        <w:tabs>
          <w:tab w:val="left" w:pos="1539"/>
          <w:tab w:val="left" w:pos="1540"/>
        </w:tabs>
        <w:ind w:hanging="721"/>
        <w:rPr>
          <w:sz w:val="24"/>
        </w:rPr>
      </w:pPr>
      <w:r>
        <w:rPr>
          <w:sz w:val="24"/>
          <w:u w:val="single"/>
        </w:rPr>
        <w:t>Special</w:t>
      </w:r>
      <w:r>
        <w:rPr>
          <w:spacing w:val="-1"/>
          <w:sz w:val="24"/>
          <w:u w:val="single"/>
        </w:rPr>
        <w:t xml:space="preserve"> </w:t>
      </w:r>
      <w:r>
        <w:rPr>
          <w:sz w:val="24"/>
          <w:u w:val="single"/>
        </w:rPr>
        <w:t>Circumstances</w:t>
      </w:r>
    </w:p>
    <w:p w:rsidR="000426FF" w:rsidP="000426FF" w:rsidRDefault="000426FF" w14:paraId="15BB10F4" w14:textId="77777777">
      <w:pPr>
        <w:pStyle w:val="BodyText"/>
      </w:pPr>
    </w:p>
    <w:p w:rsidR="000426FF" w:rsidP="000426FF" w:rsidRDefault="000426FF" w14:paraId="4486141E" w14:textId="77777777">
      <w:pPr>
        <w:pStyle w:val="BodyText"/>
        <w:ind w:left="819" w:right="189"/>
      </w:pPr>
      <w:r>
        <w:t xml:space="preserve">This IC requirement is consistent with the intent of Executive Order 10450. The information sought allows ATF to identify a person seeking escorted or unescorted access to ATF information, </w:t>
      </w:r>
      <w:r w:rsidR="007049C4">
        <w:t>IT</w:t>
      </w:r>
      <w:r>
        <w:t xml:space="preserve"> systems, and facilities. No other circumstance would cause this to be conducted in any other manner such as:</w:t>
      </w:r>
    </w:p>
    <w:p w:rsidR="000426FF" w:rsidP="000426FF" w:rsidRDefault="000426FF" w14:paraId="66BE9491" w14:textId="77777777">
      <w:pPr>
        <w:pStyle w:val="BodyText"/>
      </w:pPr>
    </w:p>
    <w:p w:rsidR="000426FF" w:rsidP="000426FF" w:rsidRDefault="000426FF" w14:paraId="38567E6E" w14:textId="77777777">
      <w:pPr>
        <w:pStyle w:val="ListParagraph"/>
        <w:numPr>
          <w:ilvl w:val="0"/>
          <w:numId w:val="1"/>
        </w:numPr>
        <w:tabs>
          <w:tab w:val="left" w:pos="1539"/>
          <w:tab w:val="left" w:pos="1540"/>
        </w:tabs>
        <w:ind w:hanging="721"/>
        <w:rPr>
          <w:sz w:val="24"/>
        </w:rPr>
      </w:pPr>
      <w:r>
        <w:rPr>
          <w:sz w:val="24"/>
        </w:rPr>
        <w:t>Requiring respondents to report information to ATF more than</w:t>
      </w:r>
      <w:r>
        <w:rPr>
          <w:spacing w:val="-14"/>
          <w:sz w:val="24"/>
        </w:rPr>
        <w:t xml:space="preserve"> </w:t>
      </w:r>
      <w:r>
        <w:rPr>
          <w:sz w:val="24"/>
        </w:rPr>
        <w:t>quarterly;</w:t>
      </w:r>
    </w:p>
    <w:p w:rsidR="000426FF" w:rsidP="000426FF" w:rsidRDefault="000426FF" w14:paraId="693D102F" w14:textId="77777777">
      <w:pPr>
        <w:pStyle w:val="ListParagraph"/>
        <w:numPr>
          <w:ilvl w:val="0"/>
          <w:numId w:val="1"/>
        </w:numPr>
        <w:tabs>
          <w:tab w:val="left" w:pos="1539"/>
          <w:tab w:val="left" w:pos="1540"/>
        </w:tabs>
        <w:ind w:hanging="721"/>
        <w:rPr>
          <w:sz w:val="24"/>
        </w:rPr>
      </w:pPr>
      <w:r>
        <w:rPr>
          <w:sz w:val="24"/>
        </w:rPr>
        <w:t>Requiring respondents to prepare a written response in fewer than 30</w:t>
      </w:r>
      <w:r>
        <w:rPr>
          <w:spacing w:val="-17"/>
          <w:sz w:val="24"/>
        </w:rPr>
        <w:t xml:space="preserve"> </w:t>
      </w:r>
      <w:r>
        <w:rPr>
          <w:sz w:val="24"/>
        </w:rPr>
        <w:t>days;</w:t>
      </w:r>
    </w:p>
    <w:p w:rsidR="000426FF" w:rsidP="000426FF" w:rsidRDefault="000426FF" w14:paraId="66A2CD30" w14:textId="77777777">
      <w:pPr>
        <w:pStyle w:val="ListParagraph"/>
        <w:numPr>
          <w:ilvl w:val="0"/>
          <w:numId w:val="1"/>
        </w:numPr>
        <w:tabs>
          <w:tab w:val="left" w:pos="1539"/>
          <w:tab w:val="left" w:pos="1540"/>
        </w:tabs>
        <w:ind w:hanging="721"/>
        <w:rPr>
          <w:sz w:val="24"/>
        </w:rPr>
      </w:pPr>
      <w:r>
        <w:rPr>
          <w:sz w:val="24"/>
        </w:rPr>
        <w:t>Requiring respondents to submit more than an original of any</w:t>
      </w:r>
      <w:r>
        <w:rPr>
          <w:spacing w:val="-15"/>
          <w:sz w:val="24"/>
        </w:rPr>
        <w:t xml:space="preserve"> </w:t>
      </w:r>
      <w:r>
        <w:rPr>
          <w:sz w:val="24"/>
        </w:rPr>
        <w:t>document;</w:t>
      </w:r>
    </w:p>
    <w:p w:rsidR="000426FF" w:rsidP="000426FF" w:rsidRDefault="000426FF" w14:paraId="0EA69CC8" w14:textId="77777777">
      <w:pPr>
        <w:pStyle w:val="ListParagraph"/>
        <w:numPr>
          <w:ilvl w:val="0"/>
          <w:numId w:val="1"/>
        </w:numPr>
        <w:tabs>
          <w:tab w:val="left" w:pos="1539"/>
          <w:tab w:val="left" w:pos="1540"/>
        </w:tabs>
        <w:spacing w:before="1"/>
        <w:ind w:hanging="721"/>
        <w:rPr>
          <w:sz w:val="24"/>
        </w:rPr>
      </w:pPr>
      <w:r>
        <w:rPr>
          <w:sz w:val="24"/>
        </w:rPr>
        <w:t>Requiring respondents to retain any</w:t>
      </w:r>
      <w:r>
        <w:rPr>
          <w:spacing w:val="-9"/>
          <w:sz w:val="24"/>
        </w:rPr>
        <w:t xml:space="preserve"> </w:t>
      </w:r>
      <w:r>
        <w:rPr>
          <w:sz w:val="24"/>
        </w:rPr>
        <w:t>records;</w:t>
      </w:r>
    </w:p>
    <w:p w:rsidR="000426FF" w:rsidP="000426FF" w:rsidRDefault="000426FF" w14:paraId="28D95F2D" w14:textId="77777777">
      <w:pPr>
        <w:pStyle w:val="ListParagraph"/>
        <w:numPr>
          <w:ilvl w:val="0"/>
          <w:numId w:val="1"/>
        </w:numPr>
        <w:tabs>
          <w:tab w:val="left" w:pos="1539"/>
          <w:tab w:val="left" w:pos="1540"/>
        </w:tabs>
        <w:ind w:hanging="721"/>
        <w:rPr>
          <w:sz w:val="24"/>
        </w:rPr>
      </w:pPr>
      <w:r>
        <w:rPr>
          <w:sz w:val="24"/>
        </w:rPr>
        <w:t>Requiring the use of any statistical</w:t>
      </w:r>
      <w:r>
        <w:rPr>
          <w:spacing w:val="-10"/>
          <w:sz w:val="24"/>
        </w:rPr>
        <w:t xml:space="preserve"> </w:t>
      </w:r>
      <w:r>
        <w:rPr>
          <w:sz w:val="24"/>
        </w:rPr>
        <w:t>data;</w:t>
      </w:r>
    </w:p>
    <w:p w:rsidR="000426FF" w:rsidP="000426FF" w:rsidRDefault="000426FF" w14:paraId="362515DE" w14:textId="77777777">
      <w:pPr>
        <w:pStyle w:val="ListParagraph"/>
        <w:numPr>
          <w:ilvl w:val="0"/>
          <w:numId w:val="1"/>
        </w:numPr>
        <w:tabs>
          <w:tab w:val="left" w:pos="1539"/>
          <w:tab w:val="left" w:pos="1540"/>
        </w:tabs>
        <w:ind w:hanging="721"/>
        <w:rPr>
          <w:sz w:val="24"/>
        </w:rPr>
      </w:pPr>
      <w:r>
        <w:rPr>
          <w:sz w:val="24"/>
        </w:rPr>
        <w:t>Requiring any pledge of confidentiality;</w:t>
      </w:r>
      <w:r>
        <w:rPr>
          <w:spacing w:val="-9"/>
          <w:sz w:val="24"/>
        </w:rPr>
        <w:t xml:space="preserve"> </w:t>
      </w:r>
      <w:r>
        <w:rPr>
          <w:sz w:val="24"/>
        </w:rPr>
        <w:t>or</w:t>
      </w:r>
    </w:p>
    <w:p w:rsidR="000426FF" w:rsidP="000426FF" w:rsidRDefault="000426FF" w14:paraId="47C4BB4B" w14:textId="77777777">
      <w:pPr>
        <w:pStyle w:val="ListParagraph"/>
        <w:numPr>
          <w:ilvl w:val="0"/>
          <w:numId w:val="1"/>
        </w:numPr>
        <w:tabs>
          <w:tab w:val="left" w:pos="1539"/>
          <w:tab w:val="left" w:pos="1540"/>
        </w:tabs>
        <w:ind w:hanging="721"/>
        <w:rPr>
          <w:sz w:val="24"/>
        </w:rPr>
      </w:pPr>
      <w:r>
        <w:rPr>
          <w:sz w:val="24"/>
        </w:rPr>
        <w:t>Requiring respondents to submit any proprietary or trade</w:t>
      </w:r>
      <w:r>
        <w:rPr>
          <w:spacing w:val="-16"/>
          <w:sz w:val="24"/>
        </w:rPr>
        <w:t xml:space="preserve"> </w:t>
      </w:r>
      <w:r>
        <w:rPr>
          <w:sz w:val="24"/>
        </w:rPr>
        <w:t>secrets.</w:t>
      </w:r>
    </w:p>
    <w:p w:rsidR="00DD7BAC" w:rsidRDefault="00DD7BAC" w14:paraId="6151F753" w14:textId="77777777"/>
    <w:p w:rsidR="007049C4" w:rsidRDefault="007049C4" w14:paraId="208A0525" w14:textId="77777777"/>
    <w:p w:rsidR="007049C4" w:rsidP="007049C4" w:rsidRDefault="007049C4" w14:paraId="69F415AF" w14:textId="77777777">
      <w:pPr>
        <w:pStyle w:val="ListParagraph"/>
        <w:numPr>
          <w:ilvl w:val="1"/>
          <w:numId w:val="3"/>
        </w:numPr>
        <w:tabs>
          <w:tab w:val="left" w:pos="1539"/>
          <w:tab w:val="left" w:pos="1540"/>
        </w:tabs>
        <w:rPr>
          <w:sz w:val="24"/>
        </w:rPr>
      </w:pPr>
      <w:r>
        <w:rPr>
          <w:sz w:val="24"/>
          <w:u w:val="single"/>
        </w:rPr>
        <w:t>Public Comments and</w:t>
      </w:r>
      <w:r>
        <w:rPr>
          <w:spacing w:val="-2"/>
          <w:sz w:val="24"/>
          <w:u w:val="single"/>
        </w:rPr>
        <w:t xml:space="preserve"> </w:t>
      </w:r>
      <w:r>
        <w:rPr>
          <w:sz w:val="24"/>
          <w:u w:val="single"/>
        </w:rPr>
        <w:t>Consultations</w:t>
      </w:r>
    </w:p>
    <w:p w:rsidR="007049C4" w:rsidP="007049C4" w:rsidRDefault="007049C4" w14:paraId="53F0D215" w14:textId="77777777">
      <w:pPr>
        <w:rPr>
          <w:sz w:val="24"/>
        </w:rPr>
      </w:pPr>
    </w:p>
    <w:p w:rsidR="007049C4" w:rsidP="007049C4" w:rsidRDefault="001F21D9" w14:paraId="58B864F7" w14:textId="1132B5C9">
      <w:pPr>
        <w:pStyle w:val="BodyText"/>
        <w:spacing w:before="90"/>
        <w:ind w:left="820" w:right="414"/>
      </w:pPr>
      <w:r>
        <w:t xml:space="preserve">No comments have been received during the </w:t>
      </w:r>
      <w:r w:rsidR="007049C4">
        <w:t xml:space="preserve">60-day </w:t>
      </w:r>
      <w:r>
        <w:t xml:space="preserve">notice period. However, </w:t>
      </w:r>
      <w:r w:rsidR="007049C4">
        <w:t xml:space="preserve"> a 30-day notice will be published in the Federal Register to solicit public comments.</w:t>
      </w:r>
    </w:p>
    <w:p w:rsidR="007049C4" w:rsidP="007049C4" w:rsidRDefault="007049C4" w14:paraId="350642CE" w14:textId="77777777">
      <w:pPr>
        <w:rPr>
          <w:sz w:val="24"/>
        </w:rPr>
      </w:pPr>
    </w:p>
    <w:p w:rsidR="007049C4" w:rsidP="007049C4" w:rsidRDefault="007049C4" w14:paraId="4C3DA1F7" w14:textId="77777777">
      <w:pPr>
        <w:pStyle w:val="ListParagraph"/>
        <w:numPr>
          <w:ilvl w:val="1"/>
          <w:numId w:val="3"/>
        </w:numPr>
        <w:tabs>
          <w:tab w:val="left" w:pos="1539"/>
          <w:tab w:val="left" w:pos="1540"/>
        </w:tabs>
        <w:rPr>
          <w:sz w:val="24"/>
        </w:rPr>
      </w:pPr>
      <w:r>
        <w:rPr>
          <w:sz w:val="24"/>
          <w:u w:val="single"/>
        </w:rPr>
        <w:t>Provision of Payments or Gifts to</w:t>
      </w:r>
      <w:r>
        <w:rPr>
          <w:spacing w:val="-1"/>
          <w:sz w:val="24"/>
          <w:u w:val="single"/>
        </w:rPr>
        <w:t xml:space="preserve"> </w:t>
      </w:r>
      <w:r>
        <w:rPr>
          <w:sz w:val="24"/>
          <w:u w:val="single"/>
        </w:rPr>
        <w:t>Respondents</w:t>
      </w:r>
    </w:p>
    <w:p w:rsidR="007049C4" w:rsidP="007049C4" w:rsidRDefault="007049C4" w14:paraId="737B655B" w14:textId="77777777">
      <w:pPr>
        <w:pStyle w:val="BodyText"/>
      </w:pPr>
    </w:p>
    <w:p w:rsidR="007049C4" w:rsidP="007049C4" w:rsidRDefault="007049C4" w14:paraId="5FEC5216" w14:textId="77777777">
      <w:pPr>
        <w:pStyle w:val="BodyText"/>
        <w:ind w:left="820"/>
      </w:pPr>
      <w:r>
        <w:t>No decision of payment or gift is associated with this collection.</w:t>
      </w:r>
    </w:p>
    <w:p w:rsidR="007049C4" w:rsidP="007049C4" w:rsidRDefault="007049C4" w14:paraId="081603EA" w14:textId="77777777">
      <w:pPr>
        <w:pStyle w:val="BodyText"/>
      </w:pPr>
    </w:p>
    <w:p w:rsidR="007049C4" w:rsidP="007049C4" w:rsidRDefault="007049C4" w14:paraId="4FA0ED64" w14:textId="77777777">
      <w:pPr>
        <w:pStyle w:val="ListParagraph"/>
        <w:numPr>
          <w:ilvl w:val="1"/>
          <w:numId w:val="3"/>
        </w:numPr>
        <w:tabs>
          <w:tab w:val="left" w:pos="1539"/>
          <w:tab w:val="left" w:pos="1540"/>
        </w:tabs>
        <w:rPr>
          <w:sz w:val="24"/>
        </w:rPr>
      </w:pPr>
      <w:r>
        <w:rPr>
          <w:sz w:val="24"/>
          <w:u w:val="single"/>
        </w:rPr>
        <w:t>Assurance of</w:t>
      </w:r>
      <w:r>
        <w:rPr>
          <w:spacing w:val="-2"/>
          <w:sz w:val="24"/>
          <w:u w:val="single"/>
        </w:rPr>
        <w:t xml:space="preserve"> </w:t>
      </w:r>
      <w:r>
        <w:rPr>
          <w:sz w:val="24"/>
          <w:u w:val="single"/>
        </w:rPr>
        <w:t>Confidentiality</w:t>
      </w:r>
    </w:p>
    <w:p w:rsidR="007049C4" w:rsidP="007049C4" w:rsidRDefault="007049C4" w14:paraId="6BBFF6CF" w14:textId="77777777">
      <w:pPr>
        <w:pStyle w:val="BodyText"/>
      </w:pPr>
    </w:p>
    <w:p w:rsidR="007049C4" w:rsidP="007049C4" w:rsidRDefault="007049C4" w14:paraId="3E6C491A" w14:textId="0F824DCE">
      <w:pPr>
        <w:pStyle w:val="BodyText"/>
        <w:ind w:left="819" w:right="243"/>
      </w:pPr>
      <w:r>
        <w:t>Protection is afforded the respondent pursuant to 5 U</w:t>
      </w:r>
      <w:r w:rsidR="00676C79">
        <w:t>.</w:t>
      </w:r>
      <w:r>
        <w:t>S</w:t>
      </w:r>
      <w:r w:rsidR="00676C79">
        <w:t>.</w:t>
      </w:r>
      <w:r>
        <w:t>C</w:t>
      </w:r>
      <w:r w:rsidR="00676C79">
        <w:t>.</w:t>
      </w:r>
      <w:r>
        <w:t xml:space="preserve"> § 552(a). However, the respondent is advised that this IC will be used to identify them so that criminal records searches can be conducted on their behalf at the Federal, State, and local levels</w:t>
      </w:r>
      <w:r w:rsidR="00367684">
        <w:t>. These searches will help ATF</w:t>
      </w:r>
      <w:r>
        <w:t xml:space="preserve"> to determine if </w:t>
      </w:r>
      <w:r w:rsidR="00367684">
        <w:t>these individuals</w:t>
      </w:r>
      <w:r>
        <w:t xml:space="preserve"> meet DOJ and ATF basic qualification requirements for access to ATF</w:t>
      </w:r>
      <w:r w:rsidRPr="00EC2D62">
        <w:t xml:space="preserve"> </w:t>
      </w:r>
      <w:r>
        <w:t>information, IT systems, and/or</w:t>
      </w:r>
      <w:r>
        <w:rPr>
          <w:spacing w:val="-13"/>
        </w:rPr>
        <w:t xml:space="preserve"> </w:t>
      </w:r>
      <w:r>
        <w:t xml:space="preserve">facilities. Information collected by the Physical Security Programs Branch (PSPB), Personnel Security Division (PSD), or ATF field division is protected by the Privacy </w:t>
      </w:r>
      <w:r w:rsidR="00367684">
        <w:t>Act of 1974 and</w:t>
      </w:r>
      <w:r>
        <w:t xml:space="preserve"> should not be released to outside parties who do not have a need to know under the routine use clause of the Privacy Act of 1974. The respondent’s information on ATF Form 8620.42 is kept in a secure location at </w:t>
      </w:r>
      <w:r w:rsidR="00676C79">
        <w:t>ATF H</w:t>
      </w:r>
      <w:r>
        <w:t>eadquarters within the PSPB and is to be held in reserve for one year or the duration of their tenure at ATF, whichever is longer.</w:t>
      </w:r>
    </w:p>
    <w:p w:rsidR="007049C4" w:rsidP="007049C4" w:rsidRDefault="007049C4" w14:paraId="5B3D457B" w14:textId="77777777">
      <w:pPr>
        <w:pStyle w:val="BodyText"/>
      </w:pPr>
    </w:p>
    <w:p w:rsidR="007049C4" w:rsidP="007049C4" w:rsidRDefault="007049C4" w14:paraId="589F741F" w14:textId="77777777">
      <w:pPr>
        <w:pStyle w:val="ListParagraph"/>
        <w:numPr>
          <w:ilvl w:val="1"/>
          <w:numId w:val="3"/>
        </w:numPr>
        <w:tabs>
          <w:tab w:val="left" w:pos="1539"/>
          <w:tab w:val="left" w:pos="1540"/>
        </w:tabs>
        <w:spacing w:before="1"/>
        <w:ind w:hanging="721"/>
        <w:rPr>
          <w:sz w:val="24"/>
        </w:rPr>
      </w:pPr>
      <w:r>
        <w:rPr>
          <w:sz w:val="24"/>
          <w:u w:val="single"/>
        </w:rPr>
        <w:t>Justification for Sensitive</w:t>
      </w:r>
      <w:r>
        <w:rPr>
          <w:spacing w:val="-2"/>
          <w:sz w:val="24"/>
          <w:u w:val="single"/>
        </w:rPr>
        <w:t xml:space="preserve"> </w:t>
      </w:r>
      <w:r>
        <w:rPr>
          <w:sz w:val="24"/>
          <w:u w:val="single"/>
        </w:rPr>
        <w:t>Questions</w:t>
      </w:r>
    </w:p>
    <w:p w:rsidR="007049C4" w:rsidP="007049C4" w:rsidRDefault="007049C4" w14:paraId="7836AD70" w14:textId="77777777">
      <w:pPr>
        <w:pStyle w:val="BodyText"/>
        <w:spacing w:before="11"/>
        <w:rPr>
          <w:sz w:val="23"/>
        </w:rPr>
      </w:pPr>
    </w:p>
    <w:p w:rsidR="007049C4" w:rsidP="007049C4" w:rsidRDefault="007049C4" w14:paraId="64A89C45" w14:textId="1E75C8E3">
      <w:pPr>
        <w:pStyle w:val="BodyText"/>
        <w:ind w:left="819" w:right="142"/>
      </w:pPr>
      <w:r>
        <w:t xml:space="preserve">ATF Form 8620.42 </w:t>
      </w:r>
      <w:r w:rsidR="00EA7BE4">
        <w:t xml:space="preserve">requires </w:t>
      </w:r>
      <w:r>
        <w:t xml:space="preserve">respondents to provide their PII including </w:t>
      </w:r>
      <w:r w:rsidR="00367684">
        <w:t>SSN</w:t>
      </w:r>
      <w:r>
        <w:t xml:space="preserve">, </w:t>
      </w:r>
      <w:r>
        <w:lastRenderedPageBreak/>
        <w:t>which is necessary to identify them when conducting criminal record searches. This information collection protects the respondent from erroneous collection of PII information.</w:t>
      </w:r>
    </w:p>
    <w:p w:rsidR="007049C4" w:rsidP="007049C4" w:rsidRDefault="007049C4" w14:paraId="337FE333" w14:textId="77777777">
      <w:pPr>
        <w:pStyle w:val="BodyText"/>
      </w:pPr>
    </w:p>
    <w:p w:rsidR="007049C4" w:rsidP="007049C4" w:rsidRDefault="007049C4" w14:paraId="4C3BF717" w14:textId="77777777">
      <w:pPr>
        <w:pStyle w:val="ListParagraph"/>
        <w:numPr>
          <w:ilvl w:val="1"/>
          <w:numId w:val="3"/>
        </w:numPr>
        <w:tabs>
          <w:tab w:val="left" w:pos="1539"/>
          <w:tab w:val="left" w:pos="1540"/>
        </w:tabs>
        <w:ind w:hanging="721"/>
        <w:rPr>
          <w:sz w:val="24"/>
        </w:rPr>
      </w:pPr>
      <w:r>
        <w:rPr>
          <w:sz w:val="24"/>
          <w:u w:val="single"/>
        </w:rPr>
        <w:t>Estimate of Respondent’s</w:t>
      </w:r>
      <w:r>
        <w:rPr>
          <w:spacing w:val="-3"/>
          <w:sz w:val="24"/>
          <w:u w:val="single"/>
        </w:rPr>
        <w:t xml:space="preserve"> </w:t>
      </w:r>
      <w:r>
        <w:rPr>
          <w:sz w:val="24"/>
          <w:u w:val="single"/>
        </w:rPr>
        <w:t>Burden</w:t>
      </w:r>
    </w:p>
    <w:p w:rsidR="007049C4" w:rsidP="007049C4" w:rsidRDefault="007049C4" w14:paraId="338305D9" w14:textId="77777777">
      <w:pPr>
        <w:pStyle w:val="BodyText"/>
      </w:pPr>
    </w:p>
    <w:p w:rsidR="007049C4" w:rsidP="007049C4" w:rsidRDefault="007049C4" w14:paraId="44841D2A" w14:textId="77777777">
      <w:pPr>
        <w:pStyle w:val="BodyText"/>
        <w:ind w:left="819" w:right="455"/>
      </w:pPr>
      <w:r>
        <w:t xml:space="preserve">Approximately 1,000 respondents complete </w:t>
      </w:r>
      <w:r w:rsidRPr="0000350B">
        <w:t>ATF Form 8620.42</w:t>
      </w:r>
      <w:r>
        <w:t xml:space="preserve"> every year. Each respondent will respond once to this IC. Therefore, the total number of responses is 1,000. It is estimated that it takes 4.98 minutes to complete the form. Therefore, the total burden associated with this collection instrument is 83 hours.</w:t>
      </w:r>
    </w:p>
    <w:p w:rsidR="007049C4" w:rsidP="007049C4" w:rsidRDefault="007049C4" w14:paraId="1B5FAB1A" w14:textId="77777777">
      <w:pPr>
        <w:pStyle w:val="BodyText"/>
      </w:pPr>
    </w:p>
    <w:p w:rsidR="007049C4" w:rsidP="007049C4" w:rsidRDefault="007049C4" w14:paraId="4033CBED" w14:textId="77777777">
      <w:pPr>
        <w:pStyle w:val="ListParagraph"/>
        <w:numPr>
          <w:ilvl w:val="1"/>
          <w:numId w:val="3"/>
        </w:numPr>
        <w:tabs>
          <w:tab w:val="left" w:pos="1539"/>
          <w:tab w:val="left" w:pos="1540"/>
        </w:tabs>
        <w:rPr>
          <w:sz w:val="24"/>
        </w:rPr>
      </w:pPr>
      <w:r>
        <w:rPr>
          <w:sz w:val="24"/>
          <w:u w:val="single"/>
        </w:rPr>
        <w:t>Estimate of Cost</w:t>
      </w:r>
      <w:r>
        <w:rPr>
          <w:spacing w:val="-2"/>
          <w:sz w:val="24"/>
          <w:u w:val="single"/>
        </w:rPr>
        <w:t xml:space="preserve"> </w:t>
      </w:r>
      <w:r>
        <w:rPr>
          <w:sz w:val="24"/>
          <w:u w:val="single"/>
        </w:rPr>
        <w:t>Burden</w:t>
      </w:r>
    </w:p>
    <w:p w:rsidR="007049C4" w:rsidP="007049C4" w:rsidRDefault="007049C4" w14:paraId="1E2327E1" w14:textId="77777777">
      <w:pPr>
        <w:pStyle w:val="BodyText"/>
      </w:pPr>
    </w:p>
    <w:p w:rsidR="007049C4" w:rsidP="007049C4" w:rsidRDefault="007049C4" w14:paraId="45BDA1FA" w14:textId="77777777">
      <w:pPr>
        <w:pStyle w:val="BodyText"/>
        <w:ind w:left="820"/>
      </w:pPr>
      <w:r>
        <w:t>There is no new or annualized cost associated with this IC.</w:t>
      </w:r>
    </w:p>
    <w:p w:rsidR="007049C4" w:rsidP="007049C4" w:rsidRDefault="007049C4" w14:paraId="16FBD95A" w14:textId="77777777">
      <w:pPr>
        <w:pStyle w:val="BodyText"/>
      </w:pPr>
    </w:p>
    <w:p w:rsidR="007049C4" w:rsidP="007049C4" w:rsidRDefault="007049C4" w14:paraId="56CE09E4" w14:textId="77777777">
      <w:pPr>
        <w:pStyle w:val="ListParagraph"/>
        <w:numPr>
          <w:ilvl w:val="1"/>
          <w:numId w:val="3"/>
        </w:numPr>
        <w:tabs>
          <w:tab w:val="left" w:pos="1539"/>
          <w:tab w:val="left" w:pos="1540"/>
        </w:tabs>
        <w:spacing w:before="1"/>
        <w:rPr>
          <w:sz w:val="24"/>
        </w:rPr>
      </w:pPr>
      <w:r>
        <w:rPr>
          <w:sz w:val="24"/>
          <w:u w:val="single"/>
        </w:rPr>
        <w:t>Cost to Federal</w:t>
      </w:r>
      <w:r>
        <w:rPr>
          <w:spacing w:val="-1"/>
          <w:sz w:val="24"/>
          <w:u w:val="single"/>
        </w:rPr>
        <w:t xml:space="preserve"> </w:t>
      </w:r>
      <w:r>
        <w:rPr>
          <w:sz w:val="24"/>
          <w:u w:val="single"/>
        </w:rPr>
        <w:t>Government</w:t>
      </w:r>
    </w:p>
    <w:p w:rsidR="007049C4" w:rsidP="007049C4" w:rsidRDefault="007049C4" w14:paraId="395E5282" w14:textId="77777777">
      <w:pPr>
        <w:pStyle w:val="BodyText"/>
        <w:spacing w:before="11"/>
        <w:rPr>
          <w:sz w:val="23"/>
        </w:rPr>
      </w:pPr>
    </w:p>
    <w:p w:rsidR="007049C4" w:rsidP="007049C4" w:rsidRDefault="007049C4" w14:paraId="72902788" w14:textId="77777777">
      <w:pPr>
        <w:pStyle w:val="BodyText"/>
        <w:ind w:left="820" w:right="848"/>
      </w:pPr>
      <w:r>
        <w:t>ATF estimates that the cost to the Federal government for this IC is approximately $1,500 per year.</w:t>
      </w:r>
    </w:p>
    <w:p w:rsidR="007049C4" w:rsidP="007049C4" w:rsidRDefault="007049C4" w14:paraId="1F49723C" w14:textId="77777777"/>
    <w:p w:rsidR="007049C4" w:rsidP="007049C4" w:rsidRDefault="007049C4" w14:paraId="5FB03BF1" w14:textId="77777777">
      <w:pPr>
        <w:pStyle w:val="ListParagraph"/>
        <w:numPr>
          <w:ilvl w:val="1"/>
          <w:numId w:val="3"/>
        </w:numPr>
        <w:tabs>
          <w:tab w:val="left" w:pos="1539"/>
          <w:tab w:val="left" w:pos="1540"/>
        </w:tabs>
        <w:spacing w:before="74"/>
        <w:rPr>
          <w:sz w:val="24"/>
        </w:rPr>
      </w:pPr>
      <w:r>
        <w:rPr>
          <w:sz w:val="24"/>
          <w:u w:val="single"/>
        </w:rPr>
        <w:t>Reason for Change in</w:t>
      </w:r>
      <w:r>
        <w:rPr>
          <w:spacing w:val="-3"/>
          <w:sz w:val="24"/>
          <w:u w:val="single"/>
        </w:rPr>
        <w:t xml:space="preserve"> </w:t>
      </w:r>
      <w:r>
        <w:rPr>
          <w:sz w:val="24"/>
          <w:u w:val="single"/>
        </w:rPr>
        <w:t>Burden</w:t>
      </w:r>
    </w:p>
    <w:p w:rsidR="007049C4" w:rsidP="007049C4" w:rsidRDefault="007049C4" w14:paraId="06F865B8" w14:textId="77777777">
      <w:pPr>
        <w:pStyle w:val="BodyText"/>
      </w:pPr>
    </w:p>
    <w:p w:rsidR="007049C4" w:rsidP="007049C4" w:rsidRDefault="007049C4" w14:paraId="0262FD2B" w14:textId="77777777">
      <w:pPr>
        <w:pStyle w:val="BodyText"/>
        <w:ind w:left="820" w:right="120"/>
      </w:pPr>
      <w:r>
        <w:t>There are no adjustments associated with this IC.</w:t>
      </w:r>
    </w:p>
    <w:p w:rsidR="007049C4" w:rsidP="007049C4" w:rsidRDefault="007049C4" w14:paraId="2A970C60" w14:textId="77777777">
      <w:pPr>
        <w:pStyle w:val="BodyText"/>
      </w:pPr>
    </w:p>
    <w:p w:rsidR="007049C4" w:rsidP="007049C4" w:rsidRDefault="007049C4" w14:paraId="7FC289BA" w14:textId="77777777">
      <w:pPr>
        <w:pStyle w:val="ListParagraph"/>
        <w:numPr>
          <w:ilvl w:val="1"/>
          <w:numId w:val="3"/>
        </w:numPr>
        <w:tabs>
          <w:tab w:val="left" w:pos="1539"/>
          <w:tab w:val="left" w:pos="1540"/>
        </w:tabs>
        <w:spacing w:line="480" w:lineRule="auto"/>
        <w:ind w:left="820" w:right="3193" w:firstLine="0"/>
        <w:rPr>
          <w:sz w:val="24"/>
        </w:rPr>
      </w:pPr>
      <w:r>
        <w:rPr>
          <w:sz w:val="24"/>
          <w:u w:val="single"/>
        </w:rPr>
        <w:t>Anticipated Publication Plan and</w:t>
      </w:r>
      <w:r>
        <w:rPr>
          <w:spacing w:val="-10"/>
          <w:sz w:val="24"/>
          <w:u w:val="single"/>
        </w:rPr>
        <w:t xml:space="preserve"> </w:t>
      </w:r>
      <w:r>
        <w:rPr>
          <w:sz w:val="24"/>
          <w:u w:val="single"/>
        </w:rPr>
        <w:t>Schedule</w:t>
      </w:r>
      <w:r>
        <w:rPr>
          <w:sz w:val="24"/>
        </w:rPr>
        <w:t xml:space="preserve"> ATF will not publish this information</w:t>
      </w:r>
      <w:r>
        <w:rPr>
          <w:spacing w:val="-12"/>
          <w:sz w:val="24"/>
        </w:rPr>
        <w:t xml:space="preserve"> </w:t>
      </w:r>
      <w:r>
        <w:rPr>
          <w:sz w:val="24"/>
        </w:rPr>
        <w:t>collection.</w:t>
      </w:r>
    </w:p>
    <w:p w:rsidR="007049C4" w:rsidP="007049C4" w:rsidRDefault="007049C4" w14:paraId="652AA705" w14:textId="77777777">
      <w:pPr>
        <w:pStyle w:val="ListParagraph"/>
        <w:numPr>
          <w:ilvl w:val="1"/>
          <w:numId w:val="3"/>
        </w:numPr>
        <w:tabs>
          <w:tab w:val="left" w:pos="1539"/>
          <w:tab w:val="left" w:pos="1540"/>
        </w:tabs>
        <w:rPr>
          <w:sz w:val="24"/>
        </w:rPr>
      </w:pPr>
      <w:r>
        <w:rPr>
          <w:sz w:val="24"/>
          <w:u w:val="single"/>
        </w:rPr>
        <w:t>Display of Expiration</w:t>
      </w:r>
      <w:r>
        <w:rPr>
          <w:spacing w:val="-5"/>
          <w:sz w:val="24"/>
          <w:u w:val="single"/>
        </w:rPr>
        <w:t xml:space="preserve"> </w:t>
      </w:r>
      <w:r>
        <w:rPr>
          <w:sz w:val="24"/>
          <w:u w:val="single"/>
        </w:rPr>
        <w:t>Date</w:t>
      </w:r>
    </w:p>
    <w:p w:rsidR="007049C4" w:rsidP="007049C4" w:rsidRDefault="007049C4" w14:paraId="30564DCC" w14:textId="77777777">
      <w:pPr>
        <w:pStyle w:val="BodyText"/>
      </w:pPr>
    </w:p>
    <w:p w:rsidR="007049C4" w:rsidP="007049C4" w:rsidRDefault="007049C4" w14:paraId="79F362EC" w14:textId="77777777">
      <w:pPr>
        <w:pStyle w:val="BodyText"/>
        <w:ind w:left="820" w:right="468"/>
      </w:pPr>
      <w:r>
        <w:t>ATF is not requesting approval to omit the expiration date for this information collection.</w:t>
      </w:r>
    </w:p>
    <w:p w:rsidR="007049C4" w:rsidP="007049C4" w:rsidRDefault="007049C4" w14:paraId="0926F372" w14:textId="77777777">
      <w:pPr>
        <w:pStyle w:val="BodyText"/>
      </w:pPr>
    </w:p>
    <w:p w:rsidR="007049C4" w:rsidP="007049C4" w:rsidRDefault="007049C4" w14:paraId="36560BB2" w14:textId="77777777">
      <w:pPr>
        <w:pStyle w:val="ListParagraph"/>
        <w:numPr>
          <w:ilvl w:val="1"/>
          <w:numId w:val="3"/>
        </w:numPr>
        <w:tabs>
          <w:tab w:val="left" w:pos="1539"/>
          <w:tab w:val="left" w:pos="1540"/>
        </w:tabs>
        <w:rPr>
          <w:sz w:val="24"/>
        </w:rPr>
      </w:pPr>
      <w:r>
        <w:rPr>
          <w:sz w:val="24"/>
          <w:u w:val="single"/>
        </w:rPr>
        <w:t>Exception to the Certification</w:t>
      </w:r>
      <w:r>
        <w:rPr>
          <w:spacing w:val="-2"/>
          <w:sz w:val="24"/>
          <w:u w:val="single"/>
        </w:rPr>
        <w:t xml:space="preserve"> </w:t>
      </w:r>
      <w:r>
        <w:rPr>
          <w:sz w:val="24"/>
          <w:u w:val="single"/>
        </w:rPr>
        <w:t>Statement</w:t>
      </w:r>
    </w:p>
    <w:p w:rsidR="007049C4" w:rsidP="007049C4" w:rsidRDefault="007049C4" w14:paraId="1E0B76BF" w14:textId="77777777">
      <w:pPr>
        <w:pStyle w:val="BodyText"/>
      </w:pPr>
    </w:p>
    <w:p w:rsidR="007049C4" w:rsidP="007049C4" w:rsidRDefault="007049C4" w14:paraId="38D73103" w14:textId="77777777">
      <w:pPr>
        <w:pStyle w:val="BodyText"/>
        <w:ind w:left="820"/>
      </w:pPr>
      <w:r>
        <w:t>There are no exceptions to the Certification Statement.</w:t>
      </w:r>
    </w:p>
    <w:p w:rsidR="007049C4" w:rsidP="007049C4" w:rsidRDefault="007049C4" w14:paraId="32801FB3" w14:textId="77777777">
      <w:pPr>
        <w:pStyle w:val="BodyText"/>
        <w:spacing w:before="5"/>
      </w:pPr>
    </w:p>
    <w:p w:rsidR="007049C4" w:rsidP="007049C4" w:rsidRDefault="007049C4" w14:paraId="784CE72C" w14:textId="77777777">
      <w:pPr>
        <w:pStyle w:val="Heading1"/>
        <w:numPr>
          <w:ilvl w:val="0"/>
          <w:numId w:val="3"/>
        </w:numPr>
        <w:tabs>
          <w:tab w:val="left" w:pos="819"/>
          <w:tab w:val="left" w:pos="820"/>
        </w:tabs>
        <w:ind w:left="819" w:right="778"/>
      </w:pPr>
      <w:r>
        <w:t>COLLECTIONS OF INFORMATION EMPLOYING</w:t>
      </w:r>
      <w:r>
        <w:rPr>
          <w:spacing w:val="-24"/>
        </w:rPr>
        <w:t xml:space="preserve"> </w:t>
      </w:r>
      <w:r>
        <w:t>STATISTICAL METHODS</w:t>
      </w:r>
    </w:p>
    <w:p w:rsidR="007049C4" w:rsidP="007049C4" w:rsidRDefault="007049C4" w14:paraId="394D7853" w14:textId="77777777">
      <w:pPr>
        <w:pStyle w:val="BodyText"/>
        <w:spacing w:before="7"/>
        <w:rPr>
          <w:b/>
          <w:sz w:val="23"/>
        </w:rPr>
      </w:pPr>
    </w:p>
    <w:p w:rsidRPr="00367684" w:rsidR="00C942B4" w:rsidP="0057460A" w:rsidRDefault="00C942B4" w14:paraId="6C0DCD02" w14:textId="5DB78FDC">
      <w:pPr>
        <w:pStyle w:val="ListParagraph"/>
        <w:numPr>
          <w:ilvl w:val="0"/>
          <w:numId w:val="4"/>
        </w:numPr>
        <w:ind w:hanging="729"/>
        <w:rPr>
          <w:sz w:val="24"/>
          <w:szCs w:val="24"/>
          <w:u w:val="single"/>
        </w:rPr>
      </w:pPr>
      <w:r w:rsidRPr="00367684">
        <w:rPr>
          <w:sz w:val="24"/>
          <w:szCs w:val="24"/>
          <w:u w:val="single"/>
        </w:rPr>
        <w:t>None</w:t>
      </w:r>
    </w:p>
    <w:p w:rsidR="00DD7BAC" w:rsidP="00ED2FB6" w:rsidRDefault="00DD7BAC" w14:paraId="687EC328" w14:textId="77777777">
      <w:pPr>
        <w:pStyle w:val="ListParagraph"/>
        <w:tabs>
          <w:tab w:val="left" w:pos="1539"/>
          <w:tab w:val="left" w:pos="1540"/>
        </w:tabs>
        <w:ind w:firstLine="0"/>
      </w:pPr>
    </w:p>
    <w:sectPr w:rsidR="00DD7BAC">
      <w:footerReference w:type="default" r:id="rId7"/>
      <w:pgSz w:w="12240" w:h="15840"/>
      <w:pgMar w:top="13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2DFF9" w14:textId="77777777" w:rsidR="001412C0" w:rsidRDefault="001412C0" w:rsidP="000426FF">
      <w:r>
        <w:separator/>
      </w:r>
    </w:p>
  </w:endnote>
  <w:endnote w:type="continuationSeparator" w:id="0">
    <w:p w14:paraId="2B4E4CFD" w14:textId="77777777" w:rsidR="001412C0" w:rsidRDefault="001412C0" w:rsidP="0004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888658"/>
      <w:docPartObj>
        <w:docPartGallery w:val="Page Numbers (Bottom of Page)"/>
        <w:docPartUnique/>
      </w:docPartObj>
    </w:sdtPr>
    <w:sdtEndPr>
      <w:rPr>
        <w:noProof/>
      </w:rPr>
    </w:sdtEndPr>
    <w:sdtContent>
      <w:p w14:paraId="6D3987E4" w14:textId="77777777" w:rsidR="000426FF" w:rsidRDefault="000426FF">
        <w:pPr>
          <w:pStyle w:val="Footer"/>
          <w:jc w:val="center"/>
        </w:pPr>
        <w:r>
          <w:fldChar w:fldCharType="begin"/>
        </w:r>
        <w:r>
          <w:instrText xml:space="preserve"> PAGE   \* MERGEFORMAT </w:instrText>
        </w:r>
        <w:r>
          <w:fldChar w:fldCharType="separate"/>
        </w:r>
        <w:r w:rsidR="0057460A">
          <w:rPr>
            <w:noProof/>
          </w:rPr>
          <w:t>4</w:t>
        </w:r>
        <w:r>
          <w:rPr>
            <w:noProof/>
          </w:rPr>
          <w:fldChar w:fldCharType="end"/>
        </w:r>
      </w:p>
    </w:sdtContent>
  </w:sdt>
  <w:p w14:paraId="531F1F2D" w14:textId="77777777" w:rsidR="000426FF" w:rsidRDefault="0004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62C29" w14:textId="77777777" w:rsidR="001412C0" w:rsidRDefault="001412C0" w:rsidP="000426FF">
      <w:r>
        <w:separator/>
      </w:r>
    </w:p>
  </w:footnote>
  <w:footnote w:type="continuationSeparator" w:id="0">
    <w:p w14:paraId="3AF48006" w14:textId="77777777" w:rsidR="001412C0" w:rsidRDefault="001412C0" w:rsidP="00042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4D1A"/>
    <w:multiLevelType w:val="hybridMultilevel"/>
    <w:tmpl w:val="BF06BEAA"/>
    <w:lvl w:ilvl="0" w:tplc="8DDCC282">
      <w:start w:val="1"/>
      <w:numFmt w:val="upperLetter"/>
      <w:lvlText w:val="%1."/>
      <w:lvlJc w:val="left"/>
      <w:pPr>
        <w:ind w:left="820" w:hanging="720"/>
        <w:jc w:val="left"/>
      </w:pPr>
      <w:rPr>
        <w:rFonts w:ascii="Times New Roman" w:eastAsia="Times New Roman" w:hAnsi="Times New Roman" w:cs="Times New Roman" w:hint="default"/>
        <w:b/>
        <w:bCs/>
        <w:spacing w:val="-1"/>
        <w:w w:val="99"/>
        <w:sz w:val="24"/>
        <w:szCs w:val="24"/>
        <w:lang w:val="en-US" w:eastAsia="en-US" w:bidi="ar-SA"/>
      </w:rPr>
    </w:lvl>
    <w:lvl w:ilvl="1" w:tplc="96D02F6E">
      <w:start w:val="1"/>
      <w:numFmt w:val="decimal"/>
      <w:lvlText w:val="%2."/>
      <w:lvlJc w:val="left"/>
      <w:pPr>
        <w:ind w:left="1540" w:hanging="720"/>
        <w:jc w:val="left"/>
      </w:pPr>
      <w:rPr>
        <w:rFonts w:ascii="Times New Roman" w:eastAsia="Times New Roman" w:hAnsi="Times New Roman" w:cs="Times New Roman" w:hint="default"/>
        <w:w w:val="100"/>
        <w:sz w:val="24"/>
        <w:szCs w:val="24"/>
        <w:lang w:val="en-US" w:eastAsia="en-US" w:bidi="ar-SA"/>
      </w:rPr>
    </w:lvl>
    <w:lvl w:ilvl="2" w:tplc="E7926F68">
      <w:numFmt w:val="bullet"/>
      <w:lvlText w:val="•"/>
      <w:lvlJc w:val="left"/>
      <w:pPr>
        <w:ind w:left="2351" w:hanging="720"/>
      </w:pPr>
      <w:rPr>
        <w:rFonts w:hint="default"/>
        <w:lang w:val="en-US" w:eastAsia="en-US" w:bidi="ar-SA"/>
      </w:rPr>
    </w:lvl>
    <w:lvl w:ilvl="3" w:tplc="70166CDA">
      <w:numFmt w:val="bullet"/>
      <w:lvlText w:val="•"/>
      <w:lvlJc w:val="left"/>
      <w:pPr>
        <w:ind w:left="3162" w:hanging="720"/>
      </w:pPr>
      <w:rPr>
        <w:rFonts w:hint="default"/>
        <w:lang w:val="en-US" w:eastAsia="en-US" w:bidi="ar-SA"/>
      </w:rPr>
    </w:lvl>
    <w:lvl w:ilvl="4" w:tplc="472A6614">
      <w:numFmt w:val="bullet"/>
      <w:lvlText w:val="•"/>
      <w:lvlJc w:val="left"/>
      <w:pPr>
        <w:ind w:left="3973" w:hanging="720"/>
      </w:pPr>
      <w:rPr>
        <w:rFonts w:hint="default"/>
        <w:lang w:val="en-US" w:eastAsia="en-US" w:bidi="ar-SA"/>
      </w:rPr>
    </w:lvl>
    <w:lvl w:ilvl="5" w:tplc="6400B28A">
      <w:numFmt w:val="bullet"/>
      <w:lvlText w:val="•"/>
      <w:lvlJc w:val="left"/>
      <w:pPr>
        <w:ind w:left="4784" w:hanging="720"/>
      </w:pPr>
      <w:rPr>
        <w:rFonts w:hint="default"/>
        <w:lang w:val="en-US" w:eastAsia="en-US" w:bidi="ar-SA"/>
      </w:rPr>
    </w:lvl>
    <w:lvl w:ilvl="6" w:tplc="D8B2D284">
      <w:numFmt w:val="bullet"/>
      <w:lvlText w:val="•"/>
      <w:lvlJc w:val="left"/>
      <w:pPr>
        <w:ind w:left="5595" w:hanging="720"/>
      </w:pPr>
      <w:rPr>
        <w:rFonts w:hint="default"/>
        <w:lang w:val="en-US" w:eastAsia="en-US" w:bidi="ar-SA"/>
      </w:rPr>
    </w:lvl>
    <w:lvl w:ilvl="7" w:tplc="9184FA0A">
      <w:numFmt w:val="bullet"/>
      <w:lvlText w:val="•"/>
      <w:lvlJc w:val="left"/>
      <w:pPr>
        <w:ind w:left="6406" w:hanging="720"/>
      </w:pPr>
      <w:rPr>
        <w:rFonts w:hint="default"/>
        <w:lang w:val="en-US" w:eastAsia="en-US" w:bidi="ar-SA"/>
      </w:rPr>
    </w:lvl>
    <w:lvl w:ilvl="8" w:tplc="EB9E9CE2">
      <w:numFmt w:val="bullet"/>
      <w:lvlText w:val="•"/>
      <w:lvlJc w:val="left"/>
      <w:pPr>
        <w:ind w:left="7217" w:hanging="720"/>
      </w:pPr>
      <w:rPr>
        <w:rFonts w:hint="default"/>
        <w:lang w:val="en-US" w:eastAsia="en-US" w:bidi="ar-SA"/>
      </w:rPr>
    </w:lvl>
  </w:abstractNum>
  <w:abstractNum w:abstractNumId="1" w15:restartNumberingAfterBreak="0">
    <w:nsid w:val="2CE05609"/>
    <w:multiLevelType w:val="hybridMultilevel"/>
    <w:tmpl w:val="D69A5ABC"/>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15:restartNumberingAfterBreak="0">
    <w:nsid w:val="30D7613D"/>
    <w:multiLevelType w:val="hybridMultilevel"/>
    <w:tmpl w:val="7C9ABF7C"/>
    <w:lvl w:ilvl="0" w:tplc="715E7B3A">
      <w:numFmt w:val="bullet"/>
      <w:lvlText w:val=""/>
      <w:lvlJc w:val="left"/>
      <w:pPr>
        <w:ind w:left="1540" w:hanging="629"/>
      </w:pPr>
      <w:rPr>
        <w:rFonts w:ascii="Symbol" w:eastAsia="Symbol" w:hAnsi="Symbol" w:cs="Symbol" w:hint="default"/>
        <w:w w:val="100"/>
        <w:sz w:val="24"/>
        <w:szCs w:val="24"/>
        <w:lang w:val="en-US" w:eastAsia="en-US" w:bidi="ar-SA"/>
      </w:rPr>
    </w:lvl>
    <w:lvl w:ilvl="1" w:tplc="DA0C763A">
      <w:numFmt w:val="bullet"/>
      <w:lvlText w:val="•"/>
      <w:lvlJc w:val="left"/>
      <w:pPr>
        <w:ind w:left="2270" w:hanging="629"/>
      </w:pPr>
      <w:rPr>
        <w:rFonts w:hint="default"/>
        <w:lang w:val="en-US" w:eastAsia="en-US" w:bidi="ar-SA"/>
      </w:rPr>
    </w:lvl>
    <w:lvl w:ilvl="2" w:tplc="0CFC77B2">
      <w:numFmt w:val="bullet"/>
      <w:lvlText w:val="•"/>
      <w:lvlJc w:val="left"/>
      <w:pPr>
        <w:ind w:left="3000" w:hanging="629"/>
      </w:pPr>
      <w:rPr>
        <w:rFonts w:hint="default"/>
        <w:lang w:val="en-US" w:eastAsia="en-US" w:bidi="ar-SA"/>
      </w:rPr>
    </w:lvl>
    <w:lvl w:ilvl="3" w:tplc="43F8DCD8">
      <w:numFmt w:val="bullet"/>
      <w:lvlText w:val="•"/>
      <w:lvlJc w:val="left"/>
      <w:pPr>
        <w:ind w:left="3730" w:hanging="629"/>
      </w:pPr>
      <w:rPr>
        <w:rFonts w:hint="default"/>
        <w:lang w:val="en-US" w:eastAsia="en-US" w:bidi="ar-SA"/>
      </w:rPr>
    </w:lvl>
    <w:lvl w:ilvl="4" w:tplc="EBE07362">
      <w:numFmt w:val="bullet"/>
      <w:lvlText w:val="•"/>
      <w:lvlJc w:val="left"/>
      <w:pPr>
        <w:ind w:left="4460" w:hanging="629"/>
      </w:pPr>
      <w:rPr>
        <w:rFonts w:hint="default"/>
        <w:lang w:val="en-US" w:eastAsia="en-US" w:bidi="ar-SA"/>
      </w:rPr>
    </w:lvl>
    <w:lvl w:ilvl="5" w:tplc="ECF05A14">
      <w:numFmt w:val="bullet"/>
      <w:lvlText w:val="•"/>
      <w:lvlJc w:val="left"/>
      <w:pPr>
        <w:ind w:left="5190" w:hanging="629"/>
      </w:pPr>
      <w:rPr>
        <w:rFonts w:hint="default"/>
        <w:lang w:val="en-US" w:eastAsia="en-US" w:bidi="ar-SA"/>
      </w:rPr>
    </w:lvl>
    <w:lvl w:ilvl="6" w:tplc="0948812E">
      <w:numFmt w:val="bullet"/>
      <w:lvlText w:val="•"/>
      <w:lvlJc w:val="left"/>
      <w:pPr>
        <w:ind w:left="5920" w:hanging="629"/>
      </w:pPr>
      <w:rPr>
        <w:rFonts w:hint="default"/>
        <w:lang w:val="en-US" w:eastAsia="en-US" w:bidi="ar-SA"/>
      </w:rPr>
    </w:lvl>
    <w:lvl w:ilvl="7" w:tplc="2EFCDEA4">
      <w:numFmt w:val="bullet"/>
      <w:lvlText w:val="•"/>
      <w:lvlJc w:val="left"/>
      <w:pPr>
        <w:ind w:left="6650" w:hanging="629"/>
      </w:pPr>
      <w:rPr>
        <w:rFonts w:hint="default"/>
        <w:lang w:val="en-US" w:eastAsia="en-US" w:bidi="ar-SA"/>
      </w:rPr>
    </w:lvl>
    <w:lvl w:ilvl="8" w:tplc="D5768620">
      <w:numFmt w:val="bullet"/>
      <w:lvlText w:val="•"/>
      <w:lvlJc w:val="left"/>
      <w:pPr>
        <w:ind w:left="7380" w:hanging="629"/>
      </w:pPr>
      <w:rPr>
        <w:rFonts w:hint="default"/>
        <w:lang w:val="en-US" w:eastAsia="en-US" w:bidi="ar-SA"/>
      </w:rPr>
    </w:lvl>
  </w:abstractNum>
  <w:abstractNum w:abstractNumId="3" w15:restartNumberingAfterBreak="0">
    <w:nsid w:val="57941AAE"/>
    <w:multiLevelType w:val="hybridMultilevel"/>
    <w:tmpl w:val="6E869EAA"/>
    <w:lvl w:ilvl="0" w:tplc="4CBE9EEE">
      <w:numFmt w:val="bullet"/>
      <w:lvlText w:val=""/>
      <w:lvlJc w:val="left"/>
      <w:pPr>
        <w:ind w:left="1540" w:hanging="720"/>
      </w:pPr>
      <w:rPr>
        <w:rFonts w:ascii="Wingdings" w:eastAsia="Wingdings" w:hAnsi="Wingdings" w:cs="Wingdings" w:hint="default"/>
        <w:w w:val="100"/>
        <w:sz w:val="24"/>
        <w:szCs w:val="24"/>
        <w:lang w:val="en-US" w:eastAsia="en-US" w:bidi="ar-SA"/>
      </w:rPr>
    </w:lvl>
    <w:lvl w:ilvl="1" w:tplc="A5567BCE">
      <w:numFmt w:val="bullet"/>
      <w:lvlText w:val="•"/>
      <w:lvlJc w:val="left"/>
      <w:pPr>
        <w:ind w:left="2270" w:hanging="720"/>
      </w:pPr>
      <w:rPr>
        <w:rFonts w:hint="default"/>
        <w:lang w:val="en-US" w:eastAsia="en-US" w:bidi="ar-SA"/>
      </w:rPr>
    </w:lvl>
    <w:lvl w:ilvl="2" w:tplc="2E4809EC">
      <w:numFmt w:val="bullet"/>
      <w:lvlText w:val="•"/>
      <w:lvlJc w:val="left"/>
      <w:pPr>
        <w:ind w:left="3000" w:hanging="720"/>
      </w:pPr>
      <w:rPr>
        <w:rFonts w:hint="default"/>
        <w:lang w:val="en-US" w:eastAsia="en-US" w:bidi="ar-SA"/>
      </w:rPr>
    </w:lvl>
    <w:lvl w:ilvl="3" w:tplc="0772E086">
      <w:numFmt w:val="bullet"/>
      <w:lvlText w:val="•"/>
      <w:lvlJc w:val="left"/>
      <w:pPr>
        <w:ind w:left="3730" w:hanging="720"/>
      </w:pPr>
      <w:rPr>
        <w:rFonts w:hint="default"/>
        <w:lang w:val="en-US" w:eastAsia="en-US" w:bidi="ar-SA"/>
      </w:rPr>
    </w:lvl>
    <w:lvl w:ilvl="4" w:tplc="F58A7960">
      <w:numFmt w:val="bullet"/>
      <w:lvlText w:val="•"/>
      <w:lvlJc w:val="left"/>
      <w:pPr>
        <w:ind w:left="4460" w:hanging="720"/>
      </w:pPr>
      <w:rPr>
        <w:rFonts w:hint="default"/>
        <w:lang w:val="en-US" w:eastAsia="en-US" w:bidi="ar-SA"/>
      </w:rPr>
    </w:lvl>
    <w:lvl w:ilvl="5" w:tplc="CFB27A60">
      <w:numFmt w:val="bullet"/>
      <w:lvlText w:val="•"/>
      <w:lvlJc w:val="left"/>
      <w:pPr>
        <w:ind w:left="5190" w:hanging="720"/>
      </w:pPr>
      <w:rPr>
        <w:rFonts w:hint="default"/>
        <w:lang w:val="en-US" w:eastAsia="en-US" w:bidi="ar-SA"/>
      </w:rPr>
    </w:lvl>
    <w:lvl w:ilvl="6" w:tplc="4CF0FC68">
      <w:numFmt w:val="bullet"/>
      <w:lvlText w:val="•"/>
      <w:lvlJc w:val="left"/>
      <w:pPr>
        <w:ind w:left="5920" w:hanging="720"/>
      </w:pPr>
      <w:rPr>
        <w:rFonts w:hint="default"/>
        <w:lang w:val="en-US" w:eastAsia="en-US" w:bidi="ar-SA"/>
      </w:rPr>
    </w:lvl>
    <w:lvl w:ilvl="7" w:tplc="EE0E324C">
      <w:numFmt w:val="bullet"/>
      <w:lvlText w:val="•"/>
      <w:lvlJc w:val="left"/>
      <w:pPr>
        <w:ind w:left="6650" w:hanging="720"/>
      </w:pPr>
      <w:rPr>
        <w:rFonts w:hint="default"/>
        <w:lang w:val="en-US" w:eastAsia="en-US" w:bidi="ar-SA"/>
      </w:rPr>
    </w:lvl>
    <w:lvl w:ilvl="8" w:tplc="EFF2B5EA">
      <w:numFmt w:val="bullet"/>
      <w:lvlText w:val="•"/>
      <w:lvlJc w:val="left"/>
      <w:pPr>
        <w:ind w:left="7380" w:hanging="72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AC"/>
    <w:rsid w:val="000426FF"/>
    <w:rsid w:val="00063374"/>
    <w:rsid w:val="000D1EE0"/>
    <w:rsid w:val="001412C0"/>
    <w:rsid w:val="00144908"/>
    <w:rsid w:val="00184719"/>
    <w:rsid w:val="001F21D9"/>
    <w:rsid w:val="00234A15"/>
    <w:rsid w:val="002762FC"/>
    <w:rsid w:val="00306DAC"/>
    <w:rsid w:val="00322C84"/>
    <w:rsid w:val="003279AF"/>
    <w:rsid w:val="00367684"/>
    <w:rsid w:val="00372C0B"/>
    <w:rsid w:val="003B2CB1"/>
    <w:rsid w:val="003E7937"/>
    <w:rsid w:val="00484739"/>
    <w:rsid w:val="004D7F83"/>
    <w:rsid w:val="0053555D"/>
    <w:rsid w:val="00570DC4"/>
    <w:rsid w:val="0057460A"/>
    <w:rsid w:val="00643095"/>
    <w:rsid w:val="00676C79"/>
    <w:rsid w:val="007049C4"/>
    <w:rsid w:val="007554E6"/>
    <w:rsid w:val="0078644F"/>
    <w:rsid w:val="007D4B39"/>
    <w:rsid w:val="007F23E9"/>
    <w:rsid w:val="0087000B"/>
    <w:rsid w:val="0087370E"/>
    <w:rsid w:val="00876343"/>
    <w:rsid w:val="008C7EEF"/>
    <w:rsid w:val="008D02EA"/>
    <w:rsid w:val="009D01D9"/>
    <w:rsid w:val="00A41AF9"/>
    <w:rsid w:val="00AC7D47"/>
    <w:rsid w:val="00BA68C4"/>
    <w:rsid w:val="00BC4DA5"/>
    <w:rsid w:val="00BE2CF0"/>
    <w:rsid w:val="00BE42EC"/>
    <w:rsid w:val="00C85203"/>
    <w:rsid w:val="00C942B4"/>
    <w:rsid w:val="00DB7D26"/>
    <w:rsid w:val="00DD7BAC"/>
    <w:rsid w:val="00EA163A"/>
    <w:rsid w:val="00EA7BE4"/>
    <w:rsid w:val="00EC2D62"/>
    <w:rsid w:val="00ED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6BD5"/>
  <w15:docId w15:val="{9805340D-A1B2-4D68-A05D-8F703BE1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1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76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2FC"/>
    <w:rPr>
      <w:rFonts w:ascii="Segoe UI" w:eastAsia="Times New Roman" w:hAnsi="Segoe UI" w:cs="Segoe UI"/>
      <w:sz w:val="18"/>
      <w:szCs w:val="18"/>
    </w:rPr>
  </w:style>
  <w:style w:type="paragraph" w:styleId="Header">
    <w:name w:val="header"/>
    <w:basedOn w:val="Normal"/>
    <w:link w:val="HeaderChar"/>
    <w:uiPriority w:val="99"/>
    <w:unhideWhenUsed/>
    <w:rsid w:val="000426FF"/>
    <w:pPr>
      <w:tabs>
        <w:tab w:val="center" w:pos="4680"/>
        <w:tab w:val="right" w:pos="9360"/>
      </w:tabs>
    </w:pPr>
  </w:style>
  <w:style w:type="character" w:customStyle="1" w:styleId="HeaderChar">
    <w:name w:val="Header Char"/>
    <w:basedOn w:val="DefaultParagraphFont"/>
    <w:link w:val="Header"/>
    <w:uiPriority w:val="99"/>
    <w:rsid w:val="000426FF"/>
    <w:rPr>
      <w:rFonts w:ascii="Times New Roman" w:eastAsia="Times New Roman" w:hAnsi="Times New Roman" w:cs="Times New Roman"/>
    </w:rPr>
  </w:style>
  <w:style w:type="paragraph" w:styleId="Footer">
    <w:name w:val="footer"/>
    <w:basedOn w:val="Normal"/>
    <w:link w:val="FooterChar"/>
    <w:uiPriority w:val="99"/>
    <w:unhideWhenUsed/>
    <w:rsid w:val="000426FF"/>
    <w:pPr>
      <w:tabs>
        <w:tab w:val="center" w:pos="4680"/>
        <w:tab w:val="right" w:pos="9360"/>
      </w:tabs>
    </w:pPr>
  </w:style>
  <w:style w:type="character" w:customStyle="1" w:styleId="FooterChar">
    <w:name w:val="Footer Char"/>
    <w:basedOn w:val="DefaultParagraphFont"/>
    <w:link w:val="Footer"/>
    <w:uiPriority w:val="99"/>
    <w:rsid w:val="000426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1440</Words>
  <Characters>7373</Characters>
  <Application>Microsoft Office Word</Application>
  <DocSecurity>0</DocSecurity>
  <Lines>335</Lines>
  <Paragraphs>191</Paragraphs>
  <ScaleCrop>false</ScaleCrop>
  <HeadingPairs>
    <vt:vector size="2" baseType="variant">
      <vt:variant>
        <vt:lpstr>Title</vt:lpstr>
      </vt:variant>
      <vt:variant>
        <vt:i4>1</vt:i4>
      </vt:variant>
    </vt:vector>
  </HeadingPairs>
  <TitlesOfParts>
    <vt:vector size="1" baseType="lpstr">
      <vt:lpstr>OMB 1140-0068 (Police Check Inquiry - ATF F 8620.42) - 508</vt:lpstr>
    </vt:vector>
  </TitlesOfParts>
  <Company>Bureau of Alcohol, Tobacco, Firearms and Explosives</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1140-0068 (Police Check Inquiry - ATF F 8620.42) - 508</dc:title>
  <dc:creator>ATF</dc:creator>
  <cp:lastModifiedBy>Bolton, Tamelia A. (Contractor)</cp:lastModifiedBy>
  <cp:revision>3</cp:revision>
  <dcterms:created xsi:type="dcterms:W3CDTF">2021-03-26T14:10:00Z</dcterms:created>
  <dcterms:modified xsi:type="dcterms:W3CDTF">2021-03-26T14:21:00Z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Acrobat PDFMaker 17 for Word</vt:lpwstr>
  </property>
  <property fmtid="{D5CDD505-2E9C-101B-9397-08002B2CF9AE}" pid="4" name="LastSaved">
    <vt:filetime>2021-01-07T00:00:00Z</vt:filetime>
  </property>
</Properties>
</file>