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F6C" w:rsidRDefault="00B24F6C" w14:paraId="05CEBB43" w14:textId="77777777">
      <w:pPr>
        <w:pStyle w:val="Default"/>
        <w:rPr>
          <w:rFonts w:ascii="Arial" w:hAnsi="Arial" w:cs="Arial"/>
          <w:b/>
          <w:bCs/>
          <w:color w:val="auto"/>
        </w:rPr>
      </w:pPr>
    </w:p>
    <w:p w:rsidRPr="00156E5A" w:rsidR="00952D1E" w:rsidP="00156E5A" w:rsidRDefault="00156E5A" w14:paraId="66F2BE32" w14:textId="77777777">
      <w:pPr>
        <w:pStyle w:val="Default"/>
        <w:jc w:val="center"/>
        <w:outlineLvl w:val="0"/>
        <w:rPr>
          <w:rFonts w:ascii="Arial" w:hAnsi="Arial" w:cs="Arial"/>
          <w:b/>
          <w:bCs/>
          <w:color w:val="auto"/>
        </w:rPr>
      </w:pPr>
      <w:r w:rsidRPr="00156E5A">
        <w:rPr>
          <w:rFonts w:ascii="Arial" w:hAnsi="Arial" w:cs="Arial"/>
          <w:b/>
          <w:bCs/>
          <w:color w:val="auto"/>
        </w:rPr>
        <w:t>SUPPORTING STATEMENT FOR UNDERGROUND RETORTS</w:t>
      </w:r>
    </w:p>
    <w:p w:rsidRPr="00156E5A" w:rsidR="00156E5A" w:rsidP="00167134" w:rsidRDefault="00156E5A" w14:paraId="09778199" w14:textId="77777777">
      <w:pPr>
        <w:pStyle w:val="Default"/>
        <w:outlineLvl w:val="0"/>
        <w:rPr>
          <w:rFonts w:ascii="Arial" w:hAnsi="Arial" w:cs="Arial"/>
          <w:b/>
          <w:color w:val="auto"/>
        </w:rPr>
      </w:pPr>
    </w:p>
    <w:p w:rsidRPr="00156E5A" w:rsidR="00156E5A" w:rsidP="00167134" w:rsidRDefault="00156E5A" w14:paraId="48B3809B" w14:textId="77777777">
      <w:pPr>
        <w:pStyle w:val="Default"/>
        <w:outlineLvl w:val="0"/>
        <w:rPr>
          <w:rFonts w:ascii="Arial" w:hAnsi="Arial" w:cs="Arial"/>
          <w:b/>
          <w:color w:val="auto"/>
        </w:rPr>
      </w:pPr>
      <w:r w:rsidRPr="00156E5A">
        <w:rPr>
          <w:rFonts w:ascii="Arial" w:hAnsi="Arial" w:cs="Arial"/>
          <w:b/>
          <w:color w:val="auto"/>
        </w:rPr>
        <w:t>This ICR seeks to extend</w:t>
      </w:r>
      <w:r w:rsidR="008C059E">
        <w:rPr>
          <w:rFonts w:ascii="Arial" w:hAnsi="Arial" w:cs="Arial"/>
          <w:b/>
          <w:color w:val="auto"/>
        </w:rPr>
        <w:t>,</w:t>
      </w:r>
      <w:r w:rsidRPr="00156E5A">
        <w:rPr>
          <w:rFonts w:ascii="Arial" w:hAnsi="Arial" w:cs="Arial"/>
          <w:b/>
          <w:color w:val="auto"/>
        </w:rPr>
        <w:t xml:space="preserve"> without change</w:t>
      </w:r>
      <w:r w:rsidR="008C059E">
        <w:rPr>
          <w:rFonts w:ascii="Arial" w:hAnsi="Arial" w:cs="Arial"/>
          <w:b/>
          <w:color w:val="auto"/>
        </w:rPr>
        <w:t>,</w:t>
      </w:r>
      <w:r w:rsidRPr="00156E5A">
        <w:rPr>
          <w:rFonts w:ascii="Arial" w:hAnsi="Arial" w:cs="Arial"/>
          <w:b/>
          <w:color w:val="auto"/>
        </w:rPr>
        <w:t xml:space="preserve"> an existing Information Collection Request</w:t>
      </w:r>
      <w:r>
        <w:rPr>
          <w:rFonts w:ascii="Arial" w:hAnsi="Arial" w:cs="Arial"/>
          <w:b/>
          <w:color w:val="auto"/>
        </w:rPr>
        <w:t xml:space="preserve"> </w:t>
      </w:r>
      <w:r w:rsidRPr="00156E5A">
        <w:rPr>
          <w:rFonts w:ascii="Arial" w:hAnsi="Arial" w:cs="Arial"/>
          <w:b/>
          <w:color w:val="auto"/>
        </w:rPr>
        <w:t>(ICR).</w:t>
      </w:r>
    </w:p>
    <w:p w:rsidR="00156E5A" w:rsidP="00167134" w:rsidRDefault="00156E5A" w14:paraId="295992BA" w14:textId="77777777">
      <w:pPr>
        <w:pStyle w:val="Default"/>
        <w:outlineLvl w:val="0"/>
        <w:rPr>
          <w:rFonts w:ascii="Arial" w:hAnsi="Arial" w:cs="Arial"/>
          <w:b/>
          <w:color w:val="auto"/>
        </w:rPr>
      </w:pPr>
    </w:p>
    <w:p w:rsidR="00952D1E" w:rsidP="00167134" w:rsidRDefault="00952D1E" w14:paraId="6C5EA9EE" w14:textId="77777777">
      <w:pPr>
        <w:pStyle w:val="Default"/>
        <w:outlineLvl w:val="0"/>
        <w:rPr>
          <w:rFonts w:ascii="Arial" w:hAnsi="Arial" w:cs="Arial"/>
          <w:color w:val="auto"/>
        </w:rPr>
      </w:pPr>
      <w:r w:rsidRPr="00167134">
        <w:rPr>
          <w:rFonts w:ascii="Arial" w:hAnsi="Arial" w:cs="Arial"/>
          <w:b/>
          <w:color w:val="auto"/>
        </w:rPr>
        <w:t>Collection Instrument(s):</w:t>
      </w:r>
      <w:r>
        <w:rPr>
          <w:rFonts w:ascii="Arial" w:hAnsi="Arial" w:cs="Arial"/>
          <w:color w:val="auto"/>
        </w:rPr>
        <w:t xml:space="preserve"> None</w:t>
      </w:r>
    </w:p>
    <w:p w:rsidRPr="00B24F6C" w:rsidR="00952D1E" w:rsidP="00167134" w:rsidRDefault="00952D1E" w14:paraId="06AA10CA" w14:textId="77777777">
      <w:pPr>
        <w:pStyle w:val="Default"/>
        <w:outlineLvl w:val="0"/>
        <w:rPr>
          <w:rFonts w:ascii="Arial" w:hAnsi="Arial" w:cs="Arial"/>
          <w:color w:val="auto"/>
        </w:rPr>
      </w:pPr>
    </w:p>
    <w:p w:rsidR="00C349A7" w:rsidP="00167134" w:rsidRDefault="00952D1E" w14:paraId="4552DCA4" w14:textId="68A33437">
      <w:pPr>
        <w:pStyle w:val="Default"/>
        <w:rPr>
          <w:rFonts w:ascii="Arial" w:hAnsi="Arial" w:cs="Arial"/>
          <w:color w:val="auto"/>
        </w:rPr>
      </w:pPr>
      <w:r w:rsidRPr="00167134">
        <w:rPr>
          <w:rFonts w:ascii="Arial" w:hAnsi="Arial" w:cs="Arial"/>
          <w:b/>
          <w:color w:val="auto"/>
        </w:rPr>
        <w:t>Authority</w:t>
      </w:r>
      <w:r>
        <w:rPr>
          <w:rFonts w:ascii="Arial" w:hAnsi="Arial" w:cs="Arial"/>
          <w:color w:val="auto"/>
        </w:rPr>
        <w:t xml:space="preserve">: 30 CFR </w:t>
      </w:r>
      <w:r w:rsidRPr="00B24F6C" w:rsidR="00C349A7">
        <w:rPr>
          <w:rFonts w:ascii="Arial" w:hAnsi="Arial" w:cs="Arial"/>
          <w:color w:val="auto"/>
        </w:rPr>
        <w:t>57.22401</w:t>
      </w:r>
      <w:r w:rsidR="00B24F6C">
        <w:rPr>
          <w:rFonts w:ascii="Arial" w:hAnsi="Arial" w:cs="Arial"/>
          <w:color w:val="auto"/>
        </w:rPr>
        <w:t>(b)</w:t>
      </w:r>
      <w:r>
        <w:rPr>
          <w:rFonts w:ascii="Arial" w:hAnsi="Arial" w:cs="Arial"/>
          <w:color w:val="auto"/>
        </w:rPr>
        <w:t xml:space="preserve">, </w:t>
      </w:r>
      <w:r w:rsidRPr="00B24F6C" w:rsidR="00C349A7">
        <w:rPr>
          <w:rFonts w:ascii="Arial" w:hAnsi="Arial" w:cs="Arial"/>
          <w:color w:val="auto"/>
        </w:rPr>
        <w:t xml:space="preserve">Underground </w:t>
      </w:r>
      <w:r w:rsidR="001826A5">
        <w:rPr>
          <w:rFonts w:ascii="Arial" w:hAnsi="Arial" w:cs="Arial"/>
          <w:color w:val="auto"/>
        </w:rPr>
        <w:t>r</w:t>
      </w:r>
      <w:r w:rsidRPr="00B24F6C" w:rsidR="001826A5">
        <w:rPr>
          <w:rFonts w:ascii="Arial" w:hAnsi="Arial" w:cs="Arial"/>
          <w:color w:val="auto"/>
        </w:rPr>
        <w:t xml:space="preserve">etorts </w:t>
      </w:r>
      <w:r w:rsidR="00B24F6C">
        <w:rPr>
          <w:rFonts w:ascii="Arial" w:hAnsi="Arial" w:cs="Arial"/>
          <w:color w:val="auto"/>
        </w:rPr>
        <w:t>(I-A and I-B mines</w:t>
      </w:r>
      <w:r w:rsidRPr="00B24F6C" w:rsidR="00C349A7">
        <w:rPr>
          <w:rFonts w:ascii="Arial" w:hAnsi="Arial" w:cs="Arial"/>
          <w:color w:val="auto"/>
        </w:rPr>
        <w:t xml:space="preserve">) </w:t>
      </w:r>
    </w:p>
    <w:p w:rsidR="00952D1E" w:rsidP="00167134" w:rsidRDefault="00952D1E" w14:paraId="16E74F74" w14:textId="77777777">
      <w:pPr>
        <w:pStyle w:val="Default"/>
        <w:rPr>
          <w:rFonts w:ascii="Arial" w:hAnsi="Arial" w:cs="Arial"/>
          <w:color w:val="auto"/>
        </w:rPr>
      </w:pPr>
    </w:p>
    <w:p w:rsidRPr="00B951CC" w:rsidR="00167134" w:rsidP="00167134" w:rsidRDefault="00167134" w14:paraId="42DFE0BE" w14:textId="77777777">
      <w:pPr>
        <w:tabs>
          <w:tab w:val="left" w:pos="-720"/>
        </w:tabs>
        <w:suppressAutoHyphens/>
        <w:rPr>
          <w:rFonts w:ascii="Arial" w:hAnsi="Arial" w:cs="Arial"/>
          <w:b/>
        </w:rPr>
      </w:pPr>
      <w:r w:rsidRPr="00B951CC">
        <w:rPr>
          <w:rFonts w:ascii="Arial" w:hAnsi="Arial" w:cs="Arial"/>
          <w:b/>
        </w:rPr>
        <w:t>General Instructions</w:t>
      </w:r>
    </w:p>
    <w:p w:rsidRPr="00B951CC" w:rsidR="00167134" w:rsidP="00167134" w:rsidRDefault="00167134" w14:paraId="21BDBD6E" w14:textId="77777777">
      <w:pPr>
        <w:tabs>
          <w:tab w:val="left" w:pos="-720"/>
        </w:tabs>
        <w:suppressAutoHyphens/>
        <w:rPr>
          <w:rFonts w:ascii="Arial" w:hAnsi="Arial" w:cs="Arial"/>
          <w:b/>
        </w:rPr>
      </w:pPr>
    </w:p>
    <w:p w:rsidRPr="00B951CC" w:rsidR="00167134" w:rsidP="00167134" w:rsidRDefault="00167134" w14:paraId="0718E7BA" w14:textId="77777777">
      <w:pPr>
        <w:tabs>
          <w:tab w:val="left" w:pos="-720"/>
        </w:tabs>
        <w:suppressAutoHyphens/>
        <w:rPr>
          <w:rFonts w:ascii="Arial" w:hAnsi="Arial" w:cs="Arial"/>
          <w:b/>
        </w:rPr>
      </w:pPr>
      <w:r w:rsidRPr="00B951CC">
        <w:rPr>
          <w:rFonts w:ascii="Arial" w:hAnsi="Arial" w:cs="Arial"/>
          <w:b/>
        </w:rPr>
        <w:t>A Supporting Statement, including the text of the notice to the public required by 5 CFR 1320.5(a</w:t>
      </w:r>
      <w:proofErr w:type="gramStart"/>
      <w:r w:rsidRPr="00B951CC">
        <w:rPr>
          <w:rFonts w:ascii="Arial" w:hAnsi="Arial" w:cs="Arial"/>
          <w:b/>
        </w:rPr>
        <w:t>)(</w:t>
      </w:r>
      <w:proofErr w:type="spellStart"/>
      <w:proofErr w:type="gramEnd"/>
      <w:r w:rsidRPr="00B951CC">
        <w:rPr>
          <w:rFonts w:ascii="Arial" w:hAnsi="Arial" w:cs="Arial"/>
          <w:b/>
        </w:rPr>
        <w:t>i</w:t>
      </w:r>
      <w:proofErr w:type="spellEnd"/>
      <w:r w:rsidRPr="00B951CC">
        <w:rPr>
          <w:rFonts w:ascii="Arial" w:hAnsi="Arial" w:cs="Arial"/>
          <w:b/>
        </w:rPr>
        <w:t xml:space="preserve">)(iv) and its actual or estimated date of publication in the </w:t>
      </w:r>
      <w:r w:rsidRPr="00D34F2F">
        <w:rPr>
          <w:rFonts w:ascii="Arial" w:hAnsi="Arial" w:cs="Arial"/>
          <w:b/>
          <w:i/>
        </w:rPr>
        <w:t>Federal Register</w:t>
      </w:r>
      <w:r w:rsidRPr="00B951CC">
        <w:rPr>
          <w:rFonts w:ascii="Arial" w:hAnsi="Arial" w:cs="Arial"/>
          <w:b/>
        </w:rPr>
        <w:t xml:space="preserve">, must accompany each request for approval of a collection of information. The Supporting Statement must be prepared in the format described below, and must contain the information specified in Section A below. If an item </w:t>
      </w:r>
      <w:proofErr w:type="gramStart"/>
      <w:r w:rsidRPr="00B951CC">
        <w:rPr>
          <w:rFonts w:ascii="Arial" w:hAnsi="Arial" w:cs="Arial"/>
          <w:b/>
        </w:rPr>
        <w:t>is</w:t>
      </w:r>
      <w:proofErr w:type="gramEnd"/>
      <w:r w:rsidRPr="00B951CC">
        <w:rPr>
          <w:rFonts w:ascii="Arial" w:hAnsi="Arial" w:cs="Arial"/>
          <w:b/>
        </w:rPr>
        <w:t xml:space="preserve">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rsidRPr="00B951CC" w:rsidR="00167134" w:rsidP="00167134" w:rsidRDefault="00167134" w14:paraId="617E77FA" w14:textId="77777777">
      <w:pPr>
        <w:tabs>
          <w:tab w:val="left" w:pos="-720"/>
        </w:tabs>
        <w:suppressAutoHyphens/>
        <w:rPr>
          <w:rFonts w:ascii="Arial" w:hAnsi="Arial" w:cs="Arial"/>
          <w:b/>
        </w:rPr>
      </w:pPr>
    </w:p>
    <w:p w:rsidR="00167134" w:rsidP="00167134" w:rsidRDefault="00167134" w14:paraId="4BCD8E82" w14:textId="77777777">
      <w:pPr>
        <w:tabs>
          <w:tab w:val="left" w:pos="-720"/>
        </w:tabs>
        <w:suppressAutoHyphens/>
        <w:rPr>
          <w:rFonts w:ascii="Arial" w:hAnsi="Arial" w:cs="Arial"/>
          <w:b/>
        </w:rPr>
      </w:pPr>
      <w:r w:rsidRPr="00B951CC">
        <w:rPr>
          <w:rFonts w:ascii="Arial" w:hAnsi="Arial" w:cs="Arial"/>
          <w:b/>
        </w:rPr>
        <w:t>Specific Instructions</w:t>
      </w:r>
    </w:p>
    <w:p w:rsidRPr="00B24F6C" w:rsidR="00167134" w:rsidP="00167134" w:rsidRDefault="00167134" w14:paraId="27E0DF27" w14:textId="77777777">
      <w:pPr>
        <w:pStyle w:val="Default"/>
        <w:rPr>
          <w:rFonts w:ascii="Arial" w:hAnsi="Arial" w:cs="Arial"/>
          <w:color w:val="auto"/>
        </w:rPr>
      </w:pPr>
    </w:p>
    <w:p w:rsidRPr="00B24F6C" w:rsidR="00C349A7" w:rsidRDefault="00C349A7" w14:paraId="78DDB168" w14:textId="77777777">
      <w:pPr>
        <w:pStyle w:val="Default"/>
        <w:rPr>
          <w:rFonts w:ascii="Arial" w:hAnsi="Arial" w:cs="Arial"/>
          <w:color w:val="auto"/>
        </w:rPr>
      </w:pPr>
      <w:r w:rsidRPr="00B24F6C">
        <w:rPr>
          <w:rFonts w:ascii="Arial" w:hAnsi="Arial" w:cs="Arial"/>
          <w:color w:val="auto"/>
        </w:rPr>
        <w:t xml:space="preserve"> </w:t>
      </w:r>
    </w:p>
    <w:p w:rsidRPr="00B24F6C" w:rsidR="00C349A7" w:rsidP="0075279D" w:rsidRDefault="00C349A7" w14:paraId="6BEBE59B" w14:textId="77777777">
      <w:pPr>
        <w:pStyle w:val="Default"/>
        <w:outlineLvl w:val="0"/>
        <w:rPr>
          <w:rFonts w:ascii="Arial" w:hAnsi="Arial" w:cs="Arial"/>
          <w:color w:val="auto"/>
        </w:rPr>
      </w:pPr>
      <w:r w:rsidRPr="00B24F6C">
        <w:rPr>
          <w:rFonts w:ascii="Arial" w:hAnsi="Arial" w:cs="Arial"/>
          <w:b/>
          <w:bCs/>
          <w:color w:val="auto"/>
        </w:rPr>
        <w:t xml:space="preserve">A. JUSTIFICATION </w:t>
      </w:r>
    </w:p>
    <w:p w:rsidRPr="00B24F6C" w:rsidR="00C349A7" w:rsidRDefault="00C349A7" w14:paraId="53D44AD7" w14:textId="77777777">
      <w:pPr>
        <w:pStyle w:val="Default"/>
        <w:rPr>
          <w:rFonts w:ascii="Arial" w:hAnsi="Arial" w:cs="Arial"/>
          <w:color w:val="auto"/>
        </w:rPr>
      </w:pPr>
      <w:r w:rsidRPr="00B24F6C">
        <w:rPr>
          <w:rFonts w:ascii="Arial" w:hAnsi="Arial" w:cs="Arial"/>
          <w:color w:val="auto"/>
        </w:rPr>
        <w:t xml:space="preserve"> </w:t>
      </w:r>
    </w:p>
    <w:p w:rsidRPr="007E53C1" w:rsidR="007E53C1" w:rsidP="007E53C1" w:rsidRDefault="007E53C1" w14:paraId="12480ABA" w14:textId="77777777">
      <w:pPr>
        <w:rPr>
          <w:rFonts w:ascii="Arial" w:hAnsi="Arial" w:cs="Arial"/>
          <w:b/>
        </w:rPr>
      </w:pPr>
      <w:r w:rsidRPr="007E53C1">
        <w:rPr>
          <w:rFonts w:ascii="Arial" w:hAnsi="Arial" w:cs="Arial"/>
          <w:b/>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Pr="00B24F6C" w:rsidR="00C349A7" w:rsidRDefault="00C349A7" w14:paraId="70D03545" w14:textId="77777777">
      <w:pPr>
        <w:pStyle w:val="Default"/>
        <w:rPr>
          <w:rFonts w:ascii="Arial" w:hAnsi="Arial" w:cs="Arial"/>
          <w:color w:val="auto"/>
        </w:rPr>
      </w:pPr>
      <w:r w:rsidRPr="00B24F6C">
        <w:rPr>
          <w:rFonts w:ascii="Arial" w:hAnsi="Arial" w:cs="Arial"/>
          <w:color w:val="auto"/>
        </w:rPr>
        <w:t xml:space="preserve"> </w:t>
      </w:r>
    </w:p>
    <w:p w:rsidR="00F128DF" w:rsidRDefault="00C349A7" w14:paraId="7E987EA4" w14:textId="559B07F4">
      <w:pPr>
        <w:pStyle w:val="Default"/>
        <w:rPr>
          <w:rFonts w:ascii="Arial" w:hAnsi="Arial" w:eastAsia="Calibri" w:cs="Arial"/>
          <w:bCs/>
        </w:rPr>
      </w:pPr>
      <w:r w:rsidRPr="00B24F6C">
        <w:rPr>
          <w:rFonts w:ascii="Arial" w:hAnsi="Arial" w:cs="Arial"/>
          <w:color w:val="auto"/>
        </w:rPr>
        <w:t>Section 103(h) of the Federal Mine Safety and Health Act of 1977 (Mine Act)</w:t>
      </w:r>
      <w:r w:rsidRPr="00B24F6C" w:rsidR="002A0BB9">
        <w:rPr>
          <w:rFonts w:ascii="Arial" w:hAnsi="Arial" w:cs="Arial"/>
          <w:color w:val="auto"/>
        </w:rPr>
        <w:t>, 30</w:t>
      </w:r>
      <w:r w:rsidRPr="00B24F6C">
        <w:rPr>
          <w:rFonts w:ascii="Arial" w:hAnsi="Arial" w:cs="Arial"/>
          <w:color w:val="auto"/>
        </w:rPr>
        <w:t xml:space="preserve"> U.S.C. 813</w:t>
      </w:r>
      <w:r w:rsidRPr="00B24F6C" w:rsidR="002A0BB9">
        <w:rPr>
          <w:rFonts w:ascii="Arial" w:hAnsi="Arial" w:cs="Arial"/>
          <w:color w:val="auto"/>
        </w:rPr>
        <w:t>, authorizes</w:t>
      </w:r>
      <w:r w:rsidRPr="00B24F6C">
        <w:rPr>
          <w:rFonts w:ascii="Arial" w:hAnsi="Arial" w:cs="Arial"/>
          <w:color w:val="auto"/>
        </w:rPr>
        <w:t xml:space="preserve"> </w:t>
      </w:r>
      <w:r w:rsidR="00167134">
        <w:rPr>
          <w:rFonts w:ascii="Arial" w:hAnsi="Arial" w:cs="Arial"/>
          <w:color w:val="auto"/>
        </w:rPr>
        <w:t xml:space="preserve">the </w:t>
      </w:r>
      <w:r w:rsidRPr="00B24F6C" w:rsidR="00167134">
        <w:rPr>
          <w:rFonts w:ascii="Arial" w:hAnsi="Arial" w:cs="Arial"/>
        </w:rPr>
        <w:t>Mine Safety and Health Administration (MSHA)</w:t>
      </w:r>
      <w:r w:rsidR="00167134">
        <w:rPr>
          <w:rFonts w:ascii="Arial" w:hAnsi="Arial" w:cs="Arial"/>
          <w:color w:val="auto"/>
        </w:rPr>
        <w:t xml:space="preserve"> </w:t>
      </w:r>
      <w:r w:rsidRPr="00B24F6C">
        <w:rPr>
          <w:rFonts w:ascii="Arial" w:hAnsi="Arial" w:cs="Arial"/>
          <w:color w:val="auto"/>
        </w:rPr>
        <w:t>to collect information necessary to carry out its duty in protecting the safety and health of miners.</w:t>
      </w:r>
      <w:r w:rsidR="0028137E">
        <w:rPr>
          <w:rFonts w:ascii="Arial" w:hAnsi="Arial" w:cs="Arial"/>
          <w:color w:val="auto"/>
        </w:rPr>
        <w:t xml:space="preserve"> </w:t>
      </w:r>
      <w:r w:rsidRPr="00B24F6C">
        <w:rPr>
          <w:rFonts w:ascii="Arial" w:hAnsi="Arial" w:cs="Arial"/>
          <w:color w:val="auto"/>
        </w:rPr>
        <w:t xml:space="preserve"> </w:t>
      </w:r>
      <w:r w:rsidRPr="00E17F08" w:rsidR="0028137E">
        <w:rPr>
          <w:rFonts w:ascii="Arial" w:hAnsi="Arial" w:eastAsia="Calibri" w:cs="Arial"/>
          <w:bCs/>
        </w:rPr>
        <w:t xml:space="preserve">Further, </w:t>
      </w:r>
      <w:r w:rsidR="001020E1">
        <w:rPr>
          <w:rFonts w:ascii="Arial" w:hAnsi="Arial" w:eastAsia="Calibri" w:cs="Arial"/>
          <w:bCs/>
        </w:rPr>
        <w:t>s</w:t>
      </w:r>
      <w:r w:rsidRPr="00E17F08" w:rsidR="0028137E">
        <w:rPr>
          <w:rFonts w:ascii="Arial" w:hAnsi="Arial" w:eastAsia="Calibri" w:cs="Arial"/>
          <w:bCs/>
        </w:rPr>
        <w:t>ection 101(a) of the Mine Act, 30 U.S.C. 811</w:t>
      </w:r>
      <w:r w:rsidR="00EB34CF">
        <w:rPr>
          <w:rFonts w:ascii="Arial" w:hAnsi="Arial" w:eastAsia="Calibri" w:cs="Arial"/>
          <w:bCs/>
        </w:rPr>
        <w:t>,</w:t>
      </w:r>
      <w:r w:rsidRPr="00E17F08" w:rsidR="0028137E">
        <w:rPr>
          <w:rFonts w:ascii="Arial" w:hAnsi="Arial" w:eastAsia="Calibri" w:cs="Arial"/>
          <w:bCs/>
        </w:rPr>
        <w:t xml:space="preserve"> authorizes the Secretary </w:t>
      </w:r>
      <w:r w:rsidR="001020E1">
        <w:rPr>
          <w:rFonts w:ascii="Arial" w:hAnsi="Arial" w:eastAsia="Calibri" w:cs="Arial"/>
          <w:bCs/>
        </w:rPr>
        <w:t xml:space="preserve">of Labor (Secretary) </w:t>
      </w:r>
      <w:r w:rsidRPr="00E17F08" w:rsidR="0028137E">
        <w:rPr>
          <w:rFonts w:ascii="Arial" w:hAnsi="Arial" w:eastAsia="Calibri" w:cs="Arial"/>
          <w:bCs/>
        </w:rPr>
        <w:t xml:space="preserve">to develop, promulgate, and revise as may be appropriate, improved mandatory health or safety standards for the protection of life and prevention of injuries in </w:t>
      </w:r>
      <w:r w:rsidR="00E44182">
        <w:rPr>
          <w:rFonts w:ascii="Arial" w:hAnsi="Arial" w:eastAsia="Calibri" w:cs="Arial"/>
          <w:bCs/>
        </w:rPr>
        <w:t xml:space="preserve">metal and nonmetal </w:t>
      </w:r>
      <w:r w:rsidRPr="00E17F08" w:rsidR="0028137E">
        <w:rPr>
          <w:rFonts w:ascii="Arial" w:hAnsi="Arial" w:eastAsia="Calibri" w:cs="Arial"/>
          <w:bCs/>
        </w:rPr>
        <w:t>mines.</w:t>
      </w:r>
      <w:r w:rsidR="0028137E">
        <w:rPr>
          <w:rFonts w:ascii="Arial" w:hAnsi="Arial" w:eastAsia="Calibri" w:cs="Arial"/>
          <w:bCs/>
        </w:rPr>
        <w:t xml:space="preserve">  </w:t>
      </w:r>
    </w:p>
    <w:p w:rsidR="00F128DF" w:rsidRDefault="00F128DF" w14:paraId="3B3F4D0B" w14:textId="77777777">
      <w:pPr>
        <w:pStyle w:val="Default"/>
        <w:rPr>
          <w:rFonts w:ascii="Arial" w:hAnsi="Arial" w:cs="Arial"/>
          <w:color w:val="auto"/>
        </w:rPr>
      </w:pPr>
    </w:p>
    <w:p w:rsidR="00F128DF" w:rsidRDefault="00C349A7" w14:paraId="067B7564" w14:textId="3273AC98">
      <w:pPr>
        <w:pStyle w:val="Default"/>
        <w:rPr>
          <w:rFonts w:ascii="Arial" w:hAnsi="Arial" w:cs="Arial"/>
        </w:rPr>
      </w:pPr>
      <w:r w:rsidRPr="00B24F6C">
        <w:rPr>
          <w:rFonts w:ascii="Arial" w:hAnsi="Arial" w:cs="Arial"/>
          <w:color w:val="auto"/>
        </w:rPr>
        <w:t xml:space="preserve">Title 30 </w:t>
      </w:r>
      <w:r w:rsidR="00B24F6C">
        <w:rPr>
          <w:rFonts w:ascii="Arial" w:hAnsi="Arial" w:cs="Arial"/>
          <w:color w:val="auto"/>
        </w:rPr>
        <w:t>CFR</w:t>
      </w:r>
      <w:r w:rsidRPr="00B24F6C">
        <w:rPr>
          <w:rFonts w:ascii="Arial" w:hAnsi="Arial" w:cs="Arial"/>
          <w:color w:val="auto"/>
        </w:rPr>
        <w:t xml:space="preserve"> 57.22401 sets forth </w:t>
      </w:r>
      <w:r w:rsidRPr="00B24F6C" w:rsidR="00C73218">
        <w:rPr>
          <w:rFonts w:ascii="Arial" w:hAnsi="Arial" w:cs="Arial"/>
          <w:color w:val="auto"/>
        </w:rPr>
        <w:t xml:space="preserve">the </w:t>
      </w:r>
      <w:r w:rsidR="00C73218">
        <w:rPr>
          <w:rFonts w:ascii="Arial" w:hAnsi="Arial" w:cs="Arial"/>
          <w:color w:val="auto"/>
        </w:rPr>
        <w:t xml:space="preserve">safety </w:t>
      </w:r>
      <w:r w:rsidRPr="00B24F6C">
        <w:rPr>
          <w:rFonts w:ascii="Arial" w:hAnsi="Arial" w:cs="Arial"/>
          <w:color w:val="auto"/>
        </w:rPr>
        <w:t>requirements for using a retort to extract oil from shale in underground metal and</w:t>
      </w:r>
      <w:r w:rsidRPr="00B24F6C">
        <w:rPr>
          <w:rFonts w:ascii="Arial" w:hAnsi="Arial" w:cs="Arial"/>
          <w:color w:val="FF0000"/>
        </w:rPr>
        <w:t xml:space="preserve"> </w:t>
      </w:r>
      <w:r w:rsidRPr="00B24F6C">
        <w:rPr>
          <w:rFonts w:ascii="Arial" w:hAnsi="Arial" w:cs="Arial"/>
        </w:rPr>
        <w:t xml:space="preserve">nonmetal </w:t>
      </w:r>
      <w:r w:rsidR="00C73218">
        <w:rPr>
          <w:rFonts w:ascii="Arial" w:hAnsi="Arial" w:cs="Arial"/>
        </w:rPr>
        <w:t xml:space="preserve">I-A and I-B </w:t>
      </w:r>
      <w:r w:rsidRPr="00B24F6C" w:rsidR="00C73218">
        <w:rPr>
          <w:rFonts w:ascii="Arial" w:hAnsi="Arial" w:cs="Arial"/>
        </w:rPr>
        <w:t>mines</w:t>
      </w:r>
      <w:r w:rsidR="00C73218">
        <w:rPr>
          <w:rFonts w:ascii="Arial" w:hAnsi="Arial" w:cs="Arial"/>
        </w:rPr>
        <w:t xml:space="preserve"> (</w:t>
      </w:r>
      <w:r w:rsidR="002E3035">
        <w:rPr>
          <w:rFonts w:ascii="Arial" w:hAnsi="Arial" w:cs="Arial"/>
        </w:rPr>
        <w:t xml:space="preserve">mines </w:t>
      </w:r>
      <w:r w:rsidR="00C73218">
        <w:rPr>
          <w:rFonts w:ascii="Arial" w:hAnsi="Arial" w:cs="Arial"/>
        </w:rPr>
        <w:t xml:space="preserve">that operate in a combustible ore and </w:t>
      </w:r>
      <w:r w:rsidRPr="00B24F6C">
        <w:rPr>
          <w:rFonts w:ascii="Arial" w:hAnsi="Arial" w:cs="Arial"/>
        </w:rPr>
        <w:t>either liberate methane or have the potential to liberate methane based on the history of the mine or the geological area in which the mine is located</w:t>
      </w:r>
      <w:r w:rsidR="00C73218">
        <w:rPr>
          <w:rFonts w:ascii="Arial" w:hAnsi="Arial" w:cs="Arial"/>
        </w:rPr>
        <w:t>)</w:t>
      </w:r>
      <w:r w:rsidRPr="00B24F6C">
        <w:rPr>
          <w:rFonts w:ascii="Arial" w:hAnsi="Arial" w:cs="Arial"/>
        </w:rPr>
        <w:t xml:space="preserve">.  </w:t>
      </w:r>
      <w:r w:rsidRPr="00730969" w:rsidR="00730969">
        <w:rPr>
          <w:rFonts w:ascii="Arial" w:hAnsi="Arial" w:cs="Arial"/>
        </w:rPr>
        <w:t xml:space="preserve">At </w:t>
      </w:r>
      <w:r w:rsidRPr="00730969" w:rsidR="00730969">
        <w:rPr>
          <w:rFonts w:ascii="Arial" w:hAnsi="Arial" w:cs="Arial"/>
        </w:rPr>
        <w:lastRenderedPageBreak/>
        <w:t>present, this applies only to underground oil shale mines.</w:t>
      </w:r>
      <w:r w:rsidR="00730969">
        <w:rPr>
          <w:rFonts w:ascii="Arial" w:hAnsi="Arial" w:cs="Arial"/>
        </w:rPr>
        <w:t xml:space="preserve">  </w:t>
      </w:r>
      <w:r w:rsidRPr="00B24F6C">
        <w:rPr>
          <w:rFonts w:ascii="Arial" w:hAnsi="Arial" w:cs="Arial"/>
        </w:rPr>
        <w:t xml:space="preserve">The standard requires that prior to ignition of underground </w:t>
      </w:r>
      <w:r w:rsidRPr="00B24F6C" w:rsidR="00C73218">
        <w:rPr>
          <w:rFonts w:ascii="Arial" w:hAnsi="Arial" w:cs="Arial"/>
        </w:rPr>
        <w:t>retorts</w:t>
      </w:r>
      <w:r w:rsidR="00F128DF">
        <w:rPr>
          <w:rFonts w:ascii="Arial" w:hAnsi="Arial" w:cs="Arial"/>
        </w:rPr>
        <w:t>,</w:t>
      </w:r>
      <w:r w:rsidRPr="00B24F6C">
        <w:rPr>
          <w:rFonts w:ascii="Arial" w:hAnsi="Arial" w:cs="Arial"/>
        </w:rPr>
        <w:t xml:space="preserve"> mine operators must submit a written </w:t>
      </w:r>
      <w:r w:rsidR="00C73218">
        <w:rPr>
          <w:rFonts w:ascii="Arial" w:hAnsi="Arial" w:cs="Arial"/>
        </w:rPr>
        <w:t xml:space="preserve">ignition operation </w:t>
      </w:r>
      <w:r w:rsidRPr="00B24F6C">
        <w:rPr>
          <w:rFonts w:ascii="Arial" w:hAnsi="Arial" w:cs="Arial"/>
        </w:rPr>
        <w:t>plan to the appropriate MSHA District Manager</w:t>
      </w:r>
      <w:r w:rsidR="00F128DF">
        <w:rPr>
          <w:rFonts w:ascii="Arial" w:hAnsi="Arial" w:cs="Arial"/>
        </w:rPr>
        <w:t>.  The ignition operation plan</w:t>
      </w:r>
      <w:r w:rsidRPr="00B24F6C">
        <w:rPr>
          <w:rFonts w:ascii="Arial" w:hAnsi="Arial" w:cs="Arial"/>
        </w:rPr>
        <w:t xml:space="preserve"> contains site-specific safeguards and safety procedures for the underground areas of the mine which are affected by the retorts.  </w:t>
      </w:r>
    </w:p>
    <w:p w:rsidR="00F128DF" w:rsidRDefault="00F128DF" w14:paraId="4953415D" w14:textId="77777777">
      <w:pPr>
        <w:pStyle w:val="Default"/>
        <w:rPr>
          <w:rFonts w:ascii="Arial" w:hAnsi="Arial" w:cs="Arial"/>
        </w:rPr>
      </w:pPr>
    </w:p>
    <w:p w:rsidRPr="00B24F6C" w:rsidR="00C349A7" w:rsidRDefault="00C349A7" w14:paraId="19FF63EE" w14:textId="77777777">
      <w:pPr>
        <w:pStyle w:val="Default"/>
        <w:rPr>
          <w:rFonts w:ascii="Arial" w:hAnsi="Arial" w:cs="Arial"/>
        </w:rPr>
      </w:pPr>
      <w:r w:rsidRPr="00B24F6C">
        <w:rPr>
          <w:rFonts w:ascii="Arial" w:hAnsi="Arial" w:cs="Arial"/>
        </w:rPr>
        <w:t xml:space="preserve">The retort plans must include: </w:t>
      </w:r>
    </w:p>
    <w:p w:rsidRPr="00B24F6C" w:rsidR="00C349A7" w:rsidRDefault="00C349A7" w14:paraId="75A95E73" w14:textId="77777777">
      <w:pPr>
        <w:pStyle w:val="Default"/>
        <w:rPr>
          <w:rFonts w:ascii="Arial" w:hAnsi="Arial" w:cs="Arial"/>
        </w:rPr>
      </w:pPr>
      <w:r w:rsidRPr="00B24F6C">
        <w:rPr>
          <w:rFonts w:ascii="Arial" w:hAnsi="Arial" w:cs="Arial"/>
        </w:rPr>
        <w:t xml:space="preserve"> </w:t>
      </w:r>
    </w:p>
    <w:p w:rsidRPr="00B24F6C" w:rsidR="00C349A7" w:rsidRDefault="00C349A7" w14:paraId="7D995C6E" w14:textId="77777777">
      <w:pPr>
        <w:pStyle w:val="Default"/>
        <w:rPr>
          <w:rFonts w:ascii="Arial" w:hAnsi="Arial" w:cs="Arial"/>
        </w:rPr>
      </w:pPr>
      <w:r w:rsidRPr="00B24F6C">
        <w:rPr>
          <w:rFonts w:ascii="Arial" w:hAnsi="Arial" w:cs="Arial"/>
        </w:rPr>
        <w:t xml:space="preserve">(1)  Acceptable levels of combustible gases and oxygen in retort off-gases during start-up and during burning; levels at which corrective action will be initiated; levels at which personnel will be removed from the retort areas, from the mine, and from endangered surface areas; and the conditions for reentering the mine; </w:t>
      </w:r>
    </w:p>
    <w:p w:rsidRPr="00B24F6C" w:rsidR="00C349A7" w:rsidRDefault="00C349A7" w14:paraId="7F7BF57F" w14:textId="77777777">
      <w:pPr>
        <w:pStyle w:val="Default"/>
        <w:rPr>
          <w:rFonts w:ascii="Arial" w:hAnsi="Arial" w:cs="Arial"/>
        </w:rPr>
      </w:pPr>
      <w:r w:rsidRPr="00B24F6C">
        <w:rPr>
          <w:rFonts w:ascii="Arial" w:hAnsi="Arial" w:cs="Arial"/>
        </w:rPr>
        <w:t>(2)  Specification</w:t>
      </w:r>
      <w:r w:rsidR="002E3035">
        <w:rPr>
          <w:rFonts w:ascii="Arial" w:hAnsi="Arial" w:cs="Arial"/>
        </w:rPr>
        <w:t>s</w:t>
      </w:r>
      <w:r w:rsidRPr="00B24F6C">
        <w:rPr>
          <w:rFonts w:ascii="Arial" w:hAnsi="Arial" w:cs="Arial"/>
        </w:rPr>
        <w:t xml:space="preserve"> and locations of off-gas monitoring procedures and equipment; </w:t>
      </w:r>
    </w:p>
    <w:p w:rsidRPr="00B24F6C" w:rsidR="00C349A7" w:rsidRDefault="00C349A7" w14:paraId="51860DFC" w14:textId="77777777">
      <w:pPr>
        <w:pStyle w:val="Default"/>
        <w:rPr>
          <w:rFonts w:ascii="Arial" w:hAnsi="Arial" w:cs="Arial"/>
        </w:rPr>
      </w:pPr>
      <w:r w:rsidRPr="00B24F6C">
        <w:rPr>
          <w:rFonts w:ascii="Arial" w:hAnsi="Arial" w:cs="Arial"/>
        </w:rPr>
        <w:t xml:space="preserve">(3)  Specifications for construction of retort bulkheads and seals, and their locations; </w:t>
      </w:r>
    </w:p>
    <w:p w:rsidRPr="00B24F6C" w:rsidR="00C349A7" w:rsidRDefault="00C349A7" w14:paraId="1ED35856" w14:textId="77777777">
      <w:pPr>
        <w:pStyle w:val="Default"/>
        <w:rPr>
          <w:rFonts w:ascii="Arial" w:hAnsi="Arial" w:cs="Arial"/>
        </w:rPr>
      </w:pPr>
      <w:r w:rsidRPr="00B24F6C">
        <w:rPr>
          <w:rFonts w:ascii="Arial" w:hAnsi="Arial" w:cs="Arial"/>
        </w:rPr>
        <w:t xml:space="preserve">(4)  Procedures for ignition of a retort and for </w:t>
      </w:r>
      <w:proofErr w:type="spellStart"/>
      <w:r w:rsidRPr="00B24F6C">
        <w:rPr>
          <w:rFonts w:ascii="Arial" w:hAnsi="Arial" w:cs="Arial"/>
        </w:rPr>
        <w:t>reignition</w:t>
      </w:r>
      <w:proofErr w:type="spellEnd"/>
      <w:r w:rsidRPr="00B24F6C">
        <w:rPr>
          <w:rFonts w:ascii="Arial" w:hAnsi="Arial" w:cs="Arial"/>
        </w:rPr>
        <w:t xml:space="preserve"> following a shutdown; and </w:t>
      </w:r>
    </w:p>
    <w:p w:rsidRPr="00B24F6C" w:rsidR="00C349A7" w:rsidRDefault="00C349A7" w14:paraId="2CF0A247" w14:textId="22227644">
      <w:pPr>
        <w:pStyle w:val="Default"/>
        <w:rPr>
          <w:rFonts w:ascii="Arial" w:hAnsi="Arial" w:cs="Arial"/>
        </w:rPr>
      </w:pPr>
      <w:r w:rsidRPr="00B24F6C">
        <w:rPr>
          <w:rFonts w:ascii="Arial" w:hAnsi="Arial" w:cs="Arial"/>
        </w:rPr>
        <w:t xml:space="preserve">(5)  Details of area monitoring and alarm systems for hazardous gases and actions to be taken to </w:t>
      </w:r>
      <w:r w:rsidR="002E3035">
        <w:rPr>
          <w:rFonts w:ascii="Arial" w:hAnsi="Arial" w:cs="Arial"/>
        </w:rPr>
        <w:t>en</w:t>
      </w:r>
      <w:r w:rsidRPr="00B24F6C">
        <w:rPr>
          <w:rFonts w:ascii="Arial" w:hAnsi="Arial" w:cs="Arial"/>
        </w:rPr>
        <w:t xml:space="preserve">sure safety of personnel. </w:t>
      </w:r>
    </w:p>
    <w:p w:rsidRPr="00B24F6C" w:rsidR="00C349A7" w:rsidRDefault="00C349A7" w14:paraId="268E38C3" w14:textId="77777777">
      <w:pPr>
        <w:pStyle w:val="Default"/>
        <w:rPr>
          <w:rFonts w:ascii="Arial" w:hAnsi="Arial" w:cs="Arial"/>
        </w:rPr>
      </w:pPr>
      <w:r w:rsidRPr="00B24F6C">
        <w:rPr>
          <w:rFonts w:ascii="Arial" w:hAnsi="Arial" w:cs="Arial"/>
        </w:rPr>
        <w:t xml:space="preserve"> </w:t>
      </w:r>
    </w:p>
    <w:p w:rsidRPr="007E53C1" w:rsidR="007E53C1" w:rsidP="007E53C1" w:rsidRDefault="007E53C1" w14:paraId="392468CE" w14:textId="77777777">
      <w:pPr>
        <w:rPr>
          <w:rFonts w:ascii="Arial" w:hAnsi="Arial" w:cs="Arial"/>
          <w:b/>
        </w:rPr>
      </w:pPr>
      <w:r w:rsidRPr="007E53C1">
        <w:rPr>
          <w:rFonts w:ascii="Arial" w:hAnsi="Arial" w:cs="Arial"/>
          <w:b/>
        </w:rPr>
        <w:t xml:space="preserve">2. Indicate how, by whom, and for what purpose the information is to be used. Except for a new collection, indicate the actual use the agency has made of the information received from the current collection. </w:t>
      </w:r>
    </w:p>
    <w:p w:rsidRPr="00B24F6C" w:rsidR="00C349A7" w:rsidRDefault="00C349A7" w14:paraId="44D58A1E" w14:textId="77777777">
      <w:pPr>
        <w:pStyle w:val="Default"/>
        <w:rPr>
          <w:rFonts w:ascii="Arial" w:hAnsi="Arial" w:cs="Arial"/>
        </w:rPr>
      </w:pPr>
      <w:r w:rsidRPr="00B24F6C">
        <w:rPr>
          <w:rFonts w:ascii="Arial" w:hAnsi="Arial" w:cs="Arial"/>
        </w:rPr>
        <w:t xml:space="preserve"> </w:t>
      </w:r>
    </w:p>
    <w:p w:rsidRPr="00B24F6C" w:rsidR="00C349A7" w:rsidRDefault="00C349A7" w14:paraId="4F206E39" w14:textId="77777777">
      <w:pPr>
        <w:pStyle w:val="Default"/>
        <w:rPr>
          <w:rFonts w:ascii="Arial" w:hAnsi="Arial" w:cs="Arial"/>
        </w:rPr>
      </w:pPr>
      <w:r w:rsidRPr="00B24F6C">
        <w:rPr>
          <w:rFonts w:ascii="Arial" w:hAnsi="Arial" w:cs="Arial"/>
        </w:rPr>
        <w:t xml:space="preserve">Plans for operating retorts are required because the retort process involves the use of fire in an underground mine in which hazardous gases may be present.  </w:t>
      </w:r>
      <w:r w:rsidR="00CB00A3">
        <w:rPr>
          <w:rFonts w:ascii="Arial" w:hAnsi="Arial" w:cs="Arial"/>
        </w:rPr>
        <w:t>Retort</w:t>
      </w:r>
      <w:r w:rsidRPr="00B24F6C">
        <w:rPr>
          <w:rFonts w:ascii="Arial" w:hAnsi="Arial" w:cs="Arial"/>
        </w:rPr>
        <w:t xml:space="preserve"> plans are monitored by MSHA to ensure that combustible gases are kept at acceptable levels and do not expose miners to explosive or other hazardous conditions. </w:t>
      </w:r>
    </w:p>
    <w:p w:rsidRPr="00B24F6C" w:rsidR="00C349A7" w:rsidRDefault="00C349A7" w14:paraId="2A316BEE" w14:textId="77777777">
      <w:pPr>
        <w:pStyle w:val="Default"/>
        <w:rPr>
          <w:rFonts w:ascii="Arial" w:hAnsi="Arial" w:cs="Arial"/>
        </w:rPr>
      </w:pPr>
      <w:r w:rsidRPr="00B24F6C">
        <w:rPr>
          <w:rFonts w:ascii="Arial" w:hAnsi="Arial" w:cs="Arial"/>
          <w:b/>
          <w:bCs/>
        </w:rPr>
        <w:t xml:space="preserve"> </w:t>
      </w:r>
    </w:p>
    <w:p w:rsidRPr="007E53C1" w:rsidR="007E53C1" w:rsidP="007E53C1" w:rsidRDefault="007E53C1" w14:paraId="45066087" w14:textId="77777777">
      <w:pPr>
        <w:rPr>
          <w:rFonts w:ascii="Arial" w:hAnsi="Arial" w:cs="Arial"/>
          <w:b/>
        </w:rPr>
      </w:pPr>
      <w:r w:rsidRPr="007E53C1">
        <w:rPr>
          <w:rFonts w:ascii="Arial" w:hAnsi="Arial" w:cs="Arial"/>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B24F6C" w:rsidR="00C349A7" w:rsidRDefault="00C349A7" w14:paraId="20B1F76F" w14:textId="77777777">
      <w:pPr>
        <w:pStyle w:val="Default"/>
        <w:rPr>
          <w:rFonts w:ascii="Arial" w:hAnsi="Arial" w:cs="Arial"/>
        </w:rPr>
      </w:pPr>
    </w:p>
    <w:p w:rsidRPr="00B24F6C" w:rsidR="00C349A7" w:rsidRDefault="00C349A7" w14:paraId="666E0F60" w14:textId="20F8E9EB">
      <w:pPr>
        <w:pStyle w:val="Default"/>
        <w:rPr>
          <w:rFonts w:ascii="Arial" w:hAnsi="Arial" w:cs="Arial"/>
        </w:rPr>
      </w:pPr>
      <w:r w:rsidRPr="00B24F6C">
        <w:rPr>
          <w:rFonts w:ascii="Arial" w:hAnsi="Arial" w:cs="Arial"/>
        </w:rPr>
        <w:t>No improved information technology has been identifi</w:t>
      </w:r>
      <w:r w:rsidR="00C73218">
        <w:rPr>
          <w:rFonts w:ascii="Arial" w:hAnsi="Arial" w:cs="Arial"/>
        </w:rPr>
        <w:t>ed that would reduce the burden</w:t>
      </w:r>
      <w:r w:rsidR="002E3035">
        <w:rPr>
          <w:rFonts w:ascii="Arial" w:hAnsi="Arial" w:cs="Arial"/>
        </w:rPr>
        <w:t>.</w:t>
      </w:r>
      <w:r w:rsidRPr="00B24F6C">
        <w:rPr>
          <w:rFonts w:ascii="Arial" w:hAnsi="Arial" w:cs="Arial"/>
        </w:rPr>
        <w:t xml:space="preserve"> </w:t>
      </w:r>
      <w:r w:rsidR="002E3035">
        <w:rPr>
          <w:rFonts w:ascii="Arial" w:hAnsi="Arial" w:cs="Arial"/>
        </w:rPr>
        <w:t>H</w:t>
      </w:r>
      <w:r w:rsidRPr="00B24F6C">
        <w:rPr>
          <w:rFonts w:ascii="Arial" w:hAnsi="Arial" w:cs="Arial"/>
        </w:rPr>
        <w:t>owever</w:t>
      </w:r>
      <w:r w:rsidR="00C73218">
        <w:rPr>
          <w:rFonts w:ascii="Arial" w:hAnsi="Arial" w:cs="Arial"/>
        </w:rPr>
        <w:t>,</w:t>
      </w:r>
      <w:r w:rsidRPr="00B24F6C">
        <w:rPr>
          <w:rFonts w:ascii="Arial" w:hAnsi="Arial" w:cs="Arial"/>
        </w:rPr>
        <w:t xml:space="preserve"> to comply with the Government Paperwork Elimination Act</w:t>
      </w:r>
      <w:r w:rsidR="002E3035">
        <w:rPr>
          <w:rFonts w:ascii="Arial" w:hAnsi="Arial" w:cs="Arial"/>
        </w:rPr>
        <w:t>,</w:t>
      </w:r>
      <w:r w:rsidRPr="00B24F6C">
        <w:rPr>
          <w:rFonts w:ascii="Arial" w:hAnsi="Arial" w:cs="Arial"/>
        </w:rPr>
        <w:t xml:space="preserve"> mine operators may submit the plan to MSHA electronically and retain the records in whatever method they choose, which may include utilizing computer technology. </w:t>
      </w:r>
      <w:r w:rsidR="00167134">
        <w:rPr>
          <w:rFonts w:ascii="Arial" w:hAnsi="Arial" w:cs="Arial"/>
        </w:rPr>
        <w:t xml:space="preserve"> </w:t>
      </w:r>
      <w:r w:rsidRPr="00B24F6C">
        <w:rPr>
          <w:rFonts w:ascii="Arial" w:hAnsi="Arial" w:cs="Arial"/>
        </w:rPr>
        <w:t>These plans are generally submitted by regular mail</w:t>
      </w:r>
      <w:r w:rsidR="00167134">
        <w:rPr>
          <w:rFonts w:ascii="Arial" w:hAnsi="Arial" w:cs="Arial"/>
        </w:rPr>
        <w:t xml:space="preserve"> because </w:t>
      </w:r>
      <w:r w:rsidRPr="00B24F6C">
        <w:rPr>
          <w:rFonts w:ascii="Arial" w:hAnsi="Arial" w:cs="Arial"/>
        </w:rPr>
        <w:t xml:space="preserve">they usually have large maps, or other than standard size pages, which do not lend themselves to electronic transmission. </w:t>
      </w:r>
    </w:p>
    <w:p w:rsidRPr="00B24F6C" w:rsidR="00C349A7" w:rsidRDefault="00C349A7" w14:paraId="2750BC9B" w14:textId="77777777">
      <w:pPr>
        <w:pStyle w:val="Default"/>
        <w:rPr>
          <w:rFonts w:ascii="Arial" w:hAnsi="Arial" w:cs="Arial"/>
        </w:rPr>
      </w:pPr>
      <w:r w:rsidRPr="00B24F6C">
        <w:rPr>
          <w:rFonts w:ascii="Arial" w:hAnsi="Arial" w:cs="Arial"/>
        </w:rPr>
        <w:t xml:space="preserve">   </w:t>
      </w:r>
    </w:p>
    <w:p w:rsidRPr="007E53C1" w:rsidR="007E53C1" w:rsidP="007E53C1" w:rsidRDefault="007E53C1" w14:paraId="5F603AE8" w14:textId="77777777">
      <w:pPr>
        <w:rPr>
          <w:rFonts w:ascii="Arial" w:hAnsi="Arial" w:cs="Arial"/>
          <w:b/>
        </w:rPr>
      </w:pPr>
      <w:r w:rsidRPr="007E53C1">
        <w:rPr>
          <w:rFonts w:ascii="Arial" w:hAnsi="Arial" w:cs="Arial"/>
          <w:b/>
        </w:rPr>
        <w:t xml:space="preserve">4. Describe efforts to identify duplication. Show specifically why any similar information already available cannot be used or modified for use for the purposes described in Item </w:t>
      </w:r>
      <w:r w:rsidR="00601156">
        <w:rPr>
          <w:rFonts w:ascii="Arial" w:hAnsi="Arial" w:cs="Arial"/>
          <w:b/>
        </w:rPr>
        <w:t>A.</w:t>
      </w:r>
      <w:r w:rsidRPr="007E53C1">
        <w:rPr>
          <w:rFonts w:ascii="Arial" w:hAnsi="Arial" w:cs="Arial"/>
          <w:b/>
        </w:rPr>
        <w:t>2 above.</w:t>
      </w:r>
    </w:p>
    <w:p w:rsidRPr="00B24F6C" w:rsidR="00C349A7" w:rsidRDefault="00C349A7" w14:paraId="09C0C3C1" w14:textId="77777777">
      <w:pPr>
        <w:pStyle w:val="Default"/>
        <w:rPr>
          <w:rFonts w:ascii="Arial" w:hAnsi="Arial" w:cs="Arial"/>
        </w:rPr>
      </w:pPr>
      <w:r w:rsidRPr="00B24F6C">
        <w:rPr>
          <w:rFonts w:ascii="Arial" w:hAnsi="Arial" w:cs="Arial"/>
        </w:rPr>
        <w:t xml:space="preserve"> </w:t>
      </w:r>
    </w:p>
    <w:p w:rsidRPr="00B24F6C" w:rsidR="00C349A7" w:rsidRDefault="0025429E" w14:paraId="4322850D" w14:textId="77777777">
      <w:pPr>
        <w:pStyle w:val="Default"/>
        <w:rPr>
          <w:rFonts w:ascii="Arial" w:hAnsi="Arial" w:cs="Arial"/>
        </w:rPr>
      </w:pPr>
      <w:r>
        <w:rPr>
          <w:rFonts w:ascii="Arial" w:hAnsi="Arial" w:cs="Arial"/>
        </w:rPr>
        <w:lastRenderedPageBreak/>
        <w:t>MSHA knows of no other F</w:t>
      </w:r>
      <w:r w:rsidRPr="00B24F6C" w:rsidR="00C349A7">
        <w:rPr>
          <w:rFonts w:ascii="Arial" w:hAnsi="Arial" w:cs="Arial"/>
        </w:rPr>
        <w:t xml:space="preserve">ederal, </w:t>
      </w:r>
      <w:r>
        <w:rPr>
          <w:rFonts w:ascii="Arial" w:hAnsi="Arial" w:cs="Arial"/>
        </w:rPr>
        <w:t>S</w:t>
      </w:r>
      <w:r w:rsidRPr="00B24F6C" w:rsidR="00C349A7">
        <w:rPr>
          <w:rFonts w:ascii="Arial" w:hAnsi="Arial" w:cs="Arial"/>
        </w:rPr>
        <w:t xml:space="preserve">tate, or local agency that has a similar paperwork requirement relating to the use of retorts that would duplicate this requirement. </w:t>
      </w:r>
    </w:p>
    <w:p w:rsidRPr="00B24F6C" w:rsidR="00C349A7" w:rsidRDefault="00C349A7" w14:paraId="1E571792" w14:textId="77777777">
      <w:pPr>
        <w:pStyle w:val="Default"/>
        <w:rPr>
          <w:rFonts w:ascii="Arial" w:hAnsi="Arial" w:cs="Arial"/>
        </w:rPr>
      </w:pPr>
      <w:r w:rsidRPr="00B24F6C">
        <w:rPr>
          <w:rFonts w:ascii="Arial" w:hAnsi="Arial" w:cs="Arial"/>
        </w:rPr>
        <w:t xml:space="preserve"> </w:t>
      </w:r>
    </w:p>
    <w:p w:rsidRPr="007E53C1" w:rsidR="007E53C1" w:rsidP="007E53C1" w:rsidRDefault="007E53C1" w14:paraId="0E2FF955" w14:textId="77777777">
      <w:pPr>
        <w:rPr>
          <w:rFonts w:ascii="Arial" w:hAnsi="Arial" w:cs="Arial"/>
          <w:b/>
        </w:rPr>
      </w:pPr>
      <w:r w:rsidRPr="007E53C1">
        <w:rPr>
          <w:rFonts w:ascii="Arial" w:hAnsi="Arial" w:cs="Arial"/>
          <w:b/>
        </w:rPr>
        <w:t>5. If the collection of information impacts small bus</w:t>
      </w:r>
      <w:r w:rsidR="00167134">
        <w:rPr>
          <w:rFonts w:ascii="Arial" w:hAnsi="Arial" w:cs="Arial"/>
          <w:b/>
        </w:rPr>
        <w:t xml:space="preserve">inesses or other small entities, </w:t>
      </w:r>
      <w:r w:rsidRPr="007E53C1">
        <w:rPr>
          <w:rFonts w:ascii="Arial" w:hAnsi="Arial" w:cs="Arial"/>
          <w:b/>
        </w:rPr>
        <w:t>describe any methods used to minimize burden.</w:t>
      </w:r>
    </w:p>
    <w:p w:rsidR="007E53C1" w:rsidRDefault="007E53C1" w14:paraId="617CFBAE" w14:textId="77777777">
      <w:pPr>
        <w:pStyle w:val="Default"/>
        <w:rPr>
          <w:rFonts w:ascii="Arial" w:hAnsi="Arial" w:cs="Arial"/>
        </w:rPr>
      </w:pPr>
    </w:p>
    <w:p w:rsidRPr="00B24F6C" w:rsidR="00C349A7" w:rsidRDefault="00C349A7" w14:paraId="12D03F32" w14:textId="77777777">
      <w:pPr>
        <w:pStyle w:val="Default"/>
        <w:rPr>
          <w:rFonts w:ascii="Arial" w:hAnsi="Arial" w:cs="Arial"/>
        </w:rPr>
      </w:pPr>
      <w:r w:rsidRPr="00B24F6C">
        <w:rPr>
          <w:rFonts w:ascii="Arial" w:hAnsi="Arial" w:cs="Arial"/>
        </w:rPr>
        <w:t>Section 103(e) of the Mine Act directs the Secretary not to impose an unreasonable burden on small businesses in obtaining any information under the Mine Act.  Accordingly, the Agency takes this into consideration when developing regulatory requirements</w:t>
      </w:r>
      <w:r w:rsidR="00874395">
        <w:rPr>
          <w:rFonts w:ascii="Arial" w:hAnsi="Arial" w:cs="Arial"/>
        </w:rPr>
        <w:t>.</w:t>
      </w:r>
      <w:r w:rsidRPr="00B24F6C">
        <w:rPr>
          <w:rFonts w:ascii="Arial" w:hAnsi="Arial" w:cs="Arial"/>
        </w:rPr>
        <w:t xml:space="preserve"> </w:t>
      </w:r>
      <w:r w:rsidR="00874395">
        <w:rPr>
          <w:rFonts w:ascii="Arial" w:hAnsi="Arial" w:cs="Arial"/>
        </w:rPr>
        <w:t>Therefore,</w:t>
      </w:r>
      <w:r w:rsidRPr="00B24F6C" w:rsidR="00874395">
        <w:rPr>
          <w:rFonts w:ascii="Arial" w:hAnsi="Arial" w:cs="Arial"/>
        </w:rPr>
        <w:t xml:space="preserve"> </w:t>
      </w:r>
      <w:r w:rsidRPr="00B24F6C">
        <w:rPr>
          <w:rFonts w:ascii="Arial" w:hAnsi="Arial" w:cs="Arial"/>
        </w:rPr>
        <w:t xml:space="preserve">when appropriate and consistent with ensuring the safety and health of the nation's miners, different requirements for small and large </w:t>
      </w:r>
      <w:r w:rsidR="00874395">
        <w:rPr>
          <w:rFonts w:ascii="Arial" w:hAnsi="Arial" w:cs="Arial"/>
        </w:rPr>
        <w:t xml:space="preserve">mining </w:t>
      </w:r>
      <w:r w:rsidRPr="00B24F6C">
        <w:rPr>
          <w:rFonts w:ascii="Arial" w:hAnsi="Arial" w:cs="Arial"/>
        </w:rPr>
        <w:t xml:space="preserve">operations exist.  </w:t>
      </w:r>
      <w:r w:rsidR="00874395">
        <w:rPr>
          <w:rFonts w:ascii="Arial" w:hAnsi="Arial" w:cs="Arial"/>
        </w:rPr>
        <w:t>However, i</w:t>
      </w:r>
      <w:r w:rsidRPr="00B24F6C">
        <w:rPr>
          <w:rFonts w:ascii="Arial" w:hAnsi="Arial" w:cs="Arial"/>
        </w:rPr>
        <w:t xml:space="preserve">n MSHA's </w:t>
      </w:r>
      <w:r w:rsidR="00874395">
        <w:rPr>
          <w:rFonts w:ascii="Arial" w:hAnsi="Arial" w:cs="Arial"/>
        </w:rPr>
        <w:t>experience</w:t>
      </w:r>
      <w:r w:rsidRPr="00B24F6C">
        <w:rPr>
          <w:rFonts w:ascii="Arial" w:hAnsi="Arial" w:cs="Arial"/>
        </w:rPr>
        <w:t xml:space="preserve">, the use of retorts underground will be limited to large oil shale mines, and that small mines employing less than 20 miners, </w:t>
      </w:r>
      <w:r w:rsidR="00874395">
        <w:rPr>
          <w:rFonts w:ascii="Arial" w:hAnsi="Arial" w:cs="Arial"/>
        </w:rPr>
        <w:t>due to</w:t>
      </w:r>
      <w:r w:rsidRPr="00B24F6C">
        <w:rPr>
          <w:rFonts w:ascii="Arial" w:hAnsi="Arial" w:cs="Arial"/>
        </w:rPr>
        <w:t xml:space="preserve"> their limited size and mining methods, will not construct or operate retorts underground.  This information collection does not have a significant economic impact on small businesses or other small entities. </w:t>
      </w:r>
    </w:p>
    <w:p w:rsidRPr="00B24F6C" w:rsidR="00C349A7" w:rsidRDefault="00C349A7" w14:paraId="5A1513BD" w14:textId="77777777">
      <w:pPr>
        <w:pStyle w:val="Default"/>
        <w:rPr>
          <w:rFonts w:ascii="Arial" w:hAnsi="Arial" w:cs="Arial"/>
        </w:rPr>
      </w:pPr>
      <w:r w:rsidRPr="00B24F6C">
        <w:rPr>
          <w:rFonts w:ascii="Arial" w:hAnsi="Arial" w:cs="Arial"/>
        </w:rPr>
        <w:t xml:space="preserve"> </w:t>
      </w:r>
    </w:p>
    <w:p w:rsidRPr="007E53C1" w:rsidR="007E53C1" w:rsidP="007E53C1" w:rsidRDefault="00601156" w14:paraId="75A32ACD" w14:textId="77777777">
      <w:pPr>
        <w:rPr>
          <w:rFonts w:ascii="Arial" w:hAnsi="Arial" w:cs="Arial"/>
          <w:b/>
        </w:rPr>
      </w:pPr>
      <w:r>
        <w:rPr>
          <w:rFonts w:ascii="Arial" w:hAnsi="Arial" w:cs="Arial"/>
          <w:b/>
        </w:rPr>
        <w:t>6. Describe the consequence to f</w:t>
      </w:r>
      <w:r w:rsidRPr="007E53C1" w:rsidR="007E53C1">
        <w:rPr>
          <w:rFonts w:ascii="Arial" w:hAnsi="Arial" w:cs="Arial"/>
          <w:b/>
        </w:rPr>
        <w:t>ederal program or policy activities if the collection is not conducted or is conducted less frequently, as well as any technical or legal obstacles to reducing burden.</w:t>
      </w:r>
    </w:p>
    <w:p w:rsidRPr="00B24F6C" w:rsidR="00C349A7" w:rsidRDefault="00C349A7" w14:paraId="0FADDEF4" w14:textId="77777777">
      <w:pPr>
        <w:pStyle w:val="Default"/>
        <w:rPr>
          <w:rFonts w:ascii="Arial" w:hAnsi="Arial" w:cs="Arial"/>
        </w:rPr>
      </w:pPr>
    </w:p>
    <w:p w:rsidRPr="00B24F6C" w:rsidR="00C349A7" w:rsidRDefault="00C349A7" w14:paraId="1C4F0073" w14:textId="77777777">
      <w:pPr>
        <w:pStyle w:val="Default"/>
        <w:rPr>
          <w:rFonts w:ascii="Arial" w:hAnsi="Arial" w:cs="Arial"/>
        </w:rPr>
      </w:pPr>
      <w:r w:rsidRPr="00B24F6C">
        <w:rPr>
          <w:rFonts w:ascii="Arial" w:hAnsi="Arial" w:cs="Arial"/>
        </w:rPr>
        <w:t xml:space="preserve">MSHA records show that only a few mines use the retort process, and no oil shale mines are currently active. </w:t>
      </w:r>
      <w:r w:rsidR="0077132E">
        <w:rPr>
          <w:rFonts w:ascii="Arial" w:hAnsi="Arial" w:cs="Arial"/>
        </w:rPr>
        <w:t xml:space="preserve"> </w:t>
      </w:r>
      <w:r w:rsidRPr="00B24F6C">
        <w:rPr>
          <w:rFonts w:ascii="Arial" w:hAnsi="Arial" w:cs="Arial"/>
        </w:rPr>
        <w:t xml:space="preserve">Because so few operators use retorts, there may be some years in which no new retort plans are submitted.  For those operators who do use retorts, it is essential that a plan be submitted to MSHA so that </w:t>
      </w:r>
      <w:r w:rsidR="00874395">
        <w:rPr>
          <w:rFonts w:ascii="Arial" w:hAnsi="Arial" w:cs="Arial"/>
        </w:rPr>
        <w:t>the Agency</w:t>
      </w:r>
      <w:r w:rsidRPr="00B24F6C" w:rsidR="00874395">
        <w:rPr>
          <w:rFonts w:ascii="Arial" w:hAnsi="Arial" w:cs="Arial"/>
        </w:rPr>
        <w:t xml:space="preserve"> </w:t>
      </w:r>
      <w:r w:rsidRPr="00B24F6C">
        <w:rPr>
          <w:rFonts w:ascii="Arial" w:hAnsi="Arial" w:cs="Arial"/>
        </w:rPr>
        <w:t>can monitor the levels of hazardous gases and the use of retort</w:t>
      </w:r>
      <w:r w:rsidR="0058586B">
        <w:rPr>
          <w:rFonts w:ascii="Arial" w:hAnsi="Arial" w:cs="Arial"/>
        </w:rPr>
        <w:t>s</w:t>
      </w:r>
      <w:r w:rsidRPr="00B24F6C">
        <w:rPr>
          <w:rFonts w:ascii="Arial" w:hAnsi="Arial" w:cs="Arial"/>
        </w:rPr>
        <w:t xml:space="preserve"> to ensure that miners are not being exposed to hazardous or explosive conditions.  </w:t>
      </w:r>
    </w:p>
    <w:p w:rsidRPr="00B24F6C" w:rsidR="00C349A7" w:rsidRDefault="00C349A7" w14:paraId="1DD0EC09" w14:textId="77777777">
      <w:pPr>
        <w:pStyle w:val="Default"/>
        <w:rPr>
          <w:rFonts w:ascii="Arial" w:hAnsi="Arial" w:cs="Arial"/>
        </w:rPr>
      </w:pPr>
      <w:r w:rsidRPr="00B24F6C">
        <w:rPr>
          <w:rFonts w:ascii="Arial" w:hAnsi="Arial" w:cs="Arial"/>
        </w:rPr>
        <w:t xml:space="preserve"> </w:t>
      </w:r>
    </w:p>
    <w:p w:rsidRPr="007E53C1" w:rsidR="007E53C1" w:rsidP="007E53C1" w:rsidRDefault="007E53C1" w14:paraId="72FBC7D8" w14:textId="77777777">
      <w:pPr>
        <w:rPr>
          <w:rFonts w:ascii="Arial" w:hAnsi="Arial" w:cs="Arial"/>
          <w:b/>
        </w:rPr>
      </w:pPr>
      <w:r w:rsidRPr="007E53C1">
        <w:rPr>
          <w:rFonts w:ascii="Arial" w:hAnsi="Arial" w:cs="Arial"/>
          <w:b/>
        </w:rPr>
        <w:t>7. Explain any special circumstances that would cause an information collection to be conducted in a manner:</w:t>
      </w:r>
    </w:p>
    <w:p w:rsidRPr="007E53C1" w:rsidR="007E53C1" w:rsidP="007E53C1" w:rsidRDefault="007E53C1" w14:paraId="402E9A9C" w14:textId="77777777">
      <w:pPr>
        <w:rPr>
          <w:rFonts w:ascii="Arial" w:hAnsi="Arial" w:cs="Arial"/>
          <w:b/>
        </w:rPr>
      </w:pPr>
      <w:r w:rsidRPr="007E53C1">
        <w:rPr>
          <w:rFonts w:ascii="Arial" w:hAnsi="Arial" w:cs="Arial"/>
          <w:b/>
        </w:rPr>
        <w:t xml:space="preserve">* </w:t>
      </w:r>
      <w:proofErr w:type="gramStart"/>
      <w:r w:rsidRPr="007E53C1">
        <w:rPr>
          <w:rFonts w:ascii="Arial" w:hAnsi="Arial" w:cs="Arial"/>
          <w:b/>
        </w:rPr>
        <w:t>requiring</w:t>
      </w:r>
      <w:proofErr w:type="gramEnd"/>
      <w:r w:rsidRPr="007E53C1">
        <w:rPr>
          <w:rFonts w:ascii="Arial" w:hAnsi="Arial" w:cs="Arial"/>
          <w:b/>
        </w:rPr>
        <w:t xml:space="preserve"> respondents to report information to the agency more often than quarterly;</w:t>
      </w:r>
    </w:p>
    <w:p w:rsidRPr="007E53C1" w:rsidR="007E53C1" w:rsidP="007E53C1" w:rsidRDefault="007E53C1" w14:paraId="56EE374D" w14:textId="77777777">
      <w:pPr>
        <w:rPr>
          <w:rFonts w:ascii="Arial" w:hAnsi="Arial" w:cs="Arial"/>
          <w:b/>
        </w:rPr>
      </w:pPr>
      <w:r w:rsidRPr="007E53C1">
        <w:rPr>
          <w:rFonts w:ascii="Arial" w:hAnsi="Arial" w:cs="Arial"/>
          <w:b/>
        </w:rPr>
        <w:t>* requiring respondents to prepare a written response to a collection of information in fewer than 30 days after receipt of it;</w:t>
      </w:r>
    </w:p>
    <w:p w:rsidRPr="007E53C1" w:rsidR="007E53C1" w:rsidP="007E53C1" w:rsidRDefault="007E53C1" w14:paraId="0BCC5CA4" w14:textId="77777777">
      <w:pPr>
        <w:rPr>
          <w:rFonts w:ascii="Arial" w:hAnsi="Arial" w:cs="Arial"/>
          <w:b/>
        </w:rPr>
      </w:pPr>
      <w:r w:rsidRPr="007E53C1">
        <w:rPr>
          <w:rFonts w:ascii="Arial" w:hAnsi="Arial" w:cs="Arial"/>
          <w:b/>
        </w:rPr>
        <w:t>* requiring respondents to submit more than an original and two copies of any document;</w:t>
      </w:r>
    </w:p>
    <w:p w:rsidRPr="007E53C1" w:rsidR="007E53C1" w:rsidP="007E53C1" w:rsidRDefault="007E53C1" w14:paraId="3A0AC6FC" w14:textId="77777777">
      <w:pPr>
        <w:rPr>
          <w:rFonts w:ascii="Arial" w:hAnsi="Arial" w:cs="Arial"/>
          <w:b/>
        </w:rPr>
      </w:pPr>
      <w:r w:rsidRPr="007E53C1">
        <w:rPr>
          <w:rFonts w:ascii="Arial" w:hAnsi="Arial" w:cs="Arial"/>
          <w:b/>
        </w:rPr>
        <w:t>* requiring respondents to retain records, other than health, medical, government contract, grant-in-aid, or tax records, for more than three years;</w:t>
      </w:r>
    </w:p>
    <w:p w:rsidRPr="007E53C1" w:rsidR="007E53C1" w:rsidP="007E53C1" w:rsidRDefault="007E53C1" w14:paraId="4A808F5B" w14:textId="77777777">
      <w:pPr>
        <w:rPr>
          <w:rFonts w:ascii="Arial" w:hAnsi="Arial" w:cs="Arial"/>
          <w:b/>
        </w:rPr>
      </w:pPr>
      <w:r w:rsidRPr="007E53C1">
        <w:rPr>
          <w:rFonts w:ascii="Arial" w:hAnsi="Arial" w:cs="Arial"/>
          <w:b/>
        </w:rPr>
        <w:t xml:space="preserve">* </w:t>
      </w:r>
      <w:proofErr w:type="gramStart"/>
      <w:r w:rsidRPr="007E53C1">
        <w:rPr>
          <w:rFonts w:ascii="Arial" w:hAnsi="Arial" w:cs="Arial"/>
          <w:b/>
        </w:rPr>
        <w:t>in</w:t>
      </w:r>
      <w:proofErr w:type="gramEnd"/>
      <w:r w:rsidRPr="007E53C1">
        <w:rPr>
          <w:rFonts w:ascii="Arial" w:hAnsi="Arial" w:cs="Arial"/>
          <w:b/>
        </w:rPr>
        <w:t xml:space="preserve"> connection with a statistical survey, that is not designed to produce valid and reliable results that can be generalized to the universe of study;</w:t>
      </w:r>
    </w:p>
    <w:p w:rsidRPr="007E53C1" w:rsidR="007E53C1" w:rsidP="007E53C1" w:rsidRDefault="007E53C1" w14:paraId="41087FC8" w14:textId="77777777">
      <w:pPr>
        <w:rPr>
          <w:rFonts w:ascii="Arial" w:hAnsi="Arial" w:cs="Arial"/>
          <w:b/>
        </w:rPr>
      </w:pPr>
      <w:r w:rsidRPr="007E53C1">
        <w:rPr>
          <w:rFonts w:ascii="Arial" w:hAnsi="Arial" w:cs="Arial"/>
          <w:b/>
        </w:rPr>
        <w:t xml:space="preserve">* requiring the use of a statistical data classification that has not been reviewed and approved by OMB; </w:t>
      </w:r>
    </w:p>
    <w:p w:rsidRPr="007E53C1" w:rsidR="007E53C1" w:rsidP="007E53C1" w:rsidRDefault="007E53C1" w14:paraId="7E1B00CE" w14:textId="77777777">
      <w:pPr>
        <w:rPr>
          <w:rFonts w:ascii="Arial" w:hAnsi="Arial" w:cs="Arial"/>
          <w:b/>
        </w:rPr>
      </w:pPr>
      <w:r w:rsidRPr="007E53C1">
        <w:rPr>
          <w:rFonts w:ascii="Arial" w:hAnsi="Arial" w:cs="Arial"/>
          <w:b/>
        </w:rPr>
        <w:t xml:space="preserve">* that includes a pledge of confidentiality that is not supported by authority established in statute or regulation, that is not supported by disclosure and data </w:t>
      </w:r>
      <w:r w:rsidRPr="007E53C1">
        <w:rPr>
          <w:rFonts w:ascii="Arial" w:hAnsi="Arial" w:cs="Arial"/>
          <w:b/>
        </w:rPr>
        <w:lastRenderedPageBreak/>
        <w:t>security policies that are consistent with the pledge, or which unnecessarily impedes sharing of data with other agencies for compatible confidential use; or</w:t>
      </w:r>
    </w:p>
    <w:p w:rsidRPr="007E53C1" w:rsidR="007E53C1" w:rsidP="007E53C1" w:rsidRDefault="007E53C1" w14:paraId="6CFAE747" w14:textId="77777777">
      <w:pPr>
        <w:rPr>
          <w:rFonts w:ascii="Arial" w:hAnsi="Arial" w:cs="Arial"/>
          <w:b/>
        </w:rPr>
      </w:pPr>
      <w:r w:rsidRPr="007E53C1">
        <w:rPr>
          <w:rFonts w:ascii="Arial" w:hAnsi="Arial" w:cs="Arial"/>
          <w:b/>
        </w:rPr>
        <w:t>* requiring respondents to submit proprietary trade secrets, or other confidential information unless the agency can demonstrate that it has instituted procedures to protect the information's confidentiality to the extent permitted by law.</w:t>
      </w:r>
    </w:p>
    <w:p w:rsidRPr="00B24F6C" w:rsidR="00C349A7" w:rsidRDefault="00C349A7" w14:paraId="70878627" w14:textId="77777777">
      <w:pPr>
        <w:pStyle w:val="Default"/>
        <w:rPr>
          <w:rFonts w:ascii="Arial" w:hAnsi="Arial" w:cs="Arial"/>
        </w:rPr>
      </w:pPr>
    </w:p>
    <w:p w:rsidRPr="00B24F6C" w:rsidR="00C349A7" w:rsidP="0075279D" w:rsidRDefault="00C349A7" w14:paraId="1A326DA6" w14:textId="77777777">
      <w:pPr>
        <w:pStyle w:val="Default"/>
        <w:outlineLvl w:val="0"/>
        <w:rPr>
          <w:rFonts w:ascii="Arial" w:hAnsi="Arial" w:cs="Arial"/>
        </w:rPr>
      </w:pPr>
      <w:r w:rsidRPr="00B24F6C">
        <w:rPr>
          <w:rFonts w:ascii="Arial" w:hAnsi="Arial" w:cs="Arial"/>
        </w:rPr>
        <w:t xml:space="preserve">This collection of information is consistent with the guidelines in 5 </w:t>
      </w:r>
      <w:r w:rsidR="00B24F6C">
        <w:rPr>
          <w:rFonts w:ascii="Arial" w:hAnsi="Arial" w:cs="Arial"/>
        </w:rPr>
        <w:t>CFR</w:t>
      </w:r>
      <w:r w:rsidRPr="00B24F6C">
        <w:rPr>
          <w:rFonts w:ascii="Arial" w:hAnsi="Arial" w:cs="Arial"/>
        </w:rPr>
        <w:t xml:space="preserve"> 1320.5. </w:t>
      </w:r>
    </w:p>
    <w:p w:rsidRPr="00B24F6C" w:rsidR="00C349A7" w:rsidRDefault="00C349A7" w14:paraId="1BA526F0" w14:textId="77777777">
      <w:pPr>
        <w:pStyle w:val="Default"/>
        <w:rPr>
          <w:rFonts w:ascii="Arial" w:hAnsi="Arial" w:cs="Arial"/>
        </w:rPr>
      </w:pPr>
      <w:r w:rsidRPr="00B24F6C">
        <w:rPr>
          <w:rFonts w:ascii="Arial" w:hAnsi="Arial" w:cs="Arial"/>
        </w:rPr>
        <w:t xml:space="preserve"> </w:t>
      </w:r>
    </w:p>
    <w:p w:rsidRPr="007E53C1" w:rsidR="007E53C1" w:rsidP="007E53C1" w:rsidRDefault="007E53C1" w14:paraId="29D3906B" w14:textId="77777777">
      <w:pPr>
        <w:rPr>
          <w:rFonts w:ascii="Arial" w:hAnsi="Arial" w:cs="Arial"/>
          <w:b/>
        </w:rPr>
      </w:pPr>
      <w:r w:rsidRPr="007E53C1">
        <w:rPr>
          <w:rFonts w:ascii="Arial" w:hAnsi="Arial" w:cs="Arial"/>
          <w:b/>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7E53C1" w:rsidR="007E53C1" w:rsidP="007E53C1" w:rsidRDefault="007E53C1" w14:paraId="34581A6F" w14:textId="77777777">
      <w:pPr>
        <w:rPr>
          <w:rFonts w:ascii="Arial" w:hAnsi="Arial" w:cs="Arial"/>
          <w:b/>
        </w:rPr>
      </w:pPr>
    </w:p>
    <w:p w:rsidRPr="007E53C1" w:rsidR="007E53C1" w:rsidP="007E53C1" w:rsidRDefault="007E53C1" w14:paraId="32FAEBB1" w14:textId="77777777">
      <w:pPr>
        <w:rPr>
          <w:rFonts w:ascii="Arial" w:hAnsi="Arial" w:cs="Arial"/>
          <w:b/>
        </w:rPr>
      </w:pPr>
      <w:r w:rsidRPr="007E53C1">
        <w:rPr>
          <w:rFonts w:ascii="Arial" w:hAnsi="Arial" w:cs="Arial"/>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7E53C1" w:rsidR="007E53C1" w:rsidP="007E53C1" w:rsidRDefault="007E53C1" w14:paraId="5F30B732" w14:textId="77777777">
      <w:pPr>
        <w:rPr>
          <w:rFonts w:ascii="Arial" w:hAnsi="Arial" w:cs="Arial"/>
          <w:b/>
        </w:rPr>
      </w:pPr>
    </w:p>
    <w:p w:rsidRPr="007E53C1" w:rsidR="007E53C1" w:rsidP="007E53C1" w:rsidRDefault="007E53C1" w14:paraId="6AF0E775" w14:textId="77777777">
      <w:pPr>
        <w:rPr>
          <w:rFonts w:ascii="Arial" w:hAnsi="Arial" w:cs="Arial"/>
          <w:b/>
        </w:rPr>
      </w:pPr>
      <w:r w:rsidRPr="007E53C1">
        <w:rPr>
          <w:rFonts w:ascii="Arial" w:hAnsi="Arial" w:cs="Arial"/>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B24F6C" w:rsidR="00C349A7" w:rsidRDefault="00C349A7" w14:paraId="36EC5BBB" w14:textId="77777777">
      <w:pPr>
        <w:pStyle w:val="Default"/>
        <w:rPr>
          <w:rFonts w:ascii="Arial" w:hAnsi="Arial" w:cs="Arial"/>
        </w:rPr>
      </w:pPr>
    </w:p>
    <w:p w:rsidR="00C2350B" w:rsidRDefault="00C2350B" w14:paraId="1CB8EF35" w14:textId="2C8178F1">
      <w:pPr>
        <w:pStyle w:val="Default"/>
        <w:rPr>
          <w:rFonts w:ascii="Arial" w:hAnsi="Arial" w:cs="Arial"/>
        </w:rPr>
      </w:pPr>
      <w:r w:rsidRPr="00C2350B">
        <w:rPr>
          <w:rFonts w:ascii="Arial" w:hAnsi="Arial" w:cs="Arial"/>
        </w:rPr>
        <w:t xml:space="preserve">MSHA published a 60-day Federal Register notice on </w:t>
      </w:r>
      <w:r>
        <w:rPr>
          <w:rFonts w:ascii="Arial" w:hAnsi="Arial" w:cs="Arial"/>
        </w:rPr>
        <w:t>August 21</w:t>
      </w:r>
      <w:bookmarkStart w:name="_GoBack" w:id="0"/>
      <w:bookmarkEnd w:id="0"/>
      <w:r w:rsidRPr="00C2350B">
        <w:rPr>
          <w:rFonts w:ascii="Arial" w:hAnsi="Arial" w:cs="Arial"/>
        </w:rPr>
        <w:t xml:space="preserve">, 2021 (86 FR 48250).  MSHA received no public comments.   </w:t>
      </w:r>
    </w:p>
    <w:p w:rsidR="00C2350B" w:rsidRDefault="00C2350B" w14:paraId="39522D0D" w14:textId="77777777">
      <w:pPr>
        <w:pStyle w:val="Default"/>
        <w:rPr>
          <w:rFonts w:ascii="Arial" w:hAnsi="Arial" w:cs="Arial"/>
        </w:rPr>
      </w:pPr>
    </w:p>
    <w:p w:rsidRPr="007E53C1" w:rsidR="007E53C1" w:rsidP="007E53C1" w:rsidRDefault="007E53C1" w14:paraId="4C420F24" w14:textId="77777777">
      <w:pPr>
        <w:rPr>
          <w:rFonts w:ascii="Arial" w:hAnsi="Arial" w:cs="Arial"/>
          <w:b/>
        </w:rPr>
      </w:pPr>
      <w:r w:rsidRPr="007E53C1">
        <w:rPr>
          <w:rFonts w:ascii="Arial" w:hAnsi="Arial" w:cs="Arial"/>
          <w:b/>
        </w:rPr>
        <w:t xml:space="preserve">9. Explain any decision to provide any payment or gift to respondents, other than </w:t>
      </w:r>
      <w:r w:rsidRPr="007E53C1" w:rsidR="00566C37">
        <w:rPr>
          <w:rFonts w:ascii="Arial" w:hAnsi="Arial" w:cs="Arial"/>
          <w:b/>
        </w:rPr>
        <w:t>remuneration</w:t>
      </w:r>
      <w:r w:rsidRPr="007E53C1">
        <w:rPr>
          <w:rFonts w:ascii="Arial" w:hAnsi="Arial" w:cs="Arial"/>
          <w:b/>
        </w:rPr>
        <w:t xml:space="preserve"> of contractors or grantees.</w:t>
      </w:r>
    </w:p>
    <w:p w:rsidRPr="00B24F6C" w:rsidR="007E53C1" w:rsidRDefault="007E53C1" w14:paraId="1D4BB298" w14:textId="77777777">
      <w:pPr>
        <w:pStyle w:val="Default"/>
        <w:rPr>
          <w:rFonts w:ascii="Arial" w:hAnsi="Arial" w:cs="Arial"/>
        </w:rPr>
      </w:pPr>
    </w:p>
    <w:p w:rsidRPr="00B24F6C" w:rsidR="00C349A7" w:rsidP="0075279D" w:rsidRDefault="00C349A7" w14:paraId="7C0F34E0" w14:textId="77777777">
      <w:pPr>
        <w:pStyle w:val="Default"/>
        <w:outlineLvl w:val="0"/>
        <w:rPr>
          <w:rFonts w:ascii="Arial" w:hAnsi="Arial" w:cs="Arial"/>
        </w:rPr>
      </w:pPr>
      <w:r w:rsidRPr="00B24F6C">
        <w:rPr>
          <w:rFonts w:ascii="Arial" w:hAnsi="Arial" w:cs="Arial"/>
        </w:rPr>
        <w:t xml:space="preserve">MSHA does not provide payments or gifts to respondents identified by this collection. </w:t>
      </w:r>
    </w:p>
    <w:p w:rsidR="007E53C1" w:rsidP="007E53C1" w:rsidRDefault="007E53C1" w14:paraId="6E6C7666" w14:textId="77777777">
      <w:pPr>
        <w:rPr>
          <w:rFonts w:ascii="Arial" w:hAnsi="Arial" w:cs="Arial"/>
          <w:b/>
        </w:rPr>
      </w:pPr>
    </w:p>
    <w:p w:rsidRPr="007E53C1" w:rsidR="007E53C1" w:rsidP="007E53C1" w:rsidRDefault="007E53C1" w14:paraId="52071F2A" w14:textId="77777777">
      <w:pPr>
        <w:rPr>
          <w:rFonts w:ascii="Arial" w:hAnsi="Arial" w:cs="Arial"/>
          <w:b/>
        </w:rPr>
      </w:pPr>
      <w:r w:rsidRPr="007E53C1">
        <w:rPr>
          <w:rFonts w:ascii="Arial" w:hAnsi="Arial" w:cs="Arial"/>
          <w:b/>
        </w:rPr>
        <w:t>10. Describe any assurance of confidentiality provided to respondents and the basis for the assurance in statute, regulation, or agency policy.</w:t>
      </w:r>
    </w:p>
    <w:p w:rsidRPr="00B24F6C" w:rsidR="00C349A7" w:rsidRDefault="00C349A7" w14:paraId="76436EB0" w14:textId="77777777">
      <w:pPr>
        <w:pStyle w:val="Default"/>
        <w:rPr>
          <w:rFonts w:ascii="Arial" w:hAnsi="Arial" w:cs="Arial"/>
        </w:rPr>
      </w:pPr>
    </w:p>
    <w:p w:rsidRPr="00B24F6C" w:rsidR="00C349A7" w:rsidRDefault="00C349A7" w14:paraId="13FA4D60" w14:textId="77777777">
      <w:pPr>
        <w:pStyle w:val="Default"/>
        <w:rPr>
          <w:rFonts w:ascii="Arial" w:hAnsi="Arial" w:cs="Arial"/>
        </w:rPr>
      </w:pPr>
      <w:r w:rsidRPr="00B24F6C">
        <w:rPr>
          <w:rFonts w:ascii="Arial" w:hAnsi="Arial" w:cs="Arial"/>
        </w:rPr>
        <w:t>No records requiring confidentiality are required.  However, in the event a mine operator should include proprietary data within a retort plan, such data will be kept confidential by MSHA consistent with the guidelines outlined in 5 U.S.C. 552(b</w:t>
      </w:r>
      <w:proofErr w:type="gramStart"/>
      <w:r w:rsidRPr="00B24F6C">
        <w:rPr>
          <w:rFonts w:ascii="Arial" w:hAnsi="Arial" w:cs="Arial"/>
        </w:rPr>
        <w:t>)(</w:t>
      </w:r>
      <w:proofErr w:type="gramEnd"/>
      <w:r w:rsidRPr="00B24F6C">
        <w:rPr>
          <w:rFonts w:ascii="Arial" w:hAnsi="Arial" w:cs="Arial"/>
        </w:rPr>
        <w:t xml:space="preserve">4). </w:t>
      </w:r>
    </w:p>
    <w:p w:rsidRPr="00B24F6C" w:rsidR="00C349A7" w:rsidRDefault="00C349A7" w14:paraId="04772409" w14:textId="77777777">
      <w:pPr>
        <w:pStyle w:val="Default"/>
        <w:rPr>
          <w:rFonts w:ascii="Arial" w:hAnsi="Arial" w:cs="Arial"/>
        </w:rPr>
      </w:pPr>
      <w:r w:rsidRPr="00B24F6C">
        <w:rPr>
          <w:rFonts w:ascii="Arial" w:hAnsi="Arial" w:cs="Arial"/>
        </w:rPr>
        <w:t xml:space="preserve"> </w:t>
      </w:r>
    </w:p>
    <w:p w:rsidRPr="007E53C1" w:rsidR="007E53C1" w:rsidP="007E53C1" w:rsidRDefault="007E53C1" w14:paraId="69AE1DAC" w14:textId="77777777">
      <w:pPr>
        <w:rPr>
          <w:rFonts w:ascii="Arial" w:hAnsi="Arial" w:cs="Arial"/>
          <w:b/>
        </w:rPr>
      </w:pPr>
      <w:r w:rsidRPr="007E53C1">
        <w:rPr>
          <w:rFonts w:ascii="Arial" w:hAnsi="Arial" w:cs="Arial"/>
          <w:b/>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w:t>
      </w:r>
      <w:r w:rsidRPr="007E53C1">
        <w:rPr>
          <w:rFonts w:ascii="Arial" w:hAnsi="Arial" w:cs="Arial"/>
          <w:b/>
        </w:rPr>
        <w:lastRenderedPageBreak/>
        <w:t>the information, the explanation to be given to persons from whom the information is requested, and any steps to be taken to obtain their consent.</w:t>
      </w:r>
    </w:p>
    <w:p w:rsidRPr="00B24F6C" w:rsidR="00C349A7" w:rsidRDefault="00C349A7" w14:paraId="57B5365C" w14:textId="77777777">
      <w:pPr>
        <w:pStyle w:val="Default"/>
        <w:rPr>
          <w:rFonts w:ascii="Arial" w:hAnsi="Arial" w:cs="Arial"/>
        </w:rPr>
      </w:pPr>
    </w:p>
    <w:p w:rsidRPr="00B24F6C" w:rsidR="00C349A7" w:rsidP="0075279D" w:rsidRDefault="00C349A7" w14:paraId="5DF35052" w14:textId="77777777">
      <w:pPr>
        <w:pStyle w:val="Default"/>
        <w:outlineLvl w:val="0"/>
        <w:rPr>
          <w:rFonts w:ascii="Arial" w:hAnsi="Arial" w:cs="Arial"/>
        </w:rPr>
      </w:pPr>
      <w:r w:rsidRPr="00B24F6C">
        <w:rPr>
          <w:rFonts w:ascii="Arial" w:hAnsi="Arial" w:cs="Arial"/>
        </w:rPr>
        <w:t xml:space="preserve">There are no questions of a sensitive nature.   </w:t>
      </w:r>
    </w:p>
    <w:p w:rsidRPr="00B24F6C" w:rsidR="00C349A7" w:rsidRDefault="00C349A7" w14:paraId="5A5D3F04" w14:textId="77777777">
      <w:pPr>
        <w:pStyle w:val="Default"/>
        <w:rPr>
          <w:rFonts w:ascii="Arial" w:hAnsi="Arial" w:cs="Arial"/>
        </w:rPr>
      </w:pPr>
      <w:r w:rsidRPr="00B24F6C">
        <w:rPr>
          <w:rFonts w:ascii="Arial" w:hAnsi="Arial" w:cs="Arial"/>
        </w:rPr>
        <w:t xml:space="preserve">  </w:t>
      </w:r>
    </w:p>
    <w:p w:rsidRPr="007E53C1" w:rsidR="007E53C1" w:rsidP="007E53C1" w:rsidRDefault="007E53C1" w14:paraId="46476581" w14:textId="77777777">
      <w:pPr>
        <w:rPr>
          <w:rFonts w:ascii="Arial" w:hAnsi="Arial" w:cs="Arial"/>
          <w:b/>
        </w:rPr>
      </w:pPr>
      <w:r w:rsidRPr="007E53C1">
        <w:rPr>
          <w:rFonts w:ascii="Arial" w:hAnsi="Arial" w:cs="Arial"/>
          <w:b/>
        </w:rPr>
        <w:t xml:space="preserve">12. Provide estimates of the hour burden of the collection of information. The statement should: </w:t>
      </w:r>
    </w:p>
    <w:p w:rsidRPr="007E53C1" w:rsidR="007E53C1" w:rsidP="007E53C1" w:rsidRDefault="007E53C1" w14:paraId="3C0DD2AA" w14:textId="77777777">
      <w:pPr>
        <w:rPr>
          <w:rFonts w:ascii="Arial" w:hAnsi="Arial" w:cs="Arial"/>
          <w:b/>
        </w:rPr>
      </w:pPr>
      <w:r w:rsidRPr="007E53C1">
        <w:rPr>
          <w:rFonts w:ascii="Arial" w:hAnsi="Arial" w:cs="Arial"/>
          <w:b/>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7E53C1" w:rsidR="007E53C1" w:rsidP="007E53C1" w:rsidRDefault="007E53C1" w14:paraId="7957A490" w14:textId="77777777">
      <w:pPr>
        <w:rPr>
          <w:rFonts w:ascii="Arial" w:hAnsi="Arial" w:cs="Arial"/>
          <w:b/>
        </w:rPr>
      </w:pPr>
      <w:r w:rsidRPr="007E53C1">
        <w:rPr>
          <w:rFonts w:ascii="Arial" w:hAnsi="Arial" w:cs="Arial"/>
          <w:b/>
        </w:rPr>
        <w:t>* If this request for approval covers more than one form, provide separate hour burden estimates for each form and aggregate the hour burdens.</w:t>
      </w:r>
    </w:p>
    <w:p w:rsidRPr="000423D8" w:rsidR="007E53C1" w:rsidP="007E53C1" w:rsidRDefault="007E53C1" w14:paraId="32511C3A" w14:textId="77777777">
      <w:pPr>
        <w:rPr>
          <w:rFonts w:ascii="Arial" w:hAnsi="Arial" w:cs="Arial"/>
        </w:rPr>
      </w:pPr>
      <w:r w:rsidRPr="007E53C1">
        <w:rPr>
          <w:rFonts w:ascii="Arial" w:hAnsi="Arial" w:cs="Arial"/>
          <w:b/>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00167134">
        <w:rPr>
          <w:rFonts w:ascii="Arial" w:hAnsi="Arial" w:cs="Arial"/>
          <w:b/>
        </w:rPr>
        <w:t>under</w:t>
      </w:r>
      <w:r w:rsidRPr="007E53C1">
        <w:rPr>
          <w:rFonts w:ascii="Arial" w:hAnsi="Arial" w:cs="Arial"/>
          <w:b/>
        </w:rPr>
        <w:t xml:space="preserve"> Item 13</w:t>
      </w:r>
      <w:r w:rsidRPr="000423D8">
        <w:rPr>
          <w:rFonts w:ascii="Arial" w:hAnsi="Arial" w:cs="Arial"/>
        </w:rPr>
        <w:t>.</w:t>
      </w:r>
    </w:p>
    <w:p w:rsidRPr="00B24F6C" w:rsidR="00C349A7" w:rsidRDefault="00C349A7" w14:paraId="6CB4B6E8" w14:textId="77777777">
      <w:pPr>
        <w:pStyle w:val="Default"/>
        <w:rPr>
          <w:rFonts w:ascii="Arial" w:hAnsi="Arial" w:cs="Arial"/>
        </w:rPr>
      </w:pPr>
    </w:p>
    <w:p w:rsidRPr="00E70B4E" w:rsidR="00471109" w:rsidP="00471109" w:rsidRDefault="00471109" w14:paraId="6BD9DA50" w14:textId="77777777">
      <w:pPr>
        <w:spacing w:after="120"/>
        <w:rPr>
          <w:rFonts w:ascii="Arial" w:hAnsi="Arial" w:cs="Arial"/>
          <w:snapToGrid w:val="0"/>
        </w:rPr>
      </w:pPr>
      <w:r w:rsidRPr="00E70B4E">
        <w:rPr>
          <w:rFonts w:ascii="Arial" w:hAnsi="Arial" w:cs="Arial"/>
          <w:snapToGrid w:val="0"/>
        </w:rPr>
        <w:t>Annual burden hours and related costs calculations are shown below. MSHA used data from the May 2020 Occupational Employment and Wage Statistics (OEWS) published by the Bureau of Labor Statistics (BLS) for hourly wage rates and adjusted the rates for benefits and wage inflation</w:t>
      </w:r>
      <w:r w:rsidRPr="00E70B4E">
        <w:rPr>
          <w:rFonts w:ascii="Arial" w:hAnsi="Arial" w:cs="Arial"/>
          <w:snapToGrid w:val="0"/>
          <w:vertAlign w:val="superscript"/>
        </w:rPr>
        <w:footnoteReference w:id="1"/>
      </w:r>
      <w:r w:rsidRPr="00E70B4E">
        <w:rPr>
          <w:rFonts w:ascii="Arial" w:hAnsi="Arial" w:cs="Arial"/>
          <w:snapToGrid w:val="0"/>
        </w:rPr>
        <w:t>.</w:t>
      </w:r>
    </w:p>
    <w:p w:rsidRPr="00E70B4E" w:rsidR="00C349A7" w:rsidRDefault="00C349A7" w14:paraId="1F992EF8" w14:textId="77777777">
      <w:pPr>
        <w:pStyle w:val="Default"/>
        <w:rPr>
          <w:rFonts w:ascii="Arial" w:hAnsi="Arial" w:cs="Arial"/>
        </w:rPr>
      </w:pPr>
      <w:r w:rsidRPr="00E70B4E">
        <w:rPr>
          <w:rFonts w:ascii="Arial" w:hAnsi="Arial" w:cs="Arial"/>
        </w:rPr>
        <w:t xml:space="preserve">  </w:t>
      </w:r>
    </w:p>
    <w:p w:rsidRPr="00E70B4E" w:rsidR="00C349A7" w:rsidRDefault="00A71376" w14:paraId="52AB95F7" w14:textId="77777777">
      <w:pPr>
        <w:pStyle w:val="Default"/>
        <w:rPr>
          <w:rFonts w:ascii="Arial" w:hAnsi="Arial" w:cs="Arial"/>
        </w:rPr>
      </w:pPr>
      <w:r w:rsidRPr="00E70B4E">
        <w:rPr>
          <w:rFonts w:ascii="Arial" w:hAnsi="Arial" w:cs="Arial"/>
          <w:color w:val="auto"/>
          <w:u w:val="single"/>
        </w:rPr>
        <w:t>Section 57.22401(b)</w:t>
      </w:r>
      <w:r w:rsidRPr="00E70B4E">
        <w:rPr>
          <w:rFonts w:ascii="Arial" w:hAnsi="Arial" w:cs="Arial"/>
          <w:color w:val="auto"/>
        </w:rPr>
        <w:t xml:space="preserve">:  </w:t>
      </w:r>
      <w:r w:rsidRPr="00E70B4E" w:rsidR="00874395">
        <w:rPr>
          <w:rFonts w:ascii="Arial" w:hAnsi="Arial" w:cs="Arial"/>
        </w:rPr>
        <w:t>MSHA estimates that it would</w:t>
      </w:r>
      <w:r w:rsidRPr="00E70B4E" w:rsidR="00C349A7">
        <w:rPr>
          <w:rFonts w:ascii="Arial" w:hAnsi="Arial" w:cs="Arial"/>
        </w:rPr>
        <w:t xml:space="preserve"> receive one plan per year, and that it would take a metal and nonmetal undergr</w:t>
      </w:r>
      <w:r w:rsidRPr="00E70B4E" w:rsidR="00DF5CF4">
        <w:rPr>
          <w:rFonts w:ascii="Arial" w:hAnsi="Arial" w:cs="Arial"/>
        </w:rPr>
        <w:t>ound mine supervisor earning $</w:t>
      </w:r>
      <w:r w:rsidRPr="00E70B4E" w:rsidR="0063634B">
        <w:rPr>
          <w:rFonts w:ascii="Arial" w:hAnsi="Arial" w:cs="Arial"/>
        </w:rPr>
        <w:t>55.01</w:t>
      </w:r>
      <w:r w:rsidRPr="00E70B4E" w:rsidR="00C349A7">
        <w:rPr>
          <w:rFonts w:ascii="Arial" w:hAnsi="Arial" w:cs="Arial"/>
        </w:rPr>
        <w:t xml:space="preserve"> per hour</w:t>
      </w:r>
      <w:r w:rsidRPr="00E70B4E" w:rsidR="00471109">
        <w:rPr>
          <w:rStyle w:val="FootnoteReference"/>
          <w:rFonts w:ascii="Arial" w:hAnsi="Arial" w:cs="Arial"/>
          <w:vertAlign w:val="superscript"/>
        </w:rPr>
        <w:footnoteReference w:id="2"/>
      </w:r>
      <w:r w:rsidRPr="00E70B4E" w:rsidR="00C349A7">
        <w:rPr>
          <w:rFonts w:ascii="Arial" w:hAnsi="Arial" w:cs="Arial"/>
        </w:rPr>
        <w:t>, approximately 160 hours to prepare the plan</w:t>
      </w:r>
      <w:r w:rsidRPr="00E70B4E" w:rsidR="00E85B35">
        <w:rPr>
          <w:rFonts w:ascii="Arial" w:hAnsi="Arial" w:cs="Arial"/>
        </w:rPr>
        <w:t>.</w:t>
      </w:r>
      <w:r w:rsidRPr="00E70B4E" w:rsidR="00C349A7">
        <w:rPr>
          <w:rFonts w:ascii="Arial" w:hAnsi="Arial" w:cs="Arial"/>
        </w:rPr>
        <w:t xml:space="preserve"> </w:t>
      </w:r>
      <w:r w:rsidRPr="00E70B4E" w:rsidR="00E85B35">
        <w:rPr>
          <w:rFonts w:ascii="Arial" w:hAnsi="Arial" w:cs="Arial"/>
        </w:rPr>
        <w:t xml:space="preserve"> </w:t>
      </w:r>
      <w:r w:rsidRPr="00E70B4E" w:rsidR="00C349A7">
        <w:rPr>
          <w:rFonts w:ascii="Arial" w:hAnsi="Arial" w:cs="Arial"/>
        </w:rPr>
        <w:t xml:space="preserve">The burden cost associated with </w:t>
      </w:r>
      <w:r w:rsidRPr="00E70B4E" w:rsidR="00C349A7">
        <w:rPr>
          <w:rFonts w:ascii="Arial" w:hAnsi="Arial" w:cs="Arial"/>
        </w:rPr>
        <w:lastRenderedPageBreak/>
        <w:t xml:space="preserve">the operator's duty to submit the required plan is as follows: </w:t>
      </w:r>
    </w:p>
    <w:p w:rsidR="005A1B9E" w:rsidRDefault="00C349A7" w14:paraId="1BA51593" w14:textId="77777777">
      <w:pPr>
        <w:pStyle w:val="Default"/>
        <w:rPr>
          <w:rFonts w:ascii="Arial" w:hAnsi="Arial" w:cs="Arial"/>
        </w:rPr>
      </w:pPr>
      <w:r w:rsidRPr="00BF5691">
        <w:rPr>
          <w:rFonts w:ascii="Arial" w:hAnsi="Arial" w:cs="Arial"/>
        </w:rPr>
        <w:t xml:space="preserve"> </w:t>
      </w:r>
    </w:p>
    <w:p w:rsidRPr="005A1B9E" w:rsidR="00C349A7" w:rsidRDefault="005A1B9E" w14:paraId="27397102" w14:textId="77777777">
      <w:pPr>
        <w:pStyle w:val="Default"/>
        <w:rPr>
          <w:rFonts w:ascii="Arial" w:hAnsi="Arial" w:cs="Arial"/>
          <w:b/>
          <w:u w:val="single"/>
        </w:rPr>
      </w:pPr>
      <w:r w:rsidRPr="005A1B9E">
        <w:rPr>
          <w:rFonts w:ascii="Arial" w:hAnsi="Arial" w:cs="Arial"/>
          <w:b/>
          <w:u w:val="single"/>
        </w:rPr>
        <w:t>Burden Hours:</w:t>
      </w:r>
    </w:p>
    <w:p w:rsidR="00563D33" w:rsidP="00DF5CF4" w:rsidRDefault="00563D33" w14:paraId="61B133F0" w14:textId="77777777">
      <w:pPr>
        <w:rPr>
          <w:rFonts w:ascii="Arial" w:hAnsi="Arial" w:cs="Arial"/>
          <w:szCs w:val="20"/>
        </w:rPr>
      </w:pPr>
    </w:p>
    <w:p w:rsidRPr="00563D33" w:rsidR="00563D33" w:rsidP="00563D33" w:rsidRDefault="00563D33" w14:paraId="662272B3" w14:textId="77777777">
      <w:pPr>
        <w:keepNext/>
        <w:keepLines/>
        <w:autoSpaceDE w:val="0"/>
        <w:autoSpaceDN w:val="0"/>
        <w:adjustRightInd w:val="0"/>
        <w:jc w:val="center"/>
        <w:rPr>
          <w:rFonts w:ascii="Arial" w:hAnsi="Arial" w:cs="Book Antiqua"/>
          <w:b/>
          <w:bCs/>
          <w:color w:val="000000"/>
        </w:rPr>
      </w:pPr>
      <w:r w:rsidRPr="00563D33">
        <w:rPr>
          <w:rFonts w:ascii="Arial" w:hAnsi="Arial" w:cs="Book Antiqua"/>
          <w:b/>
          <w:bCs/>
          <w:color w:val="000000"/>
        </w:rPr>
        <w:t>Estimated Annualized Respondent Cost and Hour Burden</w:t>
      </w: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075"/>
        <w:gridCol w:w="900"/>
        <w:gridCol w:w="1440"/>
        <w:gridCol w:w="1260"/>
        <w:gridCol w:w="1350"/>
        <w:gridCol w:w="1170"/>
        <w:gridCol w:w="990"/>
        <w:gridCol w:w="1350"/>
      </w:tblGrid>
      <w:tr w:rsidRPr="00E70B4E" w:rsidR="0063634B" w:rsidTr="00E70B4E" w14:paraId="118C8887" w14:textId="77777777">
        <w:trPr>
          <w:trHeight w:val="890"/>
        </w:trPr>
        <w:tc>
          <w:tcPr>
            <w:tcW w:w="107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70B4E" w:rsidR="00563D33" w:rsidP="00563D33" w:rsidRDefault="00563D33" w14:paraId="5297282D" w14:textId="77777777">
            <w:pPr>
              <w:widowControl w:val="0"/>
              <w:autoSpaceDE w:val="0"/>
              <w:autoSpaceDN w:val="0"/>
              <w:adjustRightInd w:val="0"/>
              <w:spacing w:line="276" w:lineRule="auto"/>
              <w:jc w:val="center"/>
              <w:rPr>
                <w:b/>
                <w:sz w:val="21"/>
                <w:szCs w:val="21"/>
              </w:rPr>
            </w:pPr>
            <w:r w:rsidRPr="00E70B4E">
              <w:rPr>
                <w:b/>
                <w:sz w:val="21"/>
                <w:szCs w:val="21"/>
              </w:rPr>
              <w:t>Activity</w:t>
            </w:r>
          </w:p>
        </w:tc>
        <w:tc>
          <w:tcPr>
            <w:tcW w:w="90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70B4E" w:rsidR="00563D33" w:rsidP="00563D33" w:rsidRDefault="00563D33" w14:paraId="0BED1673" w14:textId="77777777">
            <w:pPr>
              <w:widowControl w:val="0"/>
              <w:autoSpaceDE w:val="0"/>
              <w:autoSpaceDN w:val="0"/>
              <w:adjustRightInd w:val="0"/>
              <w:spacing w:line="276" w:lineRule="auto"/>
              <w:jc w:val="center"/>
              <w:rPr>
                <w:b/>
                <w:sz w:val="21"/>
                <w:szCs w:val="21"/>
              </w:rPr>
            </w:pPr>
            <w:r w:rsidRPr="00E70B4E">
              <w:rPr>
                <w:b/>
                <w:sz w:val="21"/>
                <w:szCs w:val="21"/>
              </w:rPr>
              <w:t xml:space="preserve">No. of </w:t>
            </w:r>
            <w:proofErr w:type="spellStart"/>
            <w:r w:rsidRPr="00E70B4E">
              <w:rPr>
                <w:b/>
                <w:sz w:val="21"/>
                <w:szCs w:val="21"/>
              </w:rPr>
              <w:t>Respon-ndents</w:t>
            </w:r>
            <w:proofErr w:type="spellEnd"/>
          </w:p>
        </w:tc>
        <w:tc>
          <w:tcPr>
            <w:tcW w:w="1440" w:type="dxa"/>
            <w:tcBorders>
              <w:top w:val="single" w:color="auto" w:sz="4" w:space="0"/>
              <w:left w:val="single" w:color="auto" w:sz="4" w:space="0"/>
              <w:bottom w:val="single" w:color="auto" w:sz="4" w:space="0"/>
              <w:right w:val="single" w:color="auto" w:sz="4" w:space="0"/>
            </w:tcBorders>
            <w:shd w:val="clear" w:color="auto" w:fill="8DB3E2"/>
            <w:vAlign w:val="center"/>
          </w:tcPr>
          <w:p w:rsidRPr="00E70B4E" w:rsidR="00563D33" w:rsidP="00563D33" w:rsidRDefault="00563D33" w14:paraId="2182F3ED" w14:textId="77777777">
            <w:pPr>
              <w:widowControl w:val="0"/>
              <w:autoSpaceDE w:val="0"/>
              <w:autoSpaceDN w:val="0"/>
              <w:adjustRightInd w:val="0"/>
              <w:spacing w:line="276" w:lineRule="auto"/>
              <w:jc w:val="center"/>
              <w:rPr>
                <w:b/>
                <w:sz w:val="21"/>
                <w:szCs w:val="21"/>
              </w:rPr>
            </w:pPr>
          </w:p>
          <w:p w:rsidRPr="00E70B4E" w:rsidR="00563D33" w:rsidP="00563D33" w:rsidRDefault="00563D33" w14:paraId="37D47CC7" w14:textId="77777777">
            <w:pPr>
              <w:widowControl w:val="0"/>
              <w:autoSpaceDE w:val="0"/>
              <w:autoSpaceDN w:val="0"/>
              <w:adjustRightInd w:val="0"/>
              <w:spacing w:line="276" w:lineRule="auto"/>
              <w:jc w:val="center"/>
              <w:rPr>
                <w:b/>
                <w:sz w:val="21"/>
                <w:szCs w:val="21"/>
              </w:rPr>
            </w:pPr>
            <w:r w:rsidRPr="00E70B4E">
              <w:rPr>
                <w:b/>
                <w:sz w:val="21"/>
                <w:szCs w:val="21"/>
              </w:rPr>
              <w:t xml:space="preserve">No. of Responses </w:t>
            </w:r>
          </w:p>
          <w:p w:rsidRPr="00E70B4E" w:rsidR="00563D33" w:rsidP="00563D33" w:rsidRDefault="00563D33" w14:paraId="6DC3A22D" w14:textId="77777777">
            <w:pPr>
              <w:widowControl w:val="0"/>
              <w:autoSpaceDE w:val="0"/>
              <w:autoSpaceDN w:val="0"/>
              <w:adjustRightInd w:val="0"/>
              <w:spacing w:line="276" w:lineRule="auto"/>
              <w:jc w:val="center"/>
              <w:rPr>
                <w:b/>
                <w:sz w:val="21"/>
                <w:szCs w:val="21"/>
              </w:rPr>
            </w:pPr>
            <w:r w:rsidRPr="00E70B4E">
              <w:rPr>
                <w:b/>
                <w:sz w:val="21"/>
                <w:szCs w:val="21"/>
              </w:rPr>
              <w:t xml:space="preserve">per </w:t>
            </w:r>
            <w:r w:rsidR="0063634B">
              <w:rPr>
                <w:b/>
                <w:sz w:val="21"/>
                <w:szCs w:val="21"/>
              </w:rPr>
              <w:br/>
            </w:r>
            <w:r w:rsidRPr="00E70B4E">
              <w:rPr>
                <w:b/>
                <w:sz w:val="21"/>
                <w:szCs w:val="21"/>
              </w:rPr>
              <w:t>Respondent</w:t>
            </w:r>
          </w:p>
        </w:tc>
        <w:tc>
          <w:tcPr>
            <w:tcW w:w="126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70B4E" w:rsidR="00563D33" w:rsidP="00563D33" w:rsidRDefault="00563D33" w14:paraId="053187EB" w14:textId="77777777">
            <w:pPr>
              <w:widowControl w:val="0"/>
              <w:autoSpaceDE w:val="0"/>
              <w:autoSpaceDN w:val="0"/>
              <w:adjustRightInd w:val="0"/>
              <w:spacing w:line="276" w:lineRule="auto"/>
              <w:jc w:val="center"/>
              <w:rPr>
                <w:b/>
                <w:sz w:val="21"/>
                <w:szCs w:val="21"/>
              </w:rPr>
            </w:pPr>
            <w:r w:rsidRPr="00E70B4E">
              <w:rPr>
                <w:b/>
                <w:sz w:val="21"/>
                <w:szCs w:val="21"/>
              </w:rPr>
              <w:t>Total Responses</w:t>
            </w:r>
          </w:p>
        </w:tc>
        <w:tc>
          <w:tcPr>
            <w:tcW w:w="135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70B4E" w:rsidR="00563D33" w:rsidP="00563D33" w:rsidRDefault="00563D33" w14:paraId="583807AE" w14:textId="77777777">
            <w:pPr>
              <w:widowControl w:val="0"/>
              <w:autoSpaceDE w:val="0"/>
              <w:autoSpaceDN w:val="0"/>
              <w:adjustRightInd w:val="0"/>
              <w:spacing w:line="276" w:lineRule="auto"/>
              <w:jc w:val="center"/>
              <w:rPr>
                <w:b/>
                <w:sz w:val="21"/>
                <w:szCs w:val="21"/>
              </w:rPr>
            </w:pPr>
            <w:r w:rsidRPr="00E70B4E">
              <w:rPr>
                <w:b/>
                <w:sz w:val="21"/>
                <w:szCs w:val="21"/>
              </w:rPr>
              <w:t>Average Burden per Response (Hours)</w:t>
            </w:r>
          </w:p>
        </w:tc>
        <w:tc>
          <w:tcPr>
            <w:tcW w:w="117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70B4E" w:rsidR="00563D33" w:rsidP="00563D33" w:rsidRDefault="00563D33" w14:paraId="788B78B9" w14:textId="77777777">
            <w:pPr>
              <w:widowControl w:val="0"/>
              <w:autoSpaceDE w:val="0"/>
              <w:autoSpaceDN w:val="0"/>
              <w:adjustRightInd w:val="0"/>
              <w:spacing w:line="276" w:lineRule="auto"/>
              <w:jc w:val="center"/>
              <w:rPr>
                <w:b/>
                <w:sz w:val="21"/>
                <w:szCs w:val="21"/>
              </w:rPr>
            </w:pPr>
            <w:r w:rsidRPr="00E70B4E">
              <w:rPr>
                <w:b/>
                <w:sz w:val="21"/>
                <w:szCs w:val="21"/>
              </w:rPr>
              <w:t>Total Burden (Hours)</w:t>
            </w:r>
          </w:p>
        </w:tc>
        <w:tc>
          <w:tcPr>
            <w:tcW w:w="99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70B4E" w:rsidR="00563D33" w:rsidP="00563D33" w:rsidRDefault="00563D33" w14:paraId="19A33B3C" w14:textId="77777777">
            <w:pPr>
              <w:widowControl w:val="0"/>
              <w:autoSpaceDE w:val="0"/>
              <w:autoSpaceDN w:val="0"/>
              <w:adjustRightInd w:val="0"/>
              <w:spacing w:line="276" w:lineRule="auto"/>
              <w:jc w:val="center"/>
              <w:rPr>
                <w:b/>
                <w:sz w:val="21"/>
                <w:szCs w:val="21"/>
              </w:rPr>
            </w:pPr>
            <w:r w:rsidRPr="00E70B4E">
              <w:rPr>
                <w:b/>
                <w:sz w:val="21"/>
                <w:szCs w:val="21"/>
              </w:rPr>
              <w:t>Hourly</w:t>
            </w:r>
          </w:p>
          <w:p w:rsidRPr="00E70B4E" w:rsidR="00563D33" w:rsidP="00563D33" w:rsidRDefault="00563D33" w14:paraId="2624212C" w14:textId="77777777">
            <w:pPr>
              <w:widowControl w:val="0"/>
              <w:autoSpaceDE w:val="0"/>
              <w:autoSpaceDN w:val="0"/>
              <w:adjustRightInd w:val="0"/>
              <w:spacing w:line="276" w:lineRule="auto"/>
              <w:jc w:val="center"/>
              <w:rPr>
                <w:b/>
                <w:sz w:val="21"/>
                <w:szCs w:val="21"/>
              </w:rPr>
            </w:pPr>
            <w:r w:rsidRPr="00E70B4E">
              <w:rPr>
                <w:b/>
                <w:sz w:val="21"/>
                <w:szCs w:val="21"/>
              </w:rPr>
              <w:t>Wage Rate</w:t>
            </w:r>
          </w:p>
        </w:tc>
        <w:tc>
          <w:tcPr>
            <w:tcW w:w="135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70B4E" w:rsidR="00563D33" w:rsidP="00563D33" w:rsidRDefault="00563D33" w14:paraId="53196D8C" w14:textId="77777777">
            <w:pPr>
              <w:widowControl w:val="0"/>
              <w:autoSpaceDE w:val="0"/>
              <w:autoSpaceDN w:val="0"/>
              <w:adjustRightInd w:val="0"/>
              <w:spacing w:line="276" w:lineRule="auto"/>
              <w:jc w:val="center"/>
              <w:rPr>
                <w:b/>
                <w:sz w:val="21"/>
                <w:szCs w:val="21"/>
              </w:rPr>
            </w:pPr>
            <w:r w:rsidRPr="00E70B4E">
              <w:rPr>
                <w:b/>
                <w:sz w:val="21"/>
                <w:szCs w:val="21"/>
              </w:rPr>
              <w:t>Total Burden Cost</w:t>
            </w:r>
          </w:p>
        </w:tc>
      </w:tr>
      <w:tr w:rsidRPr="00E70B4E" w:rsidR="00E70B4E" w:rsidTr="00E70B4E" w14:paraId="0C69892B" w14:textId="77777777">
        <w:tc>
          <w:tcPr>
            <w:tcW w:w="1075" w:type="dxa"/>
            <w:tcBorders>
              <w:top w:val="single" w:color="auto" w:sz="4" w:space="0"/>
              <w:left w:val="single" w:color="auto" w:sz="4" w:space="0"/>
              <w:bottom w:val="single" w:color="auto" w:sz="4" w:space="0"/>
              <w:right w:val="single" w:color="auto" w:sz="4" w:space="0"/>
            </w:tcBorders>
            <w:vAlign w:val="center"/>
          </w:tcPr>
          <w:p w:rsidRPr="00E70B4E" w:rsidR="00563D33" w:rsidP="00E70B4E" w:rsidRDefault="00563D33" w14:paraId="575E4F66" w14:textId="77777777">
            <w:pPr>
              <w:widowControl w:val="0"/>
              <w:autoSpaceDE w:val="0"/>
              <w:autoSpaceDN w:val="0"/>
              <w:adjustRightInd w:val="0"/>
              <w:spacing w:line="276" w:lineRule="auto"/>
              <w:jc w:val="center"/>
              <w:rPr>
                <w:sz w:val="22"/>
                <w:szCs w:val="22"/>
              </w:rPr>
            </w:pPr>
            <w:r w:rsidRPr="00E70B4E">
              <w:rPr>
                <w:sz w:val="22"/>
                <w:szCs w:val="22"/>
              </w:rPr>
              <w:t>30 CFR 57.22401(b):</w:t>
            </w:r>
          </w:p>
        </w:tc>
        <w:tc>
          <w:tcPr>
            <w:tcW w:w="900" w:type="dxa"/>
            <w:tcBorders>
              <w:top w:val="single" w:color="auto" w:sz="4" w:space="0"/>
              <w:left w:val="single" w:color="auto" w:sz="4" w:space="0"/>
              <w:bottom w:val="single" w:color="auto" w:sz="4" w:space="0"/>
              <w:right w:val="single" w:color="auto" w:sz="4" w:space="0"/>
            </w:tcBorders>
            <w:vAlign w:val="center"/>
          </w:tcPr>
          <w:p w:rsidRPr="00E70B4E" w:rsidR="00563D33" w:rsidP="00E70B4E" w:rsidRDefault="00563D33" w14:paraId="5818EA46" w14:textId="77777777">
            <w:pPr>
              <w:widowControl w:val="0"/>
              <w:autoSpaceDE w:val="0"/>
              <w:autoSpaceDN w:val="0"/>
              <w:adjustRightInd w:val="0"/>
              <w:spacing w:line="276" w:lineRule="auto"/>
              <w:jc w:val="center"/>
              <w:rPr>
                <w:sz w:val="22"/>
                <w:szCs w:val="22"/>
              </w:rPr>
            </w:pPr>
            <w:r w:rsidRPr="00E70B4E">
              <w:rPr>
                <w:sz w:val="22"/>
                <w:szCs w:val="22"/>
              </w:rPr>
              <w:t>1</w:t>
            </w:r>
          </w:p>
        </w:tc>
        <w:tc>
          <w:tcPr>
            <w:tcW w:w="1440" w:type="dxa"/>
            <w:tcBorders>
              <w:top w:val="single" w:color="auto" w:sz="4" w:space="0"/>
              <w:left w:val="single" w:color="auto" w:sz="4" w:space="0"/>
              <w:bottom w:val="single" w:color="auto" w:sz="4" w:space="0"/>
              <w:right w:val="single" w:color="auto" w:sz="4" w:space="0"/>
            </w:tcBorders>
            <w:vAlign w:val="center"/>
          </w:tcPr>
          <w:p w:rsidRPr="00E70B4E" w:rsidR="00563D33" w:rsidP="00E70B4E" w:rsidRDefault="00563D33" w14:paraId="4EE060B0" w14:textId="77777777">
            <w:pPr>
              <w:widowControl w:val="0"/>
              <w:autoSpaceDE w:val="0"/>
              <w:autoSpaceDN w:val="0"/>
              <w:adjustRightInd w:val="0"/>
              <w:jc w:val="center"/>
              <w:rPr>
                <w:color w:val="000000"/>
              </w:rPr>
            </w:pPr>
            <w:r w:rsidRPr="00E70B4E">
              <w:rPr>
                <w:color w:val="000000"/>
              </w:rPr>
              <w:t>1</w:t>
            </w:r>
          </w:p>
        </w:tc>
        <w:tc>
          <w:tcPr>
            <w:tcW w:w="1260" w:type="dxa"/>
            <w:tcBorders>
              <w:top w:val="single" w:color="auto" w:sz="4" w:space="0"/>
              <w:left w:val="single" w:color="auto" w:sz="4" w:space="0"/>
              <w:bottom w:val="single" w:color="auto" w:sz="4" w:space="0"/>
              <w:right w:val="single" w:color="auto" w:sz="4" w:space="0"/>
            </w:tcBorders>
            <w:vAlign w:val="center"/>
          </w:tcPr>
          <w:p w:rsidRPr="00E70B4E" w:rsidR="00563D33" w:rsidP="00E70B4E" w:rsidRDefault="00563D33" w14:paraId="10EA10F0" w14:textId="77777777">
            <w:pPr>
              <w:widowControl w:val="0"/>
              <w:autoSpaceDE w:val="0"/>
              <w:autoSpaceDN w:val="0"/>
              <w:adjustRightInd w:val="0"/>
              <w:spacing w:line="276" w:lineRule="auto"/>
              <w:jc w:val="center"/>
              <w:rPr>
                <w:sz w:val="22"/>
                <w:szCs w:val="22"/>
              </w:rPr>
            </w:pPr>
            <w:r w:rsidRPr="00E70B4E">
              <w:rPr>
                <w:sz w:val="22"/>
                <w:szCs w:val="22"/>
              </w:rPr>
              <w:t>1</w:t>
            </w:r>
          </w:p>
        </w:tc>
        <w:tc>
          <w:tcPr>
            <w:tcW w:w="1350" w:type="dxa"/>
            <w:tcBorders>
              <w:top w:val="single" w:color="auto" w:sz="4" w:space="0"/>
              <w:left w:val="single" w:color="auto" w:sz="4" w:space="0"/>
              <w:bottom w:val="single" w:color="auto" w:sz="4" w:space="0"/>
              <w:right w:val="single" w:color="auto" w:sz="4" w:space="0"/>
            </w:tcBorders>
            <w:vAlign w:val="center"/>
          </w:tcPr>
          <w:p w:rsidRPr="00E70B4E" w:rsidR="00563D33" w:rsidP="00E70B4E" w:rsidRDefault="00563D33" w14:paraId="7E988839" w14:textId="77777777">
            <w:pPr>
              <w:widowControl w:val="0"/>
              <w:autoSpaceDE w:val="0"/>
              <w:autoSpaceDN w:val="0"/>
              <w:adjustRightInd w:val="0"/>
              <w:jc w:val="center"/>
              <w:rPr>
                <w:color w:val="000000"/>
              </w:rPr>
            </w:pPr>
            <w:r w:rsidRPr="00E70B4E">
              <w:rPr>
                <w:color w:val="000000"/>
              </w:rPr>
              <w:t>160</w:t>
            </w:r>
            <w:r w:rsidR="005D4D08">
              <w:rPr>
                <w:color w:val="000000"/>
              </w:rPr>
              <w:t>.00</w:t>
            </w:r>
          </w:p>
        </w:tc>
        <w:tc>
          <w:tcPr>
            <w:tcW w:w="1170" w:type="dxa"/>
            <w:tcBorders>
              <w:top w:val="single" w:color="auto" w:sz="4" w:space="0"/>
              <w:left w:val="single" w:color="auto" w:sz="4" w:space="0"/>
              <w:bottom w:val="single" w:color="auto" w:sz="4" w:space="0"/>
              <w:right w:val="single" w:color="auto" w:sz="4" w:space="0"/>
            </w:tcBorders>
            <w:vAlign w:val="center"/>
          </w:tcPr>
          <w:p w:rsidRPr="00E70B4E" w:rsidR="00563D33" w:rsidP="00E70B4E" w:rsidRDefault="00563D33" w14:paraId="3CAEE606" w14:textId="77777777">
            <w:pPr>
              <w:widowControl w:val="0"/>
              <w:autoSpaceDE w:val="0"/>
              <w:autoSpaceDN w:val="0"/>
              <w:adjustRightInd w:val="0"/>
              <w:spacing w:line="276" w:lineRule="auto"/>
              <w:jc w:val="center"/>
              <w:rPr>
                <w:sz w:val="22"/>
                <w:szCs w:val="22"/>
              </w:rPr>
            </w:pPr>
            <w:r w:rsidRPr="00E70B4E">
              <w:rPr>
                <w:sz w:val="22"/>
                <w:szCs w:val="22"/>
              </w:rPr>
              <w:t>160</w:t>
            </w:r>
            <w:r w:rsidR="005D4D08">
              <w:rPr>
                <w:sz w:val="22"/>
                <w:szCs w:val="22"/>
              </w:rPr>
              <w:t>.00</w:t>
            </w:r>
          </w:p>
        </w:tc>
        <w:tc>
          <w:tcPr>
            <w:tcW w:w="990" w:type="dxa"/>
            <w:tcBorders>
              <w:top w:val="single" w:color="auto" w:sz="4" w:space="0"/>
              <w:left w:val="single" w:color="auto" w:sz="4" w:space="0"/>
              <w:bottom w:val="single" w:color="auto" w:sz="4" w:space="0"/>
              <w:right w:val="single" w:color="auto" w:sz="4" w:space="0"/>
            </w:tcBorders>
            <w:vAlign w:val="center"/>
          </w:tcPr>
          <w:p w:rsidRPr="00E70B4E" w:rsidR="00563D33" w:rsidP="00E70B4E" w:rsidRDefault="0063634B" w14:paraId="1CBB3CA3" w14:textId="77777777">
            <w:pPr>
              <w:widowControl w:val="0"/>
              <w:autoSpaceDE w:val="0"/>
              <w:autoSpaceDN w:val="0"/>
              <w:adjustRightInd w:val="0"/>
              <w:jc w:val="center"/>
              <w:rPr>
                <w:color w:val="000000"/>
              </w:rPr>
            </w:pPr>
            <w:r w:rsidRPr="00E70B4E">
              <w:rPr>
                <w:color w:val="000000"/>
              </w:rPr>
              <w:t>$55.01</w:t>
            </w:r>
          </w:p>
        </w:tc>
        <w:tc>
          <w:tcPr>
            <w:tcW w:w="1350" w:type="dxa"/>
            <w:tcBorders>
              <w:top w:val="single" w:color="auto" w:sz="4" w:space="0"/>
              <w:left w:val="single" w:color="auto" w:sz="4" w:space="0"/>
              <w:bottom w:val="single" w:color="auto" w:sz="4" w:space="0"/>
              <w:right w:val="single" w:color="auto" w:sz="4" w:space="0"/>
            </w:tcBorders>
            <w:vAlign w:val="center"/>
          </w:tcPr>
          <w:p w:rsidRPr="00E70B4E" w:rsidR="00563D33" w:rsidP="00E70B4E" w:rsidRDefault="00563D33" w14:paraId="5612057E" w14:textId="77777777">
            <w:pPr>
              <w:widowControl w:val="0"/>
              <w:autoSpaceDE w:val="0"/>
              <w:autoSpaceDN w:val="0"/>
              <w:adjustRightInd w:val="0"/>
              <w:spacing w:line="276" w:lineRule="auto"/>
              <w:jc w:val="center"/>
              <w:rPr>
                <w:sz w:val="22"/>
                <w:szCs w:val="22"/>
              </w:rPr>
            </w:pPr>
            <w:r w:rsidRPr="00E70B4E">
              <w:rPr>
                <w:sz w:val="22"/>
                <w:szCs w:val="22"/>
              </w:rPr>
              <w:t>$</w:t>
            </w:r>
            <w:r w:rsidR="0063634B">
              <w:rPr>
                <w:sz w:val="22"/>
                <w:szCs w:val="22"/>
              </w:rPr>
              <w:t>8,801.60</w:t>
            </w:r>
          </w:p>
        </w:tc>
      </w:tr>
      <w:tr w:rsidRPr="00563D33" w:rsidR="00563D33" w:rsidTr="00E70B4E" w14:paraId="5164FFF3" w14:textId="77777777">
        <w:tc>
          <w:tcPr>
            <w:tcW w:w="1075" w:type="dxa"/>
            <w:tcBorders>
              <w:top w:val="single" w:color="auto" w:sz="4" w:space="0"/>
              <w:left w:val="single" w:color="auto" w:sz="4" w:space="0"/>
              <w:bottom w:val="single" w:color="auto" w:sz="4" w:space="0"/>
              <w:right w:val="single" w:color="auto" w:sz="4" w:space="0"/>
            </w:tcBorders>
          </w:tcPr>
          <w:p w:rsidRPr="00563D33" w:rsidR="00563D33" w:rsidP="00563D33" w:rsidRDefault="00563D33" w14:paraId="47BFFAA8" w14:textId="77777777">
            <w:pPr>
              <w:widowControl w:val="0"/>
              <w:autoSpaceDE w:val="0"/>
              <w:autoSpaceDN w:val="0"/>
              <w:adjustRightInd w:val="0"/>
              <w:spacing w:line="276" w:lineRule="auto"/>
              <w:rPr>
                <w:b/>
                <w:sz w:val="22"/>
                <w:szCs w:val="22"/>
              </w:rPr>
            </w:pPr>
            <w:r w:rsidRPr="00563D33">
              <w:rPr>
                <w:b/>
                <w:sz w:val="22"/>
                <w:szCs w:val="22"/>
              </w:rPr>
              <w:t>TOTAL</w:t>
            </w:r>
          </w:p>
        </w:tc>
        <w:tc>
          <w:tcPr>
            <w:tcW w:w="900" w:type="dxa"/>
            <w:tcBorders>
              <w:top w:val="single" w:color="auto" w:sz="4" w:space="0"/>
              <w:left w:val="single" w:color="auto" w:sz="4" w:space="0"/>
              <w:bottom w:val="single" w:color="auto" w:sz="4" w:space="0"/>
              <w:right w:val="single" w:color="auto" w:sz="4" w:space="0"/>
            </w:tcBorders>
            <w:shd w:val="clear" w:color="auto" w:fill="000000"/>
          </w:tcPr>
          <w:p w:rsidRPr="00563D33" w:rsidR="00563D33" w:rsidP="00D359C6" w:rsidRDefault="00563D33" w14:paraId="2AFFD62D" w14:textId="77777777">
            <w:pPr>
              <w:widowControl w:val="0"/>
              <w:autoSpaceDE w:val="0"/>
              <w:autoSpaceDN w:val="0"/>
              <w:adjustRightInd w:val="0"/>
              <w:spacing w:line="276" w:lineRule="auto"/>
              <w:rPr>
                <w:b/>
                <w:sz w:val="22"/>
                <w:szCs w:val="22"/>
              </w:rPr>
            </w:pPr>
          </w:p>
        </w:tc>
        <w:tc>
          <w:tcPr>
            <w:tcW w:w="1440" w:type="dxa"/>
            <w:tcBorders>
              <w:top w:val="single" w:color="auto" w:sz="4" w:space="0"/>
              <w:left w:val="single" w:color="auto" w:sz="4" w:space="0"/>
              <w:bottom w:val="single" w:color="auto" w:sz="4" w:space="0"/>
              <w:right w:val="single" w:color="auto" w:sz="4" w:space="0"/>
            </w:tcBorders>
            <w:shd w:val="clear" w:color="auto" w:fill="000000"/>
            <w:vAlign w:val="center"/>
          </w:tcPr>
          <w:p w:rsidRPr="00563D33" w:rsidR="00563D33" w:rsidP="00D359C6" w:rsidRDefault="00563D33" w14:paraId="33C83957" w14:textId="77777777">
            <w:pPr>
              <w:widowControl w:val="0"/>
              <w:autoSpaceDE w:val="0"/>
              <w:autoSpaceDN w:val="0"/>
              <w:adjustRightInd w:val="0"/>
              <w:spacing w:line="276" w:lineRule="auto"/>
              <w:rPr>
                <w:b/>
                <w:sz w:val="22"/>
                <w:szCs w:val="22"/>
              </w:rPr>
            </w:pPr>
          </w:p>
        </w:tc>
        <w:tc>
          <w:tcPr>
            <w:tcW w:w="1260" w:type="dxa"/>
            <w:tcBorders>
              <w:top w:val="single" w:color="auto" w:sz="4" w:space="0"/>
              <w:left w:val="single" w:color="auto" w:sz="4" w:space="0"/>
              <w:bottom w:val="single" w:color="auto" w:sz="4" w:space="0"/>
              <w:right w:val="single" w:color="auto" w:sz="4" w:space="0"/>
            </w:tcBorders>
          </w:tcPr>
          <w:p w:rsidRPr="00563D33" w:rsidR="00563D33" w:rsidP="00D359C6" w:rsidRDefault="00563D33" w14:paraId="234C92E7" w14:textId="77777777">
            <w:pPr>
              <w:widowControl w:val="0"/>
              <w:autoSpaceDE w:val="0"/>
              <w:autoSpaceDN w:val="0"/>
              <w:adjustRightInd w:val="0"/>
              <w:spacing w:line="276" w:lineRule="auto"/>
              <w:rPr>
                <w:b/>
                <w:sz w:val="22"/>
                <w:szCs w:val="22"/>
              </w:rPr>
            </w:pPr>
          </w:p>
        </w:tc>
        <w:tc>
          <w:tcPr>
            <w:tcW w:w="1350" w:type="dxa"/>
            <w:tcBorders>
              <w:top w:val="single" w:color="auto" w:sz="4" w:space="0"/>
              <w:left w:val="single" w:color="auto" w:sz="4" w:space="0"/>
              <w:bottom w:val="single" w:color="auto" w:sz="4" w:space="0"/>
              <w:right w:val="single" w:color="auto" w:sz="4" w:space="0"/>
            </w:tcBorders>
          </w:tcPr>
          <w:p w:rsidRPr="00563D33" w:rsidR="00563D33" w:rsidP="00E70B4E" w:rsidRDefault="00563D33" w14:paraId="4BAC68A8" w14:textId="77777777">
            <w:pPr>
              <w:widowControl w:val="0"/>
              <w:autoSpaceDE w:val="0"/>
              <w:autoSpaceDN w:val="0"/>
              <w:adjustRightInd w:val="0"/>
              <w:spacing w:line="276" w:lineRule="auto"/>
              <w:jc w:val="center"/>
              <w:rPr>
                <w:b/>
                <w:sz w:val="22"/>
                <w:szCs w:val="22"/>
              </w:rPr>
            </w:pPr>
            <w:r>
              <w:rPr>
                <w:b/>
                <w:sz w:val="22"/>
                <w:szCs w:val="22"/>
              </w:rPr>
              <w:t>160</w:t>
            </w:r>
            <w:r w:rsidR="00964705">
              <w:rPr>
                <w:b/>
                <w:sz w:val="22"/>
                <w:szCs w:val="22"/>
              </w:rPr>
              <w:t>.00</w:t>
            </w:r>
          </w:p>
        </w:tc>
        <w:tc>
          <w:tcPr>
            <w:tcW w:w="1170" w:type="dxa"/>
            <w:tcBorders>
              <w:top w:val="single" w:color="auto" w:sz="4" w:space="0"/>
              <w:left w:val="single" w:color="auto" w:sz="4" w:space="0"/>
              <w:bottom w:val="single" w:color="auto" w:sz="4" w:space="0"/>
              <w:right w:val="single" w:color="auto" w:sz="4" w:space="0"/>
            </w:tcBorders>
            <w:vAlign w:val="center"/>
          </w:tcPr>
          <w:p w:rsidRPr="00563D33" w:rsidR="00563D33" w:rsidP="00E70B4E" w:rsidRDefault="00563D33" w14:paraId="3037CC79" w14:textId="77777777">
            <w:pPr>
              <w:widowControl w:val="0"/>
              <w:autoSpaceDE w:val="0"/>
              <w:autoSpaceDN w:val="0"/>
              <w:adjustRightInd w:val="0"/>
              <w:spacing w:line="276" w:lineRule="auto"/>
              <w:jc w:val="center"/>
              <w:rPr>
                <w:b/>
                <w:sz w:val="22"/>
                <w:szCs w:val="22"/>
              </w:rPr>
            </w:pPr>
            <w:r>
              <w:rPr>
                <w:b/>
                <w:sz w:val="22"/>
                <w:szCs w:val="22"/>
              </w:rPr>
              <w:t xml:space="preserve">160 </w:t>
            </w:r>
            <w:r w:rsidRPr="00563D33">
              <w:rPr>
                <w:b/>
                <w:sz w:val="22"/>
                <w:szCs w:val="22"/>
              </w:rPr>
              <w:t>(rounded)</w:t>
            </w:r>
          </w:p>
        </w:tc>
        <w:tc>
          <w:tcPr>
            <w:tcW w:w="990" w:type="dxa"/>
            <w:tcBorders>
              <w:top w:val="single" w:color="auto" w:sz="4" w:space="0"/>
              <w:left w:val="single" w:color="auto" w:sz="4" w:space="0"/>
              <w:bottom w:val="single" w:color="auto" w:sz="4" w:space="0"/>
              <w:right w:val="single" w:color="auto" w:sz="4" w:space="0"/>
            </w:tcBorders>
            <w:shd w:val="clear" w:color="auto" w:fill="000000"/>
            <w:vAlign w:val="center"/>
          </w:tcPr>
          <w:p w:rsidRPr="00563D33" w:rsidR="00563D33" w:rsidP="00D359C6" w:rsidRDefault="00563D33" w14:paraId="67AC16D2" w14:textId="77777777">
            <w:pPr>
              <w:widowControl w:val="0"/>
              <w:autoSpaceDE w:val="0"/>
              <w:autoSpaceDN w:val="0"/>
              <w:adjustRightInd w:val="0"/>
              <w:spacing w:line="276" w:lineRule="auto"/>
              <w:rPr>
                <w:b/>
                <w:sz w:val="22"/>
                <w:szCs w:val="22"/>
              </w:rPr>
            </w:pPr>
          </w:p>
        </w:tc>
        <w:tc>
          <w:tcPr>
            <w:tcW w:w="1350" w:type="dxa"/>
            <w:tcBorders>
              <w:top w:val="single" w:color="auto" w:sz="4" w:space="0"/>
              <w:left w:val="single" w:color="auto" w:sz="4" w:space="0"/>
              <w:bottom w:val="single" w:color="auto" w:sz="4" w:space="0"/>
              <w:right w:val="single" w:color="auto" w:sz="4" w:space="0"/>
            </w:tcBorders>
          </w:tcPr>
          <w:p w:rsidR="00563D33" w:rsidP="00E70B4E" w:rsidRDefault="00563D33" w14:paraId="4FF46076" w14:textId="77777777">
            <w:pPr>
              <w:widowControl w:val="0"/>
              <w:autoSpaceDE w:val="0"/>
              <w:autoSpaceDN w:val="0"/>
              <w:adjustRightInd w:val="0"/>
              <w:spacing w:line="276" w:lineRule="auto"/>
              <w:jc w:val="center"/>
              <w:rPr>
                <w:b/>
                <w:sz w:val="22"/>
                <w:szCs w:val="22"/>
              </w:rPr>
            </w:pPr>
            <w:r w:rsidRPr="00563D33">
              <w:rPr>
                <w:b/>
                <w:sz w:val="22"/>
                <w:szCs w:val="22"/>
              </w:rPr>
              <w:t>$</w:t>
            </w:r>
            <w:r w:rsidR="0063634B">
              <w:rPr>
                <w:b/>
                <w:sz w:val="22"/>
                <w:szCs w:val="22"/>
              </w:rPr>
              <w:t>8,802</w:t>
            </w:r>
          </w:p>
          <w:p w:rsidRPr="00563D33" w:rsidR="0063634B" w:rsidP="00E70B4E" w:rsidRDefault="0063634B" w14:paraId="6D257777" w14:textId="77777777">
            <w:pPr>
              <w:widowControl w:val="0"/>
              <w:autoSpaceDE w:val="0"/>
              <w:autoSpaceDN w:val="0"/>
              <w:adjustRightInd w:val="0"/>
              <w:spacing w:line="276" w:lineRule="auto"/>
              <w:jc w:val="center"/>
              <w:rPr>
                <w:b/>
                <w:sz w:val="22"/>
                <w:szCs w:val="22"/>
              </w:rPr>
            </w:pPr>
            <w:r>
              <w:rPr>
                <w:b/>
                <w:sz w:val="22"/>
                <w:szCs w:val="22"/>
              </w:rPr>
              <w:t>(rounded)</w:t>
            </w:r>
          </w:p>
        </w:tc>
      </w:tr>
    </w:tbl>
    <w:p w:rsidRPr="00563D33" w:rsidR="00563D33" w:rsidP="00563D33" w:rsidRDefault="00563D33" w14:paraId="2ABBE08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p>
    <w:p w:rsidRPr="00563D33" w:rsidR="00563D33" w:rsidP="00563D33" w:rsidRDefault="00563D33" w14:paraId="04A146F4" w14:textId="77777777">
      <w:pPr>
        <w:keepNext/>
        <w:keepLines/>
        <w:autoSpaceDE w:val="0"/>
        <w:autoSpaceDN w:val="0"/>
        <w:adjustRightInd w:val="0"/>
        <w:jc w:val="center"/>
        <w:rPr>
          <w:rFonts w:ascii="Arial" w:hAnsi="Arial" w:cs="Book Antiqua"/>
          <w:b/>
          <w:bCs/>
          <w:color w:val="000000"/>
        </w:rPr>
      </w:pPr>
    </w:p>
    <w:p w:rsidRPr="00DF5CF4" w:rsidR="00563D33" w:rsidP="00DF5CF4" w:rsidRDefault="00563D33" w14:paraId="3A2BC30D" w14:textId="77777777">
      <w:pPr>
        <w:rPr>
          <w:rFonts w:ascii="Arial" w:hAnsi="Arial" w:cs="Arial"/>
          <w:szCs w:val="20"/>
        </w:rPr>
      </w:pPr>
    </w:p>
    <w:p w:rsidRPr="007E53C1" w:rsidR="007E53C1" w:rsidP="007E53C1" w:rsidRDefault="007E53C1" w14:paraId="3BE69D58" w14:textId="77777777">
      <w:pPr>
        <w:rPr>
          <w:rFonts w:ascii="Arial" w:hAnsi="Arial" w:cs="Arial"/>
          <w:b/>
        </w:rPr>
      </w:pPr>
      <w:r w:rsidRPr="007E53C1">
        <w:rPr>
          <w:rFonts w:ascii="Arial" w:hAnsi="Arial" w:cs="Arial"/>
          <w:b/>
        </w:rPr>
        <w:t xml:space="preserve">13. Provide an estimate for the total annual cost burden to respondents or </w:t>
      </w:r>
      <w:proofErr w:type="spellStart"/>
      <w:r w:rsidRPr="007E53C1">
        <w:rPr>
          <w:rFonts w:ascii="Arial" w:hAnsi="Arial" w:cs="Arial"/>
          <w:b/>
        </w:rPr>
        <w:t>recordkeepers</w:t>
      </w:r>
      <w:proofErr w:type="spellEnd"/>
      <w:r w:rsidRPr="007E53C1">
        <w:rPr>
          <w:rFonts w:ascii="Arial" w:hAnsi="Arial" w:cs="Arial"/>
          <w:b/>
        </w:rPr>
        <w:t xml:space="preserve"> resulting from the collection of information. (Do not include the cost of any hour burden </w:t>
      </w:r>
      <w:r w:rsidR="00601156">
        <w:rPr>
          <w:rFonts w:ascii="Arial" w:hAnsi="Arial" w:cs="Arial"/>
          <w:b/>
        </w:rPr>
        <w:t>shown in Items 12 and 14</w:t>
      </w:r>
      <w:r w:rsidRPr="007E53C1">
        <w:rPr>
          <w:rFonts w:ascii="Arial" w:hAnsi="Arial" w:cs="Arial"/>
          <w:b/>
        </w:rPr>
        <w:t>).</w:t>
      </w:r>
    </w:p>
    <w:p w:rsidRPr="007E53C1" w:rsidR="007E53C1" w:rsidP="007E53C1" w:rsidRDefault="007E53C1" w14:paraId="192F07B9" w14:textId="77777777">
      <w:pPr>
        <w:rPr>
          <w:rFonts w:ascii="Arial" w:hAnsi="Arial" w:cs="Arial"/>
          <w:b/>
        </w:rPr>
      </w:pPr>
      <w:r w:rsidRPr="007E53C1">
        <w:rPr>
          <w:rFonts w:ascii="Arial" w:hAnsi="Arial" w:cs="Arial"/>
          <w:b/>
        </w:rPr>
        <w:t>*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7E53C1" w:rsidR="007E53C1" w:rsidP="007E53C1" w:rsidRDefault="007E53C1" w14:paraId="3C47F403" w14:textId="77777777">
      <w:pPr>
        <w:rPr>
          <w:rFonts w:ascii="Arial" w:hAnsi="Arial" w:cs="Arial"/>
          <w:b/>
        </w:rPr>
      </w:pPr>
      <w:r w:rsidRPr="007E53C1">
        <w:rPr>
          <w:rFonts w:ascii="Arial" w:hAnsi="Arial" w:cs="Arial"/>
          <w:b/>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7E53C1" w:rsidR="007E53C1" w:rsidP="007E53C1" w:rsidRDefault="007E53C1" w14:paraId="2F68EC96" w14:textId="77777777">
      <w:pPr>
        <w:rPr>
          <w:rFonts w:ascii="Arial" w:hAnsi="Arial" w:cs="Arial"/>
          <w:b/>
        </w:rPr>
      </w:pPr>
      <w:r w:rsidRPr="007E53C1">
        <w:rPr>
          <w:rFonts w:ascii="Arial" w:hAnsi="Arial" w:cs="Arial"/>
          <w:b/>
        </w:rPr>
        <w:t xml:space="preserve">* Generally, estimates should not include purchases of equipment or services, or portions thereof, made: (1) prior to October 1, 1995, (2) to achieve regulatory </w:t>
      </w:r>
      <w:r w:rsidRPr="007E53C1">
        <w:rPr>
          <w:rFonts w:ascii="Arial" w:hAnsi="Arial" w:cs="Arial"/>
          <w:b/>
        </w:rPr>
        <w:lastRenderedPageBreak/>
        <w:t>compliance with requirements not associated with the information collection, (3) for reasons other than to provide information or keep records for the government, or (4) as part of customary and usual business or private practices.</w:t>
      </w:r>
    </w:p>
    <w:p w:rsidRPr="00B24F6C" w:rsidR="00C349A7" w:rsidRDefault="00C349A7" w14:paraId="6748F3A2" w14:textId="77777777">
      <w:pPr>
        <w:pStyle w:val="Default"/>
        <w:rPr>
          <w:rFonts w:ascii="Arial" w:hAnsi="Arial" w:cs="Arial"/>
        </w:rPr>
      </w:pPr>
    </w:p>
    <w:p w:rsidRPr="00B24F6C" w:rsidR="00C349A7" w:rsidRDefault="00C349A7" w14:paraId="74B77014" w14:textId="77777777">
      <w:pPr>
        <w:pStyle w:val="Default"/>
        <w:rPr>
          <w:rFonts w:ascii="Arial" w:hAnsi="Arial" w:cs="Arial"/>
        </w:rPr>
      </w:pPr>
      <w:r w:rsidRPr="00B24F6C">
        <w:rPr>
          <w:rFonts w:ascii="Arial" w:hAnsi="Arial" w:cs="Arial"/>
        </w:rPr>
        <w:t xml:space="preserve">MSHA does not anticipate that there will be any costs associated with this information collection other than those designated under Item 12. </w:t>
      </w:r>
    </w:p>
    <w:p w:rsidRPr="00B24F6C" w:rsidR="00C349A7" w:rsidRDefault="00C349A7" w14:paraId="3C53B47D" w14:textId="77777777">
      <w:pPr>
        <w:pStyle w:val="Default"/>
        <w:rPr>
          <w:rFonts w:ascii="Arial" w:hAnsi="Arial" w:cs="Arial"/>
        </w:rPr>
      </w:pPr>
      <w:r w:rsidRPr="00B24F6C">
        <w:rPr>
          <w:rFonts w:ascii="Arial" w:hAnsi="Arial" w:cs="Arial"/>
        </w:rPr>
        <w:t xml:space="preserve"> </w:t>
      </w:r>
    </w:p>
    <w:p w:rsidRPr="007E53C1" w:rsidR="007E53C1" w:rsidP="007E53C1" w:rsidRDefault="007E53C1" w14:paraId="723FF7BF" w14:textId="77777777">
      <w:pPr>
        <w:rPr>
          <w:rFonts w:ascii="Arial" w:hAnsi="Arial" w:cs="Arial"/>
          <w:b/>
        </w:rPr>
      </w:pPr>
      <w:r w:rsidRPr="007E53C1">
        <w:rPr>
          <w:rFonts w:ascii="Arial" w:hAnsi="Arial" w:cs="Arial"/>
          <w:b/>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Pr="00B24F6C" w:rsidR="00C349A7" w:rsidRDefault="00C349A7" w14:paraId="1B106083" w14:textId="77777777">
      <w:pPr>
        <w:pStyle w:val="Default"/>
        <w:rPr>
          <w:rFonts w:ascii="Arial" w:hAnsi="Arial" w:cs="Arial"/>
        </w:rPr>
      </w:pPr>
    </w:p>
    <w:p w:rsidR="00DF5CF4" w:rsidP="00DF5CF4" w:rsidRDefault="00167134" w14:paraId="5E533A75" w14:textId="77777777">
      <w:pPr>
        <w:pStyle w:val="Default"/>
        <w:rPr>
          <w:rFonts w:ascii="Arial" w:hAnsi="Arial" w:cs="Arial"/>
          <w:color w:val="auto"/>
        </w:rPr>
      </w:pPr>
      <w:r>
        <w:rPr>
          <w:rFonts w:ascii="Arial" w:hAnsi="Arial" w:cs="Arial"/>
        </w:rPr>
        <w:t>MSHA</w:t>
      </w:r>
      <w:r w:rsidRPr="00BF5691" w:rsidR="00C349A7">
        <w:rPr>
          <w:rFonts w:ascii="Arial" w:hAnsi="Arial" w:cs="Arial"/>
        </w:rPr>
        <w:t xml:space="preserve"> estimate</w:t>
      </w:r>
      <w:r>
        <w:rPr>
          <w:rFonts w:ascii="Arial" w:hAnsi="Arial" w:cs="Arial"/>
        </w:rPr>
        <w:t>s</w:t>
      </w:r>
      <w:r w:rsidRPr="00BF5691" w:rsidR="00C349A7">
        <w:rPr>
          <w:rFonts w:ascii="Arial" w:hAnsi="Arial" w:cs="Arial"/>
        </w:rPr>
        <w:t xml:space="preserve"> that </w:t>
      </w:r>
      <w:r>
        <w:rPr>
          <w:rFonts w:ascii="Arial" w:hAnsi="Arial" w:cs="Arial"/>
        </w:rPr>
        <w:t xml:space="preserve">it </w:t>
      </w:r>
      <w:r w:rsidRPr="00BF5691" w:rsidR="00C349A7">
        <w:rPr>
          <w:rFonts w:ascii="Arial" w:hAnsi="Arial" w:cs="Arial"/>
        </w:rPr>
        <w:t xml:space="preserve">would receive one plan per year, and that it would take an MSHA inspector approximately 160 hours to review the plan for approval.  </w:t>
      </w:r>
      <w:r w:rsidRPr="00BF5691" w:rsidR="00DF5CF4">
        <w:rPr>
          <w:rFonts w:ascii="Arial" w:hAnsi="Arial" w:cs="Arial"/>
          <w:color w:val="auto"/>
        </w:rPr>
        <w:t>The average</w:t>
      </w:r>
      <w:r w:rsidR="005A1B9E">
        <w:rPr>
          <w:rFonts w:ascii="Arial" w:hAnsi="Arial" w:cs="Arial"/>
          <w:color w:val="auto"/>
        </w:rPr>
        <w:t xml:space="preserve"> salary of an MSHA inspector, GS 12 grade, </w:t>
      </w:r>
      <w:r w:rsidRPr="00BF5691" w:rsidR="00DF5CF4">
        <w:rPr>
          <w:rFonts w:ascii="Arial" w:hAnsi="Arial" w:cs="Arial"/>
          <w:color w:val="auto"/>
        </w:rPr>
        <w:t>is $</w:t>
      </w:r>
      <w:r w:rsidR="003C3D22">
        <w:rPr>
          <w:rFonts w:ascii="Arial" w:hAnsi="Arial" w:cs="Arial"/>
          <w:color w:val="auto"/>
        </w:rPr>
        <w:t>61.59</w:t>
      </w:r>
      <w:r w:rsidR="005A1B9E">
        <w:rPr>
          <w:rFonts w:ascii="Arial" w:hAnsi="Arial" w:cs="Arial"/>
          <w:color w:val="auto"/>
        </w:rPr>
        <w:t xml:space="preserve"> per hour (including benefits)</w:t>
      </w:r>
      <w:r w:rsidRPr="009C3F35" w:rsidR="00E94F5A">
        <w:rPr>
          <w:rStyle w:val="FootnoteReference"/>
          <w:rFonts w:ascii="Arial" w:hAnsi="Arial" w:cs="Arial"/>
          <w:color w:val="auto"/>
          <w:vertAlign w:val="superscript"/>
        </w:rPr>
        <w:footnoteReference w:id="3"/>
      </w:r>
      <w:r w:rsidR="005A1B9E">
        <w:rPr>
          <w:rFonts w:ascii="Arial" w:hAnsi="Arial" w:cs="Arial"/>
          <w:color w:val="auto"/>
        </w:rPr>
        <w:t>.</w:t>
      </w:r>
    </w:p>
    <w:p w:rsidRPr="00BF5691" w:rsidR="000A5DFC" w:rsidP="00DF5CF4" w:rsidRDefault="000A5DFC" w14:paraId="39F69589" w14:textId="77777777">
      <w:pPr>
        <w:pStyle w:val="Default"/>
        <w:rPr>
          <w:rFonts w:ascii="Arial" w:hAnsi="Arial" w:cs="Arial"/>
          <w:color w:val="auto"/>
        </w:rPr>
      </w:pPr>
    </w:p>
    <w:p w:rsidRPr="00BF5691" w:rsidR="00C349A7" w:rsidRDefault="00C349A7" w14:paraId="43D38C59" w14:textId="77777777">
      <w:pPr>
        <w:pStyle w:val="Default"/>
        <w:rPr>
          <w:rFonts w:ascii="Arial" w:hAnsi="Arial" w:cs="Arial"/>
        </w:rPr>
      </w:pPr>
      <w:r w:rsidRPr="00BF5691">
        <w:rPr>
          <w:rFonts w:ascii="Arial" w:hAnsi="Arial" w:cs="Arial"/>
        </w:rPr>
        <w:t xml:space="preserve">The burden cost associated with the MSHA district </w:t>
      </w:r>
      <w:r w:rsidR="00DD1745">
        <w:rPr>
          <w:rFonts w:ascii="Arial" w:hAnsi="Arial" w:cs="Arial"/>
        </w:rPr>
        <w:t>office</w:t>
      </w:r>
      <w:r w:rsidRPr="00BF5691">
        <w:rPr>
          <w:rFonts w:ascii="Arial" w:hAnsi="Arial" w:cs="Arial"/>
        </w:rPr>
        <w:t xml:space="preserve">’s approval process is as follows:  </w:t>
      </w:r>
    </w:p>
    <w:p w:rsidRPr="00BF5691" w:rsidR="00C349A7" w:rsidRDefault="00C349A7" w14:paraId="25BC1B89" w14:textId="77777777">
      <w:pPr>
        <w:pStyle w:val="Default"/>
        <w:rPr>
          <w:rFonts w:ascii="Arial" w:hAnsi="Arial" w:cs="Arial"/>
        </w:rPr>
      </w:pPr>
      <w:r w:rsidRPr="00BF5691">
        <w:rPr>
          <w:rFonts w:ascii="Arial" w:hAnsi="Arial" w:cs="Arial"/>
        </w:rPr>
        <w:t xml:space="preserve"> </w:t>
      </w:r>
    </w:p>
    <w:p w:rsidRPr="00DF5CF4" w:rsidR="00DF5CF4" w:rsidP="00DF5CF4" w:rsidRDefault="00C349A7" w14:paraId="3C790B25" w14:textId="77777777">
      <w:pPr>
        <w:rPr>
          <w:rFonts w:ascii="Arial" w:hAnsi="Arial" w:cs="Arial"/>
          <w:szCs w:val="20"/>
        </w:rPr>
      </w:pPr>
      <w:r w:rsidRPr="00BF5691">
        <w:rPr>
          <w:rFonts w:ascii="Arial" w:hAnsi="Arial" w:cs="Arial"/>
        </w:rPr>
        <w:t>1 plan x 160 hours x $</w:t>
      </w:r>
      <w:r w:rsidR="003C3D22">
        <w:rPr>
          <w:rFonts w:ascii="Arial" w:hAnsi="Arial" w:cs="Arial"/>
        </w:rPr>
        <w:t>61.59</w:t>
      </w:r>
      <w:r w:rsidR="00033606">
        <w:rPr>
          <w:rFonts w:ascii="Arial" w:hAnsi="Arial" w:cs="Arial"/>
        </w:rPr>
        <w:t xml:space="preserve"> </w:t>
      </w:r>
      <w:r w:rsidRPr="00BF5691" w:rsidR="00033606">
        <w:rPr>
          <w:rFonts w:ascii="Arial" w:hAnsi="Arial" w:cs="Arial"/>
        </w:rPr>
        <w:t>per</w:t>
      </w:r>
      <w:r w:rsidRPr="00BF5691">
        <w:rPr>
          <w:rFonts w:ascii="Arial" w:hAnsi="Arial" w:cs="Arial"/>
        </w:rPr>
        <w:t xml:space="preserve"> hour (salary of a GS 12 inspector) = </w:t>
      </w:r>
      <w:r w:rsidRPr="00BF5691" w:rsidR="00DF5CF4">
        <w:rPr>
          <w:rFonts w:ascii="Arial" w:hAnsi="Arial" w:cs="Arial"/>
          <w:szCs w:val="20"/>
        </w:rPr>
        <w:t>$</w:t>
      </w:r>
      <w:r w:rsidR="003C3D22">
        <w:rPr>
          <w:rFonts w:ascii="Arial" w:hAnsi="Arial" w:cs="Arial"/>
          <w:szCs w:val="20"/>
        </w:rPr>
        <w:t>9,854.40</w:t>
      </w:r>
      <w:r w:rsidR="005D4D08">
        <w:rPr>
          <w:rFonts w:ascii="Arial" w:hAnsi="Arial" w:cs="Arial"/>
          <w:szCs w:val="20"/>
        </w:rPr>
        <w:t xml:space="preserve"> </w:t>
      </w:r>
      <w:r w:rsidRPr="005D4D08" w:rsidR="005D4D08">
        <w:rPr>
          <w:rFonts w:ascii="Arial" w:hAnsi="Arial" w:cs="Arial"/>
          <w:b/>
          <w:szCs w:val="20"/>
        </w:rPr>
        <w:t>(rounded $9,854)</w:t>
      </w:r>
    </w:p>
    <w:p w:rsidRPr="00B24F6C" w:rsidR="00C349A7" w:rsidRDefault="00C349A7" w14:paraId="0AAD6303" w14:textId="77777777">
      <w:pPr>
        <w:pStyle w:val="Default"/>
        <w:rPr>
          <w:rFonts w:ascii="Arial" w:hAnsi="Arial" w:cs="Arial"/>
        </w:rPr>
      </w:pPr>
    </w:p>
    <w:p w:rsidRPr="00BF5691" w:rsidR="007E53C1" w:rsidP="00BF5691" w:rsidRDefault="007E53C1" w14:paraId="38BC1207" w14:textId="77777777">
      <w:pPr>
        <w:pStyle w:val="Default"/>
        <w:rPr>
          <w:rFonts w:ascii="Arial" w:hAnsi="Arial" w:cs="Arial"/>
          <w:b/>
        </w:rPr>
      </w:pPr>
      <w:r w:rsidRPr="00BF5691">
        <w:rPr>
          <w:rFonts w:ascii="Arial" w:hAnsi="Arial" w:cs="Arial"/>
          <w:b/>
        </w:rPr>
        <w:t>15. Explain the reasons for any program changes or adjustments.</w:t>
      </w:r>
    </w:p>
    <w:p w:rsidRPr="00B24F6C" w:rsidR="00C349A7" w:rsidRDefault="00C349A7" w14:paraId="220C6944" w14:textId="77777777">
      <w:pPr>
        <w:pStyle w:val="Default"/>
        <w:rPr>
          <w:rFonts w:ascii="Arial" w:hAnsi="Arial" w:cs="Arial"/>
        </w:rPr>
      </w:pPr>
    </w:p>
    <w:p w:rsidRPr="00B24F6C" w:rsidR="00C349A7" w:rsidP="0075279D" w:rsidRDefault="005A1B9E" w14:paraId="512F1D8F" w14:textId="77777777">
      <w:pPr>
        <w:pStyle w:val="Default"/>
        <w:outlineLvl w:val="0"/>
        <w:rPr>
          <w:rFonts w:ascii="Arial" w:hAnsi="Arial" w:cs="Arial"/>
        </w:rPr>
      </w:pPr>
      <w:r>
        <w:rPr>
          <w:rFonts w:ascii="Arial" w:hAnsi="Arial" w:cs="Arial"/>
        </w:rPr>
        <w:t>T</w:t>
      </w:r>
      <w:r w:rsidRPr="00B24F6C" w:rsidR="00C73218">
        <w:rPr>
          <w:rFonts w:ascii="Arial" w:hAnsi="Arial" w:cs="Arial"/>
        </w:rPr>
        <w:t>here are no changes or adjustments to this collection</w:t>
      </w:r>
      <w:r w:rsidR="00A05946">
        <w:rPr>
          <w:rFonts w:ascii="Arial" w:hAnsi="Arial" w:cs="Arial"/>
        </w:rPr>
        <w:t>.</w:t>
      </w:r>
      <w:r w:rsidR="00A2371F">
        <w:rPr>
          <w:rFonts w:ascii="Arial" w:hAnsi="Arial" w:cs="Arial"/>
        </w:rPr>
        <w:t xml:space="preserve">  The hours and responses are the same.  </w:t>
      </w:r>
    </w:p>
    <w:p w:rsidRPr="00B24F6C" w:rsidR="00C349A7" w:rsidRDefault="00C349A7" w14:paraId="178DD835" w14:textId="77777777">
      <w:pPr>
        <w:pStyle w:val="Default"/>
        <w:rPr>
          <w:rFonts w:ascii="Arial" w:hAnsi="Arial" w:cs="Arial"/>
        </w:rPr>
      </w:pPr>
      <w:r w:rsidRPr="00B24F6C">
        <w:rPr>
          <w:rFonts w:ascii="Arial" w:hAnsi="Arial" w:cs="Arial"/>
          <w:b/>
          <w:bCs/>
        </w:rPr>
        <w:t xml:space="preserve"> </w:t>
      </w:r>
    </w:p>
    <w:p w:rsidRPr="007E53C1" w:rsidR="007E53C1" w:rsidP="007E53C1" w:rsidRDefault="007E53C1" w14:paraId="37AC3A41" w14:textId="77777777">
      <w:pPr>
        <w:rPr>
          <w:rFonts w:ascii="Arial" w:hAnsi="Arial" w:cs="Arial"/>
          <w:b/>
        </w:rPr>
      </w:pPr>
      <w:r w:rsidRPr="007E53C1">
        <w:rPr>
          <w:rFonts w:ascii="Arial" w:hAnsi="Arial" w:cs="Arial"/>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B24F6C" w:rsidR="00C349A7" w:rsidRDefault="00C349A7" w14:paraId="654390A6" w14:textId="77777777">
      <w:pPr>
        <w:pStyle w:val="Default"/>
        <w:rPr>
          <w:rFonts w:ascii="Arial" w:hAnsi="Arial" w:cs="Arial"/>
        </w:rPr>
      </w:pPr>
    </w:p>
    <w:p w:rsidRPr="00B24F6C" w:rsidR="00C349A7" w:rsidRDefault="00C349A7" w14:paraId="6C11239E" w14:textId="77777777">
      <w:pPr>
        <w:pStyle w:val="Default"/>
        <w:rPr>
          <w:rFonts w:ascii="Arial" w:hAnsi="Arial" w:cs="Arial"/>
        </w:rPr>
      </w:pPr>
      <w:r w:rsidRPr="00B24F6C">
        <w:rPr>
          <w:rFonts w:ascii="Arial" w:hAnsi="Arial" w:cs="Arial"/>
        </w:rPr>
        <w:t xml:space="preserve">There are no plans for publication or statistical use of the results of this information collection. </w:t>
      </w:r>
    </w:p>
    <w:p w:rsidRPr="00B24F6C" w:rsidR="00C349A7" w:rsidRDefault="00C349A7" w14:paraId="68905324" w14:textId="77777777">
      <w:pPr>
        <w:pStyle w:val="Default"/>
        <w:rPr>
          <w:rFonts w:ascii="Arial" w:hAnsi="Arial" w:cs="Arial"/>
        </w:rPr>
      </w:pPr>
      <w:r w:rsidRPr="00B24F6C">
        <w:rPr>
          <w:rFonts w:ascii="Arial" w:hAnsi="Arial" w:cs="Arial"/>
        </w:rPr>
        <w:t xml:space="preserve"> </w:t>
      </w:r>
    </w:p>
    <w:p w:rsidRPr="007E53C1" w:rsidR="007E53C1" w:rsidP="007E53C1" w:rsidRDefault="007E53C1" w14:paraId="03D277E7" w14:textId="77777777">
      <w:pPr>
        <w:rPr>
          <w:rFonts w:ascii="Arial" w:hAnsi="Arial" w:cs="Arial"/>
          <w:b/>
        </w:rPr>
      </w:pPr>
      <w:r w:rsidRPr="007E53C1">
        <w:rPr>
          <w:rFonts w:ascii="Arial" w:hAnsi="Arial" w:cs="Arial"/>
          <w:b/>
        </w:rPr>
        <w:lastRenderedPageBreak/>
        <w:t>17. If seeking approval to not display the expiration date for OMB approval of the information collection, explain the reasons that display would be inappropriate.</w:t>
      </w:r>
    </w:p>
    <w:p w:rsidRPr="00B24F6C" w:rsidR="00C349A7" w:rsidRDefault="00C349A7" w14:paraId="3C4E9B01" w14:textId="77777777">
      <w:pPr>
        <w:pStyle w:val="Default"/>
        <w:rPr>
          <w:rFonts w:ascii="Arial" w:hAnsi="Arial" w:cs="Arial"/>
        </w:rPr>
      </w:pPr>
      <w:r w:rsidRPr="00B24F6C">
        <w:rPr>
          <w:rFonts w:ascii="Arial" w:hAnsi="Arial" w:cs="Arial"/>
          <w:b/>
          <w:bCs/>
        </w:rPr>
        <w:t xml:space="preserve"> </w:t>
      </w:r>
    </w:p>
    <w:p w:rsidRPr="00B24F6C" w:rsidR="00C349A7" w:rsidP="0075279D" w:rsidRDefault="00A2371F" w14:paraId="2E9D5725" w14:textId="77777777">
      <w:pPr>
        <w:pStyle w:val="Default"/>
        <w:outlineLvl w:val="0"/>
        <w:rPr>
          <w:rFonts w:ascii="Arial" w:hAnsi="Arial" w:cs="Arial"/>
        </w:rPr>
      </w:pPr>
      <w:r>
        <w:rPr>
          <w:rFonts w:ascii="Arial" w:hAnsi="Arial" w:cs="Arial"/>
        </w:rPr>
        <w:t>MSHA associates</w:t>
      </w:r>
      <w:r w:rsidRPr="00B24F6C" w:rsidR="00C349A7">
        <w:rPr>
          <w:rFonts w:ascii="Arial" w:hAnsi="Arial" w:cs="Arial"/>
        </w:rPr>
        <w:t xml:space="preserve"> no forms </w:t>
      </w:r>
      <w:r>
        <w:rPr>
          <w:rFonts w:ascii="Arial" w:hAnsi="Arial" w:cs="Arial"/>
        </w:rPr>
        <w:t>with this information collection</w:t>
      </w:r>
      <w:r w:rsidRPr="00B24F6C" w:rsidR="00C349A7">
        <w:rPr>
          <w:rFonts w:ascii="Arial" w:hAnsi="Arial" w:cs="Arial"/>
        </w:rPr>
        <w:t xml:space="preserve">. </w:t>
      </w:r>
    </w:p>
    <w:p w:rsidRPr="00B24F6C" w:rsidR="00C349A7" w:rsidRDefault="00C349A7" w14:paraId="652501DA" w14:textId="77777777">
      <w:pPr>
        <w:pStyle w:val="Default"/>
        <w:rPr>
          <w:rFonts w:ascii="Arial" w:hAnsi="Arial" w:cs="Arial"/>
        </w:rPr>
      </w:pPr>
      <w:r w:rsidRPr="00B24F6C">
        <w:rPr>
          <w:rFonts w:ascii="Arial" w:hAnsi="Arial" w:cs="Arial"/>
        </w:rPr>
        <w:t xml:space="preserve">  </w:t>
      </w:r>
    </w:p>
    <w:p w:rsidRPr="007E53C1" w:rsidR="007E53C1" w:rsidP="007E53C1" w:rsidRDefault="007E53C1" w14:paraId="57C4F91C" w14:textId="77777777">
      <w:pPr>
        <w:rPr>
          <w:rFonts w:ascii="Arial" w:hAnsi="Arial" w:cs="Arial"/>
          <w:b/>
        </w:rPr>
      </w:pPr>
      <w:r w:rsidRPr="007E53C1">
        <w:rPr>
          <w:rFonts w:ascii="Arial" w:hAnsi="Arial" w:cs="Arial"/>
          <w:b/>
        </w:rPr>
        <w:t xml:space="preserve">18. Explain each exception to the </w:t>
      </w:r>
      <w:r w:rsidR="00167134">
        <w:rPr>
          <w:rFonts w:ascii="Arial" w:hAnsi="Arial" w:cs="Arial"/>
          <w:b/>
        </w:rPr>
        <w:t xml:space="preserve">topics of the </w:t>
      </w:r>
      <w:r w:rsidRPr="007E53C1">
        <w:rPr>
          <w:rFonts w:ascii="Arial" w:hAnsi="Arial" w:cs="Arial"/>
          <w:b/>
        </w:rPr>
        <w:t>certification statement identified</w:t>
      </w:r>
      <w:r w:rsidR="00167134">
        <w:rPr>
          <w:rFonts w:ascii="Arial" w:hAnsi="Arial" w:cs="Arial"/>
          <w:b/>
        </w:rPr>
        <w:t xml:space="preserve"> in</w:t>
      </w:r>
      <w:r w:rsidRPr="007E53C1">
        <w:rPr>
          <w:rFonts w:ascii="Arial" w:hAnsi="Arial" w:cs="Arial"/>
          <w:b/>
        </w:rPr>
        <w:t xml:space="preserve"> "Certification for Paperwork Reduction Act Submissions</w:t>
      </w:r>
      <w:r w:rsidR="00167134">
        <w:rPr>
          <w:rFonts w:ascii="Arial" w:hAnsi="Arial" w:cs="Arial"/>
          <w:b/>
        </w:rPr>
        <w:t>.</w:t>
      </w:r>
      <w:r w:rsidRPr="007E53C1">
        <w:rPr>
          <w:rFonts w:ascii="Arial" w:hAnsi="Arial" w:cs="Arial"/>
          <w:b/>
        </w:rPr>
        <w:t>"</w:t>
      </w:r>
    </w:p>
    <w:p w:rsidRPr="00B24F6C" w:rsidR="00C349A7" w:rsidRDefault="00C349A7" w14:paraId="3A959D1C" w14:textId="77777777">
      <w:pPr>
        <w:pStyle w:val="Default"/>
        <w:rPr>
          <w:rFonts w:ascii="Arial" w:hAnsi="Arial" w:cs="Arial"/>
        </w:rPr>
      </w:pPr>
    </w:p>
    <w:p w:rsidRPr="00B24F6C" w:rsidR="00C349A7" w:rsidP="0075279D" w:rsidRDefault="00C349A7" w14:paraId="18B91144" w14:textId="77777777">
      <w:pPr>
        <w:pStyle w:val="Default"/>
        <w:outlineLvl w:val="0"/>
        <w:rPr>
          <w:rFonts w:ascii="Arial" w:hAnsi="Arial" w:cs="Arial"/>
        </w:rPr>
      </w:pPr>
      <w:r w:rsidRPr="00B24F6C">
        <w:rPr>
          <w:rFonts w:ascii="Arial" w:hAnsi="Arial" w:cs="Arial"/>
        </w:rPr>
        <w:t xml:space="preserve">There are no certification exceptions identified with this information collection. </w:t>
      </w:r>
    </w:p>
    <w:p w:rsidR="0028137E" w:rsidP="00095507" w:rsidRDefault="00C349A7" w14:paraId="162594B3" w14:textId="6D5D4891">
      <w:pPr>
        <w:pStyle w:val="Default"/>
        <w:rPr>
          <w:rFonts w:ascii="Arial" w:hAnsi="Arial" w:cs="Arial"/>
          <w:b/>
          <w:bCs/>
        </w:rPr>
      </w:pPr>
      <w:r w:rsidRPr="00B24F6C">
        <w:rPr>
          <w:rFonts w:ascii="Arial" w:hAnsi="Arial" w:cs="Arial"/>
          <w:b/>
          <w:bCs/>
        </w:rPr>
        <w:t xml:space="preserve"> </w:t>
      </w:r>
    </w:p>
    <w:p w:rsidRPr="00B24F6C" w:rsidR="00C349A7" w:rsidP="00095507" w:rsidRDefault="00C349A7" w14:paraId="65589AB2" w14:textId="11693386">
      <w:pPr>
        <w:pStyle w:val="Default"/>
        <w:outlineLvl w:val="0"/>
        <w:rPr>
          <w:rFonts w:ascii="Arial" w:hAnsi="Arial" w:cs="Arial"/>
        </w:rPr>
      </w:pPr>
      <w:r w:rsidRPr="00B24F6C">
        <w:rPr>
          <w:rFonts w:ascii="Arial" w:hAnsi="Arial" w:cs="Arial"/>
          <w:b/>
          <w:bCs/>
        </w:rPr>
        <w:t xml:space="preserve">B.  COLLECTIONS OF INFORMATION EMPLOYING STATISTICAL METHODS </w:t>
      </w:r>
    </w:p>
    <w:p w:rsidRPr="007E53C1" w:rsidR="007E53C1" w:rsidP="007E53C1" w:rsidRDefault="007E53C1" w14:paraId="13338B77" w14:textId="77777777">
      <w:pPr>
        <w:rPr>
          <w:rFonts w:ascii="Arial" w:hAnsi="Arial" w:cs="Arial"/>
          <w:b/>
        </w:rPr>
      </w:pPr>
    </w:p>
    <w:p w:rsidRPr="00B96055" w:rsidR="00B96055" w:rsidP="005D4D08" w:rsidRDefault="00C349A7" w14:paraId="3B79FDD1" w14:textId="77777777">
      <w:pPr>
        <w:pStyle w:val="Default"/>
        <w:rPr>
          <w:rFonts w:ascii="Arial" w:hAnsi="Arial" w:cs="Arial"/>
          <w:color w:val="FF0000"/>
        </w:rPr>
      </w:pPr>
      <w:r w:rsidRPr="00B24F6C">
        <w:rPr>
          <w:rFonts w:ascii="Arial" w:hAnsi="Arial" w:cs="Arial"/>
        </w:rPr>
        <w:t xml:space="preserve">As statistical analysis is not required by the regulation, questions 1 through 5 do not apply. </w:t>
      </w:r>
      <w:r w:rsidRPr="00BF5691">
        <w:rPr>
          <w:rFonts w:ascii="Arial" w:hAnsi="Arial" w:cs="Arial"/>
          <w:b/>
          <w:color w:val="auto"/>
        </w:rPr>
        <w:t xml:space="preserve"> </w:t>
      </w:r>
    </w:p>
    <w:p w:rsidRPr="00C349A7" w:rsidR="00C349A7" w:rsidRDefault="00C349A7" w14:paraId="520B0D7F" w14:textId="77777777">
      <w:pPr>
        <w:pStyle w:val="Default"/>
        <w:rPr>
          <w:rFonts w:ascii="Arial" w:hAnsi="Arial" w:cs="Arial"/>
        </w:rPr>
      </w:pPr>
    </w:p>
    <w:sectPr w:rsidRPr="00C349A7" w:rsidR="00C349A7" w:rsidSect="00B24F6C">
      <w:headerReference w:type="default" r:id="rId11"/>
      <w:footerReference w:type="even" r:id="rId12"/>
      <w:footerReference w:type="default" r:id="rId13"/>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4EA4B" w14:textId="77777777" w:rsidR="007B5B56" w:rsidRDefault="007B5B56">
      <w:r>
        <w:separator/>
      </w:r>
    </w:p>
  </w:endnote>
  <w:endnote w:type="continuationSeparator" w:id="0">
    <w:p w14:paraId="2019F8AC" w14:textId="77777777" w:rsidR="007B5B56" w:rsidRDefault="007B5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888A0" w14:textId="77777777" w:rsidR="00404A04" w:rsidRDefault="00404A04" w:rsidP="009E6D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BE2FFA" w14:textId="77777777" w:rsidR="00404A04" w:rsidRDefault="00404A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DCE4D" w14:textId="33ECF647" w:rsidR="00404A04" w:rsidRPr="00404A04" w:rsidRDefault="00404A04" w:rsidP="009E6DC5">
    <w:pPr>
      <w:pStyle w:val="Footer"/>
      <w:framePr w:wrap="around" w:vAnchor="text" w:hAnchor="margin" w:xAlign="center" w:y="1"/>
      <w:rPr>
        <w:rStyle w:val="PageNumber"/>
        <w:rFonts w:ascii="Arial" w:hAnsi="Arial" w:cs="Arial"/>
      </w:rPr>
    </w:pPr>
    <w:r w:rsidRPr="00404A04">
      <w:rPr>
        <w:rStyle w:val="PageNumber"/>
        <w:rFonts w:ascii="Arial" w:hAnsi="Arial" w:cs="Arial"/>
      </w:rPr>
      <w:fldChar w:fldCharType="begin"/>
    </w:r>
    <w:r w:rsidRPr="00404A04">
      <w:rPr>
        <w:rStyle w:val="PageNumber"/>
        <w:rFonts w:ascii="Arial" w:hAnsi="Arial" w:cs="Arial"/>
      </w:rPr>
      <w:instrText xml:space="preserve">PAGE  </w:instrText>
    </w:r>
    <w:r w:rsidRPr="00404A04">
      <w:rPr>
        <w:rStyle w:val="PageNumber"/>
        <w:rFonts w:ascii="Arial" w:hAnsi="Arial" w:cs="Arial"/>
      </w:rPr>
      <w:fldChar w:fldCharType="separate"/>
    </w:r>
    <w:r w:rsidR="0052571F">
      <w:rPr>
        <w:rStyle w:val="PageNumber"/>
        <w:rFonts w:ascii="Arial" w:hAnsi="Arial" w:cs="Arial"/>
        <w:noProof/>
      </w:rPr>
      <w:t>5</w:t>
    </w:r>
    <w:r w:rsidRPr="00404A04">
      <w:rPr>
        <w:rStyle w:val="PageNumber"/>
        <w:rFonts w:ascii="Arial" w:hAnsi="Arial" w:cs="Arial"/>
      </w:rPr>
      <w:fldChar w:fldCharType="end"/>
    </w:r>
  </w:p>
  <w:p w14:paraId="40A03EFB" w14:textId="77777777" w:rsidR="00404A04" w:rsidRPr="00404A04" w:rsidRDefault="00404A04" w:rsidP="00952D1E">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A6F5E" w14:textId="77777777" w:rsidR="007B5B56" w:rsidRDefault="007B5B56">
      <w:r>
        <w:separator/>
      </w:r>
    </w:p>
  </w:footnote>
  <w:footnote w:type="continuationSeparator" w:id="0">
    <w:p w14:paraId="684983FE" w14:textId="77777777" w:rsidR="007B5B56" w:rsidRDefault="007B5B56">
      <w:r>
        <w:continuationSeparator/>
      </w:r>
    </w:p>
  </w:footnote>
  <w:footnote w:id="1">
    <w:p w14:paraId="107A7AA8" w14:textId="77777777" w:rsidR="00471109" w:rsidRPr="00CA51DD" w:rsidRDefault="00471109" w:rsidP="00471109">
      <w:pPr>
        <w:pStyle w:val="FootnoteText"/>
      </w:pPr>
      <w:r w:rsidRPr="00D74120">
        <w:rPr>
          <w:rStyle w:val="FootnoteReference"/>
        </w:rPr>
        <w:footnoteRef/>
      </w:r>
      <w:r w:rsidRPr="00D74120">
        <w:rPr>
          <w:vertAlign w:val="superscript"/>
        </w:rPr>
        <w:t xml:space="preserve"> </w:t>
      </w:r>
      <w:r w:rsidRPr="00CA51DD">
        <w:t>Options for obtaining OE</w:t>
      </w:r>
      <w:r>
        <w:t>W</w:t>
      </w:r>
      <w:r w:rsidRPr="00CA51DD">
        <w:t>S data are available at item “E3. How to get OE</w:t>
      </w:r>
      <w:r>
        <w:t>W</w:t>
      </w:r>
      <w:r w:rsidRPr="00CA51DD">
        <w:t>S data. What are the different ways to obtain OE</w:t>
      </w:r>
      <w:r>
        <w:t>W</w:t>
      </w:r>
      <w:r w:rsidRPr="00CA51DD">
        <w:t xml:space="preserve">S estimates from this website?” at </w:t>
      </w:r>
      <w:hyperlink r:id="rId1" w:history="1">
        <w:r w:rsidRPr="00CA51DD">
          <w:rPr>
            <w:rStyle w:val="Hyperlink"/>
          </w:rPr>
          <w:t>https://www.bls.gov/oes/oes_ques.htm</w:t>
        </w:r>
      </w:hyperlink>
      <w:r w:rsidRPr="00CA51DD">
        <w:t xml:space="preserve">. The benefit-scaler comes from BLS Employer Costs for Employee Compensation access by menu </w:t>
      </w:r>
      <w:hyperlink r:id="rId2" w:history="1">
        <w:r w:rsidRPr="00CA51DD">
          <w:rPr>
            <w:rStyle w:val="Hyperlink"/>
          </w:rPr>
          <w:t>https://data.bls.gov/cgi-bin/srgate</w:t>
        </w:r>
      </w:hyperlink>
      <w:r w:rsidRPr="00CA51DD">
        <w:t>. The data series CMU2030000405000P, Private Industry Total benefits for Construction, extraction, farming, fishing, and forestry occupations, is divided by 100 to convert to a decimal value. MSHA used the latest 4-quarter moving average 20</w:t>
      </w:r>
      <w:r>
        <w:t>20</w:t>
      </w:r>
      <w:r w:rsidRPr="00CA51DD">
        <w:t>Qtr</w:t>
      </w:r>
      <w:r>
        <w:t>1</w:t>
      </w:r>
      <w:r w:rsidRPr="00CA51DD">
        <w:t>-202</w:t>
      </w:r>
      <w:r>
        <w:t>1</w:t>
      </w:r>
      <w:r w:rsidRPr="00CA51DD">
        <w:t>Qtr</w:t>
      </w:r>
      <w:r>
        <w:t>1</w:t>
      </w:r>
      <w:r w:rsidRPr="00CA51DD">
        <w:t xml:space="preserve"> to determine that 33.1 percent of total loaded wages are benefits. MSHA computes the scaling factor with a number of detailed calculations but it may be approximated with the formula and values 1 + (benefit percentage</w:t>
      </w:r>
      <w:proofErr w:type="gramStart"/>
      <w:r w:rsidRPr="00CA51DD">
        <w:t>/(</w:t>
      </w:r>
      <w:proofErr w:type="gramEnd"/>
      <w:r w:rsidRPr="00CA51DD">
        <w:t>1-benefit percentage)) = 1+(.331/(1-.331)) =1.</w:t>
      </w:r>
      <w:r>
        <w:t>49</w:t>
      </w:r>
      <w:r w:rsidRPr="00CA51DD">
        <w:t>. Wage inflation is the change in Series ID:</w:t>
      </w:r>
      <w:r>
        <w:t xml:space="preserve"> </w:t>
      </w:r>
      <w:r w:rsidRPr="00CA51DD">
        <w:t xml:space="preserve">CIS2020000405000I; </w:t>
      </w:r>
      <w:proofErr w:type="gramStart"/>
      <w:r w:rsidRPr="00CA51DD">
        <w:t>Seasonally</w:t>
      </w:r>
      <w:proofErr w:type="gramEnd"/>
      <w:r w:rsidRPr="00CA51DD">
        <w:t xml:space="preserve"> adjusted; Series Title:</w:t>
      </w:r>
      <w:r>
        <w:t xml:space="preserve"> </w:t>
      </w:r>
      <w:r w:rsidRPr="00CA51DD">
        <w:t>Wages and salaries for Private industry workers in Construction, extraction, farming, fishing, and forestry occupations, Index. ((</w:t>
      </w:r>
      <w:hyperlink r:id="rId3" w:history="1">
        <w:r w:rsidRPr="00CA51DD">
          <w:rPr>
            <w:rStyle w:val="Hyperlink"/>
          </w:rPr>
          <w:t>https://data.bls.gov/cgi-bin/srgate</w:t>
        </w:r>
      </w:hyperlink>
      <w:r>
        <w:t xml:space="preserve">); </w:t>
      </w:r>
      <w:proofErr w:type="spellStart"/>
      <w:r>
        <w:t>Qtr</w:t>
      </w:r>
      <w:proofErr w:type="spellEnd"/>
      <w:r>
        <w:t xml:space="preserve"> 1 2021</w:t>
      </w:r>
      <w:r w:rsidRPr="00CA51DD">
        <w:t>/</w:t>
      </w:r>
      <w:proofErr w:type="spellStart"/>
      <w:r w:rsidRPr="00CA51DD">
        <w:t>Qtr</w:t>
      </w:r>
      <w:proofErr w:type="spellEnd"/>
      <w:r w:rsidRPr="00CA51DD">
        <w:t xml:space="preserve"> </w:t>
      </w:r>
      <w:r>
        <w:t>1</w:t>
      </w:r>
      <w:r w:rsidRPr="00CA51DD">
        <w:t xml:space="preserve"> 20</w:t>
      </w:r>
      <w:r>
        <w:t>20</w:t>
      </w:r>
      <w:r w:rsidRPr="00CA51DD">
        <w:t xml:space="preserve">; </w:t>
      </w:r>
      <w:r>
        <w:t>142.3</w:t>
      </w:r>
      <w:r w:rsidRPr="00425766">
        <w:t>/</w:t>
      </w:r>
      <w:r>
        <w:t>140.1</w:t>
      </w:r>
      <w:r w:rsidRPr="00425766">
        <w:t>=</w:t>
      </w:r>
      <w:r>
        <w:t xml:space="preserve">1.016 </w:t>
      </w:r>
    </w:p>
    <w:p w14:paraId="45C03DF9" w14:textId="77777777" w:rsidR="00471109" w:rsidRPr="00D74120" w:rsidRDefault="00471109" w:rsidP="00471109">
      <w:pPr>
        <w:pStyle w:val="FootnoteText"/>
      </w:pPr>
    </w:p>
  </w:footnote>
  <w:footnote w:id="2">
    <w:p w14:paraId="7B16431C" w14:textId="77777777" w:rsidR="00471109" w:rsidRDefault="00471109">
      <w:pPr>
        <w:pStyle w:val="FootnoteText"/>
      </w:pPr>
      <w:r>
        <w:rPr>
          <w:rStyle w:val="FootnoteReference"/>
        </w:rPr>
        <w:footnoteRef/>
      </w:r>
      <w:r>
        <w:t xml:space="preserve"> </w:t>
      </w:r>
      <w:r w:rsidR="00D359C6">
        <w:t xml:space="preserve">Supervisor </w:t>
      </w:r>
      <w:r w:rsidR="00D359C6" w:rsidRPr="005B72AB">
        <w:t>Wage is the employment weighted average for 4 Standard Occupational Classification Codes (SOC) for 4 separate occupational groups from the BLS May 20</w:t>
      </w:r>
      <w:r w:rsidR="00D359C6">
        <w:t>20</w:t>
      </w:r>
      <w:r w:rsidR="00D359C6" w:rsidRPr="005B72AB">
        <w:t xml:space="preserve"> OE</w:t>
      </w:r>
      <w:r w:rsidR="00D359C6">
        <w:t>W</w:t>
      </w:r>
      <w:r w:rsidR="00D359C6" w:rsidRPr="005B72AB">
        <w:t xml:space="preserve">S data for NAICS </w:t>
      </w:r>
      <w:r w:rsidR="00D359C6">
        <w:t>Code 212200</w:t>
      </w:r>
      <w:r w:rsidR="0063634B">
        <w:t xml:space="preserve"> Metal Mining</w:t>
      </w:r>
      <w:r w:rsidR="00D359C6">
        <w:t xml:space="preserve"> and 212300</w:t>
      </w:r>
      <w:r w:rsidR="0063634B">
        <w:t xml:space="preserve"> </w:t>
      </w:r>
      <w:r w:rsidR="00D359C6">
        <w:t>Nonmetal Mining</w:t>
      </w:r>
      <w:r w:rsidR="00D359C6" w:rsidRPr="005B72AB">
        <w:t xml:space="preserve">. Weighted average rate </w:t>
      </w:r>
      <w:r w:rsidR="00D359C6" w:rsidRPr="006E1598">
        <w:t>$</w:t>
      </w:r>
      <w:r w:rsidR="0063634B">
        <w:t>55.01</w:t>
      </w:r>
      <w:r w:rsidR="00D359C6" w:rsidRPr="005B72AB">
        <w:t>=</w:t>
      </w:r>
      <w:r w:rsidR="00D359C6" w:rsidRPr="006E1598">
        <w:t>$</w:t>
      </w:r>
      <w:r w:rsidR="00D359C6">
        <w:t>36.34</w:t>
      </w:r>
      <w:r w:rsidR="00D359C6" w:rsidRPr="005B72AB">
        <w:t xml:space="preserve"> x 1.49 benefit adjustment x </w:t>
      </w:r>
      <w:r w:rsidR="00D359C6">
        <w:t xml:space="preserve">1.016 </w:t>
      </w:r>
      <w:r w:rsidR="00D359C6" w:rsidRPr="005B72AB">
        <w:t>inflation adjustment</w:t>
      </w:r>
    </w:p>
  </w:footnote>
  <w:footnote w:id="3">
    <w:p w14:paraId="20197838" w14:textId="77777777" w:rsidR="00E94F5A" w:rsidRPr="009C3F35" w:rsidRDefault="00E94F5A">
      <w:pPr>
        <w:pStyle w:val="FootnoteText"/>
        <w:rPr>
          <w:rFonts w:ascii="Arial" w:hAnsi="Arial" w:cs="Arial"/>
        </w:rPr>
      </w:pPr>
      <w:r w:rsidRPr="009C3F35">
        <w:rPr>
          <w:rStyle w:val="FootnoteReference"/>
          <w:rFonts w:ascii="Arial" w:hAnsi="Arial" w:cs="Arial"/>
          <w:vertAlign w:val="superscript"/>
        </w:rPr>
        <w:footnoteRef/>
      </w:r>
      <w:r w:rsidRPr="009C3F35">
        <w:rPr>
          <w:rFonts w:ascii="Arial" w:hAnsi="Arial" w:cs="Arial"/>
          <w:vertAlign w:val="superscript"/>
        </w:rPr>
        <w:t xml:space="preserve"> </w:t>
      </w:r>
      <w:r w:rsidRPr="009C3F35">
        <w:rPr>
          <w:rFonts w:ascii="Arial" w:hAnsi="Arial" w:cs="Arial"/>
        </w:rPr>
        <w:t xml:space="preserve">Hourly rate developed from office of Personnel Management (OPM), </w:t>
      </w:r>
      <w:r>
        <w:rPr>
          <w:rFonts w:ascii="Arial" w:hAnsi="Arial" w:cs="Arial"/>
        </w:rPr>
        <w:t>Decembe</w:t>
      </w:r>
      <w:r w:rsidRPr="009C3F35">
        <w:rPr>
          <w:rFonts w:ascii="Arial" w:hAnsi="Arial" w:cs="Arial"/>
        </w:rPr>
        <w:t xml:space="preserve">r </w:t>
      </w:r>
      <w:r w:rsidR="00E70B4E" w:rsidRPr="009C3F35">
        <w:rPr>
          <w:rFonts w:ascii="Arial" w:hAnsi="Arial" w:cs="Arial"/>
        </w:rPr>
        <w:t>20</w:t>
      </w:r>
      <w:r w:rsidR="00E70B4E">
        <w:rPr>
          <w:rFonts w:ascii="Arial" w:hAnsi="Arial" w:cs="Arial"/>
        </w:rPr>
        <w:t xml:space="preserve">20 </w:t>
      </w:r>
      <w:proofErr w:type="spellStart"/>
      <w:r w:rsidRPr="009C3F35">
        <w:rPr>
          <w:rFonts w:ascii="Arial" w:hAnsi="Arial" w:cs="Arial"/>
        </w:rPr>
        <w:t>FedScope</w:t>
      </w:r>
      <w:proofErr w:type="spellEnd"/>
      <w:r w:rsidRPr="009C3F35">
        <w:rPr>
          <w:rFonts w:ascii="Arial" w:hAnsi="Arial" w:cs="Arial"/>
        </w:rPr>
        <w:t xml:space="preserve"> employment cube, http://www.fedscope.opm.gov/.  Data search qualifiers were: Agency = DLMS, Occupation = 18xx, Work Schedule = Full-Time, Salary Grade = GS-12, Measure = Average Salary.  The hourly wage is the annual salary divided by 2,087.  </w:t>
      </w:r>
      <w:r>
        <w:rPr>
          <w:rFonts w:ascii="Arial" w:hAnsi="Arial" w:cs="Arial"/>
        </w:rPr>
        <w:t>T</w:t>
      </w:r>
      <w:r w:rsidRPr="009C3F35">
        <w:rPr>
          <w:rFonts w:ascii="Arial" w:hAnsi="Arial" w:cs="Arial"/>
        </w:rPr>
        <w:t xml:space="preserve">o include the cost of benefits, MSHA multiplied the average annual salary by a federal benefit scaler for MSHA of </w:t>
      </w:r>
      <w:r w:rsidR="00E70B4E">
        <w:rPr>
          <w:rFonts w:ascii="Arial" w:hAnsi="Arial" w:cs="Arial"/>
        </w:rPr>
        <w:t xml:space="preserve">1.400 </w:t>
      </w:r>
      <w:r w:rsidRPr="009C3F35">
        <w:rPr>
          <w:rFonts w:ascii="Arial" w:hAnsi="Arial" w:cs="Arial"/>
        </w:rPr>
        <w:t xml:space="preserve">(FY </w:t>
      </w:r>
      <w:r w:rsidR="00E70B4E" w:rsidRPr="009C3F35">
        <w:rPr>
          <w:rFonts w:ascii="Arial" w:hAnsi="Arial" w:cs="Arial"/>
        </w:rPr>
        <w:t>20</w:t>
      </w:r>
      <w:r w:rsidR="00E70B4E">
        <w:rPr>
          <w:rFonts w:ascii="Arial" w:hAnsi="Arial" w:cs="Arial"/>
        </w:rPr>
        <w:t>21</w:t>
      </w:r>
      <w:r w:rsidR="00E70B4E" w:rsidRPr="009C3F35">
        <w:rPr>
          <w:rFonts w:ascii="Arial" w:hAnsi="Arial" w:cs="Arial"/>
        </w:rPr>
        <w:t xml:space="preserve"> </w:t>
      </w:r>
      <w:r w:rsidRPr="009C3F35">
        <w:rPr>
          <w:rFonts w:ascii="Arial" w:hAnsi="Arial" w:cs="Arial"/>
        </w:rPr>
        <w:t>budget submission).  Rate equals $</w:t>
      </w:r>
      <w:r w:rsidR="00E70B4E">
        <w:rPr>
          <w:rFonts w:ascii="Arial" w:hAnsi="Arial" w:cs="Arial"/>
        </w:rPr>
        <w:t>61.59</w:t>
      </w:r>
      <w:r w:rsidRPr="009C3F35">
        <w:rPr>
          <w:rFonts w:ascii="Arial" w:hAnsi="Arial" w:cs="Arial"/>
        </w:rPr>
        <w:t xml:space="preserve"> = ($</w:t>
      </w:r>
      <w:r w:rsidR="00E70B4E">
        <w:rPr>
          <w:rFonts w:ascii="Arial" w:hAnsi="Arial" w:cs="Arial"/>
        </w:rPr>
        <w:t>91,807</w:t>
      </w:r>
      <w:r w:rsidRPr="009C3F35">
        <w:rPr>
          <w:rFonts w:ascii="Arial" w:hAnsi="Arial" w:cs="Arial"/>
        </w:rPr>
        <w:t xml:space="preserve"> / 2,087 x 1.</w:t>
      </w:r>
      <w:r w:rsidR="00E70B4E">
        <w:rPr>
          <w:rFonts w:ascii="Arial" w:hAnsi="Arial" w:cs="Arial"/>
        </w:rPr>
        <w:t>400</w:t>
      </w:r>
      <w:r w:rsidRPr="009C3F35">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4E1CA" w14:textId="77777777" w:rsidR="00156E5A" w:rsidRPr="00883C01" w:rsidRDefault="00156E5A">
    <w:pPr>
      <w:pStyle w:val="Header"/>
      <w:rPr>
        <w:rFonts w:ascii="Arial" w:hAnsi="Arial" w:cs="Arial"/>
      </w:rPr>
    </w:pPr>
    <w:r w:rsidRPr="00883C01">
      <w:rPr>
        <w:rFonts w:ascii="Arial" w:hAnsi="Arial" w:cs="Arial"/>
      </w:rPr>
      <w:t xml:space="preserve">Underground Retorts  </w:t>
    </w:r>
  </w:p>
  <w:p w14:paraId="1FB6BCD4" w14:textId="77777777" w:rsidR="002E1531" w:rsidRPr="00883C01" w:rsidRDefault="00156E5A">
    <w:pPr>
      <w:pStyle w:val="Header"/>
      <w:rPr>
        <w:rFonts w:ascii="Arial" w:hAnsi="Arial" w:cs="Arial"/>
      </w:rPr>
    </w:pPr>
    <w:r w:rsidRPr="00883C01">
      <w:rPr>
        <w:rFonts w:ascii="Arial" w:hAnsi="Arial" w:cs="Arial"/>
      </w:rPr>
      <w:t xml:space="preserve">OMB Control Number: </w:t>
    </w:r>
    <w:r w:rsidR="002E1531" w:rsidRPr="00883C01">
      <w:rPr>
        <w:rFonts w:ascii="Arial" w:hAnsi="Arial" w:cs="Arial"/>
      </w:rPr>
      <w:t>1219-0096</w:t>
    </w:r>
  </w:p>
  <w:p w14:paraId="4076DE91" w14:textId="77777777" w:rsidR="002E1531" w:rsidRPr="00883C01" w:rsidRDefault="00156E5A">
    <w:pPr>
      <w:pStyle w:val="Header"/>
      <w:rPr>
        <w:rFonts w:ascii="Arial" w:hAnsi="Arial" w:cs="Arial"/>
      </w:rPr>
    </w:pPr>
    <w:r w:rsidRPr="00883C01">
      <w:rPr>
        <w:rFonts w:ascii="Arial" w:hAnsi="Arial" w:cs="Arial"/>
      </w:rPr>
      <w:t>OMB Expiration Date: 2/28/2022</w:t>
    </w:r>
  </w:p>
  <w:p w14:paraId="2B453A71" w14:textId="77777777" w:rsidR="002E1531" w:rsidRDefault="002E15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29B9D9"/>
    <w:multiLevelType w:val="hybridMultilevel"/>
    <w:tmpl w:val="36D62FC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78198B59"/>
    <w:multiLevelType w:val="hybridMultilevel"/>
    <w:tmpl w:val="6AF7D5D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F6C"/>
    <w:rsid w:val="00030671"/>
    <w:rsid w:val="00033606"/>
    <w:rsid w:val="00040099"/>
    <w:rsid w:val="00095507"/>
    <w:rsid w:val="000A5DFC"/>
    <w:rsid w:val="000B3E90"/>
    <w:rsid w:val="000D1368"/>
    <w:rsid w:val="000E1CCD"/>
    <w:rsid w:val="001020E1"/>
    <w:rsid w:val="00133469"/>
    <w:rsid w:val="001337FD"/>
    <w:rsid w:val="00156E5A"/>
    <w:rsid w:val="001633AC"/>
    <w:rsid w:val="00167134"/>
    <w:rsid w:val="001826A5"/>
    <w:rsid w:val="001D00F2"/>
    <w:rsid w:val="0025429E"/>
    <w:rsid w:val="0028137E"/>
    <w:rsid w:val="002A0BB9"/>
    <w:rsid w:val="002B6523"/>
    <w:rsid w:val="002D38D1"/>
    <w:rsid w:val="002E1531"/>
    <w:rsid w:val="002E3035"/>
    <w:rsid w:val="003136F2"/>
    <w:rsid w:val="00315F40"/>
    <w:rsid w:val="00327422"/>
    <w:rsid w:val="003554AF"/>
    <w:rsid w:val="003679E9"/>
    <w:rsid w:val="003901E5"/>
    <w:rsid w:val="00396DEF"/>
    <w:rsid w:val="003C3D22"/>
    <w:rsid w:val="00404A04"/>
    <w:rsid w:val="0042707C"/>
    <w:rsid w:val="00437777"/>
    <w:rsid w:val="00471109"/>
    <w:rsid w:val="004E17B8"/>
    <w:rsid w:val="0052571F"/>
    <w:rsid w:val="00535D7D"/>
    <w:rsid w:val="00563D33"/>
    <w:rsid w:val="00566C37"/>
    <w:rsid w:val="005738F5"/>
    <w:rsid w:val="0058586B"/>
    <w:rsid w:val="005A1B9E"/>
    <w:rsid w:val="005D4D08"/>
    <w:rsid w:val="00601156"/>
    <w:rsid w:val="0061403B"/>
    <w:rsid w:val="0063634B"/>
    <w:rsid w:val="006709AE"/>
    <w:rsid w:val="006B3F08"/>
    <w:rsid w:val="007049AF"/>
    <w:rsid w:val="00730969"/>
    <w:rsid w:val="007379B2"/>
    <w:rsid w:val="00744CF2"/>
    <w:rsid w:val="0075279D"/>
    <w:rsid w:val="0077132E"/>
    <w:rsid w:val="007B5B56"/>
    <w:rsid w:val="007E53C1"/>
    <w:rsid w:val="00874395"/>
    <w:rsid w:val="00880E37"/>
    <w:rsid w:val="00881A79"/>
    <w:rsid w:val="00883C01"/>
    <w:rsid w:val="00896D4C"/>
    <w:rsid w:val="008C059E"/>
    <w:rsid w:val="008D259F"/>
    <w:rsid w:val="009072F0"/>
    <w:rsid w:val="00946067"/>
    <w:rsid w:val="00952D1E"/>
    <w:rsid w:val="00955876"/>
    <w:rsid w:val="00964705"/>
    <w:rsid w:val="0097093A"/>
    <w:rsid w:val="009A28DC"/>
    <w:rsid w:val="009C3F35"/>
    <w:rsid w:val="009C4EAE"/>
    <w:rsid w:val="009E6DC5"/>
    <w:rsid w:val="00A04759"/>
    <w:rsid w:val="00A05946"/>
    <w:rsid w:val="00A17FA2"/>
    <w:rsid w:val="00A2371F"/>
    <w:rsid w:val="00A672AF"/>
    <w:rsid w:val="00A71376"/>
    <w:rsid w:val="00AB133D"/>
    <w:rsid w:val="00AC0BB8"/>
    <w:rsid w:val="00AF4F2D"/>
    <w:rsid w:val="00B144EC"/>
    <w:rsid w:val="00B24F6C"/>
    <w:rsid w:val="00B659D9"/>
    <w:rsid w:val="00B96055"/>
    <w:rsid w:val="00BA7FE5"/>
    <w:rsid w:val="00BB2167"/>
    <w:rsid w:val="00BC1370"/>
    <w:rsid w:val="00BF5691"/>
    <w:rsid w:val="00BF6FF4"/>
    <w:rsid w:val="00C22D31"/>
    <w:rsid w:val="00C2350B"/>
    <w:rsid w:val="00C25DBA"/>
    <w:rsid w:val="00C349A7"/>
    <w:rsid w:val="00C73218"/>
    <w:rsid w:val="00C94776"/>
    <w:rsid w:val="00C94A83"/>
    <w:rsid w:val="00CB00A3"/>
    <w:rsid w:val="00CC05E7"/>
    <w:rsid w:val="00CC7DAA"/>
    <w:rsid w:val="00D00B15"/>
    <w:rsid w:val="00D359C6"/>
    <w:rsid w:val="00D5345F"/>
    <w:rsid w:val="00D56D62"/>
    <w:rsid w:val="00D823CA"/>
    <w:rsid w:val="00DD1745"/>
    <w:rsid w:val="00DF5CF4"/>
    <w:rsid w:val="00E44182"/>
    <w:rsid w:val="00E631E9"/>
    <w:rsid w:val="00E70B4E"/>
    <w:rsid w:val="00E85B35"/>
    <w:rsid w:val="00E93634"/>
    <w:rsid w:val="00E94F5A"/>
    <w:rsid w:val="00E954E1"/>
    <w:rsid w:val="00EA23BD"/>
    <w:rsid w:val="00EB34CF"/>
    <w:rsid w:val="00F128DF"/>
    <w:rsid w:val="00F14E44"/>
    <w:rsid w:val="00F153EF"/>
    <w:rsid w:val="00F20463"/>
    <w:rsid w:val="00F44E51"/>
    <w:rsid w:val="00F7786C"/>
    <w:rsid w:val="00FA37DB"/>
    <w:rsid w:val="00FE2286"/>
    <w:rsid w:val="00FE6344"/>
    <w:rsid w:val="00FE7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68FFD4"/>
  <w15:chartTrackingRefBased/>
  <w15:docId w15:val="{373EE7D6-3917-4E14-8E2E-5B37F03BA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4">
    <w:name w:val="heading 4"/>
    <w:basedOn w:val="Normal"/>
    <w:next w:val="Normal"/>
    <w:qFormat/>
    <w:rsid w:val="00C349A7"/>
    <w:pPr>
      <w:keepNext/>
      <w:tabs>
        <w:tab w:val="left" w:pos="-1440"/>
      </w:tabs>
      <w:ind w:left="6480" w:hanging="6480"/>
      <w:outlineLvl w:val="3"/>
    </w:pPr>
    <w:rPr>
      <w:rFonts w:ascii="Book Antiqua" w:hAnsi="Book Antiqua"/>
      <w:b/>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E6344"/>
    <w:rPr>
      <w:rFonts w:ascii="Tahoma" w:hAnsi="Tahoma" w:cs="Tahoma"/>
      <w:sz w:val="16"/>
      <w:szCs w:val="16"/>
    </w:rPr>
  </w:style>
  <w:style w:type="paragraph" w:customStyle="1" w:styleId="Default">
    <w:name w:val="Default"/>
    <w:pPr>
      <w:widowControl w:val="0"/>
      <w:autoSpaceDE w:val="0"/>
      <w:autoSpaceDN w:val="0"/>
      <w:adjustRightInd w:val="0"/>
    </w:pPr>
    <w:rPr>
      <w:rFonts w:ascii="Book Antiqua" w:hAnsi="Book Antiqua" w:cs="Book Antiqua"/>
      <w:color w:val="000000"/>
      <w:sz w:val="24"/>
      <w:szCs w:val="24"/>
    </w:rPr>
  </w:style>
  <w:style w:type="paragraph" w:styleId="NormalWeb">
    <w:name w:val="Normal (Web)"/>
    <w:basedOn w:val="Normal"/>
    <w:rsid w:val="00C349A7"/>
    <w:pPr>
      <w:spacing w:before="100" w:beforeAutospacing="1" w:after="100" w:afterAutospacing="1"/>
    </w:pPr>
  </w:style>
  <w:style w:type="paragraph" w:styleId="Footer">
    <w:name w:val="footer"/>
    <w:basedOn w:val="Normal"/>
    <w:rsid w:val="00D56D62"/>
    <w:pPr>
      <w:tabs>
        <w:tab w:val="center" w:pos="4320"/>
        <w:tab w:val="right" w:pos="8640"/>
      </w:tabs>
    </w:pPr>
  </w:style>
  <w:style w:type="character" w:styleId="PageNumber">
    <w:name w:val="page number"/>
    <w:basedOn w:val="DefaultParagraphFont"/>
    <w:rsid w:val="00D56D62"/>
  </w:style>
  <w:style w:type="paragraph" w:styleId="Header">
    <w:name w:val="header"/>
    <w:basedOn w:val="Normal"/>
    <w:link w:val="HeaderChar"/>
    <w:uiPriority w:val="99"/>
    <w:rsid w:val="00D56D62"/>
    <w:pPr>
      <w:tabs>
        <w:tab w:val="center" w:pos="4320"/>
        <w:tab w:val="right" w:pos="8640"/>
      </w:tabs>
    </w:pPr>
  </w:style>
  <w:style w:type="paragraph" w:styleId="DocumentMap">
    <w:name w:val="Document Map"/>
    <w:basedOn w:val="Normal"/>
    <w:semiHidden/>
    <w:rsid w:val="0075279D"/>
    <w:pPr>
      <w:shd w:val="clear" w:color="auto" w:fill="000080"/>
    </w:pPr>
    <w:rPr>
      <w:rFonts w:ascii="Tahoma" w:hAnsi="Tahoma" w:cs="Tahoma"/>
      <w:sz w:val="20"/>
      <w:szCs w:val="20"/>
    </w:rPr>
  </w:style>
  <w:style w:type="character" w:customStyle="1" w:styleId="HeaderChar">
    <w:name w:val="Header Char"/>
    <w:link w:val="Header"/>
    <w:uiPriority w:val="99"/>
    <w:rsid w:val="002E1531"/>
    <w:rPr>
      <w:sz w:val="24"/>
      <w:szCs w:val="24"/>
    </w:rPr>
  </w:style>
  <w:style w:type="character" w:styleId="FootnoteReference">
    <w:name w:val="footnote reference"/>
    <w:rsid w:val="006709AE"/>
  </w:style>
  <w:style w:type="character" w:styleId="Hyperlink">
    <w:name w:val="Hyperlink"/>
    <w:rsid w:val="006709AE"/>
    <w:rPr>
      <w:color w:val="0000FF"/>
      <w:u w:val="single"/>
    </w:rPr>
  </w:style>
  <w:style w:type="paragraph" w:styleId="FootnoteText">
    <w:name w:val="footnote text"/>
    <w:basedOn w:val="Normal"/>
    <w:link w:val="FootnoteTextChar"/>
    <w:rsid w:val="006709AE"/>
    <w:pPr>
      <w:widowControl w:val="0"/>
    </w:pPr>
    <w:rPr>
      <w:snapToGrid w:val="0"/>
      <w:sz w:val="20"/>
      <w:szCs w:val="20"/>
    </w:rPr>
  </w:style>
  <w:style w:type="character" w:customStyle="1" w:styleId="FootnoteTextChar">
    <w:name w:val="Footnote Text Char"/>
    <w:link w:val="FootnoteText"/>
    <w:rsid w:val="006709AE"/>
    <w:rPr>
      <w:snapToGrid w:val="0"/>
    </w:rPr>
  </w:style>
  <w:style w:type="character" w:styleId="FollowedHyperlink">
    <w:name w:val="FollowedHyperlink"/>
    <w:rsid w:val="006709A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774488">
      <w:bodyDiv w:val="1"/>
      <w:marLeft w:val="0"/>
      <w:marRight w:val="0"/>
      <w:marTop w:val="0"/>
      <w:marBottom w:val="0"/>
      <w:divBdr>
        <w:top w:val="none" w:sz="0" w:space="0" w:color="auto"/>
        <w:left w:val="none" w:sz="0" w:space="0" w:color="auto"/>
        <w:bottom w:val="none" w:sz="0" w:space="0" w:color="auto"/>
        <w:right w:val="none" w:sz="0" w:space="0" w:color="auto"/>
      </w:divBdr>
    </w:div>
    <w:div w:id="185796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ata.bls.gov/cgi-bin/srgate" TargetMode="External"/><Relationship Id="rId2" Type="http://schemas.openxmlformats.org/officeDocument/2006/relationships/hyperlink" Target="https://data.bls.gov/cgi-bin/srgate" TargetMode="External"/><Relationship Id="rId1" Type="http://schemas.openxmlformats.org/officeDocument/2006/relationships/hyperlink" Target="https://www.bls.gov/oes/oes_qu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F900BE9B8FC54B84C621599FCE2CC4" ma:contentTypeVersion="9" ma:contentTypeDescription="Create a new document." ma:contentTypeScope="" ma:versionID="bea9028c956df27937e7edfb39f28f0b">
  <xsd:schema xmlns:xsd="http://www.w3.org/2001/XMLSchema" xmlns:xs="http://www.w3.org/2001/XMLSchema" xmlns:p="http://schemas.microsoft.com/office/2006/metadata/properties" xmlns:ns3="347adfa2-07e6-4b03-adca-63adf46977e4" xmlns:ns4="2ac81ab6-9b6b-4c82-ac3e-a653b27a920f" targetNamespace="http://schemas.microsoft.com/office/2006/metadata/properties" ma:root="true" ma:fieldsID="afedaf0f3b6992d99f4a7384e1a09e57" ns3:_="" ns4:_="">
    <xsd:import namespace="347adfa2-07e6-4b03-adca-63adf46977e4"/>
    <xsd:import namespace="2ac81ab6-9b6b-4c82-ac3e-a653b27a920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adfa2-07e6-4b03-adca-63adf46977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c81ab6-9b6b-4c82-ac3e-a653b27a920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58962-F28E-48AA-B91C-57D5C739B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adfa2-07e6-4b03-adca-63adf46977e4"/>
    <ds:schemaRef ds:uri="2ac81ab6-9b6b-4c82-ac3e-a653b27a9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6A9398-2C2D-4120-988C-D2E639930D0C}">
  <ds:schemaRefs>
    <ds:schemaRef ds:uri="http://schemas.microsoft.com/sharepoint/v3/contenttype/forms"/>
  </ds:schemaRefs>
</ds:datastoreItem>
</file>

<file path=customXml/itemProps3.xml><?xml version="1.0" encoding="utf-8"?>
<ds:datastoreItem xmlns:ds="http://schemas.openxmlformats.org/officeDocument/2006/customXml" ds:itemID="{842DBE71-D065-4D0C-A723-BB7D973382AC}">
  <ds:schemaRefs>
    <ds:schemaRef ds:uri="http://purl.org/dc/terms/"/>
    <ds:schemaRef ds:uri="http://schemas.microsoft.com/office/2006/documentManagement/types"/>
    <ds:schemaRef ds:uri="347adfa2-07e6-4b03-adca-63adf46977e4"/>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2ac81ab6-9b6b-4c82-ac3e-a653b27a920f"/>
    <ds:schemaRef ds:uri="http://www.w3.org/XML/1998/namespace"/>
    <ds:schemaRef ds:uri="http://purl.org/dc/dcmitype/"/>
  </ds:schemaRefs>
</ds:datastoreItem>
</file>

<file path=customXml/itemProps4.xml><?xml version="1.0" encoding="utf-8"?>
<ds:datastoreItem xmlns:ds="http://schemas.openxmlformats.org/officeDocument/2006/customXml" ds:itemID="{DCC9B722-C3CA-494F-BCC3-A8AAE9387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2605</Words>
  <Characters>14459</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DOL</Company>
  <LinksUpToDate>false</LinksUpToDate>
  <CharactersWithSpaces>17030</CharactersWithSpaces>
  <SharedDoc>false</SharedDoc>
  <HLinks>
    <vt:vector size="24" baseType="variant">
      <vt:variant>
        <vt:i4>393233</vt:i4>
      </vt:variant>
      <vt:variant>
        <vt:i4>9</vt:i4>
      </vt:variant>
      <vt:variant>
        <vt:i4>0</vt:i4>
      </vt:variant>
      <vt:variant>
        <vt:i4>5</vt:i4>
      </vt:variant>
      <vt:variant>
        <vt:lpwstr>https://beta.bls.gov/dataQuery/find?fq=survey:%5bci%5d&amp;s=popularity:D&amp;q=CIS2020000405000I</vt:lpwstr>
      </vt:variant>
      <vt:variant>
        <vt:lpwstr/>
      </vt:variant>
      <vt:variant>
        <vt:i4>1310721</vt:i4>
      </vt:variant>
      <vt:variant>
        <vt:i4>6</vt:i4>
      </vt:variant>
      <vt:variant>
        <vt:i4>0</vt:i4>
      </vt:variant>
      <vt:variant>
        <vt:i4>5</vt:i4>
      </vt:variant>
      <vt:variant>
        <vt:lpwstr>http://download.bls.gov/pub/time.series/cm/cm.data.0.Current</vt:lpwstr>
      </vt:variant>
      <vt:variant>
        <vt:lpwstr/>
      </vt:variant>
      <vt:variant>
        <vt:i4>1310802</vt:i4>
      </vt:variant>
      <vt:variant>
        <vt:i4>3</vt:i4>
      </vt:variant>
      <vt:variant>
        <vt:i4>0</vt:i4>
      </vt:variant>
      <vt:variant>
        <vt:i4>5</vt:i4>
      </vt:variant>
      <vt:variant>
        <vt:lpwstr>http://www.bls.gov/data/</vt:lpwstr>
      </vt:variant>
      <vt:variant>
        <vt:lpwstr/>
      </vt:variant>
      <vt:variant>
        <vt:i4>3735566</vt:i4>
      </vt:variant>
      <vt:variant>
        <vt:i4>0</vt:i4>
      </vt:variant>
      <vt:variant>
        <vt:i4>0</vt:i4>
      </vt:variant>
      <vt:variant>
        <vt:i4>5</vt:i4>
      </vt:variant>
      <vt:variant>
        <vt:lpwstr>https://www.bls.gov/oes/oes_ques.htm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tarr-jane</dc:creator>
  <cp:keywords/>
  <cp:lastModifiedBy>Bouchet, Nicole - MSHA</cp:lastModifiedBy>
  <cp:revision>3</cp:revision>
  <cp:lastPrinted>2014-11-17T21:51:00Z</cp:lastPrinted>
  <dcterms:created xsi:type="dcterms:W3CDTF">2021-07-21T15:56:00Z</dcterms:created>
  <dcterms:modified xsi:type="dcterms:W3CDTF">2021-10-28T21:21:00Z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0x01010043F900BE9B8FC54B84C621599FCE2CC4</vt:lpwstr>
  </property>
</Properties>
</file>