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B21" w:rsidP="00DD3B21" w:rsidRDefault="00DD3B21" w14:paraId="059DBDB9" w14:textId="77777777">
      <w:pPr>
        <w:jc w:val="center"/>
      </w:pPr>
      <w:r>
        <w:t>Department of the Treasury</w:t>
      </w:r>
    </w:p>
    <w:p w:rsidR="00DD3B21" w:rsidP="00DD3B21" w:rsidRDefault="00DD3B21" w14:paraId="0F841337" w14:textId="452E262D">
      <w:pPr>
        <w:jc w:val="center"/>
      </w:pPr>
      <w:r>
        <w:t>Information Collection Request – Supporting Statement B</w:t>
      </w:r>
    </w:p>
    <w:p w:rsidR="00DD3B21" w:rsidP="00DD3B21" w:rsidRDefault="00DD3B21" w14:paraId="58E1D083" w14:textId="77777777">
      <w:pPr>
        <w:jc w:val="center"/>
      </w:pPr>
    </w:p>
    <w:p w:rsidR="00DD3B21" w:rsidP="00DD3B21" w:rsidRDefault="00DD3B21" w14:paraId="6A091FE2" w14:textId="77777777">
      <w:pPr>
        <w:jc w:val="center"/>
      </w:pPr>
      <w:r>
        <w:t>Emergency Rental Assistance Program Grantee Survey</w:t>
      </w:r>
    </w:p>
    <w:p w:rsidR="00DD3B21" w:rsidP="00DD3B21" w:rsidRDefault="00DD3B21" w14:paraId="7B190953" w14:textId="77777777">
      <w:pPr>
        <w:jc w:val="center"/>
      </w:pPr>
      <w:r>
        <w:t>OMB No. – 1505-0268</w:t>
      </w:r>
    </w:p>
    <w:p w:rsidR="008604D2" w:rsidP="008604D2" w:rsidRDefault="008604D2" w14:paraId="777C6F86" w14:textId="77777777">
      <w:pPr>
        <w:tabs>
          <w:tab w:val="left" w:pos="360"/>
        </w:tabs>
        <w:spacing w:before="120" w:after="120"/>
        <w:ind w:left="360"/>
        <w:rPr>
          <w:rFonts w:ascii="Tahoma" w:hAnsi="Tahoma" w:cs="Tahoma"/>
          <w:b/>
          <w:bCs/>
          <w:sz w:val="28"/>
          <w:szCs w:val="28"/>
        </w:rPr>
      </w:pPr>
    </w:p>
    <w:p w:rsidR="008604D2" w:rsidP="008604D2" w:rsidRDefault="008604D2" w14:paraId="7BCF5AFE" w14:textId="77777777">
      <w:pPr>
        <w:tabs>
          <w:tab w:val="left" w:pos="360"/>
        </w:tabs>
        <w:spacing w:before="120" w:after="120"/>
        <w:ind w:left="360" w:hanging="360"/>
        <w:rPr>
          <w:rFonts w:ascii="Arial" w:hAnsi="Arial" w:cs="Arial"/>
          <w:b/>
          <w:bCs/>
          <w:sz w:val="22"/>
          <w:szCs w:val="22"/>
        </w:rPr>
      </w:pPr>
      <w:r>
        <w:rPr>
          <w:rFonts w:ascii="Arial" w:hAnsi="Arial" w:cs="Arial"/>
          <w:b/>
          <w:bCs/>
          <w:sz w:val="22"/>
          <w:szCs w:val="22"/>
        </w:rPr>
        <w:t>B.</w:t>
      </w:r>
      <w:r>
        <w:rPr>
          <w:rFonts w:ascii="Arial" w:hAnsi="Arial" w:cs="Arial"/>
          <w:b/>
          <w:bCs/>
          <w:sz w:val="22"/>
          <w:szCs w:val="22"/>
        </w:rPr>
        <w:tab/>
      </w:r>
      <w:r w:rsidRPr="00850CCA">
        <w:rPr>
          <w:rFonts w:ascii="Arial" w:hAnsi="Arial" w:cs="Arial"/>
          <w:b/>
          <w:bCs/>
          <w:sz w:val="22"/>
          <w:szCs w:val="22"/>
        </w:rPr>
        <w:t>Collections of Information Employing Statistical Methods</w:t>
      </w:r>
    </w:p>
    <w:p w:rsidRPr="00850CCA" w:rsidR="008604D2" w:rsidP="008604D2" w:rsidRDefault="008604D2" w14:paraId="423612FB" w14:textId="77777777">
      <w:pPr>
        <w:numPr>
          <w:ilvl w:val="1"/>
          <w:numId w:val="11"/>
        </w:numPr>
        <w:tabs>
          <w:tab w:val="clear" w:pos="360"/>
        </w:tabs>
        <w:spacing w:before="120" w:after="120"/>
        <w:ind w:left="720"/>
        <w:jc w:val="both"/>
        <w:rPr>
          <w:rFonts w:ascii="Arial" w:hAnsi="Arial" w:cs="Arial"/>
          <w:b/>
          <w:bCs/>
          <w:sz w:val="22"/>
          <w:szCs w:val="22"/>
        </w:rPr>
      </w:pPr>
      <w:r w:rsidRPr="00850CCA">
        <w:rPr>
          <w:rFonts w:ascii="Arial" w:hAnsi="Arial" w:cs="Arial"/>
          <w:b/>
          <w:bCs/>
          <w:sz w:val="22"/>
          <w:szCs w:val="22"/>
        </w:rPr>
        <w:t xml:space="preserve">Describe (including a numerical estimate) the potential </w:t>
      </w:r>
      <w:r>
        <w:rPr>
          <w:rFonts w:ascii="Arial" w:hAnsi="Arial" w:cs="Arial"/>
          <w:b/>
          <w:bCs/>
          <w:sz w:val="22"/>
          <w:szCs w:val="22"/>
        </w:rPr>
        <w:t>respondent universe and any sam</w:t>
      </w:r>
      <w:r w:rsidRPr="00850CCA">
        <w:rPr>
          <w:rFonts w:ascii="Arial" w:hAnsi="Arial" w:cs="Arial"/>
          <w:b/>
          <w:bCs/>
          <w:sz w:val="22"/>
          <w:szCs w:val="22"/>
        </w:rPr>
        <w:t xml:space="preserve">pling or other respondent selection method to be used.  Data on the number of entities (e.g., establishments, State and local government units, households, or persons) in the universe covered by </w:t>
      </w:r>
      <w:r>
        <w:rPr>
          <w:rFonts w:ascii="Arial" w:hAnsi="Arial" w:cs="Arial"/>
          <w:b/>
          <w:bCs/>
          <w:sz w:val="22"/>
          <w:szCs w:val="22"/>
        </w:rPr>
        <w:t>the collection and in the corre</w:t>
      </w:r>
      <w:r w:rsidRPr="00850CCA">
        <w:rPr>
          <w:rFonts w:ascii="Arial" w:hAnsi="Arial" w:cs="Arial"/>
          <w:b/>
          <w:bCs/>
          <w:sz w:val="22"/>
          <w:szCs w:val="22"/>
        </w:rPr>
        <w:t>sponding sample are to be provided in tabular form for t</w:t>
      </w:r>
      <w:r>
        <w:rPr>
          <w:rFonts w:ascii="Arial" w:hAnsi="Arial" w:cs="Arial"/>
          <w:b/>
          <w:bCs/>
          <w:sz w:val="22"/>
          <w:szCs w:val="22"/>
        </w:rPr>
        <w:t>he uni</w:t>
      </w:r>
      <w:r w:rsidRPr="00850CCA">
        <w:rPr>
          <w:rFonts w:ascii="Arial" w:hAnsi="Arial" w:cs="Arial"/>
          <w:b/>
          <w:bCs/>
          <w:sz w:val="22"/>
          <w:szCs w:val="22"/>
        </w:rPr>
        <w:t xml:space="preserve">verse as a whole and for each of the strata in the proposed sample. </w:t>
      </w:r>
      <w:r>
        <w:rPr>
          <w:rFonts w:ascii="Arial" w:hAnsi="Arial" w:cs="Arial"/>
          <w:b/>
          <w:bCs/>
          <w:sz w:val="22"/>
          <w:szCs w:val="22"/>
        </w:rPr>
        <w:t xml:space="preserve"> </w:t>
      </w:r>
      <w:r w:rsidRPr="00850CCA">
        <w:rPr>
          <w:rFonts w:ascii="Arial" w:hAnsi="Arial" w:cs="Arial"/>
          <w:b/>
          <w:bCs/>
          <w:sz w:val="22"/>
          <w:szCs w:val="22"/>
        </w:rPr>
        <w:t xml:space="preserve">Indicate expected response rates for the </w:t>
      </w:r>
      <w:proofErr w:type="gramStart"/>
      <w:r w:rsidRPr="00850CCA">
        <w:rPr>
          <w:rFonts w:ascii="Arial" w:hAnsi="Arial" w:cs="Arial"/>
          <w:b/>
          <w:bCs/>
          <w:sz w:val="22"/>
          <w:szCs w:val="22"/>
        </w:rPr>
        <w:t>collection as a whole</w:t>
      </w:r>
      <w:proofErr w:type="gramEnd"/>
      <w:r w:rsidRPr="00850CCA">
        <w:rPr>
          <w:rFonts w:ascii="Arial" w:hAnsi="Arial" w:cs="Arial"/>
          <w:b/>
          <w:bCs/>
          <w:sz w:val="22"/>
          <w:szCs w:val="22"/>
        </w:rPr>
        <w:t>.</w:t>
      </w:r>
      <w:r>
        <w:rPr>
          <w:rFonts w:ascii="Arial" w:hAnsi="Arial" w:cs="Arial"/>
          <w:b/>
          <w:bCs/>
          <w:sz w:val="22"/>
          <w:szCs w:val="22"/>
        </w:rPr>
        <w:t xml:space="preserve"> </w:t>
      </w:r>
      <w:r w:rsidRPr="00850CCA">
        <w:rPr>
          <w:rFonts w:ascii="Arial" w:hAnsi="Arial" w:cs="Arial"/>
          <w:b/>
          <w:bCs/>
          <w:sz w:val="22"/>
          <w:szCs w:val="22"/>
        </w:rPr>
        <w:t xml:space="preserve"> If the collection had been conducted previously, include the actual response rate achieved during the last collection.</w:t>
      </w:r>
    </w:p>
    <w:p w:rsidR="008912AA" w:rsidP="008912AA" w:rsidRDefault="008912AA" w14:paraId="39E64AD2" w14:textId="56B9DD29">
      <w:pPr>
        <w:tabs>
          <w:tab w:val="left" w:pos="-720"/>
        </w:tabs>
        <w:suppressAutoHyphens/>
        <w:ind w:left="360"/>
        <w:rPr>
          <w:szCs w:val="20"/>
        </w:rPr>
      </w:pPr>
      <w:r>
        <w:t xml:space="preserve">The ERA Grantee Survey is a one-time brief online survey of ERA grantees to capture summary information on the utilization of federal ERA grant assistance to date </w:t>
      </w:r>
      <w:proofErr w:type="gramStart"/>
      <w:r>
        <w:t>in order to</w:t>
      </w:r>
      <w:proofErr w:type="gramEnd"/>
      <w:r>
        <w:t xml:space="preserve"> understand the pace and characteristics at the local level.  </w:t>
      </w:r>
      <w:bookmarkStart w:name="_Hlk66692734" w:id="0"/>
      <w:r w:rsidRPr="00F25C12">
        <w:t xml:space="preserve">The </w:t>
      </w:r>
      <w:r w:rsidRPr="00F25C12" w:rsidR="00A31E99">
        <w:t>survey</w:t>
      </w:r>
      <w:r w:rsidRPr="00F25C12">
        <w:t xml:space="preserve"> is </w:t>
      </w:r>
      <w:r w:rsidRPr="00F25C12" w:rsidR="00A31E99">
        <w:t>intended</w:t>
      </w:r>
      <w:r w:rsidRPr="00F25C12">
        <w:t xml:space="preserve"> to </w:t>
      </w:r>
      <w:r w:rsidRPr="00F25C12" w:rsidR="003E2D7F">
        <w:t>provide</w:t>
      </w:r>
      <w:r w:rsidRPr="00F25C12">
        <w:t xml:space="preserve"> feedback that Treasury will use to make programmatic </w:t>
      </w:r>
      <w:proofErr w:type="gramStart"/>
      <w:r w:rsidRPr="00F25C12">
        <w:t>improvements, and</w:t>
      </w:r>
      <w:proofErr w:type="gramEnd"/>
      <w:r w:rsidRPr="00F25C12">
        <w:t xml:space="preserve"> will not involve robust statistical analysis. </w:t>
      </w:r>
      <w:bookmarkEnd w:id="0"/>
      <w:r w:rsidRPr="00F25C12">
        <w:t>Participation in the survey is voluntary.</w:t>
      </w:r>
      <w:r>
        <w:t xml:space="preserve">  </w:t>
      </w:r>
    </w:p>
    <w:p w:rsidR="008912AA" w:rsidP="008912AA" w:rsidRDefault="008912AA" w14:paraId="52D12C09" w14:textId="77777777">
      <w:pPr>
        <w:tabs>
          <w:tab w:val="left" w:pos="-720"/>
        </w:tabs>
        <w:suppressAutoHyphens/>
        <w:ind w:left="360"/>
        <w:rPr>
          <w:b/>
          <w:sz w:val="22"/>
          <w:u w:val="single"/>
        </w:rPr>
      </w:pPr>
    </w:p>
    <w:p w:rsidR="008912AA" w:rsidP="008912AA" w:rsidRDefault="008912AA" w14:paraId="3D9335A1" w14:textId="77777777">
      <w:pPr>
        <w:tabs>
          <w:tab w:val="left" w:pos="-720"/>
        </w:tabs>
        <w:suppressAutoHyphens/>
        <w:ind w:left="360"/>
        <w:rPr>
          <w:b/>
          <w:sz w:val="22"/>
          <w:u w:val="single"/>
        </w:rPr>
      </w:pPr>
    </w:p>
    <w:p w:rsidR="008912AA" w:rsidP="008912AA" w:rsidRDefault="008912AA" w14:paraId="537D2B97" w14:textId="77777777">
      <w:pPr>
        <w:tabs>
          <w:tab w:val="left" w:pos="-720"/>
        </w:tabs>
        <w:suppressAutoHyphens/>
        <w:ind w:left="360"/>
        <w:rPr>
          <w:b/>
        </w:rPr>
      </w:pPr>
      <w:r>
        <w:rPr>
          <w:b/>
          <w:u w:val="single"/>
        </w:rPr>
        <w:t>Respondent Universe</w:t>
      </w:r>
      <w:r>
        <w:rPr>
          <w:b/>
        </w:rPr>
        <w:t xml:space="preserve">: </w:t>
      </w:r>
    </w:p>
    <w:p w:rsidR="008912AA" w:rsidP="008912AA" w:rsidRDefault="008912AA" w14:paraId="03FE325A" w14:textId="77777777">
      <w:pPr>
        <w:tabs>
          <w:tab w:val="left" w:pos="-720"/>
        </w:tabs>
        <w:suppressAutoHyphens/>
        <w:ind w:left="360"/>
      </w:pPr>
    </w:p>
    <w:p w:rsidR="008912AA" w:rsidP="008912AA" w:rsidRDefault="008912AA" w14:paraId="49DE48CA" w14:textId="77777777">
      <w:pPr>
        <w:tabs>
          <w:tab w:val="left" w:pos="-720"/>
        </w:tabs>
        <w:suppressAutoHyphens/>
        <w:ind w:left="360"/>
      </w:pPr>
      <w:bookmarkStart w:name="_Hlk66627579" w:id="1"/>
      <w:r>
        <w:t xml:space="preserve">The potential universe of respondents includes 740 governmental entities that have received ERA grants categorized as in the table below.  The survey will be voluntary, and we estimate that at least 60 percent of the grantees will respond within the requested response period.  </w:t>
      </w:r>
    </w:p>
    <w:p w:rsidR="008912AA" w:rsidP="008912AA" w:rsidRDefault="008912AA" w14:paraId="6F9B39A8" w14:textId="77777777">
      <w:pPr>
        <w:tabs>
          <w:tab w:val="left" w:pos="-720"/>
        </w:tabs>
        <w:suppressAutoHyphens/>
        <w:ind w:left="720"/>
      </w:pPr>
    </w:p>
    <w:tbl>
      <w:tblPr>
        <w:tblStyle w:val="TableGrid"/>
        <w:tblW w:w="0" w:type="auto"/>
        <w:tblInd w:w="1548" w:type="dxa"/>
        <w:tblLook w:val="04A0" w:firstRow="1" w:lastRow="0" w:firstColumn="1" w:lastColumn="0" w:noHBand="0" w:noVBand="1"/>
      </w:tblPr>
      <w:tblGrid>
        <w:gridCol w:w="3240"/>
        <w:gridCol w:w="2880"/>
      </w:tblGrid>
      <w:tr w:rsidR="008912AA" w:rsidTr="008912AA" w14:paraId="5EE352E2" w14:textId="77777777">
        <w:tc>
          <w:tcPr>
            <w:tcW w:w="3240" w:type="dxa"/>
            <w:tcBorders>
              <w:top w:val="single" w:color="auto" w:sz="4" w:space="0"/>
              <w:left w:val="single" w:color="auto" w:sz="4" w:space="0"/>
              <w:bottom w:val="single" w:color="auto" w:sz="4" w:space="0"/>
              <w:right w:val="single" w:color="auto" w:sz="4" w:space="0"/>
            </w:tcBorders>
            <w:shd w:val="clear" w:color="auto" w:fill="B4C6E7"/>
            <w:hideMark/>
          </w:tcPr>
          <w:p w:rsidR="008912AA" w:rsidRDefault="008912AA" w14:paraId="30FFDECA" w14:textId="77777777">
            <w:pPr>
              <w:tabs>
                <w:tab w:val="left" w:pos="-720"/>
              </w:tabs>
              <w:suppressAutoHyphens/>
            </w:pPr>
            <w:r>
              <w:t>ERA Grantee Category</w:t>
            </w:r>
          </w:p>
        </w:tc>
        <w:tc>
          <w:tcPr>
            <w:tcW w:w="2880" w:type="dxa"/>
            <w:tcBorders>
              <w:top w:val="single" w:color="auto" w:sz="4" w:space="0"/>
              <w:left w:val="single" w:color="auto" w:sz="4" w:space="0"/>
              <w:bottom w:val="single" w:color="auto" w:sz="4" w:space="0"/>
              <w:right w:val="single" w:color="auto" w:sz="4" w:space="0"/>
            </w:tcBorders>
            <w:shd w:val="clear" w:color="auto" w:fill="B4C6E7"/>
            <w:hideMark/>
          </w:tcPr>
          <w:p w:rsidR="008912AA" w:rsidRDefault="008912AA" w14:paraId="6312AF7E" w14:textId="77777777">
            <w:pPr>
              <w:tabs>
                <w:tab w:val="left" w:pos="-720"/>
              </w:tabs>
              <w:suppressAutoHyphens/>
            </w:pPr>
            <w:r>
              <w:t>Number of ERA Grantees</w:t>
            </w:r>
          </w:p>
        </w:tc>
      </w:tr>
      <w:tr w:rsidR="008912AA" w:rsidTr="008912AA" w14:paraId="296D483A" w14:textId="77777777">
        <w:tc>
          <w:tcPr>
            <w:tcW w:w="3240" w:type="dxa"/>
            <w:tcBorders>
              <w:top w:val="single" w:color="auto" w:sz="4" w:space="0"/>
              <w:left w:val="single" w:color="auto" w:sz="4" w:space="0"/>
              <w:bottom w:val="single" w:color="auto" w:sz="4" w:space="0"/>
              <w:right w:val="single" w:color="auto" w:sz="4" w:space="0"/>
            </w:tcBorders>
            <w:hideMark/>
          </w:tcPr>
          <w:p w:rsidR="008912AA" w:rsidRDefault="008912AA" w14:paraId="51EF8756" w14:textId="77777777">
            <w:pPr>
              <w:tabs>
                <w:tab w:val="left" w:pos="-720"/>
              </w:tabs>
              <w:suppressAutoHyphens/>
            </w:pPr>
            <w:r>
              <w:t>Local government agencies</w:t>
            </w:r>
          </w:p>
        </w:tc>
        <w:tc>
          <w:tcPr>
            <w:tcW w:w="2880" w:type="dxa"/>
            <w:tcBorders>
              <w:top w:val="single" w:color="auto" w:sz="4" w:space="0"/>
              <w:left w:val="single" w:color="auto" w:sz="4" w:space="0"/>
              <w:bottom w:val="single" w:color="auto" w:sz="4" w:space="0"/>
              <w:right w:val="single" w:color="auto" w:sz="4" w:space="0"/>
            </w:tcBorders>
            <w:hideMark/>
          </w:tcPr>
          <w:p w:rsidR="008912AA" w:rsidRDefault="008912AA" w14:paraId="6D27C2E9" w14:textId="77777777">
            <w:pPr>
              <w:tabs>
                <w:tab w:val="left" w:pos="-720"/>
              </w:tabs>
              <w:suppressAutoHyphens/>
              <w:jc w:val="right"/>
            </w:pPr>
            <w:r>
              <w:t>382</w:t>
            </w:r>
          </w:p>
        </w:tc>
      </w:tr>
      <w:tr w:rsidR="008912AA" w:rsidTr="008912AA" w14:paraId="695B7845" w14:textId="77777777">
        <w:tc>
          <w:tcPr>
            <w:tcW w:w="3240" w:type="dxa"/>
            <w:tcBorders>
              <w:top w:val="single" w:color="auto" w:sz="4" w:space="0"/>
              <w:left w:val="single" w:color="auto" w:sz="4" w:space="0"/>
              <w:bottom w:val="single" w:color="auto" w:sz="4" w:space="0"/>
              <w:right w:val="single" w:color="auto" w:sz="4" w:space="0"/>
            </w:tcBorders>
            <w:hideMark/>
          </w:tcPr>
          <w:p w:rsidR="008912AA" w:rsidRDefault="008912AA" w14:paraId="60789BFB" w14:textId="77777777">
            <w:pPr>
              <w:tabs>
                <w:tab w:val="left" w:pos="-720"/>
              </w:tabs>
              <w:suppressAutoHyphens/>
            </w:pPr>
            <w:r>
              <w:t>State + District of Columbia government agencies</w:t>
            </w:r>
          </w:p>
        </w:tc>
        <w:tc>
          <w:tcPr>
            <w:tcW w:w="2880" w:type="dxa"/>
            <w:tcBorders>
              <w:top w:val="single" w:color="auto" w:sz="4" w:space="0"/>
              <w:left w:val="single" w:color="auto" w:sz="4" w:space="0"/>
              <w:bottom w:val="single" w:color="auto" w:sz="4" w:space="0"/>
              <w:right w:val="single" w:color="auto" w:sz="4" w:space="0"/>
            </w:tcBorders>
            <w:hideMark/>
          </w:tcPr>
          <w:p w:rsidR="008912AA" w:rsidRDefault="008912AA" w14:paraId="0E04CDE5" w14:textId="77777777">
            <w:pPr>
              <w:tabs>
                <w:tab w:val="left" w:pos="-720"/>
              </w:tabs>
              <w:suppressAutoHyphens/>
              <w:jc w:val="right"/>
            </w:pPr>
            <w:r>
              <w:t>51</w:t>
            </w:r>
          </w:p>
        </w:tc>
      </w:tr>
      <w:tr w:rsidR="008912AA" w:rsidTr="008912AA" w14:paraId="099EB96B" w14:textId="77777777">
        <w:tc>
          <w:tcPr>
            <w:tcW w:w="3240" w:type="dxa"/>
            <w:tcBorders>
              <w:top w:val="single" w:color="auto" w:sz="4" w:space="0"/>
              <w:left w:val="single" w:color="auto" w:sz="4" w:space="0"/>
              <w:bottom w:val="single" w:color="auto" w:sz="4" w:space="0"/>
              <w:right w:val="single" w:color="auto" w:sz="4" w:space="0"/>
            </w:tcBorders>
            <w:hideMark/>
          </w:tcPr>
          <w:p w:rsidR="008912AA" w:rsidRDefault="008912AA" w14:paraId="7521E41A" w14:textId="77777777">
            <w:pPr>
              <w:tabs>
                <w:tab w:val="left" w:pos="-720"/>
              </w:tabs>
              <w:suppressAutoHyphens/>
            </w:pPr>
            <w:r>
              <w:t>Tribal government agencies</w:t>
            </w:r>
          </w:p>
        </w:tc>
        <w:tc>
          <w:tcPr>
            <w:tcW w:w="2880" w:type="dxa"/>
            <w:tcBorders>
              <w:top w:val="single" w:color="auto" w:sz="4" w:space="0"/>
              <w:left w:val="single" w:color="auto" w:sz="4" w:space="0"/>
              <w:bottom w:val="single" w:color="auto" w:sz="4" w:space="0"/>
              <w:right w:val="single" w:color="auto" w:sz="4" w:space="0"/>
            </w:tcBorders>
            <w:hideMark/>
          </w:tcPr>
          <w:p w:rsidR="008912AA" w:rsidRDefault="008912AA" w14:paraId="3038AF02" w14:textId="77777777">
            <w:pPr>
              <w:tabs>
                <w:tab w:val="left" w:pos="-720"/>
              </w:tabs>
              <w:suppressAutoHyphens/>
              <w:jc w:val="right"/>
            </w:pPr>
            <w:r>
              <w:t>302</w:t>
            </w:r>
          </w:p>
        </w:tc>
      </w:tr>
      <w:tr w:rsidR="008912AA" w:rsidTr="008912AA" w14:paraId="3F2A8307" w14:textId="77777777">
        <w:tc>
          <w:tcPr>
            <w:tcW w:w="3240" w:type="dxa"/>
            <w:tcBorders>
              <w:top w:val="single" w:color="auto" w:sz="4" w:space="0"/>
              <w:left w:val="single" w:color="auto" w:sz="4" w:space="0"/>
              <w:bottom w:val="single" w:color="auto" w:sz="4" w:space="0"/>
              <w:right w:val="single" w:color="auto" w:sz="4" w:space="0"/>
            </w:tcBorders>
            <w:hideMark/>
          </w:tcPr>
          <w:p w:rsidR="008912AA" w:rsidRDefault="008912AA" w14:paraId="293C019C" w14:textId="77777777">
            <w:pPr>
              <w:tabs>
                <w:tab w:val="left" w:pos="-720"/>
              </w:tabs>
              <w:suppressAutoHyphens/>
            </w:pPr>
            <w:r>
              <w:t>Territory government agencies</w:t>
            </w:r>
          </w:p>
        </w:tc>
        <w:tc>
          <w:tcPr>
            <w:tcW w:w="2880" w:type="dxa"/>
            <w:tcBorders>
              <w:top w:val="single" w:color="auto" w:sz="4" w:space="0"/>
              <w:left w:val="single" w:color="auto" w:sz="4" w:space="0"/>
              <w:bottom w:val="single" w:color="auto" w:sz="4" w:space="0"/>
              <w:right w:val="single" w:color="auto" w:sz="4" w:space="0"/>
            </w:tcBorders>
            <w:hideMark/>
          </w:tcPr>
          <w:p w:rsidR="008912AA" w:rsidRDefault="008912AA" w14:paraId="7E1678F0" w14:textId="77777777">
            <w:pPr>
              <w:tabs>
                <w:tab w:val="left" w:pos="-720"/>
              </w:tabs>
              <w:suppressAutoHyphens/>
              <w:jc w:val="right"/>
            </w:pPr>
            <w:r>
              <w:t>5</w:t>
            </w:r>
          </w:p>
        </w:tc>
      </w:tr>
      <w:tr w:rsidR="008912AA" w:rsidTr="008912AA" w14:paraId="6DD14AE0" w14:textId="77777777">
        <w:tc>
          <w:tcPr>
            <w:tcW w:w="3240" w:type="dxa"/>
            <w:tcBorders>
              <w:top w:val="single" w:color="auto" w:sz="4" w:space="0"/>
              <w:left w:val="single" w:color="auto" w:sz="4" w:space="0"/>
              <w:bottom w:val="single" w:color="auto" w:sz="4" w:space="0"/>
              <w:right w:val="single" w:color="auto" w:sz="4" w:space="0"/>
            </w:tcBorders>
            <w:hideMark/>
          </w:tcPr>
          <w:p w:rsidR="008912AA" w:rsidRDefault="008912AA" w14:paraId="5CF1767D" w14:textId="77777777">
            <w:pPr>
              <w:tabs>
                <w:tab w:val="left" w:pos="-720"/>
              </w:tabs>
              <w:suppressAutoHyphens/>
            </w:pPr>
            <w:r>
              <w:t>TOTAL</w:t>
            </w:r>
          </w:p>
        </w:tc>
        <w:tc>
          <w:tcPr>
            <w:tcW w:w="2880" w:type="dxa"/>
            <w:tcBorders>
              <w:top w:val="single" w:color="auto" w:sz="4" w:space="0"/>
              <w:left w:val="single" w:color="auto" w:sz="4" w:space="0"/>
              <w:bottom w:val="single" w:color="auto" w:sz="4" w:space="0"/>
              <w:right w:val="single" w:color="auto" w:sz="4" w:space="0"/>
            </w:tcBorders>
            <w:hideMark/>
          </w:tcPr>
          <w:p w:rsidR="008912AA" w:rsidRDefault="008912AA" w14:paraId="365B762C" w14:textId="77777777">
            <w:pPr>
              <w:tabs>
                <w:tab w:val="left" w:pos="-720"/>
              </w:tabs>
              <w:suppressAutoHyphens/>
              <w:jc w:val="right"/>
            </w:pPr>
            <w:r>
              <w:t>740</w:t>
            </w:r>
          </w:p>
        </w:tc>
        <w:bookmarkEnd w:id="1"/>
      </w:tr>
    </w:tbl>
    <w:p w:rsidRPr="00850CCA" w:rsidR="008604D2" w:rsidP="008604D2" w:rsidRDefault="008604D2" w14:paraId="56D3F4CA" w14:textId="77777777">
      <w:pPr>
        <w:spacing w:after="80"/>
        <w:ind w:left="720"/>
        <w:jc w:val="both"/>
        <w:rPr>
          <w:rFonts w:ascii="Arial" w:hAnsi="Arial" w:cs="Arial"/>
          <w:color w:val="3366FF"/>
          <w:sz w:val="22"/>
          <w:szCs w:val="22"/>
        </w:rPr>
      </w:pPr>
    </w:p>
    <w:p w:rsidRPr="00850CCA" w:rsidR="008604D2" w:rsidP="009C53F8" w:rsidRDefault="008604D2" w14:paraId="1C62DD86" w14:textId="77777777">
      <w:pPr>
        <w:numPr>
          <w:ilvl w:val="1"/>
          <w:numId w:val="11"/>
        </w:numPr>
        <w:tabs>
          <w:tab w:val="clear" w:pos="360"/>
          <w:tab w:val="left" w:pos="540"/>
        </w:tabs>
        <w:ind w:left="540" w:hanging="540"/>
        <w:jc w:val="both"/>
        <w:rPr>
          <w:rFonts w:ascii="Arial" w:hAnsi="Arial" w:cs="Arial"/>
          <w:b/>
          <w:bCs/>
          <w:sz w:val="22"/>
          <w:szCs w:val="22"/>
        </w:rPr>
      </w:pPr>
      <w:r w:rsidRPr="00850CCA">
        <w:rPr>
          <w:rFonts w:ascii="Arial" w:hAnsi="Arial" w:cs="Arial"/>
          <w:b/>
          <w:bCs/>
          <w:sz w:val="22"/>
          <w:szCs w:val="22"/>
        </w:rPr>
        <w:t>Describe the procedures for the collection of information including:</w:t>
      </w:r>
    </w:p>
    <w:p w:rsidRPr="00850CCA" w:rsidR="008604D2" w:rsidP="009C53F8" w:rsidRDefault="008604D2" w14:paraId="17D925FD" w14:textId="77777777">
      <w:pPr>
        <w:pStyle w:val="Level1"/>
        <w:numPr>
          <w:ilvl w:val="0"/>
          <w:numId w:val="19"/>
        </w:numPr>
        <w:tabs>
          <w:tab w:val="clear" w:pos="432"/>
          <w:tab w:val="left" w:pos="900"/>
        </w:tabs>
        <w:ind w:left="900" w:hanging="360"/>
        <w:jc w:val="both"/>
        <w:outlineLvl w:val="9"/>
        <w:rPr>
          <w:rFonts w:ascii="Arial" w:hAnsi="Arial" w:cs="Arial"/>
          <w:b/>
          <w:bCs/>
          <w:sz w:val="22"/>
          <w:szCs w:val="22"/>
        </w:rPr>
      </w:pPr>
      <w:r w:rsidRPr="00850CCA">
        <w:rPr>
          <w:rFonts w:ascii="Arial" w:hAnsi="Arial" w:cs="Arial"/>
          <w:b/>
          <w:bCs/>
          <w:sz w:val="22"/>
          <w:szCs w:val="22"/>
        </w:rPr>
        <w:t>Statistical methodology for stratification and sample selection,</w:t>
      </w:r>
    </w:p>
    <w:p w:rsidRPr="00850CCA" w:rsidR="008604D2" w:rsidP="009C53F8" w:rsidRDefault="008604D2" w14:paraId="00931941" w14:textId="77777777">
      <w:pPr>
        <w:pStyle w:val="Level1"/>
        <w:numPr>
          <w:ilvl w:val="0"/>
          <w:numId w:val="19"/>
        </w:numPr>
        <w:tabs>
          <w:tab w:val="clear" w:pos="432"/>
          <w:tab w:val="left" w:pos="900"/>
        </w:tabs>
        <w:ind w:left="900" w:hanging="360"/>
        <w:jc w:val="both"/>
        <w:outlineLvl w:val="9"/>
        <w:rPr>
          <w:rFonts w:ascii="Arial" w:hAnsi="Arial" w:cs="Arial"/>
          <w:b/>
          <w:bCs/>
          <w:sz w:val="22"/>
          <w:szCs w:val="22"/>
        </w:rPr>
      </w:pPr>
      <w:r w:rsidRPr="00850CCA">
        <w:rPr>
          <w:rFonts w:ascii="Arial" w:hAnsi="Arial" w:cs="Arial"/>
          <w:b/>
          <w:bCs/>
          <w:sz w:val="22"/>
          <w:szCs w:val="22"/>
        </w:rPr>
        <w:t>Estimation procedure,</w:t>
      </w:r>
    </w:p>
    <w:p w:rsidRPr="00850CCA" w:rsidR="008604D2" w:rsidP="009C53F8" w:rsidRDefault="008604D2" w14:paraId="263C8AE3" w14:textId="77777777">
      <w:pPr>
        <w:pStyle w:val="Level1"/>
        <w:numPr>
          <w:ilvl w:val="0"/>
          <w:numId w:val="19"/>
        </w:numPr>
        <w:tabs>
          <w:tab w:val="clear" w:pos="432"/>
          <w:tab w:val="left" w:pos="900"/>
        </w:tabs>
        <w:ind w:left="900" w:hanging="360"/>
        <w:jc w:val="both"/>
        <w:outlineLvl w:val="9"/>
        <w:rPr>
          <w:rFonts w:ascii="Arial" w:hAnsi="Arial" w:cs="Arial"/>
          <w:b/>
          <w:bCs/>
          <w:sz w:val="22"/>
          <w:szCs w:val="22"/>
        </w:rPr>
      </w:pPr>
      <w:r w:rsidRPr="00850CCA">
        <w:rPr>
          <w:rFonts w:ascii="Arial" w:hAnsi="Arial" w:cs="Arial"/>
          <w:b/>
          <w:bCs/>
          <w:sz w:val="22"/>
          <w:szCs w:val="22"/>
        </w:rPr>
        <w:t>Degree</w:t>
      </w:r>
      <w:r>
        <w:rPr>
          <w:rFonts w:ascii="Arial" w:hAnsi="Arial" w:cs="Arial"/>
          <w:b/>
          <w:bCs/>
          <w:sz w:val="22"/>
          <w:szCs w:val="22"/>
        </w:rPr>
        <w:t xml:space="preserve"> of accuracy needed for the pur</w:t>
      </w:r>
      <w:r w:rsidRPr="00850CCA">
        <w:rPr>
          <w:rFonts w:ascii="Arial" w:hAnsi="Arial" w:cs="Arial"/>
          <w:b/>
          <w:bCs/>
          <w:sz w:val="22"/>
          <w:szCs w:val="22"/>
        </w:rPr>
        <w:t>pose described in the justification,</w:t>
      </w:r>
    </w:p>
    <w:p w:rsidRPr="00850CCA" w:rsidR="008604D2" w:rsidP="009C53F8" w:rsidRDefault="008604D2" w14:paraId="7BA8E9C0" w14:textId="77777777">
      <w:pPr>
        <w:pStyle w:val="Level1"/>
        <w:numPr>
          <w:ilvl w:val="0"/>
          <w:numId w:val="19"/>
        </w:numPr>
        <w:tabs>
          <w:tab w:val="clear" w:pos="432"/>
          <w:tab w:val="left" w:pos="900"/>
        </w:tabs>
        <w:ind w:left="900" w:hanging="360"/>
        <w:jc w:val="both"/>
        <w:outlineLvl w:val="9"/>
        <w:rPr>
          <w:rFonts w:ascii="Arial" w:hAnsi="Arial" w:cs="Arial"/>
          <w:b/>
          <w:bCs/>
          <w:sz w:val="22"/>
          <w:szCs w:val="22"/>
        </w:rPr>
      </w:pPr>
      <w:r w:rsidRPr="00850CCA">
        <w:rPr>
          <w:rFonts w:ascii="Arial" w:hAnsi="Arial" w:cs="Arial"/>
          <w:b/>
          <w:bCs/>
          <w:sz w:val="22"/>
          <w:szCs w:val="22"/>
        </w:rPr>
        <w:t>Unusual problems requiring specialized sampling procedures, and</w:t>
      </w:r>
    </w:p>
    <w:p w:rsidRPr="009C53F8" w:rsidR="008604D2" w:rsidP="009C53F8" w:rsidRDefault="008604D2" w14:paraId="1A1C5470" w14:textId="1F077938">
      <w:pPr>
        <w:pStyle w:val="Level1"/>
        <w:numPr>
          <w:ilvl w:val="0"/>
          <w:numId w:val="19"/>
        </w:numPr>
        <w:tabs>
          <w:tab w:val="clear" w:pos="432"/>
          <w:tab w:val="left" w:pos="900"/>
        </w:tabs>
        <w:ind w:left="900" w:hanging="360"/>
        <w:jc w:val="both"/>
        <w:outlineLvl w:val="9"/>
        <w:rPr>
          <w:rFonts w:ascii="Arial" w:hAnsi="Arial" w:cs="Arial"/>
          <w:sz w:val="22"/>
          <w:szCs w:val="22"/>
        </w:rPr>
      </w:pPr>
      <w:r w:rsidRPr="00850CCA">
        <w:rPr>
          <w:rFonts w:ascii="Arial" w:hAnsi="Arial" w:cs="Arial"/>
          <w:b/>
          <w:bCs/>
          <w:sz w:val="22"/>
          <w:szCs w:val="22"/>
        </w:rPr>
        <w:t>Any use of periodic (less frequent than annual) data collection cycles to reduce burden.</w:t>
      </w:r>
    </w:p>
    <w:p w:rsidR="009C53F8" w:rsidP="009C53F8" w:rsidRDefault="009C53F8" w14:paraId="7CC2107D" w14:textId="6500F1A1">
      <w:pPr>
        <w:pStyle w:val="Level1"/>
        <w:numPr>
          <w:ilvl w:val="0"/>
          <w:numId w:val="0"/>
        </w:numPr>
        <w:tabs>
          <w:tab w:val="left" w:pos="900"/>
        </w:tabs>
        <w:ind w:left="474" w:hanging="186"/>
        <w:jc w:val="both"/>
        <w:outlineLvl w:val="9"/>
        <w:rPr>
          <w:rFonts w:ascii="Arial" w:hAnsi="Arial" w:cs="Arial"/>
          <w:b/>
          <w:bCs/>
          <w:sz w:val="22"/>
          <w:szCs w:val="22"/>
        </w:rPr>
      </w:pPr>
    </w:p>
    <w:p w:rsidR="009C53F8" w:rsidP="003E2D7F" w:rsidRDefault="009C53F8" w14:paraId="607C7362" w14:textId="77777777">
      <w:pPr>
        <w:shd w:val="clear" w:color="auto" w:fill="FFFFFF"/>
        <w:tabs>
          <w:tab w:val="left" w:pos="-720"/>
        </w:tabs>
        <w:suppressAutoHyphens/>
        <w:ind w:left="360"/>
        <w:rPr>
          <w:szCs w:val="20"/>
        </w:rPr>
      </w:pPr>
      <w:r>
        <w:t xml:space="preserve">Not applicable.  The ERA grantee survey will be open to 100% of the eligible audience; </w:t>
      </w:r>
      <w:r>
        <w:lastRenderedPageBreak/>
        <w:t xml:space="preserve">therefore, no statistical methodology was utilized to determine stratification and sample selection. </w:t>
      </w:r>
    </w:p>
    <w:p w:rsidRPr="00850CCA" w:rsidR="009C53F8" w:rsidP="009C53F8" w:rsidRDefault="009C53F8" w14:paraId="7042A8E4" w14:textId="77777777">
      <w:pPr>
        <w:pStyle w:val="Level1"/>
        <w:numPr>
          <w:ilvl w:val="0"/>
          <w:numId w:val="0"/>
        </w:numPr>
        <w:tabs>
          <w:tab w:val="left" w:pos="900"/>
        </w:tabs>
        <w:ind w:left="474" w:hanging="186"/>
        <w:jc w:val="both"/>
        <w:outlineLvl w:val="9"/>
        <w:rPr>
          <w:rFonts w:ascii="Arial" w:hAnsi="Arial" w:cs="Arial"/>
          <w:sz w:val="22"/>
          <w:szCs w:val="22"/>
        </w:rPr>
      </w:pPr>
    </w:p>
    <w:p w:rsidR="008604D2" w:rsidP="008604D2" w:rsidRDefault="008604D2" w14:paraId="1BF8C270" w14:textId="77777777">
      <w:pPr>
        <w:numPr>
          <w:ilvl w:val="1"/>
          <w:numId w:val="11"/>
        </w:numPr>
        <w:tabs>
          <w:tab w:val="left" w:pos="360"/>
        </w:tabs>
        <w:spacing w:before="120" w:after="120"/>
        <w:jc w:val="both"/>
        <w:rPr>
          <w:rFonts w:ascii="Arial" w:hAnsi="Arial" w:cs="Arial"/>
          <w:b/>
          <w:bCs/>
          <w:sz w:val="22"/>
          <w:szCs w:val="22"/>
        </w:rPr>
      </w:pPr>
      <w:r w:rsidRPr="00850CCA">
        <w:rPr>
          <w:rFonts w:ascii="Arial" w:hAnsi="Arial" w:cs="Arial"/>
          <w:b/>
          <w:bCs/>
          <w:sz w:val="22"/>
          <w:szCs w:val="22"/>
        </w:rPr>
        <w:t>Describe methods to maximize response rates and to deal with issues of non-response. The accuracy and reliability of information collected must be shown to be adequate for intended use</w:t>
      </w:r>
      <w:r>
        <w:rPr>
          <w:rFonts w:ascii="Arial" w:hAnsi="Arial" w:cs="Arial"/>
          <w:b/>
          <w:bCs/>
          <w:sz w:val="22"/>
          <w:szCs w:val="22"/>
        </w:rPr>
        <w:t>s. For collections based on sam</w:t>
      </w:r>
      <w:r w:rsidRPr="00850CCA">
        <w:rPr>
          <w:rFonts w:ascii="Arial" w:hAnsi="Arial" w:cs="Arial"/>
          <w:b/>
          <w:bCs/>
          <w:sz w:val="22"/>
          <w:szCs w:val="22"/>
        </w:rPr>
        <w:t>pling, a special justification must be provided for any colle</w:t>
      </w:r>
      <w:r>
        <w:rPr>
          <w:rFonts w:ascii="Arial" w:hAnsi="Arial" w:cs="Arial"/>
          <w:b/>
          <w:bCs/>
          <w:sz w:val="22"/>
          <w:szCs w:val="22"/>
        </w:rPr>
        <w:t>ction that will not yield "reli</w:t>
      </w:r>
      <w:r w:rsidRPr="00850CCA">
        <w:rPr>
          <w:rFonts w:ascii="Arial" w:hAnsi="Arial" w:cs="Arial"/>
          <w:b/>
          <w:bCs/>
          <w:sz w:val="22"/>
          <w:szCs w:val="22"/>
        </w:rPr>
        <w:t>able" data that can be generalized to the universe studied.</w:t>
      </w:r>
    </w:p>
    <w:p w:rsidR="008604D2" w:rsidP="008604D2" w:rsidRDefault="009C53F8" w14:paraId="2D288463" w14:textId="0153F4C4">
      <w:pPr>
        <w:spacing w:before="120" w:after="120"/>
        <w:ind w:left="360"/>
        <w:jc w:val="both"/>
      </w:pPr>
      <w:r>
        <w:t xml:space="preserve">Not applicable.  The ERA grantee survey will be open to 100% of the eligible audience; therefore, no statistical methodology was utilized to maximize response rates.  </w:t>
      </w:r>
      <w:bookmarkStart w:name="_Hlk66627659" w:id="2"/>
      <w:r>
        <w:t>To encourage grantees to respond, we plan to send a follow-up email note to grantees that have not responded as of 6 days prior to the due date, reminding them to respond by the deadline.</w:t>
      </w:r>
      <w:bookmarkEnd w:id="2"/>
      <w:r>
        <w:t xml:space="preserve">  </w:t>
      </w:r>
    </w:p>
    <w:p w:rsidRPr="00850CCA" w:rsidR="003E2D7F" w:rsidP="008604D2" w:rsidRDefault="003E2D7F" w14:paraId="0CE1A48D" w14:textId="77777777">
      <w:pPr>
        <w:spacing w:before="120" w:after="120"/>
        <w:ind w:left="360"/>
        <w:jc w:val="both"/>
        <w:rPr>
          <w:rFonts w:ascii="Arial" w:hAnsi="Arial" w:cs="Arial"/>
          <w:color w:val="3366FF"/>
          <w:sz w:val="22"/>
          <w:szCs w:val="22"/>
        </w:rPr>
      </w:pPr>
    </w:p>
    <w:p w:rsidRPr="009C53F8" w:rsidR="009C53F8" w:rsidP="009C53F8" w:rsidRDefault="008604D2" w14:paraId="35B13E77" w14:textId="2CEC53B4">
      <w:pPr>
        <w:numPr>
          <w:ilvl w:val="1"/>
          <w:numId w:val="11"/>
        </w:numPr>
        <w:tabs>
          <w:tab w:val="left" w:pos="360"/>
        </w:tabs>
        <w:spacing w:before="120" w:after="120"/>
        <w:jc w:val="both"/>
        <w:rPr>
          <w:rFonts w:ascii="Arial" w:hAnsi="Arial" w:cs="Arial"/>
          <w:b/>
          <w:bCs/>
          <w:sz w:val="22"/>
          <w:szCs w:val="22"/>
        </w:rPr>
      </w:pPr>
      <w:r w:rsidRPr="00850CCA">
        <w:rPr>
          <w:rFonts w:ascii="Arial" w:hAnsi="Arial" w:cs="Arial"/>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9C53F8" w:rsidR="009C53F8" w:rsidP="009C53F8" w:rsidRDefault="009C53F8" w14:paraId="0A24534C" w14:textId="77777777">
      <w:pPr>
        <w:pStyle w:val="ListParagraph"/>
        <w:shd w:val="clear" w:color="auto" w:fill="FFFFFF"/>
        <w:tabs>
          <w:tab w:val="left" w:pos="-720"/>
        </w:tabs>
        <w:suppressAutoHyphens/>
        <w:ind w:left="360"/>
        <w:rPr>
          <w:szCs w:val="20"/>
        </w:rPr>
      </w:pPr>
      <w:r>
        <w:t xml:space="preserve">Not applicable.  The ERA grantee survey is a simple, one-time grantee survey; therefore, no testing was utilized.  </w:t>
      </w:r>
    </w:p>
    <w:p w:rsidRPr="00850CCA" w:rsidR="008604D2" w:rsidP="008604D2" w:rsidRDefault="008604D2" w14:paraId="59BBBA12" w14:textId="77777777">
      <w:pPr>
        <w:tabs>
          <w:tab w:val="left" w:pos="360"/>
        </w:tabs>
        <w:spacing w:before="120" w:after="120"/>
        <w:ind w:left="360"/>
        <w:jc w:val="both"/>
        <w:rPr>
          <w:rFonts w:ascii="Arial" w:hAnsi="Arial" w:cs="Arial"/>
          <w:color w:val="3366FF"/>
          <w:sz w:val="22"/>
          <w:szCs w:val="22"/>
        </w:rPr>
      </w:pPr>
    </w:p>
    <w:p w:rsidRPr="00850CCA" w:rsidR="008604D2" w:rsidP="008604D2" w:rsidRDefault="008604D2" w14:paraId="11DE1B16" w14:textId="77777777">
      <w:pPr>
        <w:numPr>
          <w:ilvl w:val="1"/>
          <w:numId w:val="11"/>
        </w:numPr>
        <w:tabs>
          <w:tab w:val="left" w:pos="360"/>
        </w:tabs>
        <w:spacing w:before="120" w:after="120"/>
        <w:jc w:val="both"/>
        <w:rPr>
          <w:rFonts w:ascii="Arial" w:hAnsi="Arial" w:cs="Arial"/>
          <w:b/>
          <w:bCs/>
          <w:sz w:val="22"/>
          <w:szCs w:val="22"/>
        </w:rPr>
      </w:pPr>
      <w:bookmarkStart w:name="OLE_LINK1" w:id="3"/>
      <w:bookmarkStart w:name="OLE_LINK2" w:id="4"/>
      <w:r w:rsidRPr="00850CCA">
        <w:rPr>
          <w:rFonts w:ascii="Arial" w:hAnsi="Arial" w:cs="Arial"/>
          <w:b/>
          <w:bCs/>
          <w:sz w:val="22"/>
          <w:szCs w:val="22"/>
        </w:rPr>
        <w:t xml:space="preserve">Provide the name and telephone number of individuals consulted on statistical aspects of the design and the name of the </w:t>
      </w:r>
      <w:r>
        <w:rPr>
          <w:rFonts w:ascii="Arial" w:hAnsi="Arial" w:cs="Arial"/>
          <w:b/>
          <w:bCs/>
          <w:sz w:val="22"/>
          <w:szCs w:val="22"/>
        </w:rPr>
        <w:t>bureau</w:t>
      </w:r>
      <w:r w:rsidRPr="00850CCA">
        <w:rPr>
          <w:rFonts w:ascii="Arial" w:hAnsi="Arial" w:cs="Arial"/>
          <w:b/>
          <w:bCs/>
          <w:sz w:val="22"/>
          <w:szCs w:val="22"/>
        </w:rPr>
        <w:t xml:space="preserve"> unit, contractor(s), grantee(s), or other person(s) who will actually collect and/or analyze the information for the </w:t>
      </w:r>
      <w:r>
        <w:rPr>
          <w:rFonts w:ascii="Arial" w:hAnsi="Arial" w:cs="Arial"/>
          <w:b/>
          <w:bCs/>
          <w:sz w:val="22"/>
          <w:szCs w:val="22"/>
        </w:rPr>
        <w:t>bureau</w:t>
      </w:r>
      <w:r w:rsidRPr="00850CCA">
        <w:rPr>
          <w:rFonts w:ascii="Arial" w:hAnsi="Arial" w:cs="Arial"/>
          <w:b/>
          <w:bCs/>
          <w:sz w:val="22"/>
          <w:szCs w:val="22"/>
        </w:rPr>
        <w:t>.</w:t>
      </w:r>
    </w:p>
    <w:bookmarkEnd w:id="3"/>
    <w:bookmarkEnd w:id="4"/>
    <w:p w:rsidR="009C53F8" w:rsidP="009C53F8" w:rsidRDefault="009C53F8" w14:paraId="58D66555" w14:textId="35A0B6FF">
      <w:pPr>
        <w:tabs>
          <w:tab w:val="left" w:pos="-720"/>
        </w:tabs>
        <w:suppressAutoHyphens/>
        <w:ind w:left="360"/>
      </w:pPr>
      <w:r>
        <w:t xml:space="preserve">NAME:  John Costello </w:t>
      </w:r>
    </w:p>
    <w:p w:rsidR="009C53F8" w:rsidP="009C53F8" w:rsidRDefault="009C53F8" w14:paraId="33FA4ADE" w14:textId="77777777">
      <w:pPr>
        <w:tabs>
          <w:tab w:val="left" w:pos="-720"/>
        </w:tabs>
        <w:suppressAutoHyphens/>
        <w:ind w:left="360"/>
      </w:pPr>
      <w:r>
        <w:t>AGENCY:  CARES Operations, U.S. Treasury Department</w:t>
      </w:r>
    </w:p>
    <w:p w:rsidRPr="009C53F8" w:rsidR="009C53F8" w:rsidP="009C53F8" w:rsidRDefault="009C53F8" w14:paraId="2416EA16" w14:textId="77777777">
      <w:pPr>
        <w:tabs>
          <w:tab w:val="left" w:pos="-720"/>
        </w:tabs>
        <w:suppressAutoHyphens/>
        <w:ind w:left="360"/>
        <w:rPr>
          <w:rStyle w:val="Hypertext"/>
          <w:bCs/>
        </w:rPr>
      </w:pPr>
      <w:r>
        <w:t>EMAIL:   John.Costello2@treasury.gov</w:t>
      </w:r>
    </w:p>
    <w:p w:rsidRPr="00850CCA" w:rsidR="008604D2" w:rsidP="008604D2" w:rsidRDefault="008604D2" w14:paraId="3C14D293"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rPr>
      </w:pPr>
    </w:p>
    <w:p w:rsidR="00850CCA" w:rsidP="006E1A4A" w:rsidRDefault="00850CCA" w14:paraId="05DF1EA8" w14:textId="77777777">
      <w:pPr>
        <w:tabs>
          <w:tab w:val="left" w:pos="540"/>
        </w:tabs>
        <w:spacing w:before="120" w:after="120"/>
        <w:ind w:left="540" w:hanging="540"/>
        <w:jc w:val="center"/>
        <w:rPr>
          <w:rFonts w:ascii="Arial" w:hAnsi="Arial" w:cs="Arial"/>
          <w:b/>
          <w:bCs/>
          <w:color w:val="3366FF"/>
          <w:sz w:val="22"/>
          <w:szCs w:val="22"/>
        </w:rPr>
      </w:pPr>
    </w:p>
    <w:sectPr w:rsidR="00850CCA"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2F595" w14:textId="77777777" w:rsidR="00543FDD" w:rsidRDefault="00543FDD">
      <w:r>
        <w:separator/>
      </w:r>
    </w:p>
  </w:endnote>
  <w:endnote w:type="continuationSeparator" w:id="0">
    <w:p w14:paraId="4EF3366C" w14:textId="77777777" w:rsidR="00543FDD" w:rsidRDefault="0054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8582E" w14:textId="77777777"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037972">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CEA63" w14:textId="77777777" w:rsidR="00543FDD" w:rsidRDefault="00543FDD">
      <w:r>
        <w:separator/>
      </w:r>
    </w:p>
  </w:footnote>
  <w:footnote w:type="continuationSeparator" w:id="0">
    <w:p w14:paraId="2F9F1B83" w14:textId="77777777" w:rsidR="00543FDD" w:rsidRDefault="0054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4"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3"/>
  </w:num>
  <w:num w:numId="7">
    <w:abstractNumId w:val="35"/>
  </w:num>
  <w:num w:numId="8">
    <w:abstractNumId w:val="34"/>
  </w:num>
  <w:num w:numId="9">
    <w:abstractNumId w:val="25"/>
  </w:num>
  <w:num w:numId="10">
    <w:abstractNumId w:val="17"/>
  </w:num>
  <w:num w:numId="11">
    <w:abstractNumId w:val="21"/>
  </w:num>
  <w:num w:numId="12">
    <w:abstractNumId w:val="43"/>
  </w:num>
  <w:num w:numId="13">
    <w:abstractNumId w:val="42"/>
  </w:num>
  <w:num w:numId="14">
    <w:abstractNumId w:val="33"/>
  </w:num>
  <w:num w:numId="15">
    <w:abstractNumId w:val="22"/>
  </w:num>
  <w:num w:numId="16">
    <w:abstractNumId w:val="38"/>
  </w:num>
  <w:num w:numId="17">
    <w:abstractNumId w:val="24"/>
  </w:num>
  <w:num w:numId="18">
    <w:abstractNumId w:val="41"/>
  </w:num>
  <w:num w:numId="19">
    <w:abstractNumId w:val="37"/>
  </w:num>
  <w:num w:numId="20">
    <w:abstractNumId w:val="26"/>
  </w:num>
  <w:num w:numId="21">
    <w:abstractNumId w:val="44"/>
  </w:num>
  <w:num w:numId="22">
    <w:abstractNumId w:val="29"/>
  </w:num>
  <w:num w:numId="23">
    <w:abstractNumId w:val="18"/>
  </w:num>
  <w:num w:numId="24">
    <w:abstractNumId w:val="40"/>
  </w:num>
  <w:num w:numId="25">
    <w:abstractNumId w:val="30"/>
  </w:num>
  <w:num w:numId="26">
    <w:abstractNumId w:val="27"/>
  </w:num>
  <w:num w:numId="27">
    <w:abstractNumId w:val="39"/>
  </w:num>
  <w:num w:numId="28">
    <w:abstractNumId w:val="36"/>
  </w:num>
  <w:num w:numId="29">
    <w:abstractNumId w:val="28"/>
  </w:num>
  <w:num w:numId="30">
    <w:abstractNumId w:val="20"/>
  </w:num>
  <w:num w:numId="31">
    <w:abstractNumId w:val="19"/>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356B0"/>
    <w:rsid w:val="00037972"/>
    <w:rsid w:val="00052C24"/>
    <w:rsid w:val="00063823"/>
    <w:rsid w:val="00064E0F"/>
    <w:rsid w:val="00076BA1"/>
    <w:rsid w:val="000F4DC6"/>
    <w:rsid w:val="000F7D65"/>
    <w:rsid w:val="00145E6F"/>
    <w:rsid w:val="00197F9A"/>
    <w:rsid w:val="001B21E4"/>
    <w:rsid w:val="001C0C09"/>
    <w:rsid w:val="001D7657"/>
    <w:rsid w:val="001E2556"/>
    <w:rsid w:val="001F3AB3"/>
    <w:rsid w:val="00200A74"/>
    <w:rsid w:val="00250FFD"/>
    <w:rsid w:val="002776CD"/>
    <w:rsid w:val="002D277C"/>
    <w:rsid w:val="002D6743"/>
    <w:rsid w:val="00306DA3"/>
    <w:rsid w:val="003A5DE5"/>
    <w:rsid w:val="003D1ABD"/>
    <w:rsid w:val="003E2D7F"/>
    <w:rsid w:val="003E743E"/>
    <w:rsid w:val="00404DD9"/>
    <w:rsid w:val="00421CA8"/>
    <w:rsid w:val="00427A81"/>
    <w:rsid w:val="00432C2B"/>
    <w:rsid w:val="00466B49"/>
    <w:rsid w:val="004A213E"/>
    <w:rsid w:val="004C68D1"/>
    <w:rsid w:val="004D39A0"/>
    <w:rsid w:val="004D5A38"/>
    <w:rsid w:val="00504B59"/>
    <w:rsid w:val="005271E9"/>
    <w:rsid w:val="00543FDD"/>
    <w:rsid w:val="00561B09"/>
    <w:rsid w:val="00565B3C"/>
    <w:rsid w:val="005829ED"/>
    <w:rsid w:val="00585CCA"/>
    <w:rsid w:val="00595B02"/>
    <w:rsid w:val="005979B4"/>
    <w:rsid w:val="006445A9"/>
    <w:rsid w:val="006B455B"/>
    <w:rsid w:val="006E1A4A"/>
    <w:rsid w:val="00723757"/>
    <w:rsid w:val="00772076"/>
    <w:rsid w:val="007A256C"/>
    <w:rsid w:val="007D79FA"/>
    <w:rsid w:val="008112BA"/>
    <w:rsid w:val="00840F39"/>
    <w:rsid w:val="00850CCA"/>
    <w:rsid w:val="008604D2"/>
    <w:rsid w:val="00862A24"/>
    <w:rsid w:val="00890057"/>
    <w:rsid w:val="008912AA"/>
    <w:rsid w:val="008A2CE2"/>
    <w:rsid w:val="008C325F"/>
    <w:rsid w:val="008C65F9"/>
    <w:rsid w:val="008F0942"/>
    <w:rsid w:val="008F27F5"/>
    <w:rsid w:val="00917427"/>
    <w:rsid w:val="00991A15"/>
    <w:rsid w:val="009A769F"/>
    <w:rsid w:val="009C53F8"/>
    <w:rsid w:val="00A31E99"/>
    <w:rsid w:val="00A325A6"/>
    <w:rsid w:val="00A555A9"/>
    <w:rsid w:val="00A55BB2"/>
    <w:rsid w:val="00A56739"/>
    <w:rsid w:val="00A5675F"/>
    <w:rsid w:val="00A57A6F"/>
    <w:rsid w:val="00A9180D"/>
    <w:rsid w:val="00AA65AC"/>
    <w:rsid w:val="00AD3CB7"/>
    <w:rsid w:val="00B12439"/>
    <w:rsid w:val="00B22415"/>
    <w:rsid w:val="00B408C7"/>
    <w:rsid w:val="00B60FF9"/>
    <w:rsid w:val="00BC550A"/>
    <w:rsid w:val="00BC5EF3"/>
    <w:rsid w:val="00BE0092"/>
    <w:rsid w:val="00BF116B"/>
    <w:rsid w:val="00BF370D"/>
    <w:rsid w:val="00C115F5"/>
    <w:rsid w:val="00C16988"/>
    <w:rsid w:val="00C230FB"/>
    <w:rsid w:val="00C319AB"/>
    <w:rsid w:val="00C37CD8"/>
    <w:rsid w:val="00C43EA7"/>
    <w:rsid w:val="00C7479E"/>
    <w:rsid w:val="00C80AA3"/>
    <w:rsid w:val="00CB0A80"/>
    <w:rsid w:val="00CC47FD"/>
    <w:rsid w:val="00CC579B"/>
    <w:rsid w:val="00CE3842"/>
    <w:rsid w:val="00D25FB6"/>
    <w:rsid w:val="00DB2651"/>
    <w:rsid w:val="00DD3B21"/>
    <w:rsid w:val="00E42A28"/>
    <w:rsid w:val="00EA4C2A"/>
    <w:rsid w:val="00EC10FF"/>
    <w:rsid w:val="00F064FD"/>
    <w:rsid w:val="00F25C12"/>
    <w:rsid w:val="00F736E2"/>
    <w:rsid w:val="00F76B83"/>
    <w:rsid w:val="00F8418A"/>
    <w:rsid w:val="00F91E42"/>
    <w:rsid w:val="00FB252E"/>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FE6D13"/>
  <w15:chartTrackingRefBased/>
  <w15:docId w15:val="{7D7E1876-F133-4DA7-9734-A68E9348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ListParagraph">
    <w:name w:val="List Paragraph"/>
    <w:basedOn w:val="Normal"/>
    <w:uiPriority w:val="34"/>
    <w:qFormat/>
    <w:rsid w:val="009C53F8"/>
    <w:pPr>
      <w:ind w:left="720"/>
      <w:contextualSpacing/>
    </w:pPr>
  </w:style>
  <w:style w:type="character" w:customStyle="1" w:styleId="Hypertext">
    <w:name w:val="Hypertext"/>
    <w:rsid w:val="009C5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462326">
      <w:bodyDiv w:val="1"/>
      <w:marLeft w:val="0"/>
      <w:marRight w:val="0"/>
      <w:marTop w:val="0"/>
      <w:marBottom w:val="0"/>
      <w:divBdr>
        <w:top w:val="none" w:sz="0" w:space="0" w:color="auto"/>
        <w:left w:val="none" w:sz="0" w:space="0" w:color="auto"/>
        <w:bottom w:val="none" w:sz="0" w:space="0" w:color="auto"/>
        <w:right w:val="none" w:sz="0" w:space="0" w:color="auto"/>
      </w:divBdr>
    </w:div>
    <w:div w:id="1090614685">
      <w:bodyDiv w:val="1"/>
      <w:marLeft w:val="0"/>
      <w:marRight w:val="0"/>
      <w:marTop w:val="0"/>
      <w:marBottom w:val="0"/>
      <w:divBdr>
        <w:top w:val="none" w:sz="0" w:space="0" w:color="auto"/>
        <w:left w:val="none" w:sz="0" w:space="0" w:color="auto"/>
        <w:bottom w:val="none" w:sz="0" w:space="0" w:color="auto"/>
        <w:right w:val="none" w:sz="0" w:space="0" w:color="auto"/>
      </w:divBdr>
    </w:div>
    <w:div w:id="1449885061">
      <w:bodyDiv w:val="1"/>
      <w:marLeft w:val="0"/>
      <w:marRight w:val="0"/>
      <w:marTop w:val="0"/>
      <w:marBottom w:val="0"/>
      <w:divBdr>
        <w:top w:val="none" w:sz="0" w:space="0" w:color="auto"/>
        <w:left w:val="none" w:sz="0" w:space="0" w:color="auto"/>
        <w:bottom w:val="none" w:sz="0" w:space="0" w:color="auto"/>
        <w:right w:val="none" w:sz="0" w:space="0" w:color="auto"/>
      </w:divBdr>
    </w:div>
    <w:div w:id="1937250536">
      <w:bodyDiv w:val="1"/>
      <w:marLeft w:val="0"/>
      <w:marRight w:val="0"/>
      <w:marTop w:val="0"/>
      <w:marBottom w:val="0"/>
      <w:divBdr>
        <w:top w:val="none" w:sz="0" w:space="0" w:color="auto"/>
        <w:left w:val="none" w:sz="0" w:space="0" w:color="auto"/>
        <w:bottom w:val="none" w:sz="0" w:space="0" w:color="auto"/>
        <w:right w:val="none" w:sz="0" w:space="0" w:color="auto"/>
      </w:divBdr>
    </w:div>
    <w:div w:id="20010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40846B-7D18-46E1-B643-9C59030F49EA}">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2.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3.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5.xml><?xml version="1.0" encoding="utf-8"?>
<ds:datastoreItem xmlns:ds="http://schemas.openxmlformats.org/officeDocument/2006/customXml" ds:itemID="{01F0E273-8D6C-440A-B6CD-507BB1C6BC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3979</CharactersWithSpaces>
  <SharedDoc>false</SharedDoc>
  <HLinks>
    <vt:vector size="6" baseType="variant">
      <vt:variant>
        <vt:i4>3080203</vt:i4>
      </vt:variant>
      <vt:variant>
        <vt:i4>0</vt:i4>
      </vt:variant>
      <vt:variant>
        <vt:i4>0</vt:i4>
      </vt:variant>
      <vt:variant>
        <vt:i4>5</vt:i4>
      </vt:variant>
      <vt:variant>
        <vt:lpwstr>http://www.whitehouse.gov/sites/default/files/omb/assets/omb/inforeg/pmc_survey_guidance_2006.pdf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13</cp:revision>
  <cp:lastPrinted>2011-09-13T11:00:00Z</cp:lastPrinted>
  <dcterms:created xsi:type="dcterms:W3CDTF">2021-03-15T13:11:00Z</dcterms:created>
  <dcterms:modified xsi:type="dcterms:W3CDTF">2021-03-15T13:41:00Z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y fmtid="{D5CDD505-2E9C-101B-9397-08002B2CF9AE}" pid="5" name="display_urn:schemas-microsoft-com:office:office#SharedWithUsers">
    <vt:lpwstr>Stasko, Molly</vt:lpwstr>
  </property>
  <property fmtid="{D5CDD505-2E9C-101B-9397-08002B2CF9AE}" pid="6" name="SharedWithUsers">
    <vt:lpwstr>33953;#Stasko, Molly</vt:lpwstr>
  </property>
</Properties>
</file>