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B7C2D" w:rsidR="004B7C2D" w:rsidP="004B7C2D" w:rsidRDefault="004B7C2D" w14:paraId="2B1BFC3F" w14:textId="77777777">
      <w:pPr>
        <w:jc w:val="center"/>
        <w:rPr>
          <w:b/>
          <w:bCs/>
        </w:rPr>
      </w:pPr>
      <w:r w:rsidRPr="004B7C2D">
        <w:rPr>
          <w:b/>
          <w:bCs/>
        </w:rPr>
        <w:t>Department of the Treasury</w:t>
      </w:r>
    </w:p>
    <w:p w:rsidRPr="004B7C2D" w:rsidR="004B7C2D" w:rsidP="004B7C2D" w:rsidRDefault="004B7C2D" w14:paraId="6BA8CB09" w14:textId="77777777">
      <w:pPr>
        <w:jc w:val="center"/>
        <w:rPr>
          <w:b/>
          <w:bCs/>
        </w:rPr>
      </w:pPr>
      <w:r w:rsidRPr="004B7C2D">
        <w:rPr>
          <w:b/>
          <w:bCs/>
        </w:rPr>
        <w:t>Information Collection Request – Justification for Non-Substantive Change</w:t>
      </w:r>
    </w:p>
    <w:p w:rsidRPr="004B7C2D" w:rsidR="004B7C2D" w:rsidP="004B7C2D" w:rsidRDefault="004B7C2D" w14:paraId="4582036B" w14:textId="77777777">
      <w:pPr>
        <w:jc w:val="center"/>
        <w:rPr>
          <w:b/>
          <w:bCs/>
        </w:rPr>
      </w:pPr>
    </w:p>
    <w:p w:rsidRPr="004B7C2D" w:rsidR="004B7C2D" w:rsidP="004B7C2D" w:rsidRDefault="004B7C2D" w14:paraId="27C9F01F" w14:textId="77777777">
      <w:pPr>
        <w:jc w:val="center"/>
        <w:rPr>
          <w:b/>
          <w:bCs/>
        </w:rPr>
      </w:pPr>
      <w:r w:rsidRPr="004B7C2D">
        <w:rPr>
          <w:b/>
          <w:bCs/>
        </w:rPr>
        <w:t xml:space="preserve">Air Carrier Loan and Payroll Support Programs </w:t>
      </w:r>
    </w:p>
    <w:p w:rsidRPr="004B7C2D" w:rsidR="004B7C2D" w:rsidP="004B7C2D" w:rsidRDefault="004B7C2D" w14:paraId="090D9D59" w14:textId="77777777">
      <w:pPr>
        <w:jc w:val="center"/>
        <w:rPr>
          <w:b/>
          <w:bCs/>
        </w:rPr>
      </w:pPr>
      <w:r w:rsidRPr="004B7C2D">
        <w:rPr>
          <w:b/>
          <w:bCs/>
        </w:rPr>
        <w:t>OMB No. 1505-0263</w:t>
      </w:r>
    </w:p>
    <w:p w:rsidR="004B7C2D" w:rsidP="004B7C2D" w:rsidRDefault="002C70D7" w14:paraId="6A5A08C4" w14:textId="0C9D53A3">
      <w:pPr>
        <w:jc w:val="center"/>
        <w:rPr>
          <w:b/>
          <w:bCs/>
        </w:rPr>
      </w:pPr>
      <w:r>
        <w:rPr>
          <w:b/>
          <w:bCs/>
        </w:rPr>
        <w:t>March 22</w:t>
      </w:r>
      <w:r w:rsidRPr="004B7C2D" w:rsidR="004B7C2D">
        <w:rPr>
          <w:b/>
          <w:bCs/>
        </w:rPr>
        <w:t>, 2021</w:t>
      </w:r>
    </w:p>
    <w:p w:rsidR="004B7C2D" w:rsidP="004B7C2D" w:rsidRDefault="004B7C2D" w14:paraId="1B0F3234" w14:textId="77777777">
      <w:pPr>
        <w:jc w:val="center"/>
        <w:rPr>
          <w:b/>
          <w:bCs/>
        </w:rPr>
      </w:pPr>
    </w:p>
    <w:p w:rsidR="009351B6" w:rsidP="004B7C2D" w:rsidRDefault="004B7C2D" w14:paraId="27E5AAA3" w14:textId="0AA81A02">
      <w:r w:rsidRPr="004B7C2D">
        <w:tab/>
      </w:r>
      <w:r>
        <w:t xml:space="preserve">Treasury </w:t>
      </w:r>
      <w:r w:rsidRPr="004B7C2D">
        <w:t>request</w:t>
      </w:r>
      <w:r>
        <w:t>s</w:t>
      </w:r>
      <w:r w:rsidRPr="004B7C2D">
        <w:t xml:space="preserve"> </w:t>
      </w:r>
      <w:r>
        <w:t xml:space="preserve">a </w:t>
      </w:r>
      <w:r w:rsidRPr="004B7C2D">
        <w:t xml:space="preserve">non-substantive change of OMB Control No. 1505-0263 </w:t>
      </w:r>
      <w:proofErr w:type="gramStart"/>
      <w:r w:rsidRPr="004B7C2D">
        <w:t>i</w:t>
      </w:r>
      <w:r>
        <w:t>n order to</w:t>
      </w:r>
      <w:proofErr w:type="gramEnd"/>
      <w:r>
        <w:t xml:space="preserve"> add </w:t>
      </w:r>
      <w:r w:rsidR="009351B6">
        <w:t>two</w:t>
      </w:r>
      <w:r>
        <w:t xml:space="preserve"> new instrument</w:t>
      </w:r>
      <w:r w:rsidR="009351B6">
        <w:t xml:space="preserve">s: </w:t>
      </w:r>
      <w:r w:rsidR="009E2591">
        <w:t>Quarter 4</w:t>
      </w:r>
      <w:r w:rsidR="00F56BA0">
        <w:t xml:space="preserve"> compliance reporting</w:t>
      </w:r>
      <w:r w:rsidR="002752E8">
        <w:t xml:space="preserve"> screenshots</w:t>
      </w:r>
      <w:r w:rsidR="009351B6">
        <w:t xml:space="preserve"> for 4003-only and Quarter 4 compliance reporting screenshots for 4112/4003.  The reason for these separate 4003-only and 4112/4003 compliance testing is that a few companies signed up for the </w:t>
      </w:r>
      <w:proofErr w:type="gramStart"/>
      <w:r w:rsidR="009351B6">
        <w:t>4003 loan</w:t>
      </w:r>
      <w:proofErr w:type="gramEnd"/>
      <w:r w:rsidR="009351B6">
        <w:t xml:space="preserve"> program.  Some of these companies also already had 4112 loans.  </w:t>
      </w:r>
      <w:r w:rsidR="009351B6">
        <w:t xml:space="preserve">Therefore, in Q4, Treasury needs to start compliance testing for the 4003 </w:t>
      </w:r>
      <w:proofErr w:type="gramStart"/>
      <w:r w:rsidR="009351B6">
        <w:t>loans, and</w:t>
      </w:r>
      <w:proofErr w:type="gramEnd"/>
      <w:r w:rsidR="009351B6">
        <w:t xml:space="preserve"> has developed screenshots for 4003-only loans and combined 4112/4003 loans. </w:t>
      </w:r>
    </w:p>
    <w:p w:rsidR="002C70D7" w:rsidP="009351B6" w:rsidRDefault="009351B6" w14:paraId="744B2D51" w14:textId="609BE8DA">
      <w:pPr>
        <w:ind w:firstLine="720"/>
        <w:rPr>
          <w:color w:val="000000"/>
        </w:rPr>
      </w:pPr>
      <w:r>
        <w:t xml:space="preserve">The screenshots are </w:t>
      </w:r>
      <w:proofErr w:type="gramStart"/>
      <w:r>
        <w:t>similar to</w:t>
      </w:r>
      <w:proofErr w:type="gramEnd"/>
      <w:r>
        <w:t xml:space="preserve"> the other previously approved Q4 compliance testing.  All the Q4 compliance testing screenshots transmit certified borrower data to Treasury to allow testing of compliance.   For the 4003 only and 4112/4003, there are a few questions specific to 4003 loans.  </w:t>
      </w:r>
      <w:r>
        <w:rPr>
          <w:color w:val="000000"/>
        </w:rPr>
        <w:t>There are 8 different categories of 4003 loan agreements as shown in the chart below. 4003 templates are tailored for the agreement, so borrowers see different questions depending on their agreement. The codes (UA1, SA1, YRC, etc.) on the screen shots indicate the questions the borrower will see on their customized template. If there is no code next to a set of questions (e.g., Employee Headcount), all borrowers will see the same questions.</w:t>
      </w:r>
    </w:p>
    <w:tbl>
      <w:tblPr>
        <w:tblW w:w="20282" w:type="dxa"/>
        <w:tblInd w:w="10" w:type="dxa"/>
        <w:tblCellMar>
          <w:left w:w="0" w:type="dxa"/>
          <w:right w:w="0" w:type="dxa"/>
        </w:tblCellMar>
        <w:tblLook w:val="04A0" w:firstRow="1" w:lastRow="0" w:firstColumn="1" w:lastColumn="0" w:noHBand="0" w:noVBand="1"/>
      </w:tblPr>
      <w:tblGrid>
        <w:gridCol w:w="885"/>
        <w:gridCol w:w="932"/>
        <w:gridCol w:w="870"/>
        <w:gridCol w:w="1533"/>
        <w:gridCol w:w="4680"/>
        <w:gridCol w:w="11382"/>
      </w:tblGrid>
      <w:tr w:rsidR="002C70D7" w:rsidTr="002C70D7" w14:paraId="547A06AB" w14:textId="77777777">
        <w:trPr>
          <w:trHeight w:val="300"/>
        </w:trPr>
        <w:tc>
          <w:tcPr>
            <w:tcW w:w="885" w:type="dxa"/>
            <w:tcMar>
              <w:top w:w="0" w:type="dxa"/>
              <w:left w:w="108" w:type="dxa"/>
              <w:bottom w:w="0" w:type="dxa"/>
              <w:right w:w="108" w:type="dxa"/>
            </w:tcMar>
          </w:tcPr>
          <w:p w:rsidR="002C70D7" w:rsidRDefault="002C70D7" w14:paraId="27E34705" w14:textId="77777777">
            <w:pPr>
              <w:rPr>
                <w:rFonts w:ascii="Arial" w:hAnsi="Arial" w:cs="Arial"/>
                <w:b/>
                <w:bCs/>
                <w:i/>
                <w:iCs/>
                <w:color w:val="000000"/>
              </w:rPr>
            </w:pPr>
          </w:p>
        </w:tc>
        <w:tc>
          <w:tcPr>
            <w:tcW w:w="932" w:type="dxa"/>
            <w:noWrap/>
            <w:tcMar>
              <w:top w:w="0" w:type="dxa"/>
              <w:left w:w="108" w:type="dxa"/>
              <w:bottom w:w="0" w:type="dxa"/>
              <w:right w:w="108" w:type="dxa"/>
            </w:tcMar>
            <w:vAlign w:val="bottom"/>
            <w:hideMark/>
          </w:tcPr>
          <w:p w:rsidR="002C70D7" w:rsidRDefault="002C70D7" w14:paraId="552864BB" w14:textId="77777777">
            <w:pPr>
              <w:rPr>
                <w:rFonts w:ascii="Arial" w:hAnsi="Arial" w:cs="Arial"/>
                <w:b/>
                <w:bCs/>
                <w:i/>
                <w:iCs/>
                <w:color w:val="000000"/>
              </w:rPr>
            </w:pPr>
          </w:p>
        </w:tc>
        <w:tc>
          <w:tcPr>
            <w:tcW w:w="18465" w:type="dxa"/>
            <w:gridSpan w:val="4"/>
            <w:vAlign w:val="center"/>
            <w:hideMark/>
          </w:tcPr>
          <w:p w:rsidR="002C70D7" w:rsidRDefault="002C70D7" w14:paraId="09AD3294" w14:textId="77777777">
            <w:pPr>
              <w:rPr>
                <w:rFonts w:ascii="Calibri" w:hAnsi="Calibri" w:cs="Calibri"/>
                <w:lang w:eastAsia="ko-KR"/>
              </w:rPr>
            </w:pPr>
            <w:r>
              <w:t> </w:t>
            </w:r>
          </w:p>
        </w:tc>
      </w:tr>
      <w:tr w:rsidR="002C70D7" w:rsidTr="002C70D7" w14:paraId="0024B7F5" w14:textId="77777777">
        <w:trPr>
          <w:trHeight w:val="636"/>
        </w:trPr>
        <w:tc>
          <w:tcPr>
            <w:tcW w:w="885" w:type="dxa"/>
            <w:tcBorders>
              <w:top w:val="single" w:color="auto" w:sz="4" w:space="0"/>
              <w:left w:val="single" w:color="auto" w:sz="4" w:space="0"/>
              <w:bottom w:val="single" w:color="auto" w:sz="4" w:space="0"/>
              <w:right w:val="single" w:color="auto" w:sz="4" w:space="0"/>
            </w:tcBorders>
            <w:shd w:val="clear" w:color="auto" w:fill="C6E0B4"/>
            <w:tcMar>
              <w:top w:w="0" w:type="dxa"/>
              <w:left w:w="108" w:type="dxa"/>
              <w:bottom w:w="0" w:type="dxa"/>
              <w:right w:w="108" w:type="dxa"/>
            </w:tcMar>
          </w:tcPr>
          <w:p w:rsidR="002C70D7" w:rsidRDefault="002C70D7" w14:paraId="685EC315" w14:textId="77777777">
            <w:pPr>
              <w:jc w:val="center"/>
              <w:rPr>
                <w:rFonts w:ascii="Arial" w:hAnsi="Arial" w:cs="Arial"/>
                <w:b/>
                <w:bCs/>
                <w:color w:val="000000"/>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C6E0B4"/>
            <w:noWrap/>
            <w:tcMar>
              <w:top w:w="0" w:type="dxa"/>
              <w:left w:w="108" w:type="dxa"/>
              <w:bottom w:w="0" w:type="dxa"/>
              <w:right w:w="108" w:type="dxa"/>
            </w:tcMar>
            <w:vAlign w:val="center"/>
            <w:hideMark/>
          </w:tcPr>
          <w:p w:rsidR="002C70D7" w:rsidRDefault="002C70D7" w14:paraId="166EEB3A" w14:textId="77777777">
            <w:pPr>
              <w:jc w:val="center"/>
              <w:rPr>
                <w:rFonts w:ascii="Arial" w:hAnsi="Arial" w:cs="Arial"/>
                <w:b/>
                <w:bCs/>
                <w:color w:val="000000"/>
              </w:rPr>
            </w:pPr>
            <w:r>
              <w:rPr>
                <w:rFonts w:ascii="Arial" w:hAnsi="Arial" w:cs="Arial"/>
                <w:b/>
                <w:bCs/>
                <w:color w:val="000000"/>
              </w:rPr>
              <w:t>Category</w:t>
            </w:r>
          </w:p>
        </w:tc>
        <w:tc>
          <w:tcPr>
            <w:tcW w:w="1533" w:type="dxa"/>
            <w:tcBorders>
              <w:top w:val="single" w:color="auto" w:sz="4" w:space="0"/>
              <w:left w:val="single" w:color="auto" w:sz="4" w:space="0"/>
              <w:bottom w:val="single" w:color="auto" w:sz="4" w:space="0"/>
              <w:right w:val="single" w:color="auto" w:sz="4" w:space="0"/>
            </w:tcBorders>
            <w:shd w:val="clear" w:color="auto" w:fill="C6E0B4"/>
            <w:noWrap/>
            <w:tcMar>
              <w:top w:w="0" w:type="dxa"/>
              <w:left w:w="108" w:type="dxa"/>
              <w:bottom w:w="0" w:type="dxa"/>
              <w:right w:w="108" w:type="dxa"/>
            </w:tcMar>
            <w:vAlign w:val="center"/>
            <w:hideMark/>
          </w:tcPr>
          <w:p w:rsidR="002C70D7" w:rsidRDefault="002C70D7" w14:paraId="3842C771" w14:textId="77777777">
            <w:pPr>
              <w:jc w:val="center"/>
              <w:rPr>
                <w:rFonts w:ascii="Arial" w:hAnsi="Arial" w:cs="Arial"/>
                <w:b/>
                <w:bCs/>
                <w:color w:val="000000"/>
              </w:rPr>
            </w:pPr>
            <w:r>
              <w:rPr>
                <w:rFonts w:ascii="Arial" w:hAnsi="Arial" w:cs="Arial"/>
                <w:b/>
                <w:bCs/>
                <w:color w:val="000000"/>
              </w:rPr>
              <w:t>Short Title</w:t>
            </w:r>
          </w:p>
        </w:tc>
        <w:tc>
          <w:tcPr>
            <w:tcW w:w="4680" w:type="dxa"/>
            <w:tcBorders>
              <w:top w:val="single" w:color="auto" w:sz="4" w:space="0"/>
              <w:left w:val="single" w:color="auto" w:sz="4" w:space="0"/>
              <w:bottom w:val="single" w:color="auto" w:sz="4" w:space="0"/>
              <w:right w:val="single" w:color="auto" w:sz="4" w:space="0"/>
            </w:tcBorders>
            <w:shd w:val="clear" w:color="auto" w:fill="C6E0B4"/>
            <w:noWrap/>
            <w:tcMar>
              <w:top w:w="0" w:type="dxa"/>
              <w:left w:w="108" w:type="dxa"/>
              <w:bottom w:w="0" w:type="dxa"/>
              <w:right w:w="108" w:type="dxa"/>
            </w:tcMar>
            <w:vAlign w:val="center"/>
            <w:hideMark/>
          </w:tcPr>
          <w:p w:rsidR="002C70D7" w:rsidRDefault="002C70D7" w14:paraId="74EA1CCE" w14:textId="77777777">
            <w:pPr>
              <w:jc w:val="center"/>
              <w:rPr>
                <w:rFonts w:ascii="Arial" w:hAnsi="Arial" w:cs="Arial"/>
                <w:b/>
                <w:bCs/>
                <w:color w:val="000000"/>
              </w:rPr>
            </w:pPr>
            <w:r>
              <w:rPr>
                <w:rFonts w:ascii="Arial" w:hAnsi="Arial" w:cs="Arial"/>
                <w:b/>
                <w:bCs/>
                <w:color w:val="000000"/>
              </w:rPr>
              <w:t xml:space="preserve">Description </w:t>
            </w:r>
          </w:p>
        </w:tc>
        <w:tc>
          <w:tcPr>
            <w:tcW w:w="11382" w:type="dxa"/>
            <w:tcBorders>
              <w:left w:val="single" w:color="auto" w:sz="4" w:space="0"/>
            </w:tcBorders>
            <w:tcMar>
              <w:top w:w="0" w:type="dxa"/>
              <w:left w:w="108" w:type="dxa"/>
              <w:bottom w:w="0" w:type="dxa"/>
              <w:right w:w="108" w:type="dxa"/>
            </w:tcMar>
            <w:vAlign w:val="center"/>
            <w:hideMark/>
          </w:tcPr>
          <w:p w:rsidR="002C70D7" w:rsidRDefault="002C70D7" w14:paraId="545FF41C" w14:textId="77777777">
            <w:pPr>
              <w:rPr>
                <w:rFonts w:ascii="Arial" w:hAnsi="Arial" w:cs="Arial"/>
                <w:b/>
                <w:bCs/>
                <w:color w:val="000000"/>
              </w:rPr>
            </w:pPr>
          </w:p>
        </w:tc>
      </w:tr>
      <w:tr w:rsidR="002C70D7" w:rsidTr="002C70D7" w14:paraId="43CD5FD8" w14:textId="77777777">
        <w:trPr>
          <w:trHeight w:val="612"/>
        </w:trPr>
        <w:tc>
          <w:tcPr>
            <w:tcW w:w="8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1BB1E70E" w14:textId="77777777">
            <w:pPr>
              <w:jc w:val="center"/>
              <w:rPr>
                <w:rFonts w:ascii="Arial" w:hAnsi="Arial" w:cs="Arial"/>
                <w:color w:val="000000"/>
                <w:lang w:eastAsia="ko-KR"/>
              </w:rPr>
            </w:pPr>
            <w:r>
              <w:rPr>
                <w:rFonts w:ascii="Arial" w:hAnsi="Arial" w:cs="Arial"/>
                <w:color w:val="000000"/>
              </w:rPr>
              <w:t>1</w:t>
            </w:r>
          </w:p>
        </w:tc>
        <w:tc>
          <w:tcPr>
            <w:tcW w:w="180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12F9CEA5" w14:textId="77777777">
            <w:pPr>
              <w:jc w:val="center"/>
              <w:rPr>
                <w:rFonts w:ascii="Arial" w:hAnsi="Arial" w:cs="Arial"/>
                <w:color w:val="000000"/>
              </w:rPr>
            </w:pPr>
            <w:r>
              <w:rPr>
                <w:rFonts w:ascii="Arial" w:hAnsi="Arial" w:cs="Arial"/>
                <w:color w:val="000000"/>
              </w:rPr>
              <w:t>UA1</w:t>
            </w:r>
          </w:p>
        </w:tc>
        <w:tc>
          <w:tcPr>
            <w:tcW w:w="1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1479478B" w14:textId="77777777">
            <w:pPr>
              <w:rPr>
                <w:rFonts w:ascii="Arial" w:hAnsi="Arial" w:cs="Arial"/>
                <w:color w:val="000000"/>
              </w:rPr>
            </w:pPr>
            <w:r>
              <w:rPr>
                <w:rFonts w:ascii="Arial" w:hAnsi="Arial" w:cs="Arial"/>
                <w:color w:val="000000"/>
              </w:rPr>
              <w:t>Unsecured Non-NSLPs (</w:t>
            </w:r>
            <w:r>
              <w:rPr>
                <w:rFonts w:ascii="Arial" w:hAnsi="Arial" w:cs="Arial"/>
              </w:rPr>
              <w:t>National Security Loan Program</w:t>
            </w:r>
            <w:r>
              <w:rPr>
                <w:rFonts w:ascii="Arial" w:hAnsi="Arial" w:cs="Arial"/>
                <w:color w:val="000000"/>
              </w:rPr>
              <w:t>)</w:t>
            </w:r>
          </w:p>
        </w:tc>
        <w:tc>
          <w:tcPr>
            <w:tcW w:w="46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0BBA4A6F" w14:textId="77777777">
            <w:pPr>
              <w:rPr>
                <w:rFonts w:ascii="Arial" w:hAnsi="Arial" w:cs="Arial"/>
                <w:color w:val="000000"/>
              </w:rPr>
            </w:pPr>
            <w:r>
              <w:rPr>
                <w:rFonts w:ascii="Arial" w:hAnsi="Arial" w:cs="Arial"/>
                <w:color w:val="000000"/>
              </w:rPr>
              <w:t>Ticket Agents, Cargo Carriers, and Repair Stations that entered into an unsecured 4003 Program loan agreement. Financials and UA covenants.</w:t>
            </w:r>
          </w:p>
        </w:tc>
        <w:tc>
          <w:tcPr>
            <w:tcW w:w="11382" w:type="dxa"/>
            <w:tcBorders>
              <w:left w:val="single" w:color="auto" w:sz="4" w:space="0"/>
            </w:tcBorders>
            <w:tcMar>
              <w:top w:w="0" w:type="dxa"/>
              <w:left w:w="108" w:type="dxa"/>
              <w:bottom w:w="0" w:type="dxa"/>
              <w:right w:w="108" w:type="dxa"/>
            </w:tcMar>
            <w:vAlign w:val="center"/>
            <w:hideMark/>
          </w:tcPr>
          <w:p w:rsidR="002C70D7" w:rsidRDefault="002C70D7" w14:paraId="04C63AE0" w14:textId="77777777">
            <w:pPr>
              <w:rPr>
                <w:rFonts w:ascii="Arial" w:hAnsi="Arial" w:cs="Arial"/>
                <w:color w:val="000000"/>
              </w:rPr>
            </w:pPr>
          </w:p>
        </w:tc>
      </w:tr>
      <w:tr w:rsidR="002C70D7" w:rsidTr="002C70D7" w14:paraId="2A709604" w14:textId="77777777">
        <w:trPr>
          <w:trHeight w:val="612"/>
        </w:trPr>
        <w:tc>
          <w:tcPr>
            <w:tcW w:w="8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38E2AB59" w14:textId="77777777">
            <w:pPr>
              <w:jc w:val="center"/>
              <w:rPr>
                <w:rFonts w:ascii="Arial" w:hAnsi="Arial" w:cs="Arial"/>
                <w:color w:val="000000"/>
                <w:lang w:eastAsia="ko-KR"/>
              </w:rPr>
            </w:pPr>
            <w:r>
              <w:rPr>
                <w:rFonts w:ascii="Arial" w:hAnsi="Arial" w:cs="Arial"/>
                <w:color w:val="000000"/>
              </w:rPr>
              <w:t>2</w:t>
            </w:r>
          </w:p>
        </w:tc>
        <w:tc>
          <w:tcPr>
            <w:tcW w:w="180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6AD452EA" w14:textId="77777777">
            <w:pPr>
              <w:jc w:val="center"/>
              <w:rPr>
                <w:rFonts w:ascii="Arial" w:hAnsi="Arial" w:cs="Arial"/>
                <w:color w:val="000000"/>
              </w:rPr>
            </w:pPr>
            <w:r>
              <w:rPr>
                <w:rFonts w:ascii="Arial" w:hAnsi="Arial" w:cs="Arial"/>
                <w:color w:val="000000"/>
              </w:rPr>
              <w:t>UA2</w:t>
            </w:r>
          </w:p>
        </w:tc>
        <w:tc>
          <w:tcPr>
            <w:tcW w:w="1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6E7DD630" w14:textId="77777777">
            <w:pPr>
              <w:rPr>
                <w:rFonts w:ascii="Arial" w:hAnsi="Arial" w:cs="Arial"/>
                <w:color w:val="000000"/>
              </w:rPr>
            </w:pPr>
            <w:r>
              <w:rPr>
                <w:rFonts w:ascii="Arial" w:hAnsi="Arial" w:cs="Arial"/>
                <w:color w:val="000000"/>
              </w:rPr>
              <w:t>Unsecured NSLP</w:t>
            </w:r>
          </w:p>
        </w:tc>
        <w:tc>
          <w:tcPr>
            <w:tcW w:w="46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6C8EE0F4" w14:textId="77777777">
            <w:pPr>
              <w:rPr>
                <w:rFonts w:ascii="Arial" w:hAnsi="Arial" w:cs="Arial"/>
                <w:color w:val="000000"/>
              </w:rPr>
            </w:pPr>
            <w:r>
              <w:rPr>
                <w:rFonts w:ascii="Arial" w:hAnsi="Arial" w:cs="Arial"/>
                <w:color w:val="000000"/>
              </w:rPr>
              <w:t>NSLPs that entered into an unsecured 4003 Program loan agreement. Financial, UA covenants, and headcount extends to 2021.</w:t>
            </w:r>
          </w:p>
        </w:tc>
        <w:tc>
          <w:tcPr>
            <w:tcW w:w="11382" w:type="dxa"/>
            <w:tcBorders>
              <w:left w:val="single" w:color="auto" w:sz="4" w:space="0"/>
            </w:tcBorders>
            <w:tcMar>
              <w:top w:w="0" w:type="dxa"/>
              <w:left w:w="108" w:type="dxa"/>
              <w:bottom w:w="0" w:type="dxa"/>
              <w:right w:w="108" w:type="dxa"/>
            </w:tcMar>
            <w:vAlign w:val="center"/>
            <w:hideMark/>
          </w:tcPr>
          <w:p w:rsidR="002C70D7" w:rsidRDefault="002C70D7" w14:paraId="4058D1AC" w14:textId="77777777">
            <w:pPr>
              <w:rPr>
                <w:rFonts w:ascii="Arial" w:hAnsi="Arial" w:cs="Arial"/>
                <w:color w:val="000000"/>
              </w:rPr>
            </w:pPr>
          </w:p>
        </w:tc>
      </w:tr>
      <w:tr w:rsidR="002C70D7" w:rsidTr="002C70D7" w14:paraId="192D3724" w14:textId="77777777">
        <w:trPr>
          <w:trHeight w:val="612"/>
        </w:trPr>
        <w:tc>
          <w:tcPr>
            <w:tcW w:w="8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3C37EBD3" w14:textId="77777777">
            <w:pPr>
              <w:jc w:val="center"/>
              <w:rPr>
                <w:rFonts w:ascii="Arial" w:hAnsi="Arial" w:cs="Arial"/>
                <w:color w:val="000000"/>
                <w:lang w:eastAsia="ko-KR"/>
              </w:rPr>
            </w:pPr>
            <w:r>
              <w:rPr>
                <w:rFonts w:ascii="Arial" w:hAnsi="Arial" w:cs="Arial"/>
                <w:color w:val="000000"/>
              </w:rPr>
              <w:t>3</w:t>
            </w:r>
          </w:p>
        </w:tc>
        <w:tc>
          <w:tcPr>
            <w:tcW w:w="180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485EC55C" w14:textId="77777777">
            <w:pPr>
              <w:jc w:val="center"/>
              <w:rPr>
                <w:rFonts w:ascii="Arial" w:hAnsi="Arial" w:cs="Arial"/>
                <w:color w:val="000000"/>
              </w:rPr>
            </w:pPr>
            <w:r>
              <w:rPr>
                <w:rFonts w:ascii="Arial" w:hAnsi="Arial" w:cs="Arial"/>
                <w:color w:val="000000"/>
              </w:rPr>
              <w:t>SA1</w:t>
            </w:r>
          </w:p>
        </w:tc>
        <w:tc>
          <w:tcPr>
            <w:tcW w:w="1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76C62DBD" w14:textId="77777777">
            <w:pPr>
              <w:rPr>
                <w:rFonts w:ascii="Arial" w:hAnsi="Arial" w:cs="Arial"/>
                <w:color w:val="000000"/>
              </w:rPr>
            </w:pPr>
            <w:r>
              <w:rPr>
                <w:rFonts w:ascii="Arial" w:hAnsi="Arial" w:cs="Arial"/>
                <w:color w:val="000000"/>
              </w:rPr>
              <w:t>Secured NSLPs</w:t>
            </w:r>
          </w:p>
        </w:tc>
        <w:tc>
          <w:tcPr>
            <w:tcW w:w="46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2BD5AB44" w14:textId="77777777">
            <w:pPr>
              <w:rPr>
                <w:rFonts w:ascii="Arial" w:hAnsi="Arial" w:cs="Arial"/>
                <w:color w:val="000000"/>
              </w:rPr>
            </w:pPr>
            <w:r>
              <w:rPr>
                <w:rFonts w:ascii="Arial" w:hAnsi="Arial" w:cs="Arial"/>
                <w:color w:val="000000"/>
              </w:rPr>
              <w:t>Non-YRC NSLPs that entered into a secured 4003 Program loan agreement. Insurance, appraisals, collateral, and headcount extends to 2021.</w:t>
            </w:r>
          </w:p>
        </w:tc>
        <w:tc>
          <w:tcPr>
            <w:tcW w:w="11382" w:type="dxa"/>
            <w:tcBorders>
              <w:left w:val="single" w:color="auto" w:sz="4" w:space="0"/>
            </w:tcBorders>
            <w:tcMar>
              <w:top w:w="0" w:type="dxa"/>
              <w:left w:w="108" w:type="dxa"/>
              <w:bottom w:w="0" w:type="dxa"/>
              <w:right w:w="108" w:type="dxa"/>
            </w:tcMar>
            <w:vAlign w:val="center"/>
            <w:hideMark/>
          </w:tcPr>
          <w:p w:rsidR="002C70D7" w:rsidRDefault="002C70D7" w14:paraId="3F181011" w14:textId="77777777">
            <w:pPr>
              <w:rPr>
                <w:rFonts w:ascii="Arial" w:hAnsi="Arial" w:cs="Arial"/>
                <w:color w:val="000000"/>
              </w:rPr>
            </w:pPr>
          </w:p>
        </w:tc>
      </w:tr>
      <w:tr w:rsidR="002C70D7" w:rsidTr="002C70D7" w14:paraId="536BD0F4" w14:textId="77777777">
        <w:trPr>
          <w:trHeight w:val="612"/>
        </w:trPr>
        <w:tc>
          <w:tcPr>
            <w:tcW w:w="8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76A9272F" w14:textId="77777777">
            <w:pPr>
              <w:jc w:val="center"/>
              <w:rPr>
                <w:rFonts w:ascii="Arial" w:hAnsi="Arial" w:cs="Arial"/>
                <w:color w:val="000000"/>
                <w:lang w:eastAsia="ko-KR"/>
              </w:rPr>
            </w:pPr>
            <w:r>
              <w:rPr>
                <w:rFonts w:ascii="Arial" w:hAnsi="Arial" w:cs="Arial"/>
                <w:color w:val="000000"/>
              </w:rPr>
              <w:lastRenderedPageBreak/>
              <w:t>4</w:t>
            </w:r>
          </w:p>
        </w:tc>
        <w:tc>
          <w:tcPr>
            <w:tcW w:w="180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52511E60" w14:textId="77777777">
            <w:pPr>
              <w:jc w:val="center"/>
              <w:rPr>
                <w:rFonts w:ascii="Arial" w:hAnsi="Arial" w:cs="Arial"/>
                <w:color w:val="000000"/>
              </w:rPr>
            </w:pPr>
            <w:r>
              <w:rPr>
                <w:rFonts w:ascii="Arial" w:hAnsi="Arial" w:cs="Arial"/>
                <w:color w:val="000000"/>
              </w:rPr>
              <w:t>SA2</w:t>
            </w:r>
          </w:p>
        </w:tc>
        <w:tc>
          <w:tcPr>
            <w:tcW w:w="1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0D071CB9" w14:textId="77777777">
            <w:pPr>
              <w:rPr>
                <w:rFonts w:ascii="Arial" w:hAnsi="Arial" w:cs="Arial"/>
                <w:color w:val="000000"/>
              </w:rPr>
            </w:pPr>
            <w:r>
              <w:rPr>
                <w:rFonts w:ascii="Arial" w:hAnsi="Arial" w:cs="Arial"/>
                <w:color w:val="000000"/>
              </w:rPr>
              <w:t>Secured Domestic Airlines w/ Loyalty Program (LP) Collateral</w:t>
            </w:r>
          </w:p>
        </w:tc>
        <w:tc>
          <w:tcPr>
            <w:tcW w:w="46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64E5A27F" w14:textId="77777777">
            <w:pPr>
              <w:rPr>
                <w:rFonts w:ascii="Arial" w:hAnsi="Arial" w:cs="Arial"/>
                <w:color w:val="000000"/>
              </w:rPr>
            </w:pPr>
            <w:r>
              <w:rPr>
                <w:rFonts w:ascii="Arial" w:hAnsi="Arial" w:cs="Arial"/>
                <w:color w:val="000000"/>
              </w:rPr>
              <w:t>Domestic Airlines that entered into a secured 4003 Program loan agreement and pledged loyalty programs as collateral. Insurance, appraisals, collateral, and all financial covenants.</w:t>
            </w:r>
          </w:p>
        </w:tc>
        <w:tc>
          <w:tcPr>
            <w:tcW w:w="11382" w:type="dxa"/>
            <w:tcBorders>
              <w:left w:val="single" w:color="auto" w:sz="4" w:space="0"/>
            </w:tcBorders>
            <w:tcMar>
              <w:top w:w="0" w:type="dxa"/>
              <w:left w:w="108" w:type="dxa"/>
              <w:bottom w:w="0" w:type="dxa"/>
              <w:right w:w="108" w:type="dxa"/>
            </w:tcMar>
            <w:vAlign w:val="center"/>
            <w:hideMark/>
          </w:tcPr>
          <w:p w:rsidR="002C70D7" w:rsidRDefault="002C70D7" w14:paraId="5897D24E" w14:textId="77777777">
            <w:pPr>
              <w:rPr>
                <w:rFonts w:ascii="Arial" w:hAnsi="Arial" w:cs="Arial"/>
                <w:color w:val="000000"/>
              </w:rPr>
            </w:pPr>
          </w:p>
        </w:tc>
      </w:tr>
      <w:tr w:rsidR="002C70D7" w:rsidTr="002C70D7" w14:paraId="58A409FF" w14:textId="77777777">
        <w:trPr>
          <w:trHeight w:val="612"/>
        </w:trPr>
        <w:tc>
          <w:tcPr>
            <w:tcW w:w="8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6A3BF994" w14:textId="77777777">
            <w:pPr>
              <w:jc w:val="center"/>
              <w:rPr>
                <w:rFonts w:ascii="Arial" w:hAnsi="Arial" w:cs="Arial"/>
                <w:color w:val="000000"/>
                <w:lang w:eastAsia="ko-KR"/>
              </w:rPr>
            </w:pPr>
            <w:r>
              <w:rPr>
                <w:rFonts w:ascii="Arial" w:hAnsi="Arial" w:cs="Arial"/>
                <w:color w:val="000000"/>
              </w:rPr>
              <w:t>5</w:t>
            </w:r>
          </w:p>
        </w:tc>
        <w:tc>
          <w:tcPr>
            <w:tcW w:w="180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19E293E9" w14:textId="77777777">
            <w:pPr>
              <w:jc w:val="center"/>
              <w:rPr>
                <w:rFonts w:ascii="Arial" w:hAnsi="Arial" w:cs="Arial"/>
                <w:color w:val="000000"/>
              </w:rPr>
            </w:pPr>
            <w:r>
              <w:rPr>
                <w:rFonts w:ascii="Arial" w:hAnsi="Arial" w:cs="Arial"/>
                <w:color w:val="000000"/>
              </w:rPr>
              <w:t>SA3</w:t>
            </w:r>
          </w:p>
        </w:tc>
        <w:tc>
          <w:tcPr>
            <w:tcW w:w="1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24510FC3" w14:textId="77777777">
            <w:pPr>
              <w:rPr>
                <w:rFonts w:ascii="Arial" w:hAnsi="Arial" w:cs="Arial"/>
                <w:color w:val="000000"/>
              </w:rPr>
            </w:pPr>
            <w:r>
              <w:rPr>
                <w:rFonts w:ascii="Arial" w:hAnsi="Arial" w:cs="Arial"/>
                <w:color w:val="000000"/>
              </w:rPr>
              <w:t>Secured Domestic Airlines w/o LP Collateral</w:t>
            </w:r>
          </w:p>
        </w:tc>
        <w:tc>
          <w:tcPr>
            <w:tcW w:w="46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54D67591" w14:textId="77777777">
            <w:pPr>
              <w:rPr>
                <w:rFonts w:ascii="Arial" w:hAnsi="Arial" w:cs="Arial"/>
                <w:color w:val="000000"/>
              </w:rPr>
            </w:pPr>
            <w:r>
              <w:rPr>
                <w:rFonts w:ascii="Arial" w:hAnsi="Arial" w:cs="Arial"/>
                <w:color w:val="000000"/>
              </w:rPr>
              <w:t>Domestic Airlines that entered into a secured 4003 Program loan agreement but did not pledge loyalty programs as collateral. Insurance, appraisals, collateral, CCR, Liquidity (no DSCR).</w:t>
            </w:r>
          </w:p>
        </w:tc>
        <w:tc>
          <w:tcPr>
            <w:tcW w:w="11382" w:type="dxa"/>
            <w:tcBorders>
              <w:left w:val="single" w:color="auto" w:sz="4" w:space="0"/>
            </w:tcBorders>
            <w:tcMar>
              <w:top w:w="0" w:type="dxa"/>
              <w:left w:w="108" w:type="dxa"/>
              <w:bottom w:w="0" w:type="dxa"/>
              <w:right w:w="108" w:type="dxa"/>
            </w:tcMar>
            <w:vAlign w:val="center"/>
            <w:hideMark/>
          </w:tcPr>
          <w:p w:rsidR="002C70D7" w:rsidRDefault="002C70D7" w14:paraId="426931B0" w14:textId="77777777">
            <w:pPr>
              <w:rPr>
                <w:rFonts w:ascii="Arial" w:hAnsi="Arial" w:cs="Arial"/>
                <w:color w:val="000000"/>
              </w:rPr>
            </w:pPr>
          </w:p>
        </w:tc>
      </w:tr>
      <w:tr w:rsidR="002C70D7" w:rsidTr="002C70D7" w14:paraId="4D7F125C" w14:textId="77777777">
        <w:trPr>
          <w:trHeight w:val="612"/>
        </w:trPr>
        <w:tc>
          <w:tcPr>
            <w:tcW w:w="8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28206C68" w14:textId="77777777">
            <w:pPr>
              <w:jc w:val="center"/>
              <w:rPr>
                <w:rFonts w:ascii="Arial" w:hAnsi="Arial" w:cs="Arial"/>
                <w:color w:val="000000"/>
                <w:lang w:eastAsia="ko-KR"/>
              </w:rPr>
            </w:pPr>
            <w:r>
              <w:rPr>
                <w:rFonts w:ascii="Arial" w:hAnsi="Arial" w:cs="Arial"/>
                <w:color w:val="000000"/>
              </w:rPr>
              <w:t>6</w:t>
            </w:r>
          </w:p>
        </w:tc>
        <w:tc>
          <w:tcPr>
            <w:tcW w:w="180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7EEB936A" w14:textId="77777777">
            <w:pPr>
              <w:jc w:val="center"/>
              <w:rPr>
                <w:rFonts w:ascii="Arial" w:hAnsi="Arial" w:cs="Arial"/>
                <w:color w:val="000000"/>
              </w:rPr>
            </w:pPr>
            <w:r>
              <w:rPr>
                <w:rFonts w:ascii="Arial" w:hAnsi="Arial" w:cs="Arial"/>
                <w:color w:val="000000"/>
              </w:rPr>
              <w:t>SA4</w:t>
            </w:r>
          </w:p>
        </w:tc>
        <w:tc>
          <w:tcPr>
            <w:tcW w:w="1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2E834E35" w14:textId="77777777">
            <w:pPr>
              <w:rPr>
                <w:rFonts w:ascii="Arial" w:hAnsi="Arial" w:cs="Arial"/>
                <w:color w:val="000000"/>
              </w:rPr>
            </w:pPr>
            <w:r>
              <w:rPr>
                <w:rFonts w:ascii="Arial" w:hAnsi="Arial" w:cs="Arial"/>
                <w:color w:val="000000"/>
              </w:rPr>
              <w:t>Other Secured Loans ≤ $15m</w:t>
            </w:r>
          </w:p>
        </w:tc>
        <w:tc>
          <w:tcPr>
            <w:tcW w:w="46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7E5C151A" w14:textId="77777777">
            <w:pPr>
              <w:rPr>
                <w:rFonts w:ascii="Arial" w:hAnsi="Arial" w:cs="Arial"/>
                <w:color w:val="000000"/>
              </w:rPr>
            </w:pPr>
            <w:r>
              <w:rPr>
                <w:rFonts w:ascii="Arial" w:hAnsi="Arial" w:cs="Arial"/>
                <w:color w:val="000000"/>
              </w:rPr>
              <w:t>Other secured 4003 Program loans less than or equal to $15,000,000 provided to small passenger carriers, cargo carriers, repair stations, and a ticket agent. Insurance, appraisals, collateral, CCR (no DSCR, Liquidity).</w:t>
            </w:r>
          </w:p>
        </w:tc>
        <w:tc>
          <w:tcPr>
            <w:tcW w:w="11382" w:type="dxa"/>
            <w:tcBorders>
              <w:left w:val="single" w:color="auto" w:sz="4" w:space="0"/>
            </w:tcBorders>
            <w:tcMar>
              <w:top w:w="0" w:type="dxa"/>
              <w:left w:w="108" w:type="dxa"/>
              <w:bottom w:w="0" w:type="dxa"/>
              <w:right w:w="108" w:type="dxa"/>
            </w:tcMar>
            <w:vAlign w:val="center"/>
            <w:hideMark/>
          </w:tcPr>
          <w:p w:rsidR="002C70D7" w:rsidRDefault="002C70D7" w14:paraId="2DA27C16" w14:textId="77777777">
            <w:pPr>
              <w:rPr>
                <w:rFonts w:ascii="Arial" w:hAnsi="Arial" w:cs="Arial"/>
                <w:color w:val="000000"/>
              </w:rPr>
            </w:pPr>
          </w:p>
        </w:tc>
      </w:tr>
      <w:tr w:rsidR="002C70D7" w:rsidTr="002C70D7" w14:paraId="4ACC2D79" w14:textId="77777777">
        <w:trPr>
          <w:trHeight w:val="612"/>
        </w:trPr>
        <w:tc>
          <w:tcPr>
            <w:tcW w:w="8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1EF0405F" w14:textId="77777777">
            <w:pPr>
              <w:jc w:val="center"/>
              <w:rPr>
                <w:rFonts w:ascii="Arial" w:hAnsi="Arial" w:cs="Arial"/>
                <w:color w:val="000000"/>
                <w:lang w:eastAsia="ko-KR"/>
              </w:rPr>
            </w:pPr>
            <w:r>
              <w:rPr>
                <w:rFonts w:ascii="Arial" w:hAnsi="Arial" w:cs="Arial"/>
                <w:color w:val="000000"/>
              </w:rPr>
              <w:t>7</w:t>
            </w:r>
          </w:p>
        </w:tc>
        <w:tc>
          <w:tcPr>
            <w:tcW w:w="180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01E2340A" w14:textId="77777777">
            <w:pPr>
              <w:jc w:val="center"/>
              <w:rPr>
                <w:rFonts w:ascii="Arial" w:hAnsi="Arial" w:cs="Arial"/>
                <w:color w:val="000000"/>
              </w:rPr>
            </w:pPr>
            <w:r>
              <w:rPr>
                <w:rFonts w:ascii="Arial" w:hAnsi="Arial" w:cs="Arial"/>
                <w:color w:val="000000"/>
              </w:rPr>
              <w:t>YRC (A)</w:t>
            </w:r>
          </w:p>
        </w:tc>
        <w:tc>
          <w:tcPr>
            <w:tcW w:w="1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5DF30799" w14:textId="77777777">
            <w:pPr>
              <w:rPr>
                <w:rFonts w:ascii="Arial" w:hAnsi="Arial" w:cs="Arial"/>
                <w:color w:val="000000"/>
              </w:rPr>
            </w:pPr>
            <w:r>
              <w:rPr>
                <w:rFonts w:ascii="Arial" w:hAnsi="Arial" w:cs="Arial"/>
                <w:color w:val="000000"/>
              </w:rPr>
              <w:t>YRC Tranche A</w:t>
            </w:r>
          </w:p>
        </w:tc>
        <w:tc>
          <w:tcPr>
            <w:tcW w:w="46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4F77599E" w14:textId="77777777">
            <w:pPr>
              <w:rPr>
                <w:rFonts w:ascii="Arial" w:hAnsi="Arial" w:cs="Arial"/>
                <w:color w:val="000000"/>
              </w:rPr>
            </w:pPr>
            <w:r>
              <w:rPr>
                <w:rFonts w:ascii="Arial" w:hAnsi="Arial" w:cs="Arial"/>
                <w:color w:val="000000"/>
              </w:rPr>
              <w:t>NSLP that entered into a secured 4003 Program loan agreement with a total loan value above $250 Million. Headcount extends to 2021. YRC, AKA Yellow Corp. is a single borrower</w:t>
            </w:r>
          </w:p>
        </w:tc>
        <w:tc>
          <w:tcPr>
            <w:tcW w:w="11382" w:type="dxa"/>
            <w:tcBorders>
              <w:left w:val="single" w:color="auto" w:sz="4" w:space="0"/>
            </w:tcBorders>
            <w:tcMar>
              <w:top w:w="0" w:type="dxa"/>
              <w:left w:w="108" w:type="dxa"/>
              <w:bottom w:w="0" w:type="dxa"/>
              <w:right w:w="108" w:type="dxa"/>
            </w:tcMar>
            <w:vAlign w:val="center"/>
            <w:hideMark/>
          </w:tcPr>
          <w:p w:rsidR="002C70D7" w:rsidRDefault="002C70D7" w14:paraId="30B5D57F" w14:textId="77777777">
            <w:pPr>
              <w:rPr>
                <w:rFonts w:ascii="Arial" w:hAnsi="Arial" w:cs="Arial"/>
                <w:color w:val="000000"/>
              </w:rPr>
            </w:pPr>
          </w:p>
        </w:tc>
      </w:tr>
      <w:tr w:rsidR="002C70D7" w:rsidTr="002C70D7" w14:paraId="77CF4654" w14:textId="77777777">
        <w:trPr>
          <w:trHeight w:val="612"/>
        </w:trPr>
        <w:tc>
          <w:tcPr>
            <w:tcW w:w="8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15F9479D" w14:textId="77777777">
            <w:pPr>
              <w:jc w:val="center"/>
              <w:rPr>
                <w:rFonts w:ascii="Arial" w:hAnsi="Arial" w:cs="Arial"/>
                <w:color w:val="000000"/>
                <w:lang w:eastAsia="ko-KR"/>
              </w:rPr>
            </w:pPr>
            <w:r>
              <w:rPr>
                <w:rFonts w:ascii="Arial" w:hAnsi="Arial" w:cs="Arial"/>
                <w:color w:val="000000"/>
              </w:rPr>
              <w:t>8</w:t>
            </w:r>
          </w:p>
        </w:tc>
        <w:tc>
          <w:tcPr>
            <w:tcW w:w="180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173CFE8C" w14:textId="77777777">
            <w:pPr>
              <w:jc w:val="center"/>
              <w:rPr>
                <w:rFonts w:ascii="Arial" w:hAnsi="Arial" w:cs="Arial"/>
                <w:color w:val="000000"/>
              </w:rPr>
            </w:pPr>
            <w:r>
              <w:rPr>
                <w:rFonts w:ascii="Arial" w:hAnsi="Arial" w:cs="Arial"/>
                <w:color w:val="000000"/>
              </w:rPr>
              <w:t>YRC (B)</w:t>
            </w:r>
          </w:p>
        </w:tc>
        <w:tc>
          <w:tcPr>
            <w:tcW w:w="15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19FDF04B" w14:textId="77777777">
            <w:pPr>
              <w:rPr>
                <w:rFonts w:ascii="Arial" w:hAnsi="Arial" w:cs="Arial"/>
                <w:color w:val="000000"/>
              </w:rPr>
            </w:pPr>
            <w:r>
              <w:rPr>
                <w:rFonts w:ascii="Arial" w:hAnsi="Arial" w:cs="Arial"/>
                <w:color w:val="000000"/>
              </w:rPr>
              <w:t>YRC Tranche B</w:t>
            </w:r>
          </w:p>
        </w:tc>
        <w:tc>
          <w:tcPr>
            <w:tcW w:w="46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C70D7" w:rsidRDefault="002C70D7" w14:paraId="3DF81FE6" w14:textId="77777777">
            <w:pPr>
              <w:rPr>
                <w:rFonts w:ascii="Arial" w:hAnsi="Arial" w:cs="Arial"/>
                <w:color w:val="000000"/>
              </w:rPr>
            </w:pPr>
            <w:r>
              <w:rPr>
                <w:rFonts w:ascii="Arial" w:hAnsi="Arial" w:cs="Arial"/>
                <w:color w:val="000000"/>
              </w:rPr>
              <w:t>NSLP that entered into a secured 4003 Program loan agreement with a total loan value above $300 Million. Headcount extends to 2021.</w:t>
            </w:r>
          </w:p>
        </w:tc>
        <w:tc>
          <w:tcPr>
            <w:tcW w:w="11382" w:type="dxa"/>
            <w:tcBorders>
              <w:left w:val="single" w:color="auto" w:sz="4" w:space="0"/>
            </w:tcBorders>
            <w:tcMar>
              <w:top w:w="0" w:type="dxa"/>
              <w:left w:w="108" w:type="dxa"/>
              <w:bottom w:w="0" w:type="dxa"/>
              <w:right w:w="108" w:type="dxa"/>
            </w:tcMar>
            <w:vAlign w:val="center"/>
            <w:hideMark/>
          </w:tcPr>
          <w:p w:rsidR="002C70D7" w:rsidRDefault="002C70D7" w14:paraId="72EC8C4C" w14:textId="77777777">
            <w:pPr>
              <w:rPr>
                <w:rFonts w:ascii="Arial" w:hAnsi="Arial" w:cs="Arial"/>
                <w:color w:val="000000"/>
              </w:rPr>
            </w:pPr>
          </w:p>
        </w:tc>
      </w:tr>
      <w:tr w:rsidR="002C70D7" w:rsidTr="002C70D7" w14:paraId="09CB8AE3" w14:textId="77777777">
        <w:tc>
          <w:tcPr>
            <w:tcW w:w="885" w:type="dxa"/>
            <w:tcBorders>
              <w:top w:val="single" w:color="auto" w:sz="4" w:space="0"/>
            </w:tcBorders>
            <w:vAlign w:val="center"/>
            <w:hideMark/>
          </w:tcPr>
          <w:p w:rsidR="002C70D7" w:rsidRDefault="002C70D7" w14:paraId="65C9F522" w14:textId="77777777">
            <w:pPr>
              <w:rPr>
                <w:rFonts w:ascii="Times New Roman" w:hAnsi="Times New Roman" w:eastAsia="Times New Roman" w:cs="Times New Roman"/>
                <w:sz w:val="20"/>
                <w:szCs w:val="20"/>
              </w:rPr>
            </w:pPr>
          </w:p>
        </w:tc>
        <w:tc>
          <w:tcPr>
            <w:tcW w:w="932" w:type="dxa"/>
            <w:tcBorders>
              <w:top w:val="single" w:color="auto" w:sz="4" w:space="0"/>
            </w:tcBorders>
            <w:vAlign w:val="center"/>
            <w:hideMark/>
          </w:tcPr>
          <w:p w:rsidR="002C70D7" w:rsidRDefault="002C70D7" w14:paraId="0FCDF37E" w14:textId="77777777">
            <w:pPr>
              <w:rPr>
                <w:rFonts w:ascii="Times New Roman" w:hAnsi="Times New Roman" w:eastAsia="Times New Roman" w:cs="Times New Roman"/>
                <w:sz w:val="20"/>
                <w:szCs w:val="20"/>
              </w:rPr>
            </w:pPr>
          </w:p>
        </w:tc>
        <w:tc>
          <w:tcPr>
            <w:tcW w:w="870" w:type="dxa"/>
            <w:tcBorders>
              <w:top w:val="single" w:color="auto" w:sz="4" w:space="0"/>
            </w:tcBorders>
            <w:vAlign w:val="center"/>
            <w:hideMark/>
          </w:tcPr>
          <w:p w:rsidR="002C70D7" w:rsidRDefault="002C70D7" w14:paraId="6B02EFF4" w14:textId="77777777">
            <w:pPr>
              <w:rPr>
                <w:rFonts w:ascii="Times New Roman" w:hAnsi="Times New Roman" w:eastAsia="Times New Roman" w:cs="Times New Roman"/>
                <w:sz w:val="20"/>
                <w:szCs w:val="20"/>
              </w:rPr>
            </w:pPr>
          </w:p>
        </w:tc>
        <w:tc>
          <w:tcPr>
            <w:tcW w:w="1533" w:type="dxa"/>
            <w:tcBorders>
              <w:top w:val="single" w:color="auto" w:sz="4" w:space="0"/>
            </w:tcBorders>
            <w:vAlign w:val="center"/>
            <w:hideMark/>
          </w:tcPr>
          <w:p w:rsidR="002C70D7" w:rsidRDefault="002C70D7" w14:paraId="6ABC52E8" w14:textId="77777777">
            <w:pPr>
              <w:rPr>
                <w:rFonts w:ascii="Times New Roman" w:hAnsi="Times New Roman" w:eastAsia="Times New Roman" w:cs="Times New Roman"/>
                <w:sz w:val="20"/>
                <w:szCs w:val="20"/>
              </w:rPr>
            </w:pPr>
          </w:p>
        </w:tc>
        <w:tc>
          <w:tcPr>
            <w:tcW w:w="4680" w:type="dxa"/>
            <w:tcBorders>
              <w:top w:val="single" w:color="auto" w:sz="4" w:space="0"/>
            </w:tcBorders>
            <w:vAlign w:val="center"/>
            <w:hideMark/>
          </w:tcPr>
          <w:p w:rsidR="002C70D7" w:rsidRDefault="002C70D7" w14:paraId="55C58471" w14:textId="77777777">
            <w:pPr>
              <w:rPr>
                <w:rFonts w:ascii="Times New Roman" w:hAnsi="Times New Roman" w:eastAsia="Times New Roman" w:cs="Times New Roman"/>
                <w:sz w:val="20"/>
                <w:szCs w:val="20"/>
              </w:rPr>
            </w:pPr>
          </w:p>
        </w:tc>
        <w:tc>
          <w:tcPr>
            <w:tcW w:w="11382" w:type="dxa"/>
            <w:vAlign w:val="center"/>
            <w:hideMark/>
          </w:tcPr>
          <w:p w:rsidR="002C70D7" w:rsidRDefault="002C70D7" w14:paraId="1576CE0D" w14:textId="77777777">
            <w:pPr>
              <w:rPr>
                <w:rFonts w:ascii="Times New Roman" w:hAnsi="Times New Roman" w:eastAsia="Times New Roman" w:cs="Times New Roman"/>
                <w:sz w:val="20"/>
                <w:szCs w:val="20"/>
              </w:rPr>
            </w:pPr>
          </w:p>
        </w:tc>
      </w:tr>
    </w:tbl>
    <w:p w:rsidRPr="004B7C2D" w:rsidR="002C70D7" w:rsidP="009351B6" w:rsidRDefault="002C70D7" w14:paraId="0E50D9EA" w14:textId="77777777">
      <w:pPr>
        <w:ind w:firstLine="720"/>
      </w:pPr>
    </w:p>
    <w:sectPr w:rsidRPr="004B7C2D" w:rsidR="002C7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2D"/>
    <w:rsid w:val="00042F4A"/>
    <w:rsid w:val="00212F5D"/>
    <w:rsid w:val="00264C73"/>
    <w:rsid w:val="002752E8"/>
    <w:rsid w:val="002C70D7"/>
    <w:rsid w:val="003D76BE"/>
    <w:rsid w:val="004B7C2D"/>
    <w:rsid w:val="00534257"/>
    <w:rsid w:val="0055483A"/>
    <w:rsid w:val="00642063"/>
    <w:rsid w:val="006F132D"/>
    <w:rsid w:val="007D5732"/>
    <w:rsid w:val="008968EE"/>
    <w:rsid w:val="00903665"/>
    <w:rsid w:val="009351B6"/>
    <w:rsid w:val="00984FA6"/>
    <w:rsid w:val="009E2591"/>
    <w:rsid w:val="00AF60C1"/>
    <w:rsid w:val="00BD1535"/>
    <w:rsid w:val="00D861D2"/>
    <w:rsid w:val="00DF081A"/>
    <w:rsid w:val="00E44663"/>
    <w:rsid w:val="00F5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5DB3"/>
  <w15:chartTrackingRefBased/>
  <w15:docId w15:val="{1FFCCDA7-E8F0-48E0-BE3D-FAC97304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B7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the Treasury</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Spencer</dc:creator>
  <cp:keywords/>
  <dc:description/>
  <cp:lastModifiedBy>Stasko, Molly</cp:lastModifiedBy>
  <cp:revision>3</cp:revision>
  <dcterms:created xsi:type="dcterms:W3CDTF">2021-03-22T21:47:00Z</dcterms:created>
  <dcterms:modified xsi:type="dcterms:W3CDTF">2021-03-22T21:52:00Z</dcterms:modified>
</cp:coreProperties>
</file>