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3B36" w:rsidR="003A5DE5" w:rsidP="001A3B36" w:rsidRDefault="003A5DE5" w14:paraId="15063F3D" w14:textId="77777777">
      <w:pPr>
        <w:ind w:left="-360" w:right="-360"/>
        <w:jc w:val="center"/>
        <w:rPr>
          <w:rFonts w:ascii="Arial" w:hAnsi="Arial" w:cs="Arial"/>
          <w:b/>
          <w:bCs/>
        </w:rPr>
      </w:pPr>
      <w:r w:rsidRPr="001A3B36">
        <w:rPr>
          <w:rFonts w:ascii="Arial" w:hAnsi="Arial" w:cs="Arial"/>
          <w:b/>
          <w:bCs/>
        </w:rPr>
        <w:t xml:space="preserve">Supporting Statement </w:t>
      </w:r>
    </w:p>
    <w:p w:rsidR="00A84CB3" w:rsidP="001A3B36" w:rsidRDefault="00A84CB3" w14:paraId="2BB4CEF1" w14:textId="6E530BE0">
      <w:pPr>
        <w:ind w:left="-360" w:right="-360"/>
        <w:jc w:val="center"/>
        <w:rPr>
          <w:rFonts w:ascii="Arial" w:hAnsi="Arial" w:cs="Arial"/>
          <w:b/>
          <w:bCs/>
        </w:rPr>
      </w:pPr>
      <w:r w:rsidRPr="001A3B36">
        <w:rPr>
          <w:rFonts w:ascii="Arial" w:hAnsi="Arial" w:cs="Arial"/>
          <w:b/>
          <w:bCs/>
        </w:rPr>
        <w:t>Internal Revenue Service</w:t>
      </w:r>
    </w:p>
    <w:p w:rsidRPr="00884A65" w:rsidR="00884A65" w:rsidP="00884A65" w:rsidRDefault="00884A65" w14:paraId="07B85196" w14:textId="77777777">
      <w:pPr>
        <w:tabs>
          <w:tab w:val="left" w:pos="540"/>
        </w:tabs>
        <w:jc w:val="center"/>
        <w:rPr>
          <w:rFonts w:ascii="Arial" w:hAnsi="Arial" w:cs="Arial"/>
          <w:b/>
          <w:bCs/>
          <w:i/>
          <w:iCs/>
        </w:rPr>
      </w:pPr>
      <w:r w:rsidRPr="00884A65">
        <w:rPr>
          <w:rFonts w:ascii="Arial" w:hAnsi="Arial" w:cs="Arial"/>
          <w:b/>
          <w:bCs/>
          <w:i/>
          <w:iCs/>
        </w:rPr>
        <w:t>TD 9866 (REG-951A) and Notice 2020-69 (S Corporation Guidance under Section 958 (Rules for Determining Stock Ownership) and Guidance Regarding the Treatment of Qualified Improvement Property under the Alternative Depreciation System for Purposes of the QBAI Rules for FDII and GILTI (NOT-114860-20)</w:t>
      </w:r>
    </w:p>
    <w:p w:rsidRPr="001A3B36" w:rsidR="00C37CD8" w:rsidP="001A3B36" w:rsidRDefault="00C37CD8" w14:paraId="5273CDD7" w14:textId="738A8757">
      <w:pPr>
        <w:ind w:left="-360" w:right="-360"/>
        <w:jc w:val="center"/>
        <w:rPr>
          <w:rFonts w:ascii="Arial" w:hAnsi="Arial" w:cs="Arial"/>
          <w:color w:val="3366FF"/>
        </w:rPr>
      </w:pPr>
      <w:r w:rsidRPr="001A3B36">
        <w:rPr>
          <w:rFonts w:ascii="Arial" w:hAnsi="Arial" w:cs="Arial"/>
          <w:b/>
          <w:bCs/>
        </w:rPr>
        <w:t>OMB</w:t>
      </w:r>
      <w:r w:rsidR="001A3B36">
        <w:rPr>
          <w:rFonts w:ascii="Arial" w:hAnsi="Arial" w:cs="Arial"/>
          <w:b/>
          <w:bCs/>
        </w:rPr>
        <w:t xml:space="preserve"> Control Number</w:t>
      </w:r>
      <w:r w:rsidRPr="001A3B36">
        <w:rPr>
          <w:rFonts w:ascii="Arial" w:hAnsi="Arial" w:cs="Arial"/>
          <w:b/>
          <w:bCs/>
        </w:rPr>
        <w:t xml:space="preserve"> </w:t>
      </w:r>
      <w:r w:rsidRPr="001A3B36" w:rsidR="0025642D">
        <w:rPr>
          <w:rFonts w:ascii="Arial" w:hAnsi="Arial" w:cs="Arial"/>
          <w:b/>
          <w:bCs/>
        </w:rPr>
        <w:t>1545</w:t>
      </w:r>
      <w:r w:rsidRPr="001A3B36">
        <w:rPr>
          <w:rFonts w:ascii="Arial" w:hAnsi="Arial" w:cs="Arial"/>
          <w:b/>
          <w:bCs/>
        </w:rPr>
        <w:t>-</w:t>
      </w:r>
      <w:r w:rsidRPr="001A3B36" w:rsidR="0025642D">
        <w:rPr>
          <w:rFonts w:ascii="Arial" w:hAnsi="Arial" w:cs="Arial"/>
          <w:b/>
          <w:bCs/>
        </w:rPr>
        <w:t>2291</w:t>
      </w:r>
      <w:r w:rsidRPr="001A3B36" w:rsidR="0025642D">
        <w:rPr>
          <w:rFonts w:ascii="Arial" w:hAnsi="Arial" w:cs="Arial"/>
        </w:rPr>
        <w:t xml:space="preserve"> </w:t>
      </w:r>
    </w:p>
    <w:p w:rsidR="00EA7992" w:rsidP="001A3B36" w:rsidRDefault="00EA7992" w14:paraId="3FAC8639" w14:textId="77777777">
      <w:pPr>
        <w:jc w:val="center"/>
        <w:rPr>
          <w:rFonts w:ascii="Arial" w:hAnsi="Arial" w:cs="Arial"/>
        </w:rPr>
      </w:pPr>
    </w:p>
    <w:p w:rsidR="00A84CB3" w:rsidP="001A3B36" w:rsidRDefault="00A84CB3" w14:paraId="781C3FC4" w14:textId="77777777">
      <w:pPr>
        <w:tabs>
          <w:tab w:val="left" w:pos="540"/>
        </w:tabs>
        <w:rPr>
          <w:rFonts w:ascii="Arial" w:hAnsi="Arial" w:cs="Arial"/>
        </w:rPr>
      </w:pPr>
    </w:p>
    <w:p w:rsidRPr="00A85252" w:rsidR="00A84CB3" w:rsidP="001A3B36" w:rsidRDefault="00A84CB3" w14:paraId="6EC7458D" w14:textId="77777777">
      <w:pPr>
        <w:tabs>
          <w:tab w:val="left" w:pos="540"/>
        </w:tabs>
        <w:rPr>
          <w:rFonts w:ascii="Arial" w:hAnsi="Arial" w:cs="Arial"/>
          <w:b/>
          <w:bCs/>
        </w:rPr>
      </w:pPr>
    </w:p>
    <w:p w:rsidRPr="001A3B36" w:rsidR="00432C2B" w:rsidP="001A3B36" w:rsidRDefault="00432C2B" w14:paraId="6DC41C18"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u w:val="single"/>
        </w:rPr>
      </w:pPr>
      <w:r w:rsidRPr="001A3B36">
        <w:rPr>
          <w:rFonts w:ascii="Arial" w:hAnsi="Arial" w:cs="Arial"/>
          <w:u w:val="single"/>
        </w:rPr>
        <w:t>Circumstances Making the Collection of Information Necessary.</w:t>
      </w:r>
    </w:p>
    <w:p w:rsidRPr="00A85252" w:rsidR="004A37CF" w:rsidP="001A3B36" w:rsidRDefault="004A37CF" w14:paraId="1776B7E3" w14:textId="1A684500">
      <w:pPr>
        <w:ind w:firstLine="540"/>
        <w:rPr>
          <w:rFonts w:ascii="Arial" w:hAnsi="Arial" w:cs="Arial"/>
        </w:rPr>
      </w:pPr>
      <w:r w:rsidRPr="00A85252">
        <w:rPr>
          <w:rFonts w:ascii="Arial" w:hAnsi="Arial" w:cs="Arial"/>
        </w:rPr>
        <w:t>The collection of information contained in Notice 2020-</w:t>
      </w:r>
      <w:r w:rsidR="00A84CB3">
        <w:rPr>
          <w:rFonts w:ascii="Arial" w:hAnsi="Arial" w:cs="Arial"/>
        </w:rPr>
        <w:t>69</w:t>
      </w:r>
      <w:r w:rsidRPr="00A85252">
        <w:rPr>
          <w:rFonts w:ascii="Arial" w:hAnsi="Arial" w:cs="Arial"/>
        </w:rPr>
        <w:t xml:space="preserve"> concerns </w:t>
      </w:r>
      <w:r w:rsidRPr="00A85252" w:rsidR="00604898">
        <w:rPr>
          <w:rFonts w:ascii="Arial" w:hAnsi="Arial" w:cs="Arial"/>
        </w:rPr>
        <w:t xml:space="preserve">attachment of a prescribed statement to an original or amended federal income tax </w:t>
      </w:r>
      <w:r w:rsidRPr="00A85252">
        <w:rPr>
          <w:rFonts w:ascii="Arial" w:hAnsi="Arial" w:cs="Arial"/>
        </w:rPr>
        <w:t>for 2019 and 2020 in order to elect the relief described in this section.</w:t>
      </w:r>
    </w:p>
    <w:p w:rsidRPr="00A85252" w:rsidR="004A37CF" w:rsidP="001A3B36" w:rsidRDefault="004A37CF" w14:paraId="407939FC" w14:textId="77777777">
      <w:pPr>
        <w:ind w:firstLine="540"/>
        <w:rPr>
          <w:rFonts w:ascii="Arial" w:hAnsi="Arial" w:cs="Arial"/>
        </w:rPr>
      </w:pPr>
    </w:p>
    <w:p w:rsidRPr="00A85252" w:rsidR="00BB3876" w:rsidP="001A3B36" w:rsidRDefault="00BB3876" w14:paraId="05B24D12" w14:textId="77777777">
      <w:pPr>
        <w:ind w:firstLine="540"/>
        <w:rPr>
          <w:rFonts w:ascii="Arial" w:hAnsi="Arial" w:cs="Arial"/>
        </w:rPr>
      </w:pPr>
      <w:r w:rsidRPr="00A85252">
        <w:rPr>
          <w:rFonts w:ascii="Arial" w:hAnsi="Arial" w:cs="Arial"/>
        </w:rPr>
        <w:t xml:space="preserve">On June 21, 2019, the Treasury Department and the IRS published final regulations (T.D. 9866) in the </w:t>
      </w:r>
      <w:r w:rsidRPr="00A85252">
        <w:rPr>
          <w:rFonts w:ascii="Arial" w:hAnsi="Arial" w:cs="Arial"/>
          <w:bCs/>
        </w:rPr>
        <w:t>Federal Register</w:t>
      </w:r>
      <w:r w:rsidRPr="00A85252">
        <w:rPr>
          <w:rFonts w:ascii="Arial" w:hAnsi="Arial" w:cs="Arial"/>
        </w:rPr>
        <w:t xml:space="preserve"> (84 FR 29288) under § 951A (final regulations).  The final regulations adopted “aggregate treatment” with respect to income inclusion amounts arising from section 951A (the global intangible low tax income inclusion or GILTI) for partnerships.  Under aggregate treatment, for purposes of determining the GILTI inclusion amount of any partner of a domestic partnership, each partner is treated as proportionately owning the stock of a controlled foreign corporation (CFC) owned by the partnership within the meaning of § 958(a) in the same manner as if the domestic partnership were a foreign partnership.  Because only a U.S. person that is a U.S. shareholder can have a GILTI inclusion amount, a partner that is not a U.S. shareholder of a partnership-owned CFC does not have a GILTI inclusion amount determined by reference to the partnership-owned CFC.  Section 1.951A-1(e)(1) applies to taxable years of foreign corporations beginning after December 31, 2017, and to taxable years of U.S. shareholders in which or with which such taxable years of foreign corporations end.  See §1.951A-7.</w:t>
      </w:r>
      <w:r w:rsidRPr="00A85252" w:rsidR="003B314D">
        <w:rPr>
          <w:rFonts w:ascii="Arial" w:hAnsi="Arial" w:cs="Arial"/>
        </w:rPr>
        <w:t xml:space="preserve">  S corporations are treated as partnerships for purposes of subpart F of part III of Subchapter N of the Internal Revenue Code (Code).  See § 1373.</w:t>
      </w:r>
    </w:p>
    <w:p w:rsidRPr="00A85252" w:rsidR="00BB3876" w:rsidP="001A3B36" w:rsidRDefault="00BB3876" w14:paraId="24435AD2" w14:textId="77777777">
      <w:pPr>
        <w:ind w:firstLine="540"/>
        <w:rPr>
          <w:rFonts w:ascii="Arial" w:hAnsi="Arial" w:cs="Arial"/>
        </w:rPr>
      </w:pPr>
    </w:p>
    <w:p w:rsidRPr="00A85252" w:rsidR="003B314D" w:rsidP="001A3B36" w:rsidRDefault="00BB3876" w14:paraId="46FFF55E" w14:textId="77777777">
      <w:pPr>
        <w:ind w:firstLine="540"/>
        <w:rPr>
          <w:rFonts w:ascii="Arial" w:hAnsi="Arial" w:cs="Arial"/>
        </w:rPr>
      </w:pPr>
      <w:r w:rsidRPr="00A85252">
        <w:rPr>
          <w:rFonts w:ascii="Arial" w:hAnsi="Arial" w:cs="Arial"/>
        </w:rPr>
        <w:t xml:space="preserve">Section 951A was added to the </w:t>
      </w:r>
      <w:r w:rsidRPr="00A85252" w:rsidR="0025642D">
        <w:rPr>
          <w:rFonts w:ascii="Arial" w:hAnsi="Arial" w:cs="Arial"/>
        </w:rPr>
        <w:t xml:space="preserve">Internal Revenue </w:t>
      </w:r>
      <w:r w:rsidRPr="00A85252">
        <w:rPr>
          <w:rFonts w:ascii="Arial" w:hAnsi="Arial" w:cs="Arial"/>
        </w:rPr>
        <w:t xml:space="preserve">Code by the enactment of Public Law No. 115-97, 131 Stat. 2054 (2017), commonly referred to as the Tax Cuts and Jobs Act (TCJA).  Prior to its addition, </w:t>
      </w:r>
      <w:r w:rsidRPr="00A85252" w:rsidR="003B314D">
        <w:rPr>
          <w:rFonts w:ascii="Arial" w:hAnsi="Arial" w:cs="Arial"/>
        </w:rPr>
        <w:t>S corporations (consistent with the treatment of domestic partnerships) were</w:t>
      </w:r>
      <w:r w:rsidRPr="00A85252">
        <w:rPr>
          <w:rFonts w:ascii="Arial" w:hAnsi="Arial" w:cs="Arial"/>
        </w:rPr>
        <w:t xml:space="preserve"> afforded “entity treatment” with respect to inclusions under subpart</w:t>
      </w:r>
      <w:r w:rsidRPr="00A85252" w:rsidR="003B314D">
        <w:rPr>
          <w:rFonts w:ascii="Arial" w:hAnsi="Arial" w:cs="Arial"/>
        </w:rPr>
        <w:t xml:space="preserve"> F.  Under entity treatment, an S corporation determines its subpart F inclusion at the entity level.  An S corporation shareholder takes into account the shareholder’s pro rata share of the S corporation’s subpart F inclusion, regardless of whether the S corporation shareholder itself </w:t>
      </w:r>
      <w:proofErr w:type="gramStart"/>
      <w:r w:rsidRPr="00A85252" w:rsidR="003B314D">
        <w:rPr>
          <w:rFonts w:ascii="Arial" w:hAnsi="Arial" w:cs="Arial"/>
        </w:rPr>
        <w:t>is a U.S. shareholder of the CFC under</w:t>
      </w:r>
      <w:proofErr w:type="gramEnd"/>
      <w:r w:rsidRPr="00A85252" w:rsidR="003B314D">
        <w:rPr>
          <w:rFonts w:ascii="Arial" w:hAnsi="Arial" w:cs="Arial"/>
        </w:rPr>
        <w:t xml:space="preserve"> § 951(b).  See generally </w:t>
      </w:r>
      <w:bookmarkStart w:name="_Hlk48310749" w:id="0"/>
      <w:r w:rsidRPr="00A85252" w:rsidR="003B314D">
        <w:rPr>
          <w:rFonts w:ascii="Arial" w:hAnsi="Arial" w:cs="Arial"/>
        </w:rPr>
        <w:t>§</w:t>
      </w:r>
      <w:bookmarkEnd w:id="0"/>
      <w:r w:rsidRPr="00A85252" w:rsidR="003B314D">
        <w:rPr>
          <w:rFonts w:ascii="Arial" w:hAnsi="Arial" w:cs="Arial"/>
        </w:rPr>
        <w:t xml:space="preserve"> 1366(a). </w:t>
      </w:r>
    </w:p>
    <w:p w:rsidRPr="00A85252" w:rsidR="003B314D" w:rsidP="001A3B36" w:rsidRDefault="003B314D" w14:paraId="6474F123" w14:textId="77777777">
      <w:pPr>
        <w:ind w:firstLine="540"/>
        <w:rPr>
          <w:rFonts w:ascii="Arial" w:hAnsi="Arial" w:cs="Arial"/>
        </w:rPr>
      </w:pPr>
    </w:p>
    <w:p w:rsidRPr="00A85252" w:rsidR="003B314D" w:rsidP="001A3B36" w:rsidRDefault="003B314D" w14:paraId="7553AB52" w14:textId="77777777">
      <w:pPr>
        <w:ind w:firstLine="540"/>
        <w:rPr>
          <w:rFonts w:ascii="Arial" w:hAnsi="Arial" w:cs="Arial"/>
        </w:rPr>
      </w:pPr>
      <w:r w:rsidRPr="00A85252">
        <w:rPr>
          <w:rFonts w:ascii="Arial" w:hAnsi="Arial" w:cs="Arial"/>
        </w:rPr>
        <w:t xml:space="preserve">The Department of the Treasury (Treasury Department) and the Internal Revenue Service (IRS) received comments after the publication of T.D. 9866 expressing concern with adopting the aggregate treatment for S corporations with accumulated earnings and profits (AE&amp;P).  The aggregate treatment provided in the final regulations, as </w:t>
      </w:r>
      <w:r w:rsidRPr="00A85252">
        <w:rPr>
          <w:rFonts w:ascii="Arial" w:hAnsi="Arial" w:cs="Arial"/>
        </w:rPr>
        <w:lastRenderedPageBreak/>
        <w:t>applied to S corporations with AE&amp;P, does not result in a positive adjustment of their accumulated adjustments account (AAA) because the GILTI inclusion amount arises at the shareholder level, rather than at the S corporation level.  See §1.951A-1(e).  If an S corporation with AE&amp;P distributes property to its shareholders,</w:t>
      </w:r>
      <w:r w:rsidRPr="00A85252" w:rsidDel="00F57D21">
        <w:rPr>
          <w:rFonts w:ascii="Arial" w:hAnsi="Arial" w:cs="Arial"/>
        </w:rPr>
        <w:t xml:space="preserve"> </w:t>
      </w:r>
      <w:r w:rsidRPr="00A85252">
        <w:rPr>
          <w:rFonts w:ascii="Arial" w:hAnsi="Arial" w:cs="Arial"/>
        </w:rPr>
        <w:t>for example, to provide its shareholders with funds to pay the resulting federal income tax arising from their GILTI inclusion amount with respect to stock of CFCs owned by the S corporation, the S corporation would need an amount of AAA equal to the amount of that distribution to prevent the distribution from being included in such shareholders’ gross income to the extent of AE&amp;P.  See generally § 1368(c).  Although the S corporation could generate additional AAA as needed through a distribution from a CFC, comments have asserted that such an approach could result in foreign withholding taxes or undesired reductions in working capital that otherwise would be devoted to the CFC’s businesses.</w:t>
      </w:r>
    </w:p>
    <w:p w:rsidRPr="00A85252" w:rsidR="003B314D" w:rsidP="001A3B36" w:rsidRDefault="003B314D" w14:paraId="25E0604D" w14:textId="77777777">
      <w:pPr>
        <w:ind w:firstLine="540"/>
        <w:rPr>
          <w:rFonts w:ascii="Arial" w:hAnsi="Arial" w:cs="Arial"/>
        </w:rPr>
      </w:pPr>
    </w:p>
    <w:p w:rsidRPr="00A85252" w:rsidR="00920D8A" w:rsidP="001A3B36" w:rsidRDefault="009E2876" w14:paraId="2BDB3906" w14:textId="77777777">
      <w:pPr>
        <w:widowControl/>
        <w:rPr>
          <w:rFonts w:ascii="Arial" w:hAnsi="Arial" w:cs="Arial"/>
        </w:rPr>
      </w:pPr>
      <w:r w:rsidRPr="00A85252">
        <w:rPr>
          <w:rFonts w:ascii="Arial" w:hAnsi="Arial" w:cs="Arial"/>
        </w:rPr>
        <w:t xml:space="preserve">     </w:t>
      </w:r>
      <w:r w:rsidRPr="00A85252" w:rsidR="003B314D">
        <w:rPr>
          <w:rFonts w:ascii="Arial" w:hAnsi="Arial" w:cs="Arial"/>
        </w:rPr>
        <w:t xml:space="preserve">In response to these comments, the Treasury Department and the IRS are </w:t>
      </w:r>
      <w:r w:rsidRPr="00A85252" w:rsidR="004A37CF">
        <w:rPr>
          <w:rFonts w:ascii="Arial" w:hAnsi="Arial" w:cs="Arial"/>
        </w:rPr>
        <w:t>permitting</w:t>
      </w:r>
      <w:r w:rsidRPr="00A85252" w:rsidR="003B314D">
        <w:rPr>
          <w:rFonts w:ascii="Arial" w:hAnsi="Arial" w:cs="Arial"/>
        </w:rPr>
        <w:t xml:space="preserve"> S corporations with AE&amp;P as of the date the subject Notice will be released to continue to apply entity treatment for as long as they still have “transition AE&amp;P” on the first day of the taxable year</w:t>
      </w:r>
      <w:r w:rsidRPr="00A85252" w:rsidR="004A37CF">
        <w:rPr>
          <w:rFonts w:ascii="Arial" w:hAnsi="Arial" w:cs="Arial"/>
        </w:rPr>
        <w:t xml:space="preserve"> if they make an election. </w:t>
      </w:r>
      <w:r w:rsidRPr="00A85252" w:rsidR="00AA2E5E">
        <w:rPr>
          <w:rFonts w:ascii="Arial" w:hAnsi="Arial" w:cs="Arial"/>
        </w:rPr>
        <w:t xml:space="preserve"> </w:t>
      </w:r>
      <w:r w:rsidRPr="00A85252" w:rsidR="00464FF2">
        <w:rPr>
          <w:rFonts w:ascii="Arial" w:hAnsi="Arial" w:cs="Arial"/>
        </w:rPr>
        <w:t xml:space="preserve">Transition AE&amp;P is the amount of AE&amp;P the S corporation had on the date the notice is published.  The election must also include the amount of transition AE&amp;P.  </w:t>
      </w:r>
    </w:p>
    <w:p w:rsidRPr="00A85252" w:rsidR="00920D8A" w:rsidP="001A3B36" w:rsidRDefault="00920D8A" w14:paraId="142766DC" w14:textId="77777777">
      <w:pPr>
        <w:widowControl/>
        <w:rPr>
          <w:rFonts w:ascii="Arial" w:hAnsi="Arial" w:cs="Arial"/>
        </w:rPr>
      </w:pPr>
    </w:p>
    <w:p w:rsidRPr="00A85252" w:rsidR="00BB3876" w:rsidP="001A3B36" w:rsidRDefault="002626CE" w14:paraId="46A1CAEE" w14:textId="77777777">
      <w:pPr>
        <w:widowControl/>
        <w:rPr>
          <w:rFonts w:ascii="Arial" w:hAnsi="Arial" w:cs="Arial"/>
        </w:rPr>
      </w:pPr>
      <w:r w:rsidRPr="00A85252">
        <w:rPr>
          <w:rFonts w:ascii="Arial" w:hAnsi="Arial" w:cs="Arial"/>
        </w:rPr>
        <w:t xml:space="preserve">     </w:t>
      </w:r>
      <w:r w:rsidRPr="00A85252" w:rsidR="00464FF2">
        <w:rPr>
          <w:rFonts w:ascii="Arial" w:hAnsi="Arial" w:cs="Arial"/>
        </w:rPr>
        <w:t>For taxable years ending prior to the date of publication of the Notice and after June 22, 2019, the shareholders and the S corporation must all make the election and report the amount of transition AE&amp;P.  For taxable years ending after the date of the notice, the S corporation makes the election.  The election must include the amount of transition AE&amp;P. The S corporation must also maintain books and records to support the determination of transition AE&amp;P</w:t>
      </w:r>
      <w:r w:rsidRPr="00A85252" w:rsidR="0009161B">
        <w:rPr>
          <w:rFonts w:ascii="Arial" w:hAnsi="Arial" w:cs="Arial"/>
        </w:rPr>
        <w:t xml:space="preserve"> consistent with the</w:t>
      </w:r>
      <w:r w:rsidRPr="00A85252" w:rsidR="00377E90">
        <w:rPr>
          <w:rFonts w:ascii="Arial" w:hAnsi="Arial" w:cs="Arial"/>
        </w:rPr>
        <w:t xml:space="preserve"> </w:t>
      </w:r>
      <w:r w:rsidRPr="00A85252" w:rsidR="0009161B">
        <w:rPr>
          <w:rFonts w:ascii="Arial" w:hAnsi="Arial" w:cs="Arial"/>
        </w:rPr>
        <w:t xml:space="preserve">provisions of </w:t>
      </w:r>
      <w:r w:rsidRPr="00A85252" w:rsidR="00377E90">
        <w:rPr>
          <w:rFonts w:ascii="Arial" w:hAnsi="Arial" w:cs="Arial"/>
        </w:rPr>
        <w:t>§</w:t>
      </w:r>
      <w:r w:rsidRPr="00A85252" w:rsidR="0009161B">
        <w:rPr>
          <w:rFonts w:ascii="Arial" w:hAnsi="Arial" w:cs="Arial"/>
        </w:rPr>
        <w:t xml:space="preserve"> 6001</w:t>
      </w:r>
      <w:r w:rsidRPr="00A85252" w:rsidR="00204E26">
        <w:rPr>
          <w:rFonts w:ascii="Arial" w:hAnsi="Arial" w:cs="Arial"/>
        </w:rPr>
        <w:t>.</w:t>
      </w:r>
    </w:p>
    <w:p w:rsidRPr="00A85252" w:rsidR="005A241D" w:rsidP="001A3B36" w:rsidRDefault="005A241D" w14:paraId="47F2F177" w14:textId="77777777">
      <w:pPr>
        <w:widowControl/>
        <w:rPr>
          <w:rFonts w:ascii="Arial" w:hAnsi="Arial" w:cs="Arial"/>
        </w:rPr>
      </w:pPr>
    </w:p>
    <w:p w:rsidRPr="001A3B36" w:rsidR="00432C2B" w:rsidP="001A3B36" w:rsidRDefault="00432C2B" w14:paraId="4E263660"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u w:val="single"/>
        </w:rPr>
      </w:pPr>
      <w:r w:rsidRPr="001A3B36">
        <w:rPr>
          <w:rFonts w:ascii="Arial" w:hAnsi="Arial" w:cs="Arial"/>
          <w:u w:val="single"/>
        </w:rPr>
        <w:t>Purpose and Use of the Information Collection.</w:t>
      </w:r>
    </w:p>
    <w:p w:rsidRPr="00A85252" w:rsidR="00464FF2" w:rsidP="001A3B36" w:rsidRDefault="00464FF2" w14:paraId="2B00DA0B"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0"/>
        <w:rPr>
          <w:rFonts w:ascii="Arial" w:hAnsi="Arial" w:cs="Arial"/>
          <w:b w:val="0"/>
          <w:bCs w:val="0"/>
        </w:rPr>
      </w:pPr>
      <w:r w:rsidRPr="00A85252">
        <w:rPr>
          <w:rFonts w:ascii="Arial" w:hAnsi="Arial" w:cs="Arial"/>
          <w:b w:val="0"/>
          <w:bCs w:val="0"/>
        </w:rPr>
        <w:t>The IRS needs information concerning</w:t>
      </w:r>
      <w:r w:rsidRPr="00A85252" w:rsidR="00DA5D4C">
        <w:rPr>
          <w:rFonts w:ascii="Arial" w:hAnsi="Arial" w:cs="Arial"/>
          <w:b w:val="0"/>
          <w:bCs w:val="0"/>
        </w:rPr>
        <w:t xml:space="preserve"> transition AE&amp;P</w:t>
      </w:r>
      <w:r w:rsidRPr="00A85252">
        <w:rPr>
          <w:rFonts w:ascii="Arial" w:hAnsi="Arial" w:cs="Arial"/>
          <w:b w:val="0"/>
          <w:bCs w:val="0"/>
        </w:rPr>
        <w:t xml:space="preserve"> </w:t>
      </w:r>
      <w:r w:rsidRPr="00A85252" w:rsidR="009D0D11">
        <w:rPr>
          <w:rFonts w:ascii="Arial" w:hAnsi="Arial" w:cs="Arial"/>
          <w:b w:val="0"/>
          <w:bCs w:val="0"/>
        </w:rPr>
        <w:t>and if</w:t>
      </w:r>
      <w:r w:rsidRPr="00A85252">
        <w:rPr>
          <w:rFonts w:ascii="Arial" w:hAnsi="Arial" w:cs="Arial"/>
          <w:b w:val="0"/>
          <w:bCs w:val="0"/>
        </w:rPr>
        <w:t xml:space="preserve"> the election was made to know whether the S corporation and its shareholders are applying entity treatment.</w:t>
      </w:r>
      <w:r w:rsidRPr="00A85252" w:rsidR="00417A67">
        <w:rPr>
          <w:rFonts w:ascii="Arial" w:hAnsi="Arial" w:cs="Arial"/>
          <w:b w:val="0"/>
          <w:bCs w:val="0"/>
        </w:rPr>
        <w:t xml:space="preserve"> </w:t>
      </w:r>
      <w:r w:rsidRPr="00A85252" w:rsidR="00DA5D4C">
        <w:rPr>
          <w:rFonts w:ascii="Arial" w:hAnsi="Arial" w:cs="Arial"/>
          <w:b w:val="0"/>
          <w:bCs w:val="0"/>
        </w:rPr>
        <w:t>To complete t</w:t>
      </w:r>
      <w:r w:rsidRPr="00A85252" w:rsidR="00417A67">
        <w:rPr>
          <w:rFonts w:ascii="Arial" w:hAnsi="Arial" w:cs="Arial"/>
          <w:b w:val="0"/>
          <w:bCs w:val="0"/>
        </w:rPr>
        <w:t>he election statement</w:t>
      </w:r>
      <w:r w:rsidRPr="00A85252" w:rsidR="0025642D">
        <w:rPr>
          <w:rFonts w:ascii="Arial" w:hAnsi="Arial" w:cs="Arial"/>
          <w:b w:val="0"/>
          <w:bCs w:val="0"/>
        </w:rPr>
        <w:t>, t</w:t>
      </w:r>
      <w:r w:rsidRPr="00A85252">
        <w:rPr>
          <w:rFonts w:ascii="Arial" w:hAnsi="Arial" w:cs="Arial"/>
          <w:b w:val="0"/>
          <w:bCs w:val="0"/>
        </w:rPr>
        <w:t>axpayers must also maintain records concerning transition AE&amp;P</w:t>
      </w:r>
      <w:r w:rsidRPr="00A85252" w:rsidR="005B62C6">
        <w:rPr>
          <w:rFonts w:ascii="Arial" w:hAnsi="Arial" w:cs="Arial"/>
          <w:b w:val="0"/>
          <w:bCs w:val="0"/>
        </w:rPr>
        <w:t xml:space="preserve"> consistent with the provisions of § 6001</w:t>
      </w:r>
      <w:r w:rsidRPr="00A85252">
        <w:rPr>
          <w:rFonts w:ascii="Arial" w:hAnsi="Arial" w:cs="Arial"/>
          <w:b w:val="0"/>
          <w:bCs w:val="0"/>
        </w:rPr>
        <w:t xml:space="preserve"> in order for the IRS to know whether the entity treatment should apply for a particular taxable year.  </w:t>
      </w:r>
    </w:p>
    <w:p w:rsidRPr="001A3B36" w:rsidR="00432C2B" w:rsidP="001A3B36" w:rsidRDefault="00432C2B" w14:paraId="5AB99151" w14:textId="77777777">
      <w:pPr>
        <w:numPr>
          <w:ilvl w:val="0"/>
          <w:numId w:val="10"/>
        </w:numPr>
        <w:tabs>
          <w:tab w:val="clear" w:pos="360"/>
          <w:tab w:val="left" w:pos="540"/>
        </w:tabs>
        <w:spacing w:before="120" w:after="120"/>
        <w:ind w:left="540" w:hanging="540"/>
        <w:rPr>
          <w:rFonts w:ascii="Arial" w:hAnsi="Arial" w:cs="Arial"/>
          <w:b/>
          <w:bCs/>
          <w:u w:val="single"/>
        </w:rPr>
      </w:pPr>
      <w:r w:rsidRPr="001A3B36">
        <w:rPr>
          <w:rFonts w:ascii="Arial" w:hAnsi="Arial" w:cs="Arial"/>
          <w:b/>
          <w:bCs/>
          <w:u w:val="single"/>
        </w:rPr>
        <w:t>Consideration Given to Information Technology.</w:t>
      </w:r>
    </w:p>
    <w:p w:rsidRPr="00A85252" w:rsidR="00464FF2" w:rsidP="001A3B36" w:rsidRDefault="00464FF2" w14:paraId="1C08A88B" w14:textId="77777777">
      <w:pPr>
        <w:tabs>
          <w:tab w:val="left" w:pos="720"/>
        </w:tabs>
        <w:rPr>
          <w:rFonts w:ascii="Arial" w:hAnsi="Arial" w:cs="Arial"/>
        </w:rPr>
      </w:pPr>
    </w:p>
    <w:p w:rsidR="00891A90" w:rsidP="001A3B36" w:rsidRDefault="00891A90" w14:paraId="02C64FE9" w14:textId="00762CDE">
      <w:pPr>
        <w:tabs>
          <w:tab w:val="left" w:pos="720"/>
        </w:tabs>
        <w:rPr>
          <w:rFonts w:ascii="Arial" w:hAnsi="Arial" w:cs="Arial"/>
        </w:rPr>
      </w:pPr>
      <w:r w:rsidRPr="00891A90">
        <w:rPr>
          <w:rFonts w:ascii="Arial" w:hAnsi="Arial" w:cs="Arial"/>
        </w:rPr>
        <w:t xml:space="preserve">There is no plan to offer electronic filing for this collection due to the low volume of filers.  </w:t>
      </w:r>
    </w:p>
    <w:p w:rsidRPr="00A85252" w:rsidR="00891A90" w:rsidP="001A3B36" w:rsidRDefault="00891A90" w14:paraId="5630AAB2" w14:textId="77777777">
      <w:pPr>
        <w:tabs>
          <w:tab w:val="left" w:pos="720"/>
        </w:tabs>
        <w:rPr>
          <w:rFonts w:ascii="Arial" w:hAnsi="Arial" w:cs="Arial"/>
        </w:rPr>
      </w:pPr>
    </w:p>
    <w:p w:rsidRPr="001A3B36" w:rsidR="00120FE6" w:rsidP="001A3B36" w:rsidRDefault="00432C2B" w14:paraId="32BEECC8" w14:textId="77777777">
      <w:pPr>
        <w:numPr>
          <w:ilvl w:val="0"/>
          <w:numId w:val="10"/>
        </w:numPr>
        <w:tabs>
          <w:tab w:val="clear" w:pos="360"/>
          <w:tab w:val="num" w:pos="540"/>
        </w:tabs>
        <w:spacing w:before="120" w:after="120"/>
        <w:ind w:left="540" w:hanging="540"/>
        <w:jc w:val="both"/>
        <w:rPr>
          <w:rFonts w:ascii="Arial" w:hAnsi="Arial" w:cs="Arial"/>
          <w:b/>
          <w:bCs/>
          <w:u w:val="single"/>
        </w:rPr>
      </w:pPr>
      <w:r w:rsidRPr="001A3B36">
        <w:rPr>
          <w:rFonts w:ascii="Arial" w:hAnsi="Arial" w:cs="Arial"/>
          <w:b/>
          <w:bCs/>
          <w:u w:val="single"/>
        </w:rPr>
        <w:t>Duplication of Information.</w:t>
      </w:r>
    </w:p>
    <w:p w:rsidRPr="00A85252" w:rsidR="00890057" w:rsidP="001A3B36" w:rsidRDefault="00120FE6" w14:paraId="618E7A43" w14:textId="09B18455">
      <w:pPr>
        <w:tabs>
          <w:tab w:val="left" w:pos="540"/>
        </w:tabs>
        <w:spacing w:before="120" w:after="120"/>
        <w:jc w:val="both"/>
        <w:rPr>
          <w:rFonts w:ascii="Arial" w:hAnsi="Arial" w:cs="Arial"/>
          <w:b/>
          <w:bCs/>
        </w:rPr>
      </w:pPr>
      <w:r w:rsidRPr="00A85252">
        <w:rPr>
          <w:rFonts w:ascii="Arial" w:hAnsi="Arial" w:cs="Arial"/>
        </w:rPr>
        <w:t xml:space="preserve">The information obtained through this collection concerning the election is unique and is not already available for use or adaptation from another source. AE&amp;P information is maintained by S corporations already, but the amount of AE&amp;P on the date the notice is released will not otherwise be available to the IRS.  </w:t>
      </w:r>
      <w:r w:rsidRPr="00A85252" w:rsidR="00BC550A">
        <w:rPr>
          <w:rFonts w:ascii="Arial" w:hAnsi="Arial" w:cs="Arial"/>
          <w:color w:val="3366FF"/>
        </w:rPr>
        <w:tab/>
      </w:r>
    </w:p>
    <w:p w:rsidRPr="001A3B36" w:rsidR="00432C2B" w:rsidP="001A3B36" w:rsidRDefault="00432C2B" w14:paraId="31F552BA" w14:textId="77777777">
      <w:pPr>
        <w:numPr>
          <w:ilvl w:val="0"/>
          <w:numId w:val="10"/>
        </w:numPr>
        <w:tabs>
          <w:tab w:val="left" w:pos="540"/>
        </w:tabs>
        <w:spacing w:before="120" w:after="120"/>
        <w:jc w:val="both"/>
        <w:rPr>
          <w:rFonts w:ascii="Arial" w:hAnsi="Arial" w:cs="Arial"/>
          <w:b/>
          <w:bCs/>
          <w:u w:val="single"/>
        </w:rPr>
      </w:pPr>
      <w:r w:rsidRPr="001A3B36">
        <w:rPr>
          <w:rFonts w:ascii="Arial" w:hAnsi="Arial" w:cs="Arial"/>
          <w:b/>
          <w:color w:val="000000"/>
          <w:u w:val="single"/>
        </w:rPr>
        <w:t>Reducing the Burden on Small Enti</w:t>
      </w:r>
      <w:r w:rsidRPr="001A3B36">
        <w:rPr>
          <w:rFonts w:ascii="Arial" w:hAnsi="Arial" w:cs="Arial"/>
          <w:b/>
          <w:bCs/>
          <w:u w:val="single"/>
        </w:rPr>
        <w:t xml:space="preserve">ties. </w:t>
      </w:r>
    </w:p>
    <w:p w:rsidRPr="00A85252" w:rsidR="006C5AD8" w:rsidP="001A3B36" w:rsidRDefault="006C5AD8" w14:paraId="2B73831C" w14:textId="77777777">
      <w:pPr>
        <w:tabs>
          <w:tab w:val="left" w:pos="540"/>
        </w:tabs>
        <w:spacing w:before="120" w:after="120"/>
        <w:jc w:val="both"/>
        <w:rPr>
          <w:rFonts w:ascii="Arial" w:hAnsi="Arial" w:cs="Arial"/>
        </w:rPr>
      </w:pPr>
      <w:r w:rsidRPr="00A85252">
        <w:rPr>
          <w:rFonts w:ascii="Arial" w:hAnsi="Arial" w:cs="Arial"/>
        </w:rPr>
        <w:lastRenderedPageBreak/>
        <w:t xml:space="preserve">Small businesses should not be disadvantaged because this </w:t>
      </w:r>
      <w:r w:rsidRPr="00A85252" w:rsidR="009B09B1">
        <w:rPr>
          <w:rFonts w:ascii="Arial" w:hAnsi="Arial" w:cs="Arial"/>
        </w:rPr>
        <w:t>one-time</w:t>
      </w:r>
      <w:r w:rsidRPr="00A85252">
        <w:rPr>
          <w:rFonts w:ascii="Arial" w:hAnsi="Arial" w:cs="Arial"/>
        </w:rPr>
        <w:t xml:space="preserve"> election provides relief for S corporations from immediate effect of the aggregate treatment in T.D. 9866 and merely requires the filing of a white paper election with the federal tax return.  S corporations should already be maintaining records concerning their AE&amp;P (including currently reporting at least an estimate of that amount on schedule M</w:t>
      </w:r>
      <w:r w:rsidRPr="00A85252" w:rsidR="00DA5D4C">
        <w:rPr>
          <w:rFonts w:ascii="Arial" w:hAnsi="Arial" w:cs="Arial"/>
        </w:rPr>
        <w:t>-</w:t>
      </w:r>
      <w:r w:rsidRPr="00A85252">
        <w:rPr>
          <w:rFonts w:ascii="Arial" w:hAnsi="Arial" w:cs="Arial"/>
        </w:rPr>
        <w:t>2 of their Form 1120</w:t>
      </w:r>
      <w:r w:rsidRPr="00A85252" w:rsidR="00DA5D4C">
        <w:rPr>
          <w:rFonts w:ascii="Arial" w:hAnsi="Arial" w:cs="Arial"/>
        </w:rPr>
        <w:t>-</w:t>
      </w:r>
      <w:r w:rsidRPr="00A85252">
        <w:rPr>
          <w:rFonts w:ascii="Arial" w:hAnsi="Arial" w:cs="Arial"/>
        </w:rPr>
        <w:t xml:space="preserve">S).    </w:t>
      </w:r>
    </w:p>
    <w:p w:rsidRPr="001A3B36" w:rsidR="00432C2B" w:rsidP="001A3B36" w:rsidRDefault="00432C2B" w14:paraId="0979A556" w14:textId="77777777">
      <w:pPr>
        <w:numPr>
          <w:ilvl w:val="0"/>
          <w:numId w:val="10"/>
        </w:numPr>
        <w:tabs>
          <w:tab w:val="left" w:pos="540"/>
        </w:tabs>
        <w:spacing w:before="120" w:after="120"/>
        <w:rPr>
          <w:rFonts w:ascii="Arial" w:hAnsi="Arial" w:cs="Arial"/>
          <w:b/>
          <w:bCs/>
          <w:u w:val="single"/>
        </w:rPr>
      </w:pPr>
      <w:r w:rsidRPr="001A3B36">
        <w:rPr>
          <w:rFonts w:ascii="Arial" w:hAnsi="Arial" w:cs="Arial"/>
          <w:b/>
          <w:bCs/>
          <w:u w:val="single"/>
        </w:rPr>
        <w:t>Consequences of Not Conducting Collection.</w:t>
      </w:r>
    </w:p>
    <w:p w:rsidRPr="00A85252" w:rsidR="00890057" w:rsidP="001A3B36" w:rsidRDefault="006C5AD8" w14:paraId="1AC897C1" w14:textId="77777777">
      <w:pPr>
        <w:tabs>
          <w:tab w:val="left" w:pos="540"/>
        </w:tabs>
        <w:spacing w:before="120" w:after="120"/>
        <w:jc w:val="both"/>
        <w:rPr>
          <w:rFonts w:ascii="Arial" w:hAnsi="Arial" w:cs="Arial"/>
        </w:rPr>
      </w:pPr>
      <w:r w:rsidRPr="00A85252">
        <w:rPr>
          <w:rFonts w:ascii="Arial" w:hAnsi="Arial" w:cs="Arial"/>
        </w:rPr>
        <w:t xml:space="preserve">The collection of information is a </w:t>
      </w:r>
      <w:r w:rsidRPr="00A85252" w:rsidR="00B4607A">
        <w:rPr>
          <w:rFonts w:ascii="Arial" w:hAnsi="Arial" w:cs="Arial"/>
        </w:rPr>
        <w:t>one-time</w:t>
      </w:r>
      <w:r w:rsidRPr="00A85252">
        <w:rPr>
          <w:rFonts w:ascii="Arial" w:hAnsi="Arial" w:cs="Arial"/>
        </w:rPr>
        <w:t xml:space="preserve"> election to inform the IRS that the S corporation and its shareholders are applying entity treatment.  Without the election, the IRS will not be able to track how GILTI income is treated by the S corporation and its shareholders.  </w:t>
      </w:r>
    </w:p>
    <w:p w:rsidRPr="001A3B36" w:rsidR="006C5AD8" w:rsidP="001A3B36" w:rsidRDefault="00432C2B" w14:paraId="1C7293D8" w14:textId="77777777">
      <w:pPr>
        <w:numPr>
          <w:ilvl w:val="0"/>
          <w:numId w:val="10"/>
        </w:numPr>
        <w:tabs>
          <w:tab w:val="clear" w:pos="360"/>
          <w:tab w:val="num" w:pos="540"/>
        </w:tabs>
        <w:spacing w:before="120" w:after="120"/>
        <w:ind w:left="540" w:hanging="540"/>
        <w:rPr>
          <w:rFonts w:ascii="Arial" w:hAnsi="Arial" w:cs="Arial"/>
          <w:b/>
          <w:bCs/>
          <w:u w:val="single"/>
        </w:rPr>
      </w:pPr>
      <w:r w:rsidRPr="001A3B36">
        <w:rPr>
          <w:rFonts w:ascii="Arial" w:hAnsi="Arial" w:cs="Arial"/>
          <w:b/>
          <w:bCs/>
          <w:u w:val="single"/>
        </w:rPr>
        <w:t>Special Circumstances.</w:t>
      </w:r>
    </w:p>
    <w:p w:rsidR="003D1ABD" w:rsidP="001A3B36" w:rsidRDefault="003D1ABD" w14:paraId="729E78F1" w14:textId="4BB4C2EF">
      <w:pPr>
        <w:tabs>
          <w:tab w:val="left" w:pos="540"/>
        </w:tabs>
        <w:spacing w:before="120" w:after="120"/>
        <w:jc w:val="both"/>
        <w:rPr>
          <w:rFonts w:ascii="Arial" w:hAnsi="Arial" w:cs="Arial"/>
        </w:rPr>
      </w:pPr>
      <w:r w:rsidRPr="00A85252">
        <w:rPr>
          <w:rFonts w:ascii="Arial" w:hAnsi="Arial" w:cs="Arial"/>
        </w:rPr>
        <w:t>There are no special circumstances.  The collection of information is conducted in a manner consistent with the guidelines in 5 CFR 1320.6.</w:t>
      </w:r>
    </w:p>
    <w:p w:rsidRPr="001A3B36" w:rsidR="00432C2B" w:rsidP="001A3B36" w:rsidRDefault="00432C2B" w14:paraId="4492AD96" w14:textId="77777777">
      <w:pPr>
        <w:numPr>
          <w:ilvl w:val="0"/>
          <w:numId w:val="10"/>
        </w:numPr>
        <w:tabs>
          <w:tab w:val="clear" w:pos="360"/>
          <w:tab w:val="left" w:pos="540"/>
        </w:tabs>
        <w:spacing w:before="120" w:after="120"/>
        <w:ind w:left="540" w:hanging="540"/>
        <w:jc w:val="both"/>
        <w:rPr>
          <w:rFonts w:ascii="Arial" w:hAnsi="Arial" w:cs="Arial"/>
          <w:b/>
          <w:bCs/>
          <w:u w:val="single"/>
        </w:rPr>
      </w:pPr>
      <w:r w:rsidRPr="001A3B36">
        <w:rPr>
          <w:rFonts w:ascii="Arial" w:hAnsi="Arial" w:cs="Arial"/>
          <w:b/>
          <w:bCs/>
          <w:u w:val="single"/>
        </w:rPr>
        <w:t>Consultations with Persons Outside the Agency.</w:t>
      </w:r>
    </w:p>
    <w:p w:rsidR="006C5AD8" w:rsidP="001A3B36" w:rsidRDefault="00A84CB3" w14:paraId="4A1A2D08" w14:textId="7AF194B8">
      <w:pPr>
        <w:tabs>
          <w:tab w:val="left" w:pos="720"/>
        </w:tabs>
        <w:rPr>
          <w:rFonts w:ascii="Arial" w:hAnsi="Arial" w:cs="Arial"/>
        </w:rPr>
      </w:pPr>
      <w:r w:rsidRPr="00A84CB3">
        <w:rPr>
          <w:rFonts w:ascii="Arial" w:hAnsi="Arial" w:cs="Arial"/>
        </w:rPr>
        <w:t>We received no comments during the comment period in response to the Federal Register notice (8</w:t>
      </w:r>
      <w:r>
        <w:rPr>
          <w:rFonts w:ascii="Arial" w:hAnsi="Arial" w:cs="Arial"/>
        </w:rPr>
        <w:t>6</w:t>
      </w:r>
      <w:r w:rsidRPr="00A84CB3">
        <w:rPr>
          <w:rFonts w:ascii="Arial" w:hAnsi="Arial" w:cs="Arial"/>
        </w:rPr>
        <w:t xml:space="preserve"> FR </w:t>
      </w:r>
      <w:r>
        <w:rPr>
          <w:rFonts w:ascii="Arial" w:hAnsi="Arial" w:cs="Arial"/>
        </w:rPr>
        <w:t>12076</w:t>
      </w:r>
      <w:r w:rsidRPr="00A84CB3">
        <w:rPr>
          <w:rFonts w:ascii="Arial" w:hAnsi="Arial" w:cs="Arial"/>
        </w:rPr>
        <w:t xml:space="preserve">), dated </w:t>
      </w:r>
      <w:r>
        <w:rPr>
          <w:rFonts w:ascii="Arial" w:hAnsi="Arial" w:cs="Arial"/>
        </w:rPr>
        <w:t>March 1, 2021</w:t>
      </w:r>
      <w:r w:rsidRPr="00A84CB3">
        <w:rPr>
          <w:rFonts w:ascii="Arial" w:hAnsi="Arial" w:cs="Arial"/>
        </w:rPr>
        <w:t>.</w:t>
      </w:r>
    </w:p>
    <w:p w:rsidRPr="00A85252" w:rsidR="001A3B36" w:rsidP="001A3B36" w:rsidRDefault="001A3B36" w14:paraId="20E3515B" w14:textId="77777777">
      <w:pPr>
        <w:tabs>
          <w:tab w:val="left" w:pos="720"/>
        </w:tabs>
        <w:rPr>
          <w:rFonts w:ascii="Arial" w:hAnsi="Arial" w:cs="Arial"/>
        </w:rPr>
      </w:pPr>
    </w:p>
    <w:p w:rsidRPr="001A3B36" w:rsidR="00432C2B" w:rsidP="001A3B36" w:rsidRDefault="00432C2B" w14:paraId="693E6811" w14:textId="77777777">
      <w:pPr>
        <w:numPr>
          <w:ilvl w:val="0"/>
          <w:numId w:val="10"/>
        </w:numPr>
        <w:tabs>
          <w:tab w:val="clear" w:pos="360"/>
          <w:tab w:val="left" w:pos="540"/>
        </w:tabs>
        <w:spacing w:before="120" w:after="120"/>
        <w:ind w:left="540" w:hanging="540"/>
        <w:jc w:val="both"/>
        <w:rPr>
          <w:rFonts w:ascii="Arial" w:hAnsi="Arial" w:cs="Arial"/>
          <w:b/>
          <w:bCs/>
          <w:u w:val="single"/>
        </w:rPr>
      </w:pPr>
      <w:r w:rsidRPr="001A3B36">
        <w:rPr>
          <w:rFonts w:ascii="Arial" w:hAnsi="Arial" w:cs="Arial"/>
          <w:b/>
          <w:bCs/>
          <w:u w:val="single"/>
        </w:rPr>
        <w:t>Payment or Gift.</w:t>
      </w:r>
    </w:p>
    <w:p w:rsidRPr="00A85252" w:rsidR="009D0D11" w:rsidP="001A3B36" w:rsidRDefault="009D0D11" w14:paraId="1A2B3E0D" w14:textId="77777777">
      <w:pPr>
        <w:tabs>
          <w:tab w:val="left" w:pos="720"/>
        </w:tabs>
        <w:rPr>
          <w:rFonts w:ascii="Arial" w:hAnsi="Arial" w:cs="Arial"/>
        </w:rPr>
      </w:pPr>
      <w:r w:rsidRPr="00A85252">
        <w:rPr>
          <w:rFonts w:ascii="Arial" w:hAnsi="Arial" w:cs="Arial"/>
        </w:rPr>
        <w:t>No payments or gifts will be provided to respondents.</w:t>
      </w:r>
    </w:p>
    <w:p w:rsidRPr="00A85252" w:rsidR="006C5AD8" w:rsidP="001A3B36" w:rsidRDefault="006C5AD8" w14:paraId="07F84574" w14:textId="77777777">
      <w:pPr>
        <w:tabs>
          <w:tab w:val="left" w:pos="720"/>
        </w:tabs>
        <w:rPr>
          <w:rFonts w:ascii="Arial" w:hAnsi="Arial" w:cs="Arial"/>
        </w:rPr>
      </w:pPr>
    </w:p>
    <w:p w:rsidRPr="001A3B36" w:rsidR="00432C2B" w:rsidP="001A3B36" w:rsidRDefault="00432C2B" w14:paraId="5A8D269D" w14:textId="77777777">
      <w:pPr>
        <w:numPr>
          <w:ilvl w:val="0"/>
          <w:numId w:val="10"/>
        </w:numPr>
        <w:tabs>
          <w:tab w:val="clear" w:pos="360"/>
          <w:tab w:val="left" w:pos="540"/>
        </w:tabs>
        <w:spacing w:before="120" w:after="120"/>
        <w:ind w:left="540" w:hanging="540"/>
        <w:jc w:val="both"/>
        <w:rPr>
          <w:rFonts w:ascii="Arial" w:hAnsi="Arial" w:cs="Arial"/>
          <w:b/>
          <w:bCs/>
          <w:u w:val="single"/>
        </w:rPr>
      </w:pPr>
      <w:r w:rsidRPr="001A3B36">
        <w:rPr>
          <w:rFonts w:ascii="Arial" w:hAnsi="Arial" w:cs="Arial"/>
          <w:b/>
          <w:bCs/>
          <w:u w:val="single"/>
        </w:rPr>
        <w:t>Confidentiality.</w:t>
      </w:r>
    </w:p>
    <w:p w:rsidR="006C5AD8" w:rsidP="001A3B36" w:rsidRDefault="00236495" w14:paraId="740F4D11" w14:textId="54ABBECB">
      <w:pPr>
        <w:tabs>
          <w:tab w:val="left" w:pos="720"/>
        </w:tabs>
        <w:rPr>
          <w:rFonts w:ascii="Arial" w:hAnsi="Arial" w:cs="Arial"/>
        </w:rPr>
      </w:pPr>
      <w:r w:rsidRPr="00A85252">
        <w:rPr>
          <w:rFonts w:ascii="Arial" w:hAnsi="Arial" w:cs="Arial"/>
        </w:rPr>
        <w:t xml:space="preserve">In general, tax returns and tax return information are confidential as required by 26 U.S.C. § 6103, and </w:t>
      </w:r>
      <w:r w:rsidRPr="00A85252" w:rsidR="00DA5D4C">
        <w:rPr>
          <w:rFonts w:ascii="Arial" w:hAnsi="Arial" w:cs="Arial"/>
        </w:rPr>
        <w:t xml:space="preserve">only </w:t>
      </w:r>
      <w:r w:rsidRPr="00A85252">
        <w:rPr>
          <w:rFonts w:ascii="Arial" w:hAnsi="Arial" w:cs="Arial"/>
        </w:rPr>
        <w:t>certain matters relating to taxability and deductibility are disclosable under 26 U.S.C. §</w:t>
      </w:r>
      <w:r w:rsidRPr="00A85252" w:rsidR="009D0D11">
        <w:rPr>
          <w:rFonts w:ascii="Arial" w:hAnsi="Arial" w:cs="Arial"/>
        </w:rPr>
        <w:t> </w:t>
      </w:r>
      <w:r w:rsidRPr="00A85252">
        <w:rPr>
          <w:rFonts w:ascii="Arial" w:hAnsi="Arial" w:cs="Arial"/>
        </w:rPr>
        <w:t>6110.</w:t>
      </w:r>
    </w:p>
    <w:p w:rsidRPr="00A85252" w:rsidR="00A84CB3" w:rsidP="001A3B36" w:rsidRDefault="00A84CB3" w14:paraId="5BC3552D" w14:textId="77777777">
      <w:pPr>
        <w:tabs>
          <w:tab w:val="left" w:pos="720"/>
        </w:tabs>
        <w:rPr>
          <w:rFonts w:ascii="Arial" w:hAnsi="Arial" w:cs="Arial"/>
        </w:rPr>
      </w:pPr>
    </w:p>
    <w:p w:rsidRPr="001A3B36" w:rsidR="00432C2B" w:rsidP="001A3B36" w:rsidRDefault="00432C2B" w14:paraId="0A0C84EF" w14:textId="77777777">
      <w:pPr>
        <w:numPr>
          <w:ilvl w:val="0"/>
          <w:numId w:val="10"/>
        </w:numPr>
        <w:tabs>
          <w:tab w:val="clear" w:pos="360"/>
          <w:tab w:val="left" w:pos="540"/>
        </w:tabs>
        <w:spacing w:before="120" w:after="120"/>
        <w:ind w:left="540" w:hanging="540"/>
        <w:jc w:val="both"/>
        <w:rPr>
          <w:rFonts w:ascii="Arial" w:hAnsi="Arial" w:cs="Arial"/>
          <w:b/>
          <w:bCs/>
          <w:u w:val="single"/>
        </w:rPr>
      </w:pPr>
      <w:r w:rsidRPr="001A3B36">
        <w:rPr>
          <w:rFonts w:ascii="Arial" w:hAnsi="Arial" w:cs="Arial"/>
          <w:b/>
          <w:bCs/>
          <w:u w:val="single"/>
        </w:rPr>
        <w:t>Questions of a Sensitive Nature.</w:t>
      </w:r>
    </w:p>
    <w:p w:rsidR="001A3B36" w:rsidP="001A3B36" w:rsidRDefault="00236495" w14:paraId="6674935A" w14:textId="261930ED">
      <w:pPr>
        <w:tabs>
          <w:tab w:val="left" w:pos="720"/>
        </w:tabs>
        <w:rPr>
          <w:rFonts w:ascii="Arial" w:hAnsi="Arial" w:cs="Arial"/>
          <w:b/>
          <w:bCs/>
        </w:rPr>
      </w:pPr>
      <w:r w:rsidRPr="00A85252">
        <w:rPr>
          <w:rFonts w:ascii="Arial" w:hAnsi="Arial" w:cs="Arial"/>
        </w:rPr>
        <w:t>There is no sensitive personally identifiable information (PII) in this collection</w:t>
      </w:r>
      <w:r w:rsidRPr="00A85252" w:rsidR="00A845AA">
        <w:rPr>
          <w:rFonts w:ascii="Arial" w:hAnsi="Arial" w:cs="Arial"/>
        </w:rPr>
        <w:t>.</w:t>
      </w:r>
    </w:p>
    <w:p w:rsidRPr="00A85252" w:rsidR="001A3B36" w:rsidP="001A3B36" w:rsidRDefault="001A3B36" w14:paraId="0E8D1F87" w14:textId="77777777">
      <w:pPr>
        <w:tabs>
          <w:tab w:val="left" w:pos="720"/>
        </w:tabs>
        <w:rPr>
          <w:rFonts w:ascii="Arial" w:hAnsi="Arial" w:cs="Arial"/>
          <w:b/>
          <w:bCs/>
        </w:rPr>
      </w:pPr>
    </w:p>
    <w:p w:rsidR="00432C2B" w:rsidP="001A3B36" w:rsidRDefault="00432C2B" w14:paraId="260F272C" w14:textId="55F1F085">
      <w:pPr>
        <w:numPr>
          <w:ilvl w:val="0"/>
          <w:numId w:val="10"/>
        </w:numPr>
        <w:tabs>
          <w:tab w:val="clear" w:pos="360"/>
          <w:tab w:val="left" w:pos="540"/>
        </w:tabs>
        <w:spacing w:before="120" w:after="120"/>
        <w:ind w:left="540" w:hanging="540"/>
        <w:jc w:val="both"/>
        <w:rPr>
          <w:rFonts w:ascii="Arial" w:hAnsi="Arial" w:cs="Arial"/>
          <w:b/>
          <w:color w:val="000000"/>
        </w:rPr>
      </w:pPr>
      <w:r w:rsidRPr="001A3B36">
        <w:rPr>
          <w:rFonts w:ascii="Arial" w:hAnsi="Arial" w:cs="Arial"/>
          <w:b/>
          <w:color w:val="000000"/>
          <w:u w:val="single"/>
        </w:rPr>
        <w:t>Burden of Information Collection</w:t>
      </w:r>
      <w:r w:rsidRPr="00A85252">
        <w:rPr>
          <w:rFonts w:ascii="Arial" w:hAnsi="Arial" w:cs="Arial"/>
          <w:b/>
          <w:color w:val="000000"/>
        </w:rPr>
        <w:t>.</w:t>
      </w:r>
    </w:p>
    <w:p w:rsidRPr="00A85252" w:rsidR="001A3B36" w:rsidP="001A3B36" w:rsidRDefault="001A3B36" w14:paraId="3DA4F54F" w14:textId="77777777">
      <w:pPr>
        <w:tabs>
          <w:tab w:val="left" w:pos="540"/>
        </w:tabs>
        <w:spacing w:before="120" w:after="120"/>
        <w:ind w:left="540"/>
        <w:jc w:val="both"/>
        <w:rPr>
          <w:rFonts w:ascii="Arial" w:hAnsi="Arial" w:cs="Arial"/>
          <w:b/>
          <w:color w:val="000000"/>
        </w:rPr>
      </w:pPr>
    </w:p>
    <w:tbl>
      <w:tblPr>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2"/>
        <w:gridCol w:w="1512"/>
        <w:gridCol w:w="1416"/>
        <w:gridCol w:w="1840"/>
        <w:gridCol w:w="1260"/>
        <w:gridCol w:w="1260"/>
      </w:tblGrid>
      <w:tr w:rsidRPr="001A3B36" w:rsidR="0025642D" w:rsidTr="00A85252" w14:paraId="1FA688CE" w14:textId="77777777">
        <w:tc>
          <w:tcPr>
            <w:tcW w:w="1352" w:type="dxa"/>
            <w:vAlign w:val="bottom"/>
          </w:tcPr>
          <w:p w:rsidRPr="001A3B36" w:rsidR="0025642D" w:rsidP="001A3B36" w:rsidRDefault="0025642D" w14:paraId="2E5E7DE1" w14:textId="77777777">
            <w:pPr>
              <w:keepNext/>
              <w:keepLines/>
              <w:widowControl/>
              <w:numPr>
                <w:ilvl w:val="12"/>
                <w:numId w:val="0"/>
              </w:numPr>
              <w:autoSpaceDE/>
              <w:autoSpaceDN/>
              <w:adjustRightInd/>
              <w:jc w:val="center"/>
              <w:rPr>
                <w:rFonts w:ascii="Arial" w:hAnsi="Arial" w:cs="Arial"/>
                <w:b/>
                <w:sz w:val="20"/>
                <w:szCs w:val="20"/>
              </w:rPr>
            </w:pPr>
            <w:bookmarkStart w:name="_Hlk495931810" w:id="1"/>
            <w:r w:rsidRPr="001A3B36">
              <w:rPr>
                <w:rFonts w:ascii="Arial" w:hAnsi="Arial" w:cs="Arial"/>
                <w:b/>
                <w:sz w:val="20"/>
                <w:szCs w:val="20"/>
              </w:rPr>
              <w:t>Description</w:t>
            </w:r>
          </w:p>
        </w:tc>
        <w:tc>
          <w:tcPr>
            <w:tcW w:w="1512" w:type="dxa"/>
            <w:vAlign w:val="bottom"/>
          </w:tcPr>
          <w:p w:rsidRPr="001A3B36" w:rsidR="0025642D" w:rsidP="001A3B36" w:rsidRDefault="0025642D" w14:paraId="7A0FF1BC"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 of Respondents</w:t>
            </w:r>
          </w:p>
        </w:tc>
        <w:tc>
          <w:tcPr>
            <w:tcW w:w="1416" w:type="dxa"/>
            <w:vAlign w:val="bottom"/>
          </w:tcPr>
          <w:p w:rsidRPr="001A3B36" w:rsidR="0025642D" w:rsidP="001A3B36" w:rsidRDefault="0025642D" w14:paraId="50B9A0B2"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 Responses per Respondent</w:t>
            </w:r>
          </w:p>
        </w:tc>
        <w:tc>
          <w:tcPr>
            <w:tcW w:w="1840" w:type="dxa"/>
            <w:shd w:val="clear" w:color="auto" w:fill="auto"/>
            <w:vAlign w:val="bottom"/>
          </w:tcPr>
          <w:p w:rsidRPr="001A3B36" w:rsidR="0025642D" w:rsidP="001A3B36" w:rsidRDefault="0025642D" w14:paraId="7C56BFFA"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Annual Responses</w:t>
            </w:r>
          </w:p>
        </w:tc>
        <w:tc>
          <w:tcPr>
            <w:tcW w:w="1260" w:type="dxa"/>
            <w:vAlign w:val="bottom"/>
          </w:tcPr>
          <w:p w:rsidRPr="001A3B36" w:rsidR="0025642D" w:rsidP="001A3B36" w:rsidRDefault="0025642D" w14:paraId="270FC891"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Hours per Response</w:t>
            </w:r>
          </w:p>
        </w:tc>
        <w:tc>
          <w:tcPr>
            <w:tcW w:w="1260" w:type="dxa"/>
            <w:shd w:val="clear" w:color="auto" w:fill="auto"/>
            <w:vAlign w:val="bottom"/>
          </w:tcPr>
          <w:p w:rsidRPr="001A3B36" w:rsidR="0025642D" w:rsidP="001A3B36" w:rsidRDefault="0025642D" w14:paraId="238E2823"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Total Burden</w:t>
            </w:r>
          </w:p>
        </w:tc>
      </w:tr>
      <w:tr w:rsidRPr="001A3B36" w:rsidR="0025642D" w:rsidTr="00A85252" w14:paraId="70C0EA4C" w14:textId="77777777">
        <w:tc>
          <w:tcPr>
            <w:tcW w:w="1352" w:type="dxa"/>
            <w:vAlign w:val="center"/>
          </w:tcPr>
          <w:p w:rsidRPr="001A3B36" w:rsidR="0025642D" w:rsidP="001A3B36" w:rsidRDefault="0025642D" w14:paraId="52DB0241" w14:textId="77777777">
            <w:pPr>
              <w:keepNext/>
              <w:keepLines/>
              <w:widowControl/>
              <w:numPr>
                <w:ilvl w:val="12"/>
                <w:numId w:val="0"/>
              </w:numPr>
              <w:autoSpaceDE/>
              <w:autoSpaceDN/>
              <w:adjustRightInd/>
              <w:jc w:val="center"/>
              <w:rPr>
                <w:rFonts w:ascii="Arial" w:hAnsi="Arial" w:cs="Arial"/>
                <w:sz w:val="20"/>
                <w:szCs w:val="20"/>
              </w:rPr>
            </w:pPr>
            <w:r w:rsidRPr="001A3B36">
              <w:rPr>
                <w:rFonts w:ascii="Arial" w:hAnsi="Arial" w:cs="Arial"/>
                <w:sz w:val="20"/>
                <w:szCs w:val="20"/>
              </w:rPr>
              <w:t>Notice 2020-</w:t>
            </w:r>
            <w:r w:rsidRPr="001A3B36" w:rsidR="000D28DF">
              <w:rPr>
                <w:rFonts w:ascii="Arial" w:hAnsi="Arial" w:cs="Arial"/>
                <w:sz w:val="20"/>
                <w:szCs w:val="20"/>
              </w:rPr>
              <w:t>69</w:t>
            </w:r>
          </w:p>
        </w:tc>
        <w:tc>
          <w:tcPr>
            <w:tcW w:w="1512" w:type="dxa"/>
            <w:vAlign w:val="center"/>
          </w:tcPr>
          <w:p w:rsidRPr="001A3B36" w:rsidR="0025642D" w:rsidP="001A3B36" w:rsidRDefault="0025642D" w14:paraId="36F25307" w14:textId="77777777">
            <w:pPr>
              <w:keepNext/>
              <w:keepLines/>
              <w:widowControl/>
              <w:numPr>
                <w:ilvl w:val="12"/>
                <w:numId w:val="0"/>
              </w:numPr>
              <w:autoSpaceDE/>
              <w:autoSpaceDN/>
              <w:adjustRightInd/>
              <w:jc w:val="center"/>
              <w:rPr>
                <w:rFonts w:ascii="Arial" w:hAnsi="Arial" w:cs="Arial"/>
                <w:sz w:val="20"/>
                <w:szCs w:val="20"/>
              </w:rPr>
            </w:pPr>
            <w:r w:rsidRPr="001A3B36">
              <w:rPr>
                <w:rFonts w:ascii="Arial" w:hAnsi="Arial" w:cs="Arial"/>
                <w:sz w:val="20"/>
                <w:szCs w:val="20"/>
              </w:rPr>
              <w:t>3,688</w:t>
            </w:r>
          </w:p>
        </w:tc>
        <w:tc>
          <w:tcPr>
            <w:tcW w:w="1416" w:type="dxa"/>
            <w:vAlign w:val="center"/>
          </w:tcPr>
          <w:p w:rsidRPr="001A3B36" w:rsidR="0025642D" w:rsidP="001A3B36" w:rsidRDefault="0025642D" w14:paraId="0967FE1A" w14:textId="77777777">
            <w:pPr>
              <w:keepNext/>
              <w:keepLines/>
              <w:widowControl/>
              <w:numPr>
                <w:ilvl w:val="12"/>
                <w:numId w:val="0"/>
              </w:numPr>
              <w:autoSpaceDE/>
              <w:autoSpaceDN/>
              <w:adjustRightInd/>
              <w:jc w:val="center"/>
              <w:rPr>
                <w:rFonts w:ascii="Arial" w:hAnsi="Arial" w:cs="Arial"/>
                <w:sz w:val="20"/>
                <w:szCs w:val="20"/>
              </w:rPr>
            </w:pPr>
            <w:r w:rsidRPr="001A3B36">
              <w:rPr>
                <w:rFonts w:ascii="Arial" w:hAnsi="Arial" w:cs="Arial"/>
                <w:sz w:val="20"/>
                <w:szCs w:val="20"/>
              </w:rPr>
              <w:t>1</w:t>
            </w:r>
          </w:p>
        </w:tc>
        <w:tc>
          <w:tcPr>
            <w:tcW w:w="1840" w:type="dxa"/>
            <w:shd w:val="clear" w:color="auto" w:fill="auto"/>
            <w:vAlign w:val="center"/>
          </w:tcPr>
          <w:p w:rsidRPr="001A3B36" w:rsidR="0025642D" w:rsidP="001A3B36" w:rsidRDefault="0025642D" w14:paraId="758BD4A7" w14:textId="77777777">
            <w:pPr>
              <w:tabs>
                <w:tab w:val="left" w:pos="720"/>
              </w:tabs>
              <w:jc w:val="center"/>
              <w:rPr>
                <w:rFonts w:ascii="Arial" w:hAnsi="Arial" w:cs="Arial"/>
                <w:sz w:val="20"/>
                <w:szCs w:val="20"/>
              </w:rPr>
            </w:pPr>
            <w:r w:rsidRPr="001A3B36">
              <w:rPr>
                <w:rFonts w:ascii="Arial" w:hAnsi="Arial" w:cs="Arial"/>
                <w:sz w:val="20"/>
                <w:szCs w:val="20"/>
              </w:rPr>
              <w:t>3,688</w:t>
            </w:r>
          </w:p>
        </w:tc>
        <w:tc>
          <w:tcPr>
            <w:tcW w:w="1260" w:type="dxa"/>
            <w:vAlign w:val="center"/>
          </w:tcPr>
          <w:p w:rsidRPr="001A3B36" w:rsidR="0025642D" w:rsidP="001A3B36" w:rsidRDefault="0025642D" w14:paraId="106A0721" w14:textId="77777777">
            <w:pPr>
              <w:keepNext/>
              <w:keepLines/>
              <w:widowControl/>
              <w:numPr>
                <w:ilvl w:val="12"/>
                <w:numId w:val="0"/>
              </w:numPr>
              <w:autoSpaceDE/>
              <w:autoSpaceDN/>
              <w:adjustRightInd/>
              <w:jc w:val="center"/>
              <w:rPr>
                <w:rFonts w:ascii="Arial" w:hAnsi="Arial" w:cs="Arial"/>
                <w:sz w:val="20"/>
                <w:szCs w:val="20"/>
              </w:rPr>
            </w:pPr>
            <w:r w:rsidRPr="001A3B36">
              <w:rPr>
                <w:rFonts w:ascii="Arial" w:hAnsi="Arial" w:cs="Arial"/>
                <w:sz w:val="20"/>
                <w:szCs w:val="20"/>
              </w:rPr>
              <w:t>.5</w:t>
            </w:r>
          </w:p>
        </w:tc>
        <w:tc>
          <w:tcPr>
            <w:tcW w:w="1260" w:type="dxa"/>
            <w:shd w:val="clear" w:color="auto" w:fill="auto"/>
            <w:vAlign w:val="center"/>
          </w:tcPr>
          <w:p w:rsidRPr="001A3B36" w:rsidR="0025642D" w:rsidP="001A3B36" w:rsidRDefault="0025642D" w14:paraId="4EA02539" w14:textId="77777777">
            <w:pPr>
              <w:keepNext/>
              <w:keepLines/>
              <w:widowControl/>
              <w:numPr>
                <w:ilvl w:val="12"/>
                <w:numId w:val="0"/>
              </w:numPr>
              <w:autoSpaceDE/>
              <w:autoSpaceDN/>
              <w:adjustRightInd/>
              <w:jc w:val="center"/>
              <w:rPr>
                <w:rFonts w:ascii="Arial" w:hAnsi="Arial" w:cs="Arial"/>
                <w:sz w:val="20"/>
                <w:szCs w:val="20"/>
              </w:rPr>
            </w:pPr>
            <w:r w:rsidRPr="001A3B36">
              <w:rPr>
                <w:rFonts w:ascii="Arial" w:hAnsi="Arial" w:cs="Arial"/>
                <w:sz w:val="20"/>
                <w:szCs w:val="20"/>
              </w:rPr>
              <w:t>1,844</w:t>
            </w:r>
          </w:p>
        </w:tc>
      </w:tr>
      <w:tr w:rsidRPr="001A3B36" w:rsidR="0025642D" w:rsidTr="00A85252" w14:paraId="4E04447F" w14:textId="77777777">
        <w:tc>
          <w:tcPr>
            <w:tcW w:w="1352" w:type="dxa"/>
            <w:vAlign w:val="center"/>
          </w:tcPr>
          <w:p w:rsidRPr="001A3B36" w:rsidR="0025642D" w:rsidP="001A3B36" w:rsidRDefault="0025642D" w14:paraId="33E969B6"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Totals</w:t>
            </w:r>
          </w:p>
        </w:tc>
        <w:tc>
          <w:tcPr>
            <w:tcW w:w="1512" w:type="dxa"/>
            <w:vAlign w:val="center"/>
          </w:tcPr>
          <w:p w:rsidRPr="001A3B36" w:rsidR="0025642D" w:rsidP="001A3B36" w:rsidRDefault="0025642D" w14:paraId="1C892796"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3,688</w:t>
            </w:r>
          </w:p>
        </w:tc>
        <w:tc>
          <w:tcPr>
            <w:tcW w:w="1416" w:type="dxa"/>
            <w:vAlign w:val="center"/>
          </w:tcPr>
          <w:p w:rsidRPr="001A3B36" w:rsidR="0025642D" w:rsidP="001A3B36" w:rsidRDefault="0025642D" w14:paraId="54C06F5F" w14:textId="77777777">
            <w:pPr>
              <w:keepNext/>
              <w:keepLines/>
              <w:widowControl/>
              <w:numPr>
                <w:ilvl w:val="12"/>
                <w:numId w:val="0"/>
              </w:numPr>
              <w:autoSpaceDE/>
              <w:autoSpaceDN/>
              <w:adjustRightInd/>
              <w:jc w:val="center"/>
              <w:rPr>
                <w:rFonts w:ascii="Arial" w:hAnsi="Arial" w:cs="Arial"/>
                <w:b/>
                <w:sz w:val="20"/>
                <w:szCs w:val="20"/>
              </w:rPr>
            </w:pPr>
          </w:p>
        </w:tc>
        <w:tc>
          <w:tcPr>
            <w:tcW w:w="1840" w:type="dxa"/>
            <w:shd w:val="clear" w:color="auto" w:fill="auto"/>
            <w:vAlign w:val="center"/>
          </w:tcPr>
          <w:p w:rsidRPr="001A3B36" w:rsidR="0025642D" w:rsidP="001A3B36" w:rsidRDefault="0025642D" w14:paraId="757D6D18"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3,688</w:t>
            </w:r>
          </w:p>
        </w:tc>
        <w:tc>
          <w:tcPr>
            <w:tcW w:w="1260" w:type="dxa"/>
            <w:vAlign w:val="center"/>
          </w:tcPr>
          <w:p w:rsidRPr="001A3B36" w:rsidR="0025642D" w:rsidP="001A3B36" w:rsidRDefault="0025642D" w14:paraId="67CF2CE6" w14:textId="77777777">
            <w:pPr>
              <w:keepNext/>
              <w:keepLines/>
              <w:widowControl/>
              <w:numPr>
                <w:ilvl w:val="12"/>
                <w:numId w:val="0"/>
              </w:numPr>
              <w:autoSpaceDE/>
              <w:autoSpaceDN/>
              <w:adjustRightInd/>
              <w:jc w:val="center"/>
              <w:rPr>
                <w:rFonts w:ascii="Arial" w:hAnsi="Arial" w:cs="Arial"/>
                <w:b/>
                <w:sz w:val="20"/>
                <w:szCs w:val="20"/>
              </w:rPr>
            </w:pPr>
          </w:p>
        </w:tc>
        <w:tc>
          <w:tcPr>
            <w:tcW w:w="1260" w:type="dxa"/>
            <w:shd w:val="clear" w:color="auto" w:fill="auto"/>
            <w:vAlign w:val="center"/>
          </w:tcPr>
          <w:p w:rsidRPr="001A3B36" w:rsidR="0025642D" w:rsidP="001A3B36" w:rsidRDefault="0025642D" w14:paraId="11FA6513" w14:textId="77777777">
            <w:pPr>
              <w:keepNext/>
              <w:keepLines/>
              <w:widowControl/>
              <w:numPr>
                <w:ilvl w:val="12"/>
                <w:numId w:val="0"/>
              </w:numPr>
              <w:autoSpaceDE/>
              <w:autoSpaceDN/>
              <w:adjustRightInd/>
              <w:jc w:val="center"/>
              <w:rPr>
                <w:rFonts w:ascii="Arial" w:hAnsi="Arial" w:cs="Arial"/>
                <w:b/>
                <w:sz w:val="20"/>
                <w:szCs w:val="20"/>
              </w:rPr>
            </w:pPr>
            <w:r w:rsidRPr="001A3B36">
              <w:rPr>
                <w:rFonts w:ascii="Arial" w:hAnsi="Arial" w:cs="Arial"/>
                <w:b/>
                <w:sz w:val="20"/>
                <w:szCs w:val="20"/>
              </w:rPr>
              <w:t>1,844</w:t>
            </w:r>
          </w:p>
        </w:tc>
      </w:tr>
      <w:bookmarkEnd w:id="1"/>
    </w:tbl>
    <w:p w:rsidRPr="00A85252" w:rsidR="00CE724B" w:rsidP="001A3B36" w:rsidRDefault="00CE724B" w14:paraId="14C497A1" w14:textId="77777777">
      <w:pPr>
        <w:tabs>
          <w:tab w:val="left" w:pos="540"/>
        </w:tabs>
        <w:spacing w:before="120" w:after="120"/>
        <w:jc w:val="both"/>
        <w:rPr>
          <w:rFonts w:ascii="Arial" w:hAnsi="Arial" w:cs="Arial"/>
          <w:b/>
          <w:bCs/>
        </w:rPr>
      </w:pPr>
    </w:p>
    <w:p w:rsidRPr="001A3B36" w:rsidR="00F8418A" w:rsidP="001A3B36" w:rsidRDefault="0067084A" w14:paraId="087AF9C3" w14:textId="77777777">
      <w:pPr>
        <w:pStyle w:val="BodyTextIndent"/>
        <w:numPr>
          <w:ilvl w:val="0"/>
          <w:numId w:val="10"/>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u w:val="single"/>
        </w:rPr>
      </w:pPr>
      <w:r w:rsidRPr="001A3B36">
        <w:rPr>
          <w:rFonts w:ascii="Arial" w:hAnsi="Arial" w:cs="Arial"/>
          <w:b/>
          <w:bCs/>
          <w:u w:val="single"/>
        </w:rPr>
        <w:lastRenderedPageBreak/>
        <w:t xml:space="preserve">Estimated </w:t>
      </w:r>
      <w:r w:rsidRPr="001A3B36" w:rsidR="00F8418A">
        <w:rPr>
          <w:rFonts w:ascii="Arial" w:hAnsi="Arial" w:cs="Arial"/>
          <w:b/>
          <w:bCs/>
          <w:u w:val="single"/>
        </w:rPr>
        <w:t>Annual Cost to Respondents.</w:t>
      </w:r>
    </w:p>
    <w:p w:rsidRPr="00A85252" w:rsidR="0067084A" w:rsidP="001A3B36" w:rsidRDefault="00F064FD" w14:paraId="70CC5DF1" w14:textId="77777777">
      <w:pPr>
        <w:tabs>
          <w:tab w:val="left" w:pos="720"/>
        </w:tabs>
        <w:rPr>
          <w:rFonts w:ascii="Arial" w:hAnsi="Arial" w:cs="Arial"/>
        </w:rPr>
      </w:pPr>
      <w:r w:rsidRPr="00A85252">
        <w:rPr>
          <w:rFonts w:ascii="Arial" w:hAnsi="Arial" w:cs="Arial"/>
        </w:rPr>
        <w:t>There are no capital/start-up or ongoing operation/maintenance costs associated with this information collection.</w:t>
      </w:r>
      <w:r w:rsidRPr="00A85252" w:rsidR="00236495">
        <w:rPr>
          <w:rFonts w:ascii="Arial" w:hAnsi="Arial" w:cs="Arial"/>
        </w:rPr>
        <w:t xml:space="preserve">  The transition AE&amp;P amount is also based on information the S corporation should already have been maintaining in its books and records.</w:t>
      </w:r>
    </w:p>
    <w:p w:rsidRPr="00A85252" w:rsidR="0025642D" w:rsidP="001A3B36" w:rsidRDefault="0025642D" w14:paraId="6B3CD7EA" w14:textId="77777777">
      <w:pPr>
        <w:tabs>
          <w:tab w:val="left" w:pos="720"/>
        </w:tabs>
        <w:rPr>
          <w:rFonts w:ascii="Arial" w:hAnsi="Arial" w:cs="Arial"/>
          <w:color w:val="000000"/>
        </w:rPr>
      </w:pPr>
    </w:p>
    <w:p w:rsidRPr="001A3B36" w:rsidR="00F1134A" w:rsidP="001A3B36" w:rsidRDefault="00F1134A" w14:paraId="18342578" w14:textId="77777777">
      <w:pPr>
        <w:numPr>
          <w:ilvl w:val="0"/>
          <w:numId w:val="10"/>
        </w:numPr>
        <w:tabs>
          <w:tab w:val="left" w:pos="540"/>
        </w:tabs>
        <w:spacing w:before="120" w:after="120"/>
        <w:rPr>
          <w:rFonts w:ascii="Arial" w:hAnsi="Arial" w:cs="Arial"/>
          <w:b/>
          <w:bCs/>
          <w:color w:val="000000"/>
          <w:u w:val="single"/>
        </w:rPr>
      </w:pPr>
      <w:r w:rsidRPr="00A85252">
        <w:rPr>
          <w:rFonts w:ascii="Arial" w:hAnsi="Arial" w:cs="Arial"/>
          <w:color w:val="000000"/>
        </w:rPr>
        <w:t xml:space="preserve"> </w:t>
      </w:r>
      <w:r w:rsidRPr="001A3B36">
        <w:rPr>
          <w:rFonts w:ascii="Arial" w:hAnsi="Arial" w:cs="Arial"/>
          <w:b/>
          <w:bCs/>
          <w:color w:val="000000"/>
          <w:u w:val="single"/>
        </w:rPr>
        <w:t xml:space="preserve">Estimated Annualized Cost to the Federal Government.  </w:t>
      </w:r>
    </w:p>
    <w:p w:rsidRPr="00A85252" w:rsidR="00F1134A" w:rsidP="001A3B36" w:rsidRDefault="00F1134A" w14:paraId="238E3101" w14:textId="77777777">
      <w:pPr>
        <w:tabs>
          <w:tab w:val="left" w:pos="720"/>
        </w:tabs>
        <w:rPr>
          <w:rFonts w:ascii="Arial" w:hAnsi="Arial" w:cs="Arial"/>
        </w:rPr>
      </w:pPr>
      <w:r w:rsidRPr="00A85252">
        <w:rPr>
          <w:rFonts w:ascii="Arial" w:hAnsi="Arial" w:cs="Arial"/>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Pr="001A3B36" w:rsidR="002A3068" w:rsidP="001A3B36" w:rsidRDefault="002E00B8" w14:paraId="20FAC6FC" w14:textId="77777777">
      <w:pPr>
        <w:numPr>
          <w:ilvl w:val="0"/>
          <w:numId w:val="10"/>
        </w:numPr>
        <w:tabs>
          <w:tab w:val="left" w:pos="540"/>
        </w:tabs>
        <w:spacing w:before="120" w:after="120"/>
        <w:rPr>
          <w:rFonts w:ascii="Arial" w:hAnsi="Arial" w:cs="Arial"/>
          <w:color w:val="000000"/>
          <w:u w:val="single"/>
        </w:rPr>
      </w:pPr>
      <w:r w:rsidRPr="001A3B36">
        <w:rPr>
          <w:rFonts w:ascii="Arial" w:hAnsi="Arial" w:cs="Arial"/>
          <w:b/>
          <w:bCs/>
          <w:color w:val="000000"/>
          <w:u w:val="single"/>
        </w:rPr>
        <w:t>Reasons for Change in Burden</w:t>
      </w:r>
      <w:r w:rsidRPr="001A3B36">
        <w:rPr>
          <w:rFonts w:ascii="Arial" w:hAnsi="Arial" w:cs="Arial"/>
          <w:color w:val="000000"/>
          <w:u w:val="single"/>
        </w:rPr>
        <w:t>.</w:t>
      </w:r>
      <w:r w:rsidRPr="001A3B36" w:rsidR="002A3068">
        <w:rPr>
          <w:rFonts w:ascii="Arial" w:hAnsi="Arial" w:cs="Arial"/>
          <w:color w:val="000000"/>
          <w:u w:val="single"/>
        </w:rPr>
        <w:t xml:space="preserve">   </w:t>
      </w:r>
    </w:p>
    <w:p w:rsidRPr="00A85252" w:rsidR="00A27149" w:rsidP="00797946" w:rsidRDefault="000D28DF" w14:paraId="4FB0804C" w14:textId="05BE7428">
      <w:pPr>
        <w:tabs>
          <w:tab w:val="left" w:pos="540"/>
        </w:tabs>
        <w:spacing w:before="120" w:after="120"/>
        <w:rPr>
          <w:rFonts w:ascii="Arial" w:hAnsi="Arial" w:cs="Arial"/>
          <w:color w:val="000000"/>
        </w:rPr>
      </w:pPr>
      <w:r>
        <w:rPr>
          <w:rFonts w:ascii="Arial" w:hAnsi="Arial" w:cs="Arial"/>
        </w:rPr>
        <w:t>There is no change in burden</w:t>
      </w:r>
      <w:r w:rsidRPr="00A85252" w:rsidR="00A27149">
        <w:rPr>
          <w:rFonts w:ascii="Arial" w:hAnsi="Arial" w:cs="Arial"/>
        </w:rPr>
        <w:t>.</w:t>
      </w:r>
      <w:r>
        <w:rPr>
          <w:rFonts w:ascii="Arial" w:hAnsi="Arial" w:cs="Arial"/>
        </w:rPr>
        <w:t xml:space="preserve">  This is an </w:t>
      </w:r>
      <w:r w:rsidR="00A84CB3">
        <w:rPr>
          <w:rFonts w:ascii="Arial" w:hAnsi="Arial" w:cs="Arial"/>
        </w:rPr>
        <w:t xml:space="preserve">emergency </w:t>
      </w:r>
      <w:r>
        <w:rPr>
          <w:rFonts w:ascii="Arial" w:hAnsi="Arial" w:cs="Arial"/>
        </w:rPr>
        <w:t>e</w:t>
      </w:r>
      <w:r w:rsidRPr="000D28DF">
        <w:rPr>
          <w:rFonts w:ascii="Arial" w:hAnsi="Arial" w:cs="Arial"/>
        </w:rPr>
        <w:t>xtension of a currently approved collection.</w:t>
      </w:r>
      <w:r w:rsidR="001A3B36">
        <w:rPr>
          <w:rFonts w:ascii="Arial" w:hAnsi="Arial" w:cs="Arial"/>
        </w:rPr>
        <w:t xml:space="preserve"> This collection will be added to </w:t>
      </w:r>
      <w:r w:rsidR="00BF527E">
        <w:rPr>
          <w:rFonts w:ascii="Arial" w:hAnsi="Arial" w:cs="Arial"/>
        </w:rPr>
        <w:t xml:space="preserve">the </w:t>
      </w:r>
      <w:r w:rsidR="001A3B36">
        <w:rPr>
          <w:rFonts w:ascii="Arial" w:hAnsi="Arial" w:cs="Arial"/>
        </w:rPr>
        <w:t xml:space="preserve">1545-0123 during </w:t>
      </w:r>
      <w:r w:rsidR="00BB3347">
        <w:rPr>
          <w:rFonts w:ascii="Arial" w:hAnsi="Arial" w:cs="Arial"/>
        </w:rPr>
        <w:t>its</w:t>
      </w:r>
      <w:r w:rsidR="001A3B36">
        <w:rPr>
          <w:rFonts w:ascii="Arial" w:hAnsi="Arial" w:cs="Arial"/>
        </w:rPr>
        <w:t xml:space="preserve"> annual renewal.</w:t>
      </w:r>
    </w:p>
    <w:p w:rsidRPr="001A3B36" w:rsidR="00CE049D" w:rsidP="001A3B36" w:rsidRDefault="00CE049D" w14:paraId="4136B9C7" w14:textId="77777777">
      <w:pPr>
        <w:numPr>
          <w:ilvl w:val="0"/>
          <w:numId w:val="10"/>
        </w:numPr>
        <w:tabs>
          <w:tab w:val="left" w:pos="540"/>
        </w:tabs>
        <w:spacing w:before="120" w:after="120"/>
        <w:rPr>
          <w:rFonts w:ascii="Arial" w:hAnsi="Arial" w:cs="Arial"/>
          <w:u w:val="single"/>
        </w:rPr>
      </w:pPr>
      <w:r w:rsidRPr="001A3B36">
        <w:rPr>
          <w:rFonts w:ascii="Arial" w:hAnsi="Arial" w:cs="Arial"/>
          <w:b/>
          <w:bCs/>
          <w:u w:val="single"/>
        </w:rPr>
        <w:t>Plans for Tabulation, Statistical Analysis and Publication.</w:t>
      </w:r>
      <w:r w:rsidRPr="001A3B36">
        <w:rPr>
          <w:rFonts w:ascii="Arial" w:hAnsi="Arial" w:cs="Arial"/>
          <w:u w:val="single"/>
        </w:rPr>
        <w:t xml:space="preserve"> </w:t>
      </w:r>
    </w:p>
    <w:p w:rsidRPr="00A85252" w:rsidR="00AF7F4D" w:rsidP="00797946" w:rsidRDefault="001A389C" w14:paraId="6B81DCC9" w14:textId="77777777">
      <w:pPr>
        <w:tabs>
          <w:tab w:val="left" w:pos="540"/>
        </w:tabs>
        <w:spacing w:before="120" w:after="120"/>
        <w:rPr>
          <w:rFonts w:ascii="Arial" w:hAnsi="Arial" w:cs="Arial"/>
        </w:rPr>
      </w:pPr>
      <w:r w:rsidRPr="00A85252">
        <w:rPr>
          <w:rFonts w:ascii="Arial" w:hAnsi="Arial" w:cs="Arial"/>
        </w:rPr>
        <w:t>There are no current plans for tabulation, statistical analysis and publication.</w:t>
      </w:r>
    </w:p>
    <w:p w:rsidRPr="001A3B36" w:rsidR="00A03BE0" w:rsidP="001A3B36" w:rsidRDefault="00737ACD" w14:paraId="6FFFEE86" w14:textId="77777777">
      <w:pPr>
        <w:numPr>
          <w:ilvl w:val="0"/>
          <w:numId w:val="10"/>
        </w:numPr>
        <w:tabs>
          <w:tab w:val="left" w:pos="540"/>
        </w:tabs>
        <w:spacing w:before="120" w:after="120"/>
        <w:rPr>
          <w:rFonts w:ascii="Arial" w:hAnsi="Arial" w:cs="Arial"/>
          <w:color w:val="000000"/>
          <w:u w:val="single"/>
        </w:rPr>
      </w:pPr>
      <w:r w:rsidRPr="001A3B36">
        <w:rPr>
          <w:rFonts w:ascii="Arial" w:hAnsi="Arial" w:cs="Arial"/>
          <w:b/>
          <w:bCs/>
          <w:color w:val="000000"/>
          <w:u w:val="single"/>
        </w:rPr>
        <w:t>Reasons Why Displaying the OMB Expiration Date is Inappropriate</w:t>
      </w:r>
    </w:p>
    <w:p w:rsidRPr="00A85252" w:rsidR="00E65196" w:rsidP="00797946" w:rsidRDefault="00AF7F4D" w14:paraId="486E6CE9" w14:textId="77777777">
      <w:pPr>
        <w:tabs>
          <w:tab w:val="left" w:pos="540"/>
        </w:tabs>
        <w:spacing w:before="120" w:after="120"/>
        <w:rPr>
          <w:rFonts w:ascii="Arial" w:hAnsi="Arial" w:cs="Arial"/>
          <w:color w:val="000000"/>
        </w:rPr>
      </w:pPr>
      <w:r w:rsidRPr="00A85252">
        <w:rPr>
          <w:rFonts w:ascii="Arial" w:hAnsi="Arial" w:cs="Arial"/>
          <w:color w:val="000000"/>
        </w:rPr>
        <w:t>IRS believes that displaying the OMB expiration date is inappropriate because it could cause confusion leading taxpayers to believe that the revenue procedure will sunset as of the expiration date.  Taxpayers are not likely to be aware that the Service may request renewal of the OMB approval and obtain a new expiration date before the old one expires.</w:t>
      </w:r>
    </w:p>
    <w:p w:rsidRPr="001A3B36" w:rsidR="00022672" w:rsidP="001A3B36" w:rsidRDefault="00022672" w14:paraId="4F550594" w14:textId="77777777">
      <w:pPr>
        <w:numPr>
          <w:ilvl w:val="0"/>
          <w:numId w:val="10"/>
        </w:numPr>
        <w:tabs>
          <w:tab w:val="left" w:pos="540"/>
        </w:tabs>
        <w:spacing w:before="120" w:after="120"/>
        <w:rPr>
          <w:rFonts w:ascii="Arial" w:hAnsi="Arial" w:cs="Arial"/>
          <w:color w:val="000000"/>
          <w:u w:val="single"/>
        </w:rPr>
      </w:pPr>
      <w:r w:rsidRPr="001A3B36">
        <w:rPr>
          <w:rFonts w:ascii="Arial" w:hAnsi="Arial" w:cs="Arial"/>
          <w:b/>
          <w:bCs/>
          <w:color w:val="000000"/>
          <w:u w:val="single"/>
        </w:rPr>
        <w:t>Exceptions to the Certification Statement</w:t>
      </w:r>
    </w:p>
    <w:p w:rsidRPr="00A85252" w:rsidR="00012BD3" w:rsidP="00797946" w:rsidRDefault="00AF7F4D" w14:paraId="74259ACC" w14:textId="24771B07">
      <w:pPr>
        <w:tabs>
          <w:tab w:val="left" w:pos="540"/>
        </w:tabs>
        <w:spacing w:before="120" w:after="120"/>
        <w:rPr>
          <w:rFonts w:ascii="Arial" w:hAnsi="Arial" w:cs="Arial"/>
          <w:color w:val="000000"/>
        </w:rPr>
      </w:pPr>
      <w:r w:rsidRPr="00A85252">
        <w:rPr>
          <w:rFonts w:ascii="Arial" w:hAnsi="Arial" w:cs="Arial"/>
          <w:color w:val="000000"/>
        </w:rPr>
        <w:t>There are no exceptions to the certification statement.</w:t>
      </w:r>
    </w:p>
    <w:p w:rsidRPr="00A85252" w:rsidR="00AF7F4D" w:rsidP="001A3B36" w:rsidRDefault="00AF7F4D" w14:paraId="61B06BCF" w14:textId="77777777">
      <w:pPr>
        <w:tabs>
          <w:tab w:val="left" w:pos="540"/>
        </w:tabs>
        <w:spacing w:before="120" w:after="120"/>
        <w:rPr>
          <w:rFonts w:ascii="Arial" w:hAnsi="Arial" w:cs="Arial"/>
          <w:color w:val="000000"/>
        </w:rPr>
      </w:pPr>
      <w:r w:rsidRPr="00A85252">
        <w:rPr>
          <w:rFonts w:ascii="Arial" w:hAnsi="Arial" w:cs="Arial"/>
          <w:color w:val="000000"/>
        </w:rPr>
        <w:t>Note:</w:t>
      </w:r>
      <w:r w:rsidRPr="00A85252">
        <w:rPr>
          <w:rFonts w:ascii="Arial" w:hAnsi="Arial" w:cs="Arial"/>
          <w:color w:val="000000"/>
        </w:rPr>
        <w:tab/>
        <w:t>The following paragraph applies to all collections of information in this submission:</w:t>
      </w:r>
    </w:p>
    <w:p w:rsidRPr="00A85252" w:rsidR="001A389C" w:rsidP="001A3B36" w:rsidRDefault="00AF7F4D" w14:paraId="4824CD06" w14:textId="77777777">
      <w:pPr>
        <w:tabs>
          <w:tab w:val="left" w:pos="540"/>
        </w:tabs>
        <w:spacing w:before="120" w:after="120"/>
        <w:rPr>
          <w:rFonts w:ascii="Arial" w:hAnsi="Arial" w:cs="Arial"/>
          <w:color w:val="000000"/>
        </w:rPr>
      </w:pPr>
      <w:r w:rsidRPr="00A85252">
        <w:rPr>
          <w:rFonts w:ascii="Arial" w:hAnsi="Arial" w:cs="Arial"/>
          <w:color w:val="000000"/>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 6103.</w:t>
      </w:r>
    </w:p>
    <w:p w:rsidRPr="00A85252" w:rsidR="00F1134A" w:rsidP="001A3B36" w:rsidRDefault="00F1134A" w14:paraId="46DA3D70" w14:textId="77777777">
      <w:pPr>
        <w:tabs>
          <w:tab w:val="left" w:pos="540"/>
        </w:tabs>
        <w:spacing w:before="120" w:after="120"/>
        <w:ind w:left="540" w:hanging="540"/>
        <w:rPr>
          <w:rFonts w:ascii="Arial" w:hAnsi="Arial" w:cs="Arial"/>
          <w:color w:val="000000"/>
        </w:rPr>
      </w:pPr>
    </w:p>
    <w:p w:rsidRPr="00A85252" w:rsidR="00850CCA" w:rsidP="001A3B36" w:rsidRDefault="00850CCA" w14:paraId="21396A5A" w14:textId="77777777">
      <w:pPr>
        <w:tabs>
          <w:tab w:val="left" w:pos="540"/>
        </w:tabs>
        <w:spacing w:before="120" w:after="120"/>
        <w:rPr>
          <w:rFonts w:ascii="Arial" w:hAnsi="Arial" w:cs="Arial"/>
          <w:b/>
          <w:bCs/>
          <w:color w:val="3366FF"/>
        </w:rPr>
      </w:pPr>
    </w:p>
    <w:sectPr w:rsidRPr="00A85252" w:rsidR="00850CCA"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25F64" w14:textId="77777777" w:rsidR="00780634" w:rsidRDefault="00780634">
      <w:r>
        <w:separator/>
      </w:r>
    </w:p>
  </w:endnote>
  <w:endnote w:type="continuationSeparator" w:id="0">
    <w:p w14:paraId="6782F4CE" w14:textId="77777777" w:rsidR="00780634" w:rsidRDefault="0078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E926B"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12B45">
      <w:rPr>
        <w:rFonts w:ascii="Arial Narrow" w:hAnsi="Arial Narrow" w:cs="Arial"/>
        <w:noProof/>
        <w:sz w:val="20"/>
        <w:szCs w:val="20"/>
      </w:rPr>
      <w:t>5</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68762" w14:textId="77777777" w:rsidR="00780634" w:rsidRDefault="00780634">
      <w:r>
        <w:separator/>
      </w:r>
    </w:p>
  </w:footnote>
  <w:footnote w:type="continuationSeparator" w:id="0">
    <w:p w14:paraId="7626F5A9" w14:textId="77777777" w:rsidR="00780634" w:rsidRDefault="00780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E35E5408"/>
    <w:lvl w:ilvl="0" w:tplc="18C6BF1C">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661F98"/>
    <w:multiLevelType w:val="hybridMultilevel"/>
    <w:tmpl w:val="456A5A5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9"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3"/>
  </w:num>
  <w:num w:numId="7">
    <w:abstractNumId w:val="36"/>
  </w:num>
  <w:num w:numId="8">
    <w:abstractNumId w:val="35"/>
  </w:num>
  <w:num w:numId="9">
    <w:abstractNumId w:val="25"/>
  </w:num>
  <w:num w:numId="10">
    <w:abstractNumId w:val="17"/>
  </w:num>
  <w:num w:numId="11">
    <w:abstractNumId w:val="21"/>
  </w:num>
  <w:num w:numId="12">
    <w:abstractNumId w:val="44"/>
  </w:num>
  <w:num w:numId="13">
    <w:abstractNumId w:val="43"/>
  </w:num>
  <w:num w:numId="14">
    <w:abstractNumId w:val="34"/>
  </w:num>
  <w:num w:numId="15">
    <w:abstractNumId w:val="22"/>
  </w:num>
  <w:num w:numId="16">
    <w:abstractNumId w:val="39"/>
  </w:num>
  <w:num w:numId="17">
    <w:abstractNumId w:val="24"/>
  </w:num>
  <w:num w:numId="18">
    <w:abstractNumId w:val="42"/>
  </w:num>
  <w:num w:numId="19">
    <w:abstractNumId w:val="38"/>
  </w:num>
  <w:num w:numId="20">
    <w:abstractNumId w:val="26"/>
  </w:num>
  <w:num w:numId="21">
    <w:abstractNumId w:val="45"/>
  </w:num>
  <w:num w:numId="22">
    <w:abstractNumId w:val="30"/>
  </w:num>
  <w:num w:numId="23">
    <w:abstractNumId w:val="18"/>
  </w:num>
  <w:num w:numId="24">
    <w:abstractNumId w:val="41"/>
  </w:num>
  <w:num w:numId="25">
    <w:abstractNumId w:val="31"/>
  </w:num>
  <w:num w:numId="26">
    <w:abstractNumId w:val="27"/>
  </w:num>
  <w:num w:numId="27">
    <w:abstractNumId w:val="40"/>
  </w:num>
  <w:num w:numId="28">
    <w:abstractNumId w:val="37"/>
  </w:num>
  <w:num w:numId="29">
    <w:abstractNumId w:val="29"/>
  </w:num>
  <w:num w:numId="30">
    <w:abstractNumId w:val="20"/>
  </w:num>
  <w:num w:numId="31">
    <w:abstractNumId w:val="19"/>
  </w:num>
  <w:num w:numId="32">
    <w:abstractNumId w:val="3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3942"/>
    <w:rsid w:val="00012BD3"/>
    <w:rsid w:val="00022672"/>
    <w:rsid w:val="000356B0"/>
    <w:rsid w:val="00052657"/>
    <w:rsid w:val="00052C24"/>
    <w:rsid w:val="00063823"/>
    <w:rsid w:val="00064E0F"/>
    <w:rsid w:val="00076BA1"/>
    <w:rsid w:val="0009161B"/>
    <w:rsid w:val="000B4A1B"/>
    <w:rsid w:val="000D28DF"/>
    <w:rsid w:val="000F4DC6"/>
    <w:rsid w:val="000F6B0B"/>
    <w:rsid w:val="000F7D65"/>
    <w:rsid w:val="00107718"/>
    <w:rsid w:val="00120FE6"/>
    <w:rsid w:val="00137133"/>
    <w:rsid w:val="00143361"/>
    <w:rsid w:val="00145E6F"/>
    <w:rsid w:val="001739F2"/>
    <w:rsid w:val="0019501B"/>
    <w:rsid w:val="00197F9A"/>
    <w:rsid w:val="001A018B"/>
    <w:rsid w:val="001A389C"/>
    <w:rsid w:val="001A3B36"/>
    <w:rsid w:val="001C0C09"/>
    <w:rsid w:val="001E2556"/>
    <w:rsid w:val="001F3AB3"/>
    <w:rsid w:val="00200A31"/>
    <w:rsid w:val="00200A74"/>
    <w:rsid w:val="00204E26"/>
    <w:rsid w:val="002067B6"/>
    <w:rsid w:val="00236495"/>
    <w:rsid w:val="00250FFD"/>
    <w:rsid w:val="0025642D"/>
    <w:rsid w:val="002626CE"/>
    <w:rsid w:val="002776CD"/>
    <w:rsid w:val="00282345"/>
    <w:rsid w:val="002A3068"/>
    <w:rsid w:val="002D277C"/>
    <w:rsid w:val="002D3CDA"/>
    <w:rsid w:val="002D6743"/>
    <w:rsid w:val="002E00B8"/>
    <w:rsid w:val="00311514"/>
    <w:rsid w:val="00313EF0"/>
    <w:rsid w:val="00341BCC"/>
    <w:rsid w:val="00362A56"/>
    <w:rsid w:val="00377E90"/>
    <w:rsid w:val="003A5DE5"/>
    <w:rsid w:val="003A6CB2"/>
    <w:rsid w:val="003B314D"/>
    <w:rsid w:val="003B7155"/>
    <w:rsid w:val="003C663C"/>
    <w:rsid w:val="003D1ABD"/>
    <w:rsid w:val="003E743E"/>
    <w:rsid w:val="00404DD9"/>
    <w:rsid w:val="00417A67"/>
    <w:rsid w:val="00427A81"/>
    <w:rsid w:val="00432C2B"/>
    <w:rsid w:val="00464FF2"/>
    <w:rsid w:val="00466B49"/>
    <w:rsid w:val="004A213E"/>
    <w:rsid w:val="004A37CF"/>
    <w:rsid w:val="004C510D"/>
    <w:rsid w:val="004C68D1"/>
    <w:rsid w:val="004D39A0"/>
    <w:rsid w:val="004D5A38"/>
    <w:rsid w:val="00504B59"/>
    <w:rsid w:val="00513170"/>
    <w:rsid w:val="00561B09"/>
    <w:rsid w:val="00565B3C"/>
    <w:rsid w:val="0057144D"/>
    <w:rsid w:val="005829ED"/>
    <w:rsid w:val="00585CCA"/>
    <w:rsid w:val="005979B4"/>
    <w:rsid w:val="005A241D"/>
    <w:rsid w:val="005B62C6"/>
    <w:rsid w:val="005C144A"/>
    <w:rsid w:val="005C28C7"/>
    <w:rsid w:val="005C76D0"/>
    <w:rsid w:val="00604898"/>
    <w:rsid w:val="00624D54"/>
    <w:rsid w:val="006269A0"/>
    <w:rsid w:val="006445A9"/>
    <w:rsid w:val="006624D5"/>
    <w:rsid w:val="0067084A"/>
    <w:rsid w:val="00681289"/>
    <w:rsid w:val="00695053"/>
    <w:rsid w:val="006B4027"/>
    <w:rsid w:val="006B455B"/>
    <w:rsid w:val="006B6E8D"/>
    <w:rsid w:val="006C5AD8"/>
    <w:rsid w:val="006E1A4A"/>
    <w:rsid w:val="006F6C11"/>
    <w:rsid w:val="00717112"/>
    <w:rsid w:val="007227B9"/>
    <w:rsid w:val="00723757"/>
    <w:rsid w:val="00730233"/>
    <w:rsid w:val="00737ACD"/>
    <w:rsid w:val="007565AE"/>
    <w:rsid w:val="00772076"/>
    <w:rsid w:val="00780634"/>
    <w:rsid w:val="00797946"/>
    <w:rsid w:val="007D4B9C"/>
    <w:rsid w:val="008112BA"/>
    <w:rsid w:val="00836C61"/>
    <w:rsid w:val="00840F39"/>
    <w:rsid w:val="00850CCA"/>
    <w:rsid w:val="008604D2"/>
    <w:rsid w:val="00862A24"/>
    <w:rsid w:val="00884A65"/>
    <w:rsid w:val="00890057"/>
    <w:rsid w:val="00891A90"/>
    <w:rsid w:val="008A2CE2"/>
    <w:rsid w:val="008C325F"/>
    <w:rsid w:val="008C65F9"/>
    <w:rsid w:val="008F27F5"/>
    <w:rsid w:val="00916029"/>
    <w:rsid w:val="00917427"/>
    <w:rsid w:val="00920D8A"/>
    <w:rsid w:val="009279C0"/>
    <w:rsid w:val="00970DBC"/>
    <w:rsid w:val="00991A15"/>
    <w:rsid w:val="0099231B"/>
    <w:rsid w:val="009A769F"/>
    <w:rsid w:val="009B09B1"/>
    <w:rsid w:val="009D0D11"/>
    <w:rsid w:val="009E2876"/>
    <w:rsid w:val="00A03BE0"/>
    <w:rsid w:val="00A12B45"/>
    <w:rsid w:val="00A27149"/>
    <w:rsid w:val="00A325A6"/>
    <w:rsid w:val="00A37736"/>
    <w:rsid w:val="00A555A9"/>
    <w:rsid w:val="00A55BB2"/>
    <w:rsid w:val="00A56739"/>
    <w:rsid w:val="00A5675F"/>
    <w:rsid w:val="00A57A6F"/>
    <w:rsid w:val="00A6590D"/>
    <w:rsid w:val="00A73066"/>
    <w:rsid w:val="00A845AA"/>
    <w:rsid w:val="00A84CB3"/>
    <w:rsid w:val="00A85252"/>
    <w:rsid w:val="00A9180D"/>
    <w:rsid w:val="00A96087"/>
    <w:rsid w:val="00AA2E5E"/>
    <w:rsid w:val="00AA574F"/>
    <w:rsid w:val="00AA65AC"/>
    <w:rsid w:val="00AD3CB7"/>
    <w:rsid w:val="00AF7F4D"/>
    <w:rsid w:val="00B12439"/>
    <w:rsid w:val="00B136B6"/>
    <w:rsid w:val="00B22415"/>
    <w:rsid w:val="00B23ECF"/>
    <w:rsid w:val="00B408C7"/>
    <w:rsid w:val="00B4607A"/>
    <w:rsid w:val="00B47982"/>
    <w:rsid w:val="00B60FF9"/>
    <w:rsid w:val="00BB3347"/>
    <w:rsid w:val="00BB3876"/>
    <w:rsid w:val="00BC550A"/>
    <w:rsid w:val="00BC5EF3"/>
    <w:rsid w:val="00BE0092"/>
    <w:rsid w:val="00BF116B"/>
    <w:rsid w:val="00BF370D"/>
    <w:rsid w:val="00BF527E"/>
    <w:rsid w:val="00C115F5"/>
    <w:rsid w:val="00C16988"/>
    <w:rsid w:val="00C230FB"/>
    <w:rsid w:val="00C319AB"/>
    <w:rsid w:val="00C32452"/>
    <w:rsid w:val="00C37CD8"/>
    <w:rsid w:val="00C43EA7"/>
    <w:rsid w:val="00C7479E"/>
    <w:rsid w:val="00C80AA3"/>
    <w:rsid w:val="00C86AF5"/>
    <w:rsid w:val="00CB0A80"/>
    <w:rsid w:val="00CC47FD"/>
    <w:rsid w:val="00CC579B"/>
    <w:rsid w:val="00CE049D"/>
    <w:rsid w:val="00CE3842"/>
    <w:rsid w:val="00CE724B"/>
    <w:rsid w:val="00CF75E0"/>
    <w:rsid w:val="00D25FB6"/>
    <w:rsid w:val="00D905F7"/>
    <w:rsid w:val="00DA5D4C"/>
    <w:rsid w:val="00DB2651"/>
    <w:rsid w:val="00E42A28"/>
    <w:rsid w:val="00E53836"/>
    <w:rsid w:val="00E65196"/>
    <w:rsid w:val="00E86DD4"/>
    <w:rsid w:val="00E87A44"/>
    <w:rsid w:val="00EA4C2A"/>
    <w:rsid w:val="00EA7992"/>
    <w:rsid w:val="00EC10FF"/>
    <w:rsid w:val="00F064FD"/>
    <w:rsid w:val="00F1134A"/>
    <w:rsid w:val="00F25AC7"/>
    <w:rsid w:val="00F56332"/>
    <w:rsid w:val="00F736E2"/>
    <w:rsid w:val="00F76B83"/>
    <w:rsid w:val="00F8418A"/>
    <w:rsid w:val="00F91E42"/>
    <w:rsid w:val="00FB252E"/>
    <w:rsid w:val="00FF3A75"/>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BCC645"/>
  <w15:chartTrackingRefBased/>
  <w15:docId w15:val="{CFE3D6F4-E67E-40DF-BFA8-FE6A4B32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416590E2DE7DB4FB46930C186E0CCD9" ma:contentTypeVersion="0" ma:contentTypeDescription="Create a new document." ma:contentTypeScope="" ma:versionID="d9885023bed9e39a93f812210d93001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28944-D175-4A1D-8388-FAB2AB22A821}">
  <ds:schemaRefs>
    <ds:schemaRef ds:uri="http://schemas.microsoft.com/office/2006/metadata/longProperties"/>
  </ds:schemaRefs>
</ds:datastoreItem>
</file>

<file path=customXml/itemProps2.xml><?xml version="1.0" encoding="utf-8"?>
<ds:datastoreItem xmlns:ds="http://schemas.openxmlformats.org/officeDocument/2006/customXml" ds:itemID="{13061774-A437-4194-A083-A144B384F5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55D4D-147A-41AB-AF04-0C29ACCE6064}">
  <ds:schemaRefs>
    <ds:schemaRef ds:uri="http://schemas.openxmlformats.org/officeDocument/2006/bibliography"/>
  </ds:schemaRefs>
</ds:datastoreItem>
</file>

<file path=customXml/itemProps4.xml><?xml version="1.0" encoding="utf-8"?>
<ds:datastoreItem xmlns:ds="http://schemas.openxmlformats.org/officeDocument/2006/customXml" ds:itemID="{604A01F5-313F-473D-8EE0-195A48A882E5}">
  <ds:schemaRefs>
    <ds:schemaRef ds:uri="http://schemas.microsoft.com/sharepoint/v3/contenttype/forms"/>
  </ds:schemaRefs>
</ds:datastoreItem>
</file>

<file path=customXml/itemProps5.xml><?xml version="1.0" encoding="utf-8"?>
<ds:datastoreItem xmlns:ds="http://schemas.openxmlformats.org/officeDocument/2006/customXml" ds:itemID="{C6E9CE44-4C28-46C4-B6DD-CF971C8C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Brewington Kinna</cp:lastModifiedBy>
  <cp:revision>4</cp:revision>
  <cp:lastPrinted>2011-09-13T12:00:00Z</cp:lastPrinted>
  <dcterms:created xsi:type="dcterms:W3CDTF">2021-05-27T16:54:00Z</dcterms:created>
  <dcterms:modified xsi:type="dcterms:W3CDTF">2021-05-27T16:56:00Z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y fmtid="{D5CDD505-2E9C-101B-9397-08002B2CF9AE}" pid="5" name="_dlc_BarcodeImage">
    <vt:lpwstr/>
  </property>
  <property fmtid="{D5CDD505-2E9C-101B-9397-08002B2CF9AE}" pid="6" name="Description0">
    <vt:lpwstr/>
  </property>
</Properties>
</file>