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5B79" w:rsidP="00A92BD4" w:rsidRDefault="00C25B79" w14:paraId="6209D71B" w14:textId="77777777">
      <w:pPr>
        <w:pStyle w:val="Footer"/>
        <w:tabs>
          <w:tab w:val="clear" w:pos="4320"/>
          <w:tab w:val="clear" w:pos="8640"/>
          <w:tab w:val="center" w:pos="4680"/>
        </w:tabs>
        <w:jc w:val="center"/>
        <w:rPr>
          <w:rFonts w:ascii="Times New Roman" w:hAnsi="Times New Roman"/>
          <w:b/>
          <w:bCs/>
          <w:sz w:val="24"/>
        </w:rPr>
      </w:pPr>
      <w:r>
        <w:rPr>
          <w:rFonts w:ascii="Times New Roman" w:hAnsi="Times New Roman"/>
          <w:b/>
          <w:bCs/>
          <w:sz w:val="24"/>
        </w:rPr>
        <w:t>Supporting Statement</w:t>
      </w:r>
    </w:p>
    <w:p w:rsidRPr="00A92BD4" w:rsidR="00A92BD4" w:rsidP="00A92BD4" w:rsidRDefault="00A92BD4" w14:paraId="2E8E1242" w14:textId="77777777">
      <w:pPr>
        <w:spacing w:before="100" w:beforeAutospacing="1" w:after="100" w:afterAutospacing="1"/>
        <w:contextualSpacing/>
        <w:jc w:val="center"/>
        <w:rPr>
          <w:rFonts w:ascii="Times New Roman" w:hAnsi="Times New Roman"/>
          <w:b/>
          <w:bCs/>
          <w:sz w:val="24"/>
          <w:szCs w:val="24"/>
        </w:rPr>
      </w:pPr>
      <w:r w:rsidRPr="00A92BD4">
        <w:rPr>
          <w:rFonts w:ascii="Times New Roman" w:hAnsi="Times New Roman"/>
          <w:b/>
          <w:bCs/>
          <w:sz w:val="24"/>
          <w:szCs w:val="24"/>
        </w:rPr>
        <w:t>Recordkeeping Provisions Associated with the Interagency Guidelines on Safety and Soundness Standards for Tax Allocation Agreements.</w:t>
      </w:r>
    </w:p>
    <w:p w:rsidR="00C25B79" w:rsidP="00A92BD4" w:rsidRDefault="00C25B79" w14:paraId="1B5F3396" w14:textId="77777777">
      <w:pPr>
        <w:tabs>
          <w:tab w:val="center" w:pos="4680"/>
        </w:tabs>
        <w:rPr>
          <w:rFonts w:ascii="Times New Roman" w:hAnsi="Times New Roman"/>
          <w:b/>
          <w:bCs/>
          <w:sz w:val="24"/>
        </w:rPr>
      </w:pPr>
    </w:p>
    <w:p w:rsidR="002B6AAE" w:rsidP="00A92BD4" w:rsidRDefault="00E30478" w14:paraId="2E4AD184" w14:textId="77777777">
      <w:pPr>
        <w:jc w:val="center"/>
        <w:outlineLvl w:val="0"/>
        <w:rPr>
          <w:rFonts w:ascii="Times New Roman" w:hAnsi="Times New Roman"/>
          <w:b/>
          <w:bCs/>
          <w:szCs w:val="24"/>
        </w:rPr>
      </w:pPr>
      <w:r>
        <w:rPr>
          <w:rFonts w:ascii="Times New Roman" w:hAnsi="Times New Roman"/>
          <w:b/>
          <w:bCs/>
          <w:sz w:val="24"/>
        </w:rPr>
        <w:t>OMB Control No. 1557-</w:t>
      </w:r>
      <w:r w:rsidR="00A92BD4">
        <w:rPr>
          <w:rFonts w:ascii="Times New Roman" w:hAnsi="Times New Roman"/>
          <w:b/>
          <w:bCs/>
          <w:sz w:val="24"/>
        </w:rPr>
        <w:t>NEW</w:t>
      </w:r>
    </w:p>
    <w:p w:rsidR="002B6AAE" w:rsidP="00A92BD4" w:rsidRDefault="002B6AAE" w14:paraId="07548E7F" w14:textId="77777777">
      <w:pPr>
        <w:rPr>
          <w:rFonts w:ascii="Times New Roman" w:hAnsi="Times New Roman"/>
        </w:rPr>
      </w:pPr>
    </w:p>
    <w:p w:rsidR="00C25B79" w:rsidRDefault="00C25B79" w14:paraId="51EB53EF" w14:textId="77777777">
      <w:pPr>
        <w:rPr>
          <w:rFonts w:ascii="Times New Roman" w:hAnsi="Times New Roman"/>
          <w:sz w:val="24"/>
        </w:rPr>
      </w:pPr>
    </w:p>
    <w:p w:rsidRPr="001A33BF" w:rsidR="00C25B79" w:rsidRDefault="00C25B79" w14:paraId="4BFFE1B3" w14:textId="77777777">
      <w:pPr>
        <w:rPr>
          <w:rFonts w:ascii="Times New Roman" w:hAnsi="Times New Roman"/>
          <w:b/>
          <w:bCs/>
          <w:i/>
          <w:sz w:val="24"/>
        </w:rPr>
      </w:pPr>
      <w:r w:rsidRPr="001A33BF">
        <w:rPr>
          <w:rFonts w:ascii="Times New Roman" w:hAnsi="Times New Roman"/>
          <w:b/>
          <w:bCs/>
          <w:i/>
          <w:sz w:val="24"/>
        </w:rPr>
        <w:t>A.</w:t>
      </w:r>
      <w:r w:rsidRPr="001A33BF">
        <w:rPr>
          <w:rFonts w:ascii="Times New Roman" w:hAnsi="Times New Roman"/>
          <w:b/>
          <w:bCs/>
          <w:i/>
          <w:sz w:val="24"/>
        </w:rPr>
        <w:tab/>
        <w:t>Justification</w:t>
      </w:r>
      <w:r w:rsidR="00F335AE">
        <w:rPr>
          <w:rFonts w:ascii="Times New Roman" w:hAnsi="Times New Roman"/>
          <w:b/>
          <w:bCs/>
          <w:i/>
          <w:sz w:val="24"/>
        </w:rPr>
        <w:t>.</w:t>
      </w:r>
    </w:p>
    <w:p w:rsidR="00C25B79" w:rsidRDefault="00C25B79" w14:paraId="32825CC1" w14:textId="77777777">
      <w:pPr>
        <w:rPr>
          <w:rFonts w:ascii="Times New Roman" w:hAnsi="Times New Roman"/>
          <w:sz w:val="24"/>
        </w:rPr>
      </w:pPr>
    </w:p>
    <w:p w:rsidR="00A92BD4" w:rsidP="00A92BD4" w:rsidRDefault="001A33BF" w14:paraId="4E2D31F4" w14:textId="77777777">
      <w:pPr>
        <w:rPr>
          <w:rFonts w:ascii="Times New Roman" w:hAnsi="Times New Roman"/>
          <w:b/>
          <w:i/>
          <w:sz w:val="24"/>
          <w:szCs w:val="24"/>
        </w:rPr>
      </w:pPr>
      <w:r w:rsidRPr="001A33BF">
        <w:rPr>
          <w:rFonts w:ascii="Times New Roman" w:hAnsi="Times New Roman"/>
          <w:b/>
          <w:bCs/>
          <w:i/>
          <w:iCs/>
          <w:sz w:val="24"/>
          <w:szCs w:val="24"/>
        </w:rPr>
        <w:t>1.</w:t>
      </w:r>
      <w:r w:rsidRPr="001A33BF">
        <w:rPr>
          <w:rFonts w:ascii="Times New Roman" w:hAnsi="Times New Roman"/>
          <w:b/>
          <w:bCs/>
          <w:i/>
          <w:iCs/>
          <w:sz w:val="24"/>
          <w:szCs w:val="24"/>
        </w:rPr>
        <w:tab/>
      </w:r>
      <w:r w:rsidR="00E30478">
        <w:rPr>
          <w:rFonts w:ascii="Times New Roman" w:hAnsi="Times New Roman"/>
          <w:b/>
          <w:i/>
          <w:sz w:val="24"/>
          <w:szCs w:val="24"/>
        </w:rPr>
        <w:t>Circumstances that make the collection necessary:</w:t>
      </w:r>
    </w:p>
    <w:p w:rsidRPr="00A92BD4" w:rsidR="00A92BD4" w:rsidP="00A92BD4" w:rsidRDefault="00A92BD4" w14:paraId="36E22F50" w14:textId="77777777">
      <w:pPr>
        <w:rPr>
          <w:rFonts w:ascii="Times New Roman" w:hAnsi="Times New Roman"/>
          <w:sz w:val="24"/>
          <w:szCs w:val="24"/>
        </w:rPr>
      </w:pPr>
    </w:p>
    <w:p w:rsidR="00A92BD4" w:rsidP="00A92BD4" w:rsidRDefault="00A92BD4" w14:paraId="1E3DE974" w14:textId="77777777">
      <w:pPr>
        <w:spacing w:before="100" w:beforeAutospacing="1" w:after="100" w:afterAutospacing="1"/>
        <w:contextualSpacing/>
        <w:rPr>
          <w:b/>
          <w:bCs/>
        </w:rPr>
      </w:pPr>
      <w:r w:rsidRPr="00A92BD4">
        <w:rPr>
          <w:rFonts w:ascii="Times New Roman" w:hAnsi="Times New Roman"/>
          <w:sz w:val="24"/>
          <w:szCs w:val="24"/>
        </w:rPr>
        <w:tab/>
        <w:t>This ICR is being submitted in connection with a proposed rule that prescribes PRA recordkeeping requirements for tax allocation agreements that involve institutions supervised by the Federal banking agencies.</w:t>
      </w:r>
      <w:r w:rsidRPr="00A92BD4">
        <w:rPr>
          <w:rStyle w:val="FootnoteReference"/>
          <w:rFonts w:ascii="Times New Roman" w:hAnsi="Times New Roman"/>
          <w:sz w:val="24"/>
          <w:szCs w:val="24"/>
        </w:rPr>
        <w:footnoteReference w:id="1"/>
      </w:r>
      <w:r w:rsidRPr="00A92BD4">
        <w:rPr>
          <w:rFonts w:ascii="Times New Roman" w:hAnsi="Times New Roman"/>
          <w:sz w:val="24"/>
          <w:szCs w:val="24"/>
        </w:rPr>
        <w:t xml:space="preserve"> Each institution that is part of a consolidated group </w:t>
      </w:r>
      <w:r w:rsidR="00920652">
        <w:rPr>
          <w:rFonts w:ascii="Times New Roman" w:hAnsi="Times New Roman"/>
          <w:sz w:val="24"/>
          <w:szCs w:val="24"/>
        </w:rPr>
        <w:t xml:space="preserve">(that is, a bank, holding company, and any affiliates that file income taxes as a single entity) </w:t>
      </w:r>
      <w:r w:rsidRPr="00A92BD4">
        <w:rPr>
          <w:rFonts w:ascii="Times New Roman" w:hAnsi="Times New Roman"/>
          <w:sz w:val="24"/>
          <w:szCs w:val="24"/>
        </w:rPr>
        <w:t xml:space="preserve">must enter into a written tax allocation agreement with its holding company. </w:t>
      </w:r>
      <w:r w:rsidRPr="00A92BD4" w:rsidR="00920652">
        <w:rPr>
          <w:rFonts w:ascii="Times New Roman" w:hAnsi="Times New Roman"/>
          <w:sz w:val="24"/>
          <w:szCs w:val="24"/>
        </w:rPr>
        <w:t xml:space="preserve">The proposal also would describe specific mandatory provisions in these tax allocation agreements, including provisions addressing the ownership of tax refunds received.  </w:t>
      </w:r>
      <w:r w:rsidRPr="00A92BD4">
        <w:rPr>
          <w:rFonts w:ascii="Times New Roman" w:hAnsi="Times New Roman"/>
          <w:sz w:val="24"/>
          <w:szCs w:val="24"/>
        </w:rPr>
        <w:t>The respective boards of directors of each institution and its parent holding company must approve the tax allocation agreement.</w:t>
      </w:r>
      <w:r w:rsidR="00920652">
        <w:rPr>
          <w:rFonts w:ascii="Times New Roman" w:hAnsi="Times New Roman"/>
          <w:sz w:val="24"/>
          <w:szCs w:val="24"/>
        </w:rPr>
        <w:t xml:space="preserve">  The rule is being adopted under section 39 of the Federal Deposit Insurance Act, which permits the agencies to issue regulations to enhance the safety and soundness of banking organizations that they supervise.</w:t>
      </w:r>
    </w:p>
    <w:p w:rsidR="00C25B79" w:rsidRDefault="00C25B79" w14:paraId="4831D55E" w14:textId="77777777">
      <w:pPr>
        <w:rPr>
          <w:rFonts w:ascii="Times New Roman" w:hAnsi="Times New Roman"/>
          <w:sz w:val="24"/>
        </w:rPr>
      </w:pPr>
    </w:p>
    <w:p w:rsidR="001A33BF" w:rsidP="001A33BF" w:rsidRDefault="001A33BF" w14:paraId="3AD342E7" w14:textId="77777777">
      <w:pPr>
        <w:pStyle w:val="BodyText"/>
        <w:widowControl w:val="0"/>
        <w:ind w:right="162"/>
        <w:jc w:val="both"/>
        <w:rPr>
          <w:rFonts w:ascii="Times New Roman" w:hAnsi="Times New Roman"/>
          <w:b/>
          <w:i/>
          <w:spacing w:val="-1"/>
          <w:u w:val="none"/>
        </w:rPr>
      </w:pPr>
      <w:r>
        <w:rPr>
          <w:rFonts w:ascii="Times New Roman" w:hAnsi="Times New Roman"/>
          <w:b/>
          <w:bCs/>
          <w:i/>
          <w:iCs/>
          <w:u w:val="none"/>
        </w:rPr>
        <w:t>2.</w:t>
      </w:r>
      <w:r>
        <w:rPr>
          <w:rFonts w:ascii="Times New Roman" w:hAnsi="Times New Roman"/>
          <w:b/>
          <w:bCs/>
          <w:i/>
          <w:iCs/>
          <w:u w:val="none"/>
        </w:rPr>
        <w:tab/>
      </w:r>
      <w:r w:rsidR="00E30478">
        <w:rPr>
          <w:rFonts w:ascii="Times New Roman" w:hAnsi="Times New Roman"/>
          <w:b/>
          <w:i/>
          <w:spacing w:val="-1"/>
          <w:u w:val="none"/>
        </w:rPr>
        <w:t>Use of the information:</w:t>
      </w:r>
    </w:p>
    <w:p w:rsidRPr="00A92BD4" w:rsidR="00A92BD4" w:rsidP="00A92BD4" w:rsidRDefault="00A92BD4" w14:paraId="55BA63E5" w14:textId="77777777">
      <w:pPr>
        <w:rPr>
          <w:rFonts w:ascii="Times New Roman" w:hAnsi="Times New Roman"/>
          <w:sz w:val="24"/>
          <w:szCs w:val="24"/>
        </w:rPr>
      </w:pPr>
    </w:p>
    <w:p w:rsidRPr="00A92BD4" w:rsidR="00A92BD4" w:rsidP="00A92BD4" w:rsidRDefault="00A92BD4" w14:paraId="6A972912" w14:textId="77777777">
      <w:pPr>
        <w:rPr>
          <w:rFonts w:ascii="Times New Roman" w:hAnsi="Times New Roman"/>
          <w:sz w:val="24"/>
          <w:szCs w:val="24"/>
        </w:rPr>
      </w:pPr>
      <w:r w:rsidRPr="00A92BD4">
        <w:rPr>
          <w:rFonts w:ascii="Times New Roman" w:hAnsi="Times New Roman"/>
          <w:sz w:val="24"/>
          <w:szCs w:val="24"/>
        </w:rPr>
        <w:tab/>
      </w:r>
      <w:r w:rsidR="00920652">
        <w:rPr>
          <w:rFonts w:ascii="Times New Roman" w:hAnsi="Times New Roman"/>
          <w:sz w:val="24"/>
          <w:szCs w:val="24"/>
        </w:rPr>
        <w:t>The information collection requirement would be used to verify that national banks and Federal savings associations are complying with the rule. Specifically, the collection would validate that national banks and Federal savings associations have tax allocation agreements in place, and that those agreements contain all of the provisions required by the proposed rule. Examiners would be able to monitor compliance with the requirements by reviewing the tax allocation agreements and the provisions therein.</w:t>
      </w:r>
    </w:p>
    <w:p w:rsidR="00C25B79" w:rsidRDefault="00C25B79" w14:paraId="440F926C" w14:textId="77777777">
      <w:pPr>
        <w:rPr>
          <w:rFonts w:ascii="Times New Roman" w:hAnsi="Times New Roman"/>
          <w:sz w:val="24"/>
        </w:rPr>
      </w:pPr>
    </w:p>
    <w:p w:rsidR="001A33BF" w:rsidP="001A33BF" w:rsidRDefault="001A33BF" w14:paraId="24710EE1" w14:textId="77777777">
      <w:pPr>
        <w:pStyle w:val="BodyText"/>
        <w:widowControl w:val="0"/>
        <w:tabs>
          <w:tab w:val="left" w:pos="720"/>
        </w:tabs>
        <w:ind w:left="100" w:right="205"/>
        <w:rPr>
          <w:rFonts w:ascii="Times New Roman" w:hAnsi="Times New Roman"/>
          <w:b/>
          <w:i/>
          <w:u w:val="none"/>
        </w:rPr>
      </w:pPr>
      <w:r>
        <w:rPr>
          <w:rFonts w:ascii="Times New Roman" w:hAnsi="Times New Roman"/>
          <w:b/>
          <w:bCs/>
          <w:i/>
          <w:iCs/>
          <w:u w:val="none"/>
        </w:rPr>
        <w:t>3.</w:t>
      </w:r>
      <w:r>
        <w:rPr>
          <w:rFonts w:ascii="Times New Roman" w:hAnsi="Times New Roman"/>
          <w:b/>
          <w:bCs/>
          <w:i/>
          <w:iCs/>
          <w:u w:val="none"/>
        </w:rPr>
        <w:tab/>
      </w:r>
      <w:r w:rsidR="00B021B1">
        <w:rPr>
          <w:rFonts w:ascii="Times New Roman" w:hAnsi="Times New Roman"/>
          <w:b/>
          <w:i/>
          <w:spacing w:val="-1"/>
          <w:u w:val="none"/>
        </w:rPr>
        <w:t>Consideration of the use of improved information technology:</w:t>
      </w:r>
    </w:p>
    <w:p w:rsidR="00C25B79" w:rsidRDefault="00C25B79" w14:paraId="205498D2" w14:textId="77777777">
      <w:pPr>
        <w:rPr>
          <w:rFonts w:ascii="Times New Roman" w:hAnsi="Times New Roman"/>
          <w:sz w:val="24"/>
        </w:rPr>
      </w:pPr>
    </w:p>
    <w:p w:rsidR="00A92BD4" w:rsidRDefault="00A92BD4" w14:paraId="687763EA" w14:textId="77777777">
      <w:pPr>
        <w:rPr>
          <w:rFonts w:ascii="Times New Roman" w:hAnsi="Times New Roman"/>
          <w:sz w:val="24"/>
        </w:rPr>
      </w:pPr>
      <w:r>
        <w:rPr>
          <w:rFonts w:ascii="Times New Roman" w:hAnsi="Times New Roman"/>
          <w:sz w:val="24"/>
        </w:rPr>
        <w:tab/>
        <w:t>Respondents may use any type of improved information technology that allows it to meet the requirements of the collection.</w:t>
      </w:r>
    </w:p>
    <w:p w:rsidR="00C25B79" w:rsidRDefault="00C25B79" w14:paraId="4740E79E" w14:textId="77777777">
      <w:pPr>
        <w:rPr>
          <w:rFonts w:ascii="Times New Roman" w:hAnsi="Times New Roman"/>
          <w:sz w:val="24"/>
        </w:rPr>
      </w:pPr>
    </w:p>
    <w:p w:rsidR="001A33BF" w:rsidP="001A33BF" w:rsidRDefault="001A33BF" w14:paraId="2002698C" w14:textId="77777777">
      <w:pPr>
        <w:pStyle w:val="BodyText"/>
        <w:widowControl w:val="0"/>
        <w:ind w:left="100" w:right="141"/>
        <w:jc w:val="both"/>
        <w:rPr>
          <w:rFonts w:ascii="Times New Roman" w:hAnsi="Times New Roman"/>
          <w:b/>
          <w:i/>
          <w:u w:val="none"/>
        </w:rPr>
      </w:pPr>
      <w:r>
        <w:rPr>
          <w:rFonts w:ascii="Times New Roman" w:hAnsi="Times New Roman"/>
          <w:b/>
          <w:bCs/>
          <w:i/>
          <w:iCs/>
          <w:u w:val="none"/>
        </w:rPr>
        <w:t>4.</w:t>
      </w:r>
      <w:r>
        <w:rPr>
          <w:rFonts w:ascii="Times New Roman" w:hAnsi="Times New Roman"/>
          <w:b/>
          <w:bCs/>
          <w:i/>
          <w:iCs/>
          <w:u w:val="none"/>
        </w:rPr>
        <w:tab/>
      </w:r>
      <w:r w:rsidR="00B021B1">
        <w:rPr>
          <w:rFonts w:ascii="Times New Roman" w:hAnsi="Times New Roman"/>
          <w:b/>
          <w:i/>
          <w:spacing w:val="-1"/>
          <w:u w:val="none"/>
        </w:rPr>
        <w:t>Efforts to identify duplication:</w:t>
      </w:r>
    </w:p>
    <w:p w:rsidR="00C25B79" w:rsidRDefault="00C25B79" w14:paraId="1797EED6" w14:textId="77777777">
      <w:pPr>
        <w:rPr>
          <w:rFonts w:ascii="Times New Roman" w:hAnsi="Times New Roman"/>
          <w:sz w:val="24"/>
        </w:rPr>
      </w:pPr>
    </w:p>
    <w:p w:rsidR="00C25B79" w:rsidP="002C1147" w:rsidRDefault="00A92BD4" w14:paraId="3AB24C74" w14:textId="77777777">
      <w:pPr>
        <w:ind w:firstLine="720"/>
        <w:rPr>
          <w:rFonts w:ascii="Times New Roman" w:hAnsi="Times New Roman"/>
          <w:sz w:val="24"/>
        </w:rPr>
      </w:pPr>
      <w:r>
        <w:rPr>
          <w:rFonts w:ascii="Times New Roman" w:hAnsi="Times New Roman"/>
          <w:sz w:val="24"/>
        </w:rPr>
        <w:t>There is no duplication.</w:t>
      </w:r>
    </w:p>
    <w:p w:rsidR="00C25B79" w:rsidRDefault="00C25B79" w14:paraId="652BC745" w14:textId="77777777">
      <w:pPr>
        <w:rPr>
          <w:rFonts w:ascii="Times New Roman" w:hAnsi="Times New Roman"/>
          <w:sz w:val="24"/>
        </w:rPr>
      </w:pPr>
    </w:p>
    <w:p w:rsidRPr="00B021B1" w:rsidR="00B021B1" w:rsidP="00B021B1" w:rsidRDefault="00B021B1" w14:paraId="5B8886B2" w14:textId="77777777">
      <w:pPr>
        <w:rPr>
          <w:rFonts w:ascii="Times New Roman" w:hAnsi="Times New Roman"/>
          <w:b/>
          <w:bCs/>
          <w:i/>
          <w:iCs/>
          <w:sz w:val="24"/>
        </w:rPr>
      </w:pPr>
      <w:r w:rsidRPr="00B021B1">
        <w:rPr>
          <w:rFonts w:ascii="Times New Roman" w:hAnsi="Times New Roman"/>
          <w:b/>
          <w:bCs/>
          <w:i/>
          <w:iCs/>
          <w:sz w:val="24"/>
        </w:rPr>
        <w:t>5.</w:t>
      </w:r>
      <w:r w:rsidRPr="00B021B1">
        <w:rPr>
          <w:rFonts w:ascii="Times New Roman" w:hAnsi="Times New Roman"/>
          <w:b/>
          <w:bCs/>
          <w:i/>
          <w:iCs/>
          <w:sz w:val="24"/>
        </w:rPr>
        <w:tab/>
        <w:t>If the collection of information impacts small businesses or other small entities, describe any methods used to minimize burden.</w:t>
      </w:r>
    </w:p>
    <w:p w:rsidRPr="00B021B1" w:rsidR="00B021B1" w:rsidP="00B021B1" w:rsidRDefault="00B021B1" w14:paraId="1FA43255" w14:textId="77777777">
      <w:pPr>
        <w:rPr>
          <w:rFonts w:ascii="Times New Roman" w:hAnsi="Times New Roman"/>
          <w:b/>
          <w:bCs/>
          <w:i/>
          <w:iCs/>
          <w:sz w:val="24"/>
        </w:rPr>
      </w:pPr>
    </w:p>
    <w:p w:rsidRPr="00A05D30" w:rsidR="00B021B1" w:rsidP="00A05D30" w:rsidRDefault="00B021B1" w14:paraId="792BAE48" w14:textId="77777777">
      <w:pPr>
        <w:ind w:firstLine="720"/>
        <w:rPr>
          <w:rFonts w:ascii="Times New Roman" w:hAnsi="Times New Roman"/>
          <w:bCs/>
          <w:iCs/>
          <w:sz w:val="24"/>
        </w:rPr>
      </w:pPr>
      <w:r w:rsidRPr="00A05D30">
        <w:rPr>
          <w:rFonts w:ascii="Times New Roman" w:hAnsi="Times New Roman"/>
          <w:bCs/>
          <w:iCs/>
          <w:sz w:val="24"/>
        </w:rPr>
        <w:lastRenderedPageBreak/>
        <w:t>There are no alternatives that would result in lowering the burden on small institutions, while still accomplishing the purpose of the rule.</w:t>
      </w:r>
    </w:p>
    <w:p w:rsidR="00C25B79" w:rsidRDefault="00C25B79" w14:paraId="1BCA0455" w14:textId="77777777">
      <w:pPr>
        <w:rPr>
          <w:rFonts w:ascii="Times New Roman" w:hAnsi="Times New Roman"/>
          <w:sz w:val="24"/>
        </w:rPr>
      </w:pPr>
    </w:p>
    <w:p w:rsidR="001A33BF" w:rsidP="001A33BF" w:rsidRDefault="001A33BF" w14:paraId="3014F43E" w14:textId="77777777">
      <w:pPr>
        <w:pStyle w:val="BodyText"/>
        <w:widowControl w:val="0"/>
        <w:tabs>
          <w:tab w:val="left" w:pos="340"/>
          <w:tab w:val="left" w:pos="630"/>
        </w:tabs>
        <w:ind w:left="100" w:right="205"/>
        <w:rPr>
          <w:rFonts w:ascii="Times New Roman" w:hAnsi="Times New Roman"/>
          <w:b/>
          <w:i/>
          <w:u w:val="none"/>
        </w:rPr>
      </w:pPr>
      <w:r>
        <w:rPr>
          <w:rFonts w:ascii="Times New Roman" w:hAnsi="Times New Roman"/>
          <w:b/>
          <w:bCs/>
          <w:i/>
          <w:iCs/>
          <w:u w:val="none"/>
        </w:rPr>
        <w:t>6.</w:t>
      </w:r>
      <w:r>
        <w:rPr>
          <w:rFonts w:ascii="Times New Roman" w:hAnsi="Times New Roman"/>
          <w:b/>
          <w:bCs/>
          <w:i/>
          <w:iCs/>
          <w:u w:val="none"/>
        </w:rPr>
        <w:tab/>
        <w:t xml:space="preserve">     </w:t>
      </w:r>
      <w:r w:rsidR="00A05D30">
        <w:rPr>
          <w:rFonts w:ascii="Times New Roman" w:hAnsi="Times New Roman"/>
          <w:b/>
          <w:i/>
          <w:spacing w:val="-1"/>
          <w:u w:val="none"/>
        </w:rPr>
        <w:t xml:space="preserve">Consequences to the </w:t>
      </w:r>
      <w:r w:rsidR="005117FC">
        <w:rPr>
          <w:rFonts w:ascii="Times New Roman" w:hAnsi="Times New Roman"/>
          <w:b/>
          <w:i/>
          <w:spacing w:val="-1"/>
          <w:u w:val="none"/>
        </w:rPr>
        <w:t>f</w:t>
      </w:r>
      <w:r w:rsidR="00A05D30">
        <w:rPr>
          <w:rFonts w:ascii="Times New Roman" w:hAnsi="Times New Roman"/>
          <w:b/>
          <w:i/>
          <w:spacing w:val="-1"/>
          <w:u w:val="none"/>
        </w:rPr>
        <w:t>ederal program if the collection were conducted less frequently:</w:t>
      </w:r>
    </w:p>
    <w:p w:rsidR="00C25B79" w:rsidRDefault="00C25B79" w14:paraId="2EEAAD51" w14:textId="77777777">
      <w:pPr>
        <w:rPr>
          <w:rFonts w:ascii="Times New Roman" w:hAnsi="Times New Roman"/>
          <w:sz w:val="24"/>
        </w:rPr>
      </w:pPr>
    </w:p>
    <w:p w:rsidR="00C25B79" w:rsidP="002C1147" w:rsidRDefault="00A92BD4" w14:paraId="7C07B824" w14:textId="77777777">
      <w:pPr>
        <w:ind w:firstLine="720"/>
        <w:rPr>
          <w:rFonts w:ascii="Times New Roman" w:hAnsi="Times New Roman"/>
          <w:sz w:val="24"/>
        </w:rPr>
      </w:pPr>
      <w:r>
        <w:rPr>
          <w:rFonts w:ascii="Times New Roman" w:hAnsi="Times New Roman"/>
          <w:sz w:val="24"/>
        </w:rPr>
        <w:t>Less frequent collection would undermine the purpose of the rule.</w:t>
      </w:r>
      <w:r w:rsidR="00920652">
        <w:rPr>
          <w:rFonts w:ascii="Times New Roman" w:hAnsi="Times New Roman"/>
          <w:sz w:val="24"/>
        </w:rPr>
        <w:t xml:space="preserve"> The agencies expect institutions to update agreements upon enactment of the final rule and afterwards only upon material changes in Federal income tax law, which typically occur less frequently than annually.</w:t>
      </w:r>
      <w:r w:rsidR="00C25B79">
        <w:rPr>
          <w:rFonts w:ascii="Times New Roman" w:hAnsi="Times New Roman"/>
          <w:sz w:val="24"/>
        </w:rPr>
        <w:t xml:space="preserve"> </w:t>
      </w:r>
    </w:p>
    <w:p w:rsidR="00C25B79" w:rsidRDefault="00C25B79" w14:paraId="4F30345D" w14:textId="77777777">
      <w:pPr>
        <w:rPr>
          <w:rFonts w:ascii="Times New Roman" w:hAnsi="Times New Roman"/>
          <w:sz w:val="24"/>
        </w:rPr>
      </w:pPr>
    </w:p>
    <w:p w:rsidRPr="001A33BF" w:rsidR="001A33BF" w:rsidP="001A33BF" w:rsidRDefault="001A33BF" w14:paraId="0755B439" w14:textId="77777777">
      <w:pPr>
        <w:rPr>
          <w:rFonts w:ascii="Times New Roman" w:hAnsi="Times New Roman"/>
          <w:b/>
          <w:bCs/>
          <w:i/>
          <w:iCs/>
          <w:sz w:val="24"/>
          <w:szCs w:val="24"/>
        </w:rPr>
      </w:pPr>
      <w:r w:rsidRPr="001A33BF">
        <w:rPr>
          <w:rFonts w:ascii="Times New Roman" w:hAnsi="Times New Roman"/>
          <w:b/>
          <w:bCs/>
          <w:i/>
          <w:iCs/>
          <w:sz w:val="24"/>
          <w:szCs w:val="24"/>
        </w:rPr>
        <w:t xml:space="preserve">7.        </w:t>
      </w:r>
      <w:r w:rsidR="00A05D30">
        <w:rPr>
          <w:rFonts w:ascii="Times New Roman" w:hAnsi="Times New Roman"/>
          <w:b/>
          <w:bCs/>
          <w:i/>
          <w:iCs/>
          <w:sz w:val="24"/>
          <w:szCs w:val="24"/>
        </w:rPr>
        <w:t>Special circumstances that would cause an information collection to be conducted in a manner inconsistent with 12 CFR part 1320:</w:t>
      </w:r>
    </w:p>
    <w:p w:rsidR="00C25B79" w:rsidRDefault="00C25B79" w14:paraId="7DEF996A" w14:textId="77777777">
      <w:pPr>
        <w:rPr>
          <w:rFonts w:ascii="Times New Roman" w:hAnsi="Times New Roman"/>
          <w:sz w:val="24"/>
        </w:rPr>
      </w:pPr>
    </w:p>
    <w:p w:rsidR="00C25B79" w:rsidP="002C1147" w:rsidRDefault="00A05D30" w14:paraId="6BDD65E0" w14:textId="77777777">
      <w:pPr>
        <w:ind w:firstLine="720"/>
        <w:rPr>
          <w:rFonts w:ascii="Times New Roman" w:hAnsi="Times New Roman"/>
          <w:sz w:val="24"/>
        </w:rPr>
      </w:pPr>
      <w:r>
        <w:rPr>
          <w:rFonts w:ascii="Times New Roman" w:hAnsi="Times New Roman"/>
          <w:sz w:val="24"/>
        </w:rPr>
        <w:t>Not applicable.</w:t>
      </w:r>
    </w:p>
    <w:p w:rsidR="00C25B79" w:rsidRDefault="00C25B79" w14:paraId="279A31A5" w14:textId="77777777">
      <w:pPr>
        <w:rPr>
          <w:rFonts w:ascii="Times New Roman" w:hAnsi="Times New Roman"/>
          <w:sz w:val="24"/>
        </w:rPr>
      </w:pPr>
    </w:p>
    <w:p w:rsidR="001A33BF" w:rsidP="001A33BF" w:rsidRDefault="001A33BF" w14:paraId="616F56BD" w14:textId="77777777">
      <w:pPr>
        <w:pStyle w:val="BodyText"/>
        <w:ind w:right="270"/>
        <w:rPr>
          <w:u w:val="none"/>
        </w:rPr>
      </w:pPr>
      <w:r>
        <w:rPr>
          <w:rFonts w:ascii="Times New Roman" w:hAnsi="Times New Roman"/>
          <w:b/>
          <w:bCs/>
          <w:i/>
          <w:iCs/>
          <w:u w:val="none"/>
        </w:rPr>
        <w:t>8.</w:t>
      </w:r>
      <w:r>
        <w:rPr>
          <w:rFonts w:ascii="Times New Roman" w:hAnsi="Times New Roman"/>
          <w:b/>
          <w:bCs/>
          <w:i/>
          <w:iCs/>
          <w:u w:val="none"/>
        </w:rPr>
        <w:tab/>
      </w:r>
      <w:r w:rsidR="00A05D30">
        <w:rPr>
          <w:rFonts w:ascii="Times New Roman" w:hAnsi="Times New Roman"/>
          <w:b/>
          <w:i/>
          <w:spacing w:val="-1"/>
          <w:u w:val="none"/>
        </w:rPr>
        <w:t>Efforts to consult with persons outside the agency:</w:t>
      </w:r>
    </w:p>
    <w:p w:rsidR="00C25B79" w:rsidRDefault="00C25B79" w14:paraId="075F7BA9" w14:textId="77777777">
      <w:pPr>
        <w:rPr>
          <w:rFonts w:ascii="Times New Roman" w:hAnsi="Times New Roman"/>
          <w:sz w:val="24"/>
        </w:rPr>
      </w:pPr>
    </w:p>
    <w:p w:rsidR="00C25B79" w:rsidP="002C1147" w:rsidRDefault="00C25B79" w14:paraId="7517C48E" w14:textId="77777777">
      <w:pPr>
        <w:ind w:firstLine="720"/>
        <w:rPr>
          <w:rFonts w:ascii="Times New Roman" w:hAnsi="Times New Roman"/>
          <w:sz w:val="24"/>
        </w:rPr>
      </w:pPr>
      <w:r>
        <w:rPr>
          <w:rFonts w:ascii="Times New Roman" w:hAnsi="Times New Roman"/>
          <w:sz w:val="24"/>
        </w:rPr>
        <w:t xml:space="preserve">The OCC </w:t>
      </w:r>
      <w:r w:rsidR="00477837">
        <w:rPr>
          <w:rFonts w:ascii="Times New Roman" w:hAnsi="Times New Roman"/>
          <w:sz w:val="24"/>
        </w:rPr>
        <w:t xml:space="preserve">issued </w:t>
      </w:r>
      <w:r w:rsidR="00A92BD4">
        <w:rPr>
          <w:rFonts w:ascii="Times New Roman" w:hAnsi="Times New Roman"/>
          <w:sz w:val="24"/>
        </w:rPr>
        <w:t>the information collection for 60 days of comment through a notice of proposed rulemaking.</w:t>
      </w:r>
    </w:p>
    <w:p w:rsidR="00C25B79" w:rsidRDefault="00C25B79" w14:paraId="2BDC6456" w14:textId="77777777">
      <w:pPr>
        <w:rPr>
          <w:rFonts w:ascii="Times New Roman" w:hAnsi="Times New Roman"/>
          <w:sz w:val="24"/>
        </w:rPr>
      </w:pPr>
    </w:p>
    <w:p w:rsidR="001A33BF" w:rsidP="001A33BF" w:rsidRDefault="001A33BF" w14:paraId="41020EAF" w14:textId="77777777">
      <w:pPr>
        <w:pStyle w:val="BodyText"/>
        <w:widowControl w:val="0"/>
        <w:ind w:right="982" w:firstLine="100"/>
        <w:rPr>
          <w:rFonts w:ascii="Times New Roman" w:hAnsi="Times New Roman"/>
          <w:b/>
          <w:i/>
          <w:u w:val="none"/>
        </w:rPr>
      </w:pPr>
      <w:r>
        <w:rPr>
          <w:rFonts w:ascii="Times New Roman" w:hAnsi="Times New Roman"/>
          <w:b/>
          <w:bCs/>
          <w:i/>
          <w:iCs/>
          <w:u w:val="none"/>
        </w:rPr>
        <w:t>9.</w:t>
      </w:r>
      <w:r>
        <w:rPr>
          <w:rFonts w:ascii="Times New Roman" w:hAnsi="Times New Roman"/>
          <w:b/>
          <w:bCs/>
          <w:i/>
          <w:iCs/>
          <w:u w:val="none"/>
        </w:rPr>
        <w:tab/>
      </w:r>
      <w:r w:rsidR="00134D5D">
        <w:rPr>
          <w:rFonts w:ascii="Times New Roman" w:hAnsi="Times New Roman"/>
          <w:b/>
          <w:i/>
          <w:u w:val="none"/>
        </w:rPr>
        <w:t>Payment or gift to respondents:</w:t>
      </w:r>
    </w:p>
    <w:p w:rsidR="00C25B79" w:rsidRDefault="00C25B79" w14:paraId="06FA2871" w14:textId="77777777">
      <w:pPr>
        <w:rPr>
          <w:rFonts w:ascii="Times New Roman" w:hAnsi="Times New Roman"/>
          <w:sz w:val="24"/>
        </w:rPr>
      </w:pPr>
    </w:p>
    <w:p w:rsidR="00C25B79" w:rsidP="002C1147" w:rsidRDefault="00C25B79" w14:paraId="45EE3ADC" w14:textId="77777777">
      <w:pPr>
        <w:ind w:firstLine="720"/>
        <w:rPr>
          <w:rFonts w:ascii="Times New Roman" w:hAnsi="Times New Roman"/>
          <w:sz w:val="24"/>
        </w:rPr>
      </w:pPr>
      <w:r>
        <w:rPr>
          <w:rFonts w:ascii="Times New Roman" w:hAnsi="Times New Roman"/>
          <w:sz w:val="24"/>
        </w:rPr>
        <w:t>None.</w:t>
      </w:r>
    </w:p>
    <w:p w:rsidR="0020046C" w:rsidP="001A33BF" w:rsidRDefault="0020046C" w14:paraId="5F54F285" w14:textId="77777777">
      <w:pPr>
        <w:pStyle w:val="BodyText"/>
        <w:widowControl w:val="0"/>
        <w:tabs>
          <w:tab w:val="left" w:pos="460"/>
        </w:tabs>
        <w:ind w:right="410"/>
        <w:rPr>
          <w:rFonts w:ascii="Times New Roman" w:hAnsi="Times New Roman"/>
          <w:b/>
          <w:bCs/>
          <w:i/>
          <w:iCs/>
          <w:u w:val="none"/>
        </w:rPr>
      </w:pPr>
    </w:p>
    <w:p w:rsidR="001A33BF" w:rsidP="001A33BF" w:rsidRDefault="001A33BF" w14:paraId="58E8C809" w14:textId="77777777">
      <w:pPr>
        <w:pStyle w:val="BodyText"/>
        <w:widowControl w:val="0"/>
        <w:tabs>
          <w:tab w:val="left" w:pos="460"/>
        </w:tabs>
        <w:ind w:right="410"/>
        <w:rPr>
          <w:rFonts w:ascii="Times New Roman" w:hAnsi="Times New Roman"/>
          <w:b/>
          <w:i/>
          <w:u w:val="none"/>
        </w:rPr>
      </w:pPr>
      <w:r>
        <w:rPr>
          <w:rFonts w:ascii="Times New Roman" w:hAnsi="Times New Roman"/>
          <w:b/>
          <w:bCs/>
          <w:i/>
          <w:iCs/>
          <w:u w:val="none"/>
        </w:rPr>
        <w:t>10.</w:t>
      </w:r>
      <w:r>
        <w:rPr>
          <w:rFonts w:ascii="Times New Roman" w:hAnsi="Times New Roman"/>
          <w:b/>
          <w:bCs/>
          <w:i/>
          <w:iCs/>
          <w:u w:val="none"/>
        </w:rPr>
        <w:tab/>
        <w:t xml:space="preserve">    </w:t>
      </w:r>
      <w:r w:rsidR="00134D5D">
        <w:rPr>
          <w:rFonts w:ascii="Times New Roman" w:hAnsi="Times New Roman"/>
          <w:b/>
          <w:i/>
          <w:spacing w:val="-1"/>
          <w:u w:val="none"/>
        </w:rPr>
        <w:t>Any assurance of confidentiality:</w:t>
      </w:r>
    </w:p>
    <w:p w:rsidR="00C25B79" w:rsidRDefault="00C25B79" w14:paraId="754ED470" w14:textId="77777777">
      <w:pPr>
        <w:rPr>
          <w:rFonts w:ascii="Times New Roman" w:hAnsi="Times New Roman"/>
          <w:sz w:val="24"/>
        </w:rPr>
      </w:pPr>
    </w:p>
    <w:p w:rsidR="00C25B79" w:rsidP="002C1147" w:rsidRDefault="00F32141" w14:paraId="6C38BE5A" w14:textId="77777777">
      <w:pPr>
        <w:ind w:firstLine="720"/>
        <w:rPr>
          <w:rFonts w:ascii="Times New Roman" w:hAnsi="Times New Roman"/>
          <w:sz w:val="24"/>
        </w:rPr>
      </w:pPr>
      <w:r>
        <w:rPr>
          <w:rFonts w:ascii="Times New Roman" w:hAnsi="Times New Roman"/>
          <w:sz w:val="24"/>
        </w:rPr>
        <w:t>The information will be kept private to the extent permitted by law.</w:t>
      </w:r>
    </w:p>
    <w:p w:rsidR="00C25B79" w:rsidRDefault="00C25B79" w14:paraId="57EB71AA" w14:textId="77777777">
      <w:pPr>
        <w:rPr>
          <w:rFonts w:ascii="Times New Roman" w:hAnsi="Times New Roman"/>
          <w:sz w:val="24"/>
        </w:rPr>
      </w:pPr>
    </w:p>
    <w:p w:rsidR="001A33BF" w:rsidP="001A33BF" w:rsidRDefault="001A33BF" w14:paraId="7E74610B" w14:textId="77777777">
      <w:pPr>
        <w:pStyle w:val="BodyText"/>
        <w:widowControl w:val="0"/>
        <w:tabs>
          <w:tab w:val="left" w:pos="460"/>
        </w:tabs>
        <w:spacing w:before="69"/>
        <w:ind w:right="205"/>
        <w:rPr>
          <w:rFonts w:ascii="Times New Roman" w:hAnsi="Times New Roman"/>
          <w:b/>
          <w:i/>
          <w:spacing w:val="-1"/>
          <w:u w:val="none"/>
        </w:rPr>
      </w:pPr>
      <w:r>
        <w:rPr>
          <w:rFonts w:ascii="Times New Roman" w:hAnsi="Times New Roman"/>
          <w:b/>
          <w:bCs/>
          <w:i/>
          <w:iCs/>
          <w:u w:val="none"/>
        </w:rPr>
        <w:t>11.</w:t>
      </w:r>
      <w:r>
        <w:rPr>
          <w:rFonts w:ascii="Times New Roman" w:hAnsi="Times New Roman"/>
          <w:b/>
          <w:bCs/>
          <w:i/>
          <w:iCs/>
          <w:u w:val="none"/>
        </w:rPr>
        <w:tab/>
      </w:r>
      <w:r w:rsidR="00134D5D">
        <w:rPr>
          <w:rFonts w:ascii="Times New Roman" w:hAnsi="Times New Roman"/>
          <w:b/>
          <w:bCs/>
          <w:i/>
          <w:iCs/>
          <w:u w:val="none"/>
        </w:rPr>
        <w:t>Justification for questions of a sensitive nature:</w:t>
      </w:r>
    </w:p>
    <w:p w:rsidR="00C25B79" w:rsidRDefault="00C25B79" w14:paraId="51BBDE7A" w14:textId="77777777">
      <w:pPr>
        <w:rPr>
          <w:rFonts w:ascii="Times New Roman" w:hAnsi="Times New Roman"/>
          <w:sz w:val="24"/>
        </w:rPr>
      </w:pPr>
    </w:p>
    <w:p w:rsidR="00C25B79" w:rsidP="002C1147" w:rsidRDefault="00C25B79" w14:paraId="2F52D559" w14:textId="77777777">
      <w:pPr>
        <w:ind w:firstLine="720"/>
        <w:rPr>
          <w:rFonts w:ascii="Times New Roman" w:hAnsi="Times New Roman"/>
          <w:sz w:val="24"/>
        </w:rPr>
      </w:pPr>
      <w:r>
        <w:rPr>
          <w:rFonts w:ascii="Times New Roman" w:hAnsi="Times New Roman"/>
          <w:sz w:val="24"/>
        </w:rPr>
        <w:t>There are no questions of a sensitive nature.</w:t>
      </w:r>
    </w:p>
    <w:p w:rsidR="00C25B79" w:rsidRDefault="00C25B79" w14:paraId="17CF87CF" w14:textId="77777777">
      <w:pPr>
        <w:rPr>
          <w:rFonts w:ascii="Times New Roman" w:hAnsi="Times New Roman"/>
          <w:sz w:val="24"/>
        </w:rPr>
      </w:pPr>
    </w:p>
    <w:p w:rsidR="001A33BF" w:rsidP="001A33BF" w:rsidRDefault="001A33BF" w14:paraId="0F99C6D3" w14:textId="77777777">
      <w:pPr>
        <w:rPr>
          <w:rFonts w:ascii="Times New Roman" w:hAnsi="Times New Roman"/>
          <w:b/>
          <w:bCs/>
          <w:i/>
          <w:iCs/>
          <w:sz w:val="24"/>
          <w:szCs w:val="24"/>
        </w:rPr>
      </w:pPr>
      <w:r w:rsidRPr="009D4C37">
        <w:rPr>
          <w:rFonts w:ascii="Times New Roman" w:hAnsi="Times New Roman"/>
          <w:b/>
          <w:bCs/>
          <w:i/>
          <w:iCs/>
          <w:sz w:val="24"/>
          <w:szCs w:val="24"/>
        </w:rPr>
        <w:t xml:space="preserve">12.       </w:t>
      </w:r>
      <w:r w:rsidR="00327B9F">
        <w:rPr>
          <w:rFonts w:ascii="Times New Roman" w:hAnsi="Times New Roman"/>
          <w:b/>
          <w:bCs/>
          <w:i/>
          <w:iCs/>
          <w:sz w:val="24"/>
          <w:szCs w:val="24"/>
        </w:rPr>
        <w:t>Burden estimate:</w:t>
      </w:r>
    </w:p>
    <w:p w:rsidR="00A92BD4" w:rsidP="001A33BF" w:rsidRDefault="00A92BD4" w14:paraId="196D5017" w14:textId="77777777">
      <w:pPr>
        <w:rPr>
          <w:rFonts w:ascii="Times New Roman" w:hAnsi="Times New Roman"/>
          <w:b/>
          <w:bCs/>
          <w:i/>
          <w:iCs/>
          <w:sz w:val="24"/>
          <w:szCs w:val="24"/>
        </w:rPr>
      </w:pPr>
    </w:p>
    <w:p w:rsidRPr="00A92BD4" w:rsidR="00A92BD4" w:rsidP="00A92BD4" w:rsidRDefault="00A92BD4" w14:paraId="11A6481E" w14:textId="77777777">
      <w:pPr>
        <w:spacing w:before="100" w:beforeAutospacing="1" w:after="100" w:afterAutospacing="1" w:line="480" w:lineRule="auto"/>
        <w:contextualSpacing/>
        <w:rPr>
          <w:rFonts w:ascii="Times New Roman" w:hAnsi="Times New Roman"/>
          <w:sz w:val="24"/>
          <w:szCs w:val="24"/>
        </w:rPr>
      </w:pPr>
      <w:r w:rsidRPr="00A92BD4">
        <w:rPr>
          <w:rFonts w:ascii="Times New Roman" w:hAnsi="Times New Roman"/>
          <w:i/>
          <w:iCs/>
          <w:sz w:val="24"/>
          <w:szCs w:val="24"/>
        </w:rPr>
        <w:t>Number of Respondents:</w:t>
      </w:r>
      <w:r w:rsidRPr="00A92BD4">
        <w:rPr>
          <w:rFonts w:ascii="Times New Roman" w:hAnsi="Times New Roman"/>
          <w:sz w:val="24"/>
          <w:szCs w:val="24"/>
        </w:rPr>
        <w:t> 579.</w:t>
      </w:r>
    </w:p>
    <w:p w:rsidRPr="00A92BD4" w:rsidR="00A92BD4" w:rsidP="00A92BD4" w:rsidRDefault="00A92BD4" w14:paraId="33295E7F" w14:textId="77777777">
      <w:pPr>
        <w:spacing w:before="100" w:beforeAutospacing="1" w:after="100" w:afterAutospacing="1" w:line="480" w:lineRule="auto"/>
        <w:contextualSpacing/>
        <w:rPr>
          <w:rFonts w:ascii="Times New Roman" w:hAnsi="Times New Roman"/>
          <w:sz w:val="24"/>
          <w:szCs w:val="24"/>
        </w:rPr>
      </w:pPr>
      <w:r w:rsidRPr="00A92BD4">
        <w:rPr>
          <w:rFonts w:ascii="Times New Roman" w:hAnsi="Times New Roman"/>
          <w:i/>
          <w:iCs/>
          <w:sz w:val="24"/>
          <w:szCs w:val="24"/>
        </w:rPr>
        <w:t>Estimated average hours per response:</w:t>
      </w:r>
    </w:p>
    <w:p w:rsidRPr="00A92BD4" w:rsidR="00A92BD4" w:rsidP="00A92BD4" w:rsidRDefault="00A92BD4" w14:paraId="551AFF6F" w14:textId="77777777">
      <w:pPr>
        <w:spacing w:before="100" w:beforeAutospacing="1" w:after="100" w:afterAutospacing="1" w:line="480" w:lineRule="auto"/>
        <w:ind w:firstLine="720"/>
        <w:contextualSpacing/>
        <w:rPr>
          <w:rFonts w:ascii="Times New Roman" w:hAnsi="Times New Roman"/>
          <w:sz w:val="24"/>
          <w:szCs w:val="24"/>
        </w:rPr>
      </w:pPr>
      <w:r w:rsidRPr="00A92BD4">
        <w:rPr>
          <w:rFonts w:ascii="Times New Roman" w:hAnsi="Times New Roman"/>
          <w:sz w:val="24"/>
          <w:szCs w:val="24"/>
        </w:rPr>
        <w:t>Recordkeeping Section 30 Appendix F Initial setup - 20.</w:t>
      </w:r>
    </w:p>
    <w:p w:rsidRPr="00A92BD4" w:rsidR="00A92BD4" w:rsidP="00A92BD4" w:rsidRDefault="00A92BD4" w14:paraId="07C6223D" w14:textId="77777777">
      <w:pPr>
        <w:spacing w:before="100" w:beforeAutospacing="1" w:after="100" w:afterAutospacing="1" w:line="480" w:lineRule="auto"/>
        <w:ind w:firstLine="720"/>
        <w:contextualSpacing/>
        <w:rPr>
          <w:rFonts w:ascii="Times New Roman" w:hAnsi="Times New Roman"/>
          <w:sz w:val="24"/>
          <w:szCs w:val="24"/>
        </w:rPr>
      </w:pPr>
      <w:r w:rsidRPr="00A92BD4">
        <w:rPr>
          <w:rFonts w:ascii="Times New Roman" w:hAnsi="Times New Roman"/>
          <w:sz w:val="24"/>
          <w:szCs w:val="24"/>
        </w:rPr>
        <w:t>Recordkeeping Section 30 Appendix F Ongoing - 1.</w:t>
      </w:r>
    </w:p>
    <w:p w:rsidRPr="00A92BD4" w:rsidR="00A92BD4" w:rsidP="00A92BD4" w:rsidRDefault="00A92BD4" w14:paraId="571C3AA0" w14:textId="77777777">
      <w:pPr>
        <w:spacing w:before="100" w:beforeAutospacing="1" w:after="100" w:afterAutospacing="1" w:line="480" w:lineRule="auto"/>
        <w:contextualSpacing/>
        <w:rPr>
          <w:rFonts w:ascii="Times New Roman" w:hAnsi="Times New Roman"/>
          <w:sz w:val="24"/>
          <w:szCs w:val="24"/>
        </w:rPr>
      </w:pPr>
      <w:r w:rsidRPr="00A92BD4">
        <w:rPr>
          <w:rFonts w:ascii="Times New Roman" w:hAnsi="Times New Roman"/>
          <w:i/>
          <w:iCs/>
          <w:sz w:val="24"/>
          <w:szCs w:val="24"/>
        </w:rPr>
        <w:t>Estimated annual burden hours:</w:t>
      </w:r>
    </w:p>
    <w:p w:rsidRPr="00A92BD4" w:rsidR="00A92BD4" w:rsidP="00A92BD4" w:rsidRDefault="00A92BD4" w14:paraId="7101FC5D" w14:textId="77777777">
      <w:pPr>
        <w:spacing w:before="100" w:beforeAutospacing="1" w:after="100" w:afterAutospacing="1" w:line="480" w:lineRule="auto"/>
        <w:ind w:firstLine="720"/>
        <w:contextualSpacing/>
        <w:rPr>
          <w:rFonts w:ascii="Times New Roman" w:hAnsi="Times New Roman"/>
          <w:sz w:val="24"/>
          <w:szCs w:val="24"/>
        </w:rPr>
      </w:pPr>
      <w:r w:rsidRPr="00A92BD4">
        <w:rPr>
          <w:rFonts w:ascii="Times New Roman" w:hAnsi="Times New Roman"/>
          <w:sz w:val="24"/>
          <w:szCs w:val="24"/>
        </w:rPr>
        <w:t>Recordkeeping Section 30 Appendix F Initial setup - 11,580.</w:t>
      </w:r>
    </w:p>
    <w:p w:rsidR="00A92BD4" w:rsidP="00A92BD4" w:rsidRDefault="00A92BD4" w14:paraId="743B7FBB" w14:textId="77777777">
      <w:pPr>
        <w:spacing w:before="100" w:beforeAutospacing="1" w:after="100" w:afterAutospacing="1" w:line="480" w:lineRule="auto"/>
        <w:ind w:firstLine="720"/>
        <w:contextualSpacing/>
        <w:rPr>
          <w:rFonts w:ascii="Times New Roman" w:hAnsi="Times New Roman"/>
          <w:sz w:val="24"/>
          <w:szCs w:val="24"/>
        </w:rPr>
      </w:pPr>
      <w:r w:rsidRPr="00A92BD4">
        <w:rPr>
          <w:rFonts w:ascii="Times New Roman" w:hAnsi="Times New Roman"/>
          <w:sz w:val="24"/>
          <w:szCs w:val="24"/>
        </w:rPr>
        <w:t>Recordkeeping Section 30 Appendix F Ongoing - 579.</w:t>
      </w:r>
    </w:p>
    <w:p w:rsidRPr="00A92BD4" w:rsidR="00A92BD4" w:rsidP="00A92BD4" w:rsidRDefault="00A92BD4" w14:paraId="29A02431" w14:textId="77777777">
      <w:pPr>
        <w:spacing w:before="100" w:beforeAutospacing="1" w:after="100" w:afterAutospacing="1" w:line="480" w:lineRule="auto"/>
        <w:ind w:firstLine="720"/>
        <w:contextualSpacing/>
        <w:rPr>
          <w:rFonts w:ascii="Times New Roman" w:hAnsi="Times New Roman"/>
          <w:sz w:val="24"/>
          <w:szCs w:val="24"/>
        </w:rPr>
      </w:pPr>
      <w:r>
        <w:rPr>
          <w:rFonts w:ascii="Times New Roman" w:hAnsi="Times New Roman"/>
          <w:sz w:val="24"/>
          <w:szCs w:val="24"/>
        </w:rPr>
        <w:lastRenderedPageBreak/>
        <w:t>Total – 12,159 hours.</w:t>
      </w:r>
    </w:p>
    <w:p w:rsidRPr="00A92BD4" w:rsidR="00A92BD4" w:rsidP="001A33BF" w:rsidRDefault="00A92BD4" w14:paraId="7F993DFE" w14:textId="77777777">
      <w:pPr>
        <w:rPr>
          <w:rFonts w:ascii="Times New Roman" w:hAnsi="Times New Roman"/>
          <w:b/>
          <w:bCs/>
          <w:i/>
          <w:iCs/>
          <w:sz w:val="24"/>
          <w:szCs w:val="24"/>
        </w:rPr>
      </w:pPr>
    </w:p>
    <w:p w:rsidR="00C25B79" w:rsidRDefault="00C25B79" w14:paraId="34EC4371" w14:textId="77777777">
      <w:pPr>
        <w:pStyle w:val="BodyText3"/>
      </w:pPr>
      <w:r>
        <w:t xml:space="preserve">Cost of Hour Burden </w:t>
      </w:r>
    </w:p>
    <w:p w:rsidR="00957818" w:rsidRDefault="00957818" w14:paraId="66E41DCA" w14:textId="77777777">
      <w:pPr>
        <w:pStyle w:val="BodyText3"/>
      </w:pPr>
    </w:p>
    <w:p w:rsidR="00A92BD4" w:rsidP="00A92BD4" w:rsidRDefault="00A92BD4" w14:paraId="5857C31F" w14:textId="77777777">
      <w:pPr>
        <w:pStyle w:val="BodyText3"/>
      </w:pPr>
      <w:r>
        <w:t xml:space="preserve">12,159 </w:t>
      </w:r>
      <w:r w:rsidR="000E5EBB">
        <w:t>x 11</w:t>
      </w:r>
      <w:r w:rsidR="00D6543D">
        <w:t>5.19</w:t>
      </w:r>
      <w:r w:rsidR="000E5EBB">
        <w:t xml:space="preserve"> = $</w:t>
      </w:r>
      <w:r w:rsidR="00AD187B">
        <w:t xml:space="preserve"> </w:t>
      </w:r>
      <w:r>
        <w:t>1,400,595</w:t>
      </w:r>
    </w:p>
    <w:p w:rsidR="00A92BD4" w:rsidP="00A92BD4" w:rsidRDefault="00A92BD4" w14:paraId="39E555F4" w14:textId="77777777">
      <w:pPr>
        <w:pStyle w:val="BodyText3"/>
        <w:rPr>
          <w:color w:val="000000"/>
          <w:szCs w:val="24"/>
        </w:rPr>
      </w:pPr>
    </w:p>
    <w:p w:rsidRPr="0064167F" w:rsidR="000F1228" w:rsidP="000F1228" w:rsidRDefault="000F1228" w14:paraId="2E1F3561" w14:textId="77777777">
      <w:pPr>
        <w:rPr>
          <w:rFonts w:ascii="Times New Roman" w:hAnsi="Times New Roman"/>
          <w:sz w:val="24"/>
          <w:szCs w:val="24"/>
        </w:rPr>
      </w:pPr>
      <w:r>
        <w:rPr>
          <w:rFonts w:ascii="Times New Roman" w:hAnsi="Times New Roman"/>
          <w:color w:val="000000"/>
          <w:sz w:val="24"/>
          <w:szCs w:val="24"/>
        </w:rPr>
        <w:t xml:space="preserve">To estimate wages the OCC reviewed May 2019 data for wages (by industry and occupation) from the U.S. Bureau of Labor Statistics (BLS) for credit intermediation and related activities excluding </w:t>
      </w:r>
      <w:proofErr w:type="spellStart"/>
      <w:r>
        <w:rPr>
          <w:rFonts w:ascii="Times New Roman" w:hAnsi="Times New Roman"/>
          <w:color w:val="000000"/>
          <w:sz w:val="24"/>
          <w:szCs w:val="24"/>
        </w:rPr>
        <w:t>nondepository</w:t>
      </w:r>
      <w:proofErr w:type="spellEnd"/>
      <w:r>
        <w:rPr>
          <w:rFonts w:ascii="Times New Roman" w:hAnsi="Times New Roman"/>
          <w:color w:val="000000"/>
          <w:sz w:val="24"/>
          <w:szCs w:val="24"/>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8E0623" w:rsidRDefault="008E0623" w14:paraId="7E4F8581" w14:textId="77777777">
      <w:pPr>
        <w:tabs>
          <w:tab w:val="left" w:pos="-1440"/>
        </w:tabs>
        <w:ind w:left="720" w:hanging="720"/>
        <w:rPr>
          <w:rFonts w:ascii="Times New Roman" w:hAnsi="Times New Roman"/>
          <w:b/>
          <w:bCs/>
          <w:i/>
          <w:iCs/>
          <w:sz w:val="24"/>
        </w:rPr>
      </w:pPr>
    </w:p>
    <w:p w:rsidRPr="00843CCE" w:rsidR="001A33BF" w:rsidP="001A33BF" w:rsidRDefault="001A33BF" w14:paraId="4BC199B4" w14:textId="77777777">
      <w:pPr>
        <w:tabs>
          <w:tab w:val="left" w:pos="-1440"/>
        </w:tabs>
        <w:ind w:left="720" w:hanging="720"/>
        <w:rPr>
          <w:rFonts w:ascii="Times New Roman" w:hAnsi="Times New Roman"/>
          <w:b/>
          <w:bCs/>
          <w:i/>
          <w:sz w:val="24"/>
          <w:szCs w:val="24"/>
        </w:rPr>
      </w:pPr>
      <w:r w:rsidRPr="00843CCE">
        <w:rPr>
          <w:rFonts w:ascii="Times New Roman" w:hAnsi="Times New Roman"/>
          <w:b/>
          <w:bCs/>
          <w:i/>
          <w:iCs/>
          <w:sz w:val="24"/>
          <w:szCs w:val="24"/>
        </w:rPr>
        <w:t>13.</w:t>
      </w:r>
      <w:r w:rsidRPr="00843CCE">
        <w:rPr>
          <w:rFonts w:ascii="Times New Roman" w:hAnsi="Times New Roman"/>
          <w:b/>
          <w:bCs/>
          <w:i/>
          <w:iCs/>
          <w:sz w:val="24"/>
          <w:szCs w:val="24"/>
        </w:rPr>
        <w:tab/>
      </w:r>
      <w:r w:rsidR="00185894">
        <w:rPr>
          <w:rFonts w:ascii="Times New Roman" w:hAnsi="Times New Roman"/>
          <w:b/>
          <w:bCs/>
          <w:i/>
          <w:sz w:val="24"/>
          <w:szCs w:val="24"/>
        </w:rPr>
        <w:t>Estimate of total annual cost to respondents (excluding cost of hour burden in Item #12):</w:t>
      </w:r>
      <w:r w:rsidRPr="00843CCE">
        <w:rPr>
          <w:rFonts w:ascii="Times New Roman" w:hAnsi="Times New Roman"/>
          <w:b/>
          <w:bCs/>
          <w:i/>
          <w:sz w:val="24"/>
          <w:szCs w:val="24"/>
        </w:rPr>
        <w:t xml:space="preserve"> </w:t>
      </w:r>
    </w:p>
    <w:p w:rsidRPr="00843CCE" w:rsidR="00C25B79" w:rsidRDefault="00C25B79" w14:paraId="5D326156" w14:textId="77777777">
      <w:pPr>
        <w:tabs>
          <w:tab w:val="left" w:pos="-1440"/>
        </w:tabs>
        <w:ind w:left="720" w:hanging="720"/>
        <w:rPr>
          <w:rFonts w:ascii="Times New Roman" w:hAnsi="Times New Roman"/>
          <w:sz w:val="24"/>
          <w:szCs w:val="24"/>
        </w:rPr>
      </w:pPr>
    </w:p>
    <w:p w:rsidRPr="00843CCE" w:rsidR="00C25B79" w:rsidP="002C1147" w:rsidRDefault="00C25B79" w14:paraId="70CCFD00" w14:textId="77777777">
      <w:pPr>
        <w:ind w:firstLine="720"/>
        <w:rPr>
          <w:rFonts w:ascii="Times New Roman" w:hAnsi="Times New Roman"/>
          <w:sz w:val="24"/>
          <w:szCs w:val="24"/>
        </w:rPr>
      </w:pPr>
      <w:r w:rsidRPr="00843CCE">
        <w:rPr>
          <w:rFonts w:ascii="Times New Roman" w:hAnsi="Times New Roman"/>
          <w:sz w:val="24"/>
          <w:szCs w:val="24"/>
        </w:rPr>
        <w:t>Not applicable.</w:t>
      </w:r>
    </w:p>
    <w:p w:rsidRPr="00843CCE" w:rsidR="00C25B79" w:rsidRDefault="00C25B79" w14:paraId="0312E443" w14:textId="77777777">
      <w:pPr>
        <w:rPr>
          <w:rFonts w:ascii="Times New Roman" w:hAnsi="Times New Roman"/>
          <w:sz w:val="24"/>
          <w:szCs w:val="24"/>
        </w:rPr>
      </w:pPr>
    </w:p>
    <w:p w:rsidRPr="00843CCE" w:rsidR="001A33BF" w:rsidP="001A33BF" w:rsidRDefault="001A33BF" w14:paraId="06CB8A2D" w14:textId="77777777">
      <w:pPr>
        <w:rPr>
          <w:rFonts w:ascii="Times New Roman" w:hAnsi="Times New Roman"/>
          <w:b/>
          <w:bCs/>
          <w:i/>
          <w:iCs/>
          <w:sz w:val="24"/>
          <w:szCs w:val="24"/>
        </w:rPr>
      </w:pPr>
      <w:r w:rsidRPr="00843CCE">
        <w:rPr>
          <w:rFonts w:ascii="Times New Roman" w:hAnsi="Times New Roman"/>
          <w:b/>
          <w:bCs/>
          <w:i/>
          <w:iCs/>
          <w:sz w:val="24"/>
          <w:szCs w:val="24"/>
        </w:rPr>
        <w:t>14.</w:t>
      </w:r>
      <w:r w:rsidRPr="00843CCE">
        <w:rPr>
          <w:rFonts w:ascii="Times New Roman" w:hAnsi="Times New Roman"/>
          <w:b/>
          <w:bCs/>
          <w:i/>
          <w:iCs/>
          <w:sz w:val="24"/>
          <w:szCs w:val="24"/>
        </w:rPr>
        <w:tab/>
      </w:r>
      <w:r w:rsidR="00185894">
        <w:rPr>
          <w:rFonts w:ascii="Times New Roman" w:hAnsi="Times New Roman"/>
          <w:b/>
          <w:bCs/>
          <w:i/>
          <w:iCs/>
          <w:sz w:val="24"/>
          <w:szCs w:val="24"/>
        </w:rPr>
        <w:t xml:space="preserve">Estimates of annualized costs to the </w:t>
      </w:r>
      <w:r w:rsidR="005117FC">
        <w:rPr>
          <w:rFonts w:ascii="Times New Roman" w:hAnsi="Times New Roman"/>
          <w:b/>
          <w:bCs/>
          <w:i/>
          <w:iCs/>
          <w:sz w:val="24"/>
          <w:szCs w:val="24"/>
        </w:rPr>
        <w:t>f</w:t>
      </w:r>
      <w:r w:rsidR="00185894">
        <w:rPr>
          <w:rFonts w:ascii="Times New Roman" w:hAnsi="Times New Roman"/>
          <w:b/>
          <w:bCs/>
          <w:i/>
          <w:iCs/>
          <w:sz w:val="24"/>
          <w:szCs w:val="24"/>
        </w:rPr>
        <w:t>ederal government:</w:t>
      </w:r>
    </w:p>
    <w:p w:rsidR="00C25B79" w:rsidRDefault="00C25B79" w14:paraId="49809DCA" w14:textId="77777777">
      <w:pPr>
        <w:rPr>
          <w:rFonts w:ascii="Times New Roman" w:hAnsi="Times New Roman"/>
          <w:sz w:val="24"/>
        </w:rPr>
      </w:pPr>
    </w:p>
    <w:p w:rsidR="00C25B79" w:rsidP="002C1147" w:rsidRDefault="00C310CD" w14:paraId="66323D1E" w14:textId="77777777">
      <w:pPr>
        <w:ind w:firstLine="720"/>
        <w:rPr>
          <w:rFonts w:ascii="Times New Roman" w:hAnsi="Times New Roman"/>
          <w:sz w:val="24"/>
        </w:rPr>
      </w:pPr>
      <w:r>
        <w:rPr>
          <w:rFonts w:ascii="Times New Roman" w:hAnsi="Times New Roman"/>
          <w:sz w:val="24"/>
        </w:rPr>
        <w:t>Not applicable.</w:t>
      </w:r>
    </w:p>
    <w:p w:rsidR="00C25B79" w:rsidRDefault="00C25B79" w14:paraId="305F8449" w14:textId="77777777">
      <w:pPr>
        <w:rPr>
          <w:rFonts w:ascii="Times New Roman" w:hAnsi="Times New Roman"/>
          <w:sz w:val="24"/>
        </w:rPr>
      </w:pPr>
    </w:p>
    <w:p w:rsidRPr="0085720D" w:rsidR="001A33BF" w:rsidP="001A33BF" w:rsidRDefault="001A33BF" w14:paraId="5B62BCEF" w14:textId="77777777">
      <w:pPr>
        <w:rPr>
          <w:rFonts w:ascii="Times New Roman" w:hAnsi="Times New Roman"/>
          <w:b/>
          <w:bCs/>
          <w:i/>
          <w:iCs/>
          <w:sz w:val="24"/>
          <w:szCs w:val="24"/>
        </w:rPr>
      </w:pPr>
      <w:r w:rsidRPr="0085720D">
        <w:rPr>
          <w:rFonts w:ascii="Times New Roman" w:hAnsi="Times New Roman"/>
          <w:b/>
          <w:bCs/>
          <w:i/>
          <w:iCs/>
          <w:sz w:val="24"/>
          <w:szCs w:val="24"/>
        </w:rPr>
        <w:t>15.</w:t>
      </w:r>
      <w:r w:rsidRPr="0085720D">
        <w:rPr>
          <w:rFonts w:ascii="Times New Roman" w:hAnsi="Times New Roman"/>
          <w:b/>
          <w:bCs/>
          <w:i/>
          <w:iCs/>
          <w:sz w:val="24"/>
          <w:szCs w:val="24"/>
        </w:rPr>
        <w:tab/>
      </w:r>
      <w:r w:rsidRPr="0085720D" w:rsidR="0085720D">
        <w:rPr>
          <w:rFonts w:ascii="Times New Roman" w:hAnsi="Times New Roman"/>
          <w:b/>
          <w:bCs/>
          <w:i/>
          <w:iCs/>
          <w:sz w:val="24"/>
          <w:szCs w:val="24"/>
        </w:rPr>
        <w:t>Change in burden:</w:t>
      </w:r>
    </w:p>
    <w:p w:rsidR="00C25B79" w:rsidRDefault="00C25B79" w14:paraId="75F7038C" w14:textId="77777777">
      <w:pPr>
        <w:rPr>
          <w:rFonts w:ascii="Times New Roman" w:hAnsi="Times New Roman"/>
          <w:sz w:val="24"/>
        </w:rPr>
      </w:pPr>
    </w:p>
    <w:p w:rsidR="001C651B" w:rsidRDefault="00A92BD4" w14:paraId="20501330" w14:textId="77777777">
      <w:pPr>
        <w:rPr>
          <w:rFonts w:ascii="Times New Roman" w:hAnsi="Times New Roman"/>
          <w:sz w:val="24"/>
        </w:rPr>
      </w:pPr>
      <w:r>
        <w:rPr>
          <w:rFonts w:ascii="Times New Roman" w:hAnsi="Times New Roman"/>
          <w:sz w:val="24"/>
        </w:rPr>
        <w:tab/>
        <w:t>This is a new collection.</w:t>
      </w:r>
    </w:p>
    <w:p w:rsidR="00A92BD4" w:rsidRDefault="00A92BD4" w14:paraId="3AFCDFB2" w14:textId="77777777">
      <w:pPr>
        <w:rPr>
          <w:rFonts w:ascii="Times New Roman" w:hAnsi="Times New Roman"/>
          <w:sz w:val="24"/>
        </w:rPr>
      </w:pPr>
    </w:p>
    <w:p w:rsidRPr="00843CCE" w:rsidR="001A33BF" w:rsidP="001A33BF" w:rsidRDefault="001A33BF" w14:paraId="121E7F8A" w14:textId="77777777">
      <w:pPr>
        <w:rPr>
          <w:rFonts w:ascii="Times New Roman" w:hAnsi="Times New Roman"/>
          <w:sz w:val="24"/>
          <w:szCs w:val="24"/>
        </w:rPr>
      </w:pPr>
      <w:r w:rsidRPr="00843CCE">
        <w:rPr>
          <w:rFonts w:ascii="Times New Roman" w:hAnsi="Times New Roman"/>
          <w:b/>
          <w:i/>
          <w:sz w:val="24"/>
          <w:szCs w:val="24"/>
        </w:rPr>
        <w:t>16.</w:t>
      </w:r>
      <w:r w:rsidRPr="00843CCE">
        <w:rPr>
          <w:rFonts w:ascii="Times New Roman" w:hAnsi="Times New Roman"/>
          <w:sz w:val="24"/>
          <w:szCs w:val="24"/>
        </w:rPr>
        <w:tab/>
      </w:r>
      <w:r w:rsidR="00B83BBE">
        <w:rPr>
          <w:rFonts w:ascii="Times New Roman" w:hAnsi="Times New Roman"/>
          <w:b/>
          <w:i/>
          <w:sz w:val="24"/>
          <w:szCs w:val="24"/>
        </w:rPr>
        <w:t>Information regarding collections whose results are to be published for statistical use:</w:t>
      </w:r>
    </w:p>
    <w:p w:rsidR="00C25B79" w:rsidRDefault="00C25B79" w14:paraId="370F9CBD" w14:textId="77777777">
      <w:pPr>
        <w:rPr>
          <w:rFonts w:ascii="Times New Roman" w:hAnsi="Times New Roman"/>
          <w:sz w:val="24"/>
        </w:rPr>
      </w:pPr>
    </w:p>
    <w:p w:rsidR="00C25B79" w:rsidP="002C1147" w:rsidRDefault="00C25B79" w14:paraId="6CFCBCB3" w14:textId="77777777">
      <w:pPr>
        <w:ind w:firstLine="720"/>
        <w:rPr>
          <w:rFonts w:ascii="Times New Roman" w:hAnsi="Times New Roman"/>
          <w:sz w:val="24"/>
        </w:rPr>
      </w:pPr>
      <w:r>
        <w:rPr>
          <w:rFonts w:ascii="Times New Roman" w:hAnsi="Times New Roman"/>
          <w:sz w:val="24"/>
        </w:rPr>
        <w:t>Not applicable.</w:t>
      </w:r>
    </w:p>
    <w:p w:rsidRPr="00325BDD" w:rsidR="001C651B" w:rsidP="00325BDD" w:rsidRDefault="001A33BF" w14:paraId="36E00827" w14:textId="77777777">
      <w:pPr>
        <w:outlineLvl w:val="0"/>
        <w:rPr>
          <w:rFonts w:ascii="Times New Roman" w:hAnsi="Times New Roman"/>
          <w:szCs w:val="24"/>
        </w:rPr>
      </w:pPr>
      <w:r>
        <w:rPr>
          <w:rFonts w:ascii="Times New Roman" w:hAnsi="Times New Roman"/>
          <w:szCs w:val="24"/>
        </w:rPr>
        <w:t xml:space="preserve">      </w:t>
      </w:r>
    </w:p>
    <w:p w:rsidR="001A33BF" w:rsidP="001A33BF" w:rsidRDefault="001A33BF" w14:paraId="4BA59403" w14:textId="77777777">
      <w:pPr>
        <w:pStyle w:val="BodyText"/>
        <w:widowControl w:val="0"/>
        <w:tabs>
          <w:tab w:val="left" w:pos="462"/>
        </w:tabs>
        <w:ind w:left="100" w:right="861" w:hanging="100"/>
        <w:rPr>
          <w:rFonts w:ascii="Times New Roman" w:hAnsi="Times New Roman"/>
          <w:b/>
          <w:i/>
          <w:spacing w:val="-1"/>
          <w:szCs w:val="24"/>
          <w:u w:val="none"/>
        </w:rPr>
      </w:pPr>
      <w:r>
        <w:rPr>
          <w:rFonts w:ascii="Times New Roman" w:hAnsi="Times New Roman"/>
          <w:b/>
          <w:i/>
          <w:spacing w:val="-2"/>
          <w:szCs w:val="24"/>
          <w:u w:val="none"/>
        </w:rPr>
        <w:t xml:space="preserve">17.     </w:t>
      </w:r>
      <w:r w:rsidR="00B83BBE">
        <w:rPr>
          <w:rFonts w:ascii="Times New Roman" w:hAnsi="Times New Roman"/>
          <w:b/>
          <w:i/>
          <w:spacing w:val="-2"/>
          <w:szCs w:val="24"/>
          <w:u w:val="none"/>
        </w:rPr>
        <w:t>Reasons for not displaying OMB expiration date:</w:t>
      </w:r>
    </w:p>
    <w:p w:rsidR="00C25B79" w:rsidRDefault="00C25B79" w14:paraId="2A2C1ABF" w14:textId="77777777">
      <w:pPr>
        <w:rPr>
          <w:rFonts w:ascii="Times New Roman" w:hAnsi="Times New Roman"/>
          <w:sz w:val="24"/>
        </w:rPr>
      </w:pPr>
    </w:p>
    <w:p w:rsidR="00C25B79" w:rsidP="002C1147" w:rsidRDefault="00C25B79" w14:paraId="790ADB30" w14:textId="77777777">
      <w:pPr>
        <w:ind w:firstLine="720"/>
        <w:rPr>
          <w:rFonts w:ascii="Times New Roman" w:hAnsi="Times New Roman"/>
          <w:sz w:val="24"/>
        </w:rPr>
      </w:pPr>
      <w:r>
        <w:rPr>
          <w:rFonts w:ascii="Times New Roman" w:hAnsi="Times New Roman"/>
          <w:sz w:val="24"/>
        </w:rPr>
        <w:t>Not applicable.</w:t>
      </w:r>
    </w:p>
    <w:p w:rsidR="00C25B79" w:rsidRDefault="00C25B79" w14:paraId="3087BD6B" w14:textId="77777777">
      <w:pPr>
        <w:rPr>
          <w:rFonts w:ascii="Times New Roman" w:hAnsi="Times New Roman"/>
          <w:sz w:val="24"/>
        </w:rPr>
      </w:pPr>
    </w:p>
    <w:p w:rsidR="001A33BF" w:rsidP="007F4D96" w:rsidRDefault="001A33BF" w14:paraId="627A8ACF" w14:textId="77777777">
      <w:pPr>
        <w:pStyle w:val="BodyText"/>
        <w:widowControl w:val="0"/>
        <w:tabs>
          <w:tab w:val="left" w:pos="0"/>
        </w:tabs>
        <w:ind w:left="459" w:hanging="459"/>
        <w:rPr>
          <w:rFonts w:ascii="Times New Roman" w:hAnsi="Times New Roman"/>
          <w:b/>
          <w:i/>
          <w:szCs w:val="24"/>
          <w:u w:val="none"/>
        </w:rPr>
      </w:pPr>
      <w:r>
        <w:rPr>
          <w:rFonts w:ascii="Times New Roman" w:hAnsi="Times New Roman"/>
          <w:b/>
          <w:i/>
          <w:szCs w:val="24"/>
          <w:u w:val="none"/>
        </w:rPr>
        <w:t xml:space="preserve">18.  </w:t>
      </w:r>
      <w:r w:rsidR="007F4D96">
        <w:rPr>
          <w:rFonts w:ascii="Times New Roman" w:hAnsi="Times New Roman"/>
          <w:b/>
          <w:i/>
          <w:szCs w:val="24"/>
          <w:u w:val="none"/>
        </w:rPr>
        <w:t xml:space="preserve"> Exceptions to the certification statement:</w:t>
      </w:r>
    </w:p>
    <w:p w:rsidR="00C25B79" w:rsidRDefault="00C25B79" w14:paraId="122C1858" w14:textId="77777777">
      <w:pPr>
        <w:rPr>
          <w:rFonts w:ascii="Times New Roman" w:hAnsi="Times New Roman"/>
          <w:sz w:val="24"/>
        </w:rPr>
      </w:pPr>
    </w:p>
    <w:p w:rsidR="00C25B79" w:rsidP="002C1147" w:rsidRDefault="00C25B79" w14:paraId="40AEA616" w14:textId="77777777">
      <w:pPr>
        <w:ind w:firstLine="720"/>
        <w:rPr>
          <w:rFonts w:ascii="Times New Roman" w:hAnsi="Times New Roman"/>
          <w:sz w:val="24"/>
        </w:rPr>
      </w:pPr>
      <w:r>
        <w:rPr>
          <w:rFonts w:ascii="Times New Roman" w:hAnsi="Times New Roman"/>
          <w:sz w:val="24"/>
        </w:rPr>
        <w:t>Not applicable.</w:t>
      </w:r>
    </w:p>
    <w:p w:rsidRPr="007F4D96" w:rsidR="00C25B79" w:rsidRDefault="00C25B79" w14:paraId="072663BA" w14:textId="77777777">
      <w:pPr>
        <w:rPr>
          <w:rFonts w:ascii="Times New Roman" w:hAnsi="Times New Roman"/>
          <w:b/>
          <w:sz w:val="24"/>
        </w:rPr>
      </w:pPr>
    </w:p>
    <w:p w:rsidRPr="007F4D96" w:rsidR="00C25B79" w:rsidRDefault="00C25B79" w14:paraId="66CC7FDB" w14:textId="77777777">
      <w:pPr>
        <w:rPr>
          <w:rFonts w:ascii="Times New Roman" w:hAnsi="Times New Roman"/>
          <w:b/>
          <w:i/>
          <w:sz w:val="24"/>
          <w:u w:val="single"/>
        </w:rPr>
      </w:pPr>
      <w:r w:rsidRPr="007F4D96">
        <w:rPr>
          <w:rFonts w:ascii="Times New Roman" w:hAnsi="Times New Roman"/>
          <w:b/>
          <w:i/>
          <w:sz w:val="24"/>
        </w:rPr>
        <w:t xml:space="preserve">B.  </w:t>
      </w:r>
      <w:r w:rsidRPr="007F4D96">
        <w:rPr>
          <w:rFonts w:ascii="Times New Roman" w:hAnsi="Times New Roman"/>
          <w:b/>
          <w:bCs/>
          <w:i/>
          <w:sz w:val="24"/>
        </w:rPr>
        <w:t>Collections of Information Employing Statistical Methods</w:t>
      </w:r>
      <w:r w:rsidRPr="007F4D96" w:rsidR="00F335AE">
        <w:rPr>
          <w:rFonts w:ascii="Times New Roman" w:hAnsi="Times New Roman"/>
          <w:b/>
          <w:bCs/>
          <w:i/>
          <w:sz w:val="24"/>
        </w:rPr>
        <w:t>.</w:t>
      </w:r>
    </w:p>
    <w:p w:rsidR="00C25B79" w:rsidRDefault="00C25B79" w14:paraId="4E51D19E" w14:textId="77777777">
      <w:pPr>
        <w:rPr>
          <w:rFonts w:ascii="Times New Roman" w:hAnsi="Times New Roman"/>
          <w:sz w:val="24"/>
          <w:u w:val="single"/>
        </w:rPr>
      </w:pPr>
    </w:p>
    <w:p w:rsidR="00C25B79" w:rsidP="002C1147" w:rsidRDefault="00C25B79" w14:paraId="33E38B2B" w14:textId="77777777">
      <w:pPr>
        <w:ind w:firstLine="720"/>
        <w:rPr>
          <w:rFonts w:ascii="Times New Roman" w:hAnsi="Times New Roman"/>
          <w:sz w:val="24"/>
        </w:rPr>
      </w:pPr>
      <w:r>
        <w:rPr>
          <w:rFonts w:ascii="Times New Roman" w:hAnsi="Times New Roman"/>
          <w:sz w:val="24"/>
        </w:rPr>
        <w:t>Not applicable.</w:t>
      </w:r>
    </w:p>
    <w:sectPr w:rsidR="00C25B79">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C886D" w14:textId="77777777" w:rsidR="003E25C8" w:rsidRDefault="003E25C8">
      <w:r>
        <w:separator/>
      </w:r>
    </w:p>
  </w:endnote>
  <w:endnote w:type="continuationSeparator" w:id="0">
    <w:p w14:paraId="2D6F7060" w14:textId="77777777" w:rsidR="003E25C8" w:rsidRDefault="003E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221D4" w14:textId="77777777" w:rsidR="00C310CD" w:rsidRDefault="00C310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2892F1" w14:textId="77777777" w:rsidR="00C310CD" w:rsidRDefault="00C31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161D6" w14:textId="77777777" w:rsidR="00C310CD" w:rsidRPr="00D67402" w:rsidRDefault="00C310CD">
    <w:pPr>
      <w:pStyle w:val="Footer"/>
      <w:framePr w:wrap="around" w:vAnchor="text" w:hAnchor="margin" w:xAlign="center" w:y="1"/>
      <w:rPr>
        <w:rStyle w:val="PageNumber"/>
        <w:rFonts w:ascii="Times New Roman" w:hAnsi="Times New Roman"/>
        <w:sz w:val="22"/>
      </w:rPr>
    </w:pPr>
    <w:r w:rsidRPr="00D67402">
      <w:rPr>
        <w:rStyle w:val="PageNumber"/>
        <w:rFonts w:ascii="Times New Roman" w:hAnsi="Times New Roman"/>
        <w:sz w:val="22"/>
      </w:rPr>
      <w:fldChar w:fldCharType="begin"/>
    </w:r>
    <w:r w:rsidRPr="00D67402">
      <w:rPr>
        <w:rStyle w:val="PageNumber"/>
        <w:rFonts w:ascii="Times New Roman" w:hAnsi="Times New Roman"/>
        <w:sz w:val="22"/>
      </w:rPr>
      <w:instrText xml:space="preserve">PAGE  </w:instrText>
    </w:r>
    <w:r w:rsidRPr="00D67402">
      <w:rPr>
        <w:rStyle w:val="PageNumber"/>
        <w:rFonts w:ascii="Times New Roman" w:hAnsi="Times New Roman"/>
        <w:sz w:val="22"/>
      </w:rPr>
      <w:fldChar w:fldCharType="separate"/>
    </w:r>
    <w:r w:rsidR="00E1026C">
      <w:rPr>
        <w:rStyle w:val="PageNumber"/>
        <w:rFonts w:ascii="Times New Roman" w:hAnsi="Times New Roman"/>
        <w:noProof/>
        <w:sz w:val="22"/>
      </w:rPr>
      <w:t>2</w:t>
    </w:r>
    <w:r w:rsidRPr="00D67402">
      <w:rPr>
        <w:rStyle w:val="PageNumber"/>
        <w:rFonts w:ascii="Times New Roman" w:hAnsi="Times New Roman"/>
        <w:sz w:val="22"/>
      </w:rPr>
      <w:fldChar w:fldCharType="end"/>
    </w:r>
  </w:p>
  <w:p w14:paraId="73C316BF" w14:textId="77777777" w:rsidR="00C310CD" w:rsidRDefault="00C31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10F1F" w14:textId="77777777" w:rsidR="003E25C8" w:rsidRDefault="003E25C8">
      <w:r>
        <w:separator/>
      </w:r>
    </w:p>
  </w:footnote>
  <w:footnote w:type="continuationSeparator" w:id="0">
    <w:p w14:paraId="1F1D9CDE" w14:textId="77777777" w:rsidR="003E25C8" w:rsidRDefault="003E25C8">
      <w:r>
        <w:continuationSeparator/>
      </w:r>
    </w:p>
  </w:footnote>
  <w:footnote w:id="1">
    <w:p w14:paraId="6E8DDE40" w14:textId="77777777" w:rsidR="00A92BD4" w:rsidRPr="00A92BD4" w:rsidRDefault="00A92BD4">
      <w:pPr>
        <w:pStyle w:val="FootnoteText"/>
        <w:rPr>
          <w:rFonts w:ascii="Times New Roman" w:hAnsi="Times New Roman"/>
        </w:rPr>
      </w:pPr>
      <w:r w:rsidRPr="00A92BD4">
        <w:rPr>
          <w:rStyle w:val="FootnoteReference"/>
          <w:rFonts w:ascii="Times New Roman" w:hAnsi="Times New Roman"/>
        </w:rPr>
        <w:footnoteRef/>
      </w:r>
      <w:r w:rsidRPr="00A92BD4">
        <w:rPr>
          <w:rFonts w:ascii="Times New Roman" w:hAnsi="Times New Roman"/>
        </w:rPr>
        <w:t xml:space="preserve"> Office of the Comptroller of the Currency; Board of Governors of the Federal Reserve System; Federal Deposit Insurance Corporation.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5B02C6B"/>
    <w:multiLevelType w:val="hybridMultilevel"/>
    <w:tmpl w:val="72E05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E7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A0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83788D"/>
    <w:multiLevelType w:val="hybridMultilevel"/>
    <w:tmpl w:val="09F8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476B3E"/>
    <w:multiLevelType w:val="hybridMultilevel"/>
    <w:tmpl w:val="CFC40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23C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8060C77"/>
    <w:multiLevelType w:val="hybridMultilevel"/>
    <w:tmpl w:val="B310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1970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4"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14"/>
  </w:num>
  <w:num w:numId="3">
    <w:abstractNumId w:val="7"/>
  </w:num>
  <w:num w:numId="4">
    <w:abstractNumId w:val="7"/>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7"/>
  </w:num>
  <w:num w:numId="14">
    <w:abstractNumId w:val="7"/>
  </w:num>
  <w:num w:numId="15">
    <w:abstractNumId w:val="7"/>
  </w:num>
  <w:num w:numId="16">
    <w:abstractNumId w:val="7"/>
  </w:num>
  <w:num w:numId="17">
    <w:abstractNumId w:val="12"/>
  </w:num>
  <w:num w:numId="18">
    <w:abstractNumId w:val="5"/>
  </w:num>
  <w:num w:numId="19">
    <w:abstractNumId w:val="3"/>
  </w:num>
  <w:num w:numId="20">
    <w:abstractNumId w:val="10"/>
  </w:num>
  <w:num w:numId="21">
    <w:abstractNumId w:val="11"/>
  </w:num>
  <w:num w:numId="22">
    <w:abstractNumId w:val="8"/>
  </w:num>
  <w:num w:numId="23">
    <w:abstractNumId w:val="2"/>
  </w:num>
  <w:num w:numId="24">
    <w:abstractNumId w:val="13"/>
  </w:num>
  <w:num w:numId="25">
    <w:abstractNumId w:val="9"/>
  </w:num>
  <w:num w:numId="26">
    <w:abstractNumId w:val="6"/>
  </w:num>
  <w:num w:numId="27">
    <w:abstractNumId w:val="4"/>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0E"/>
    <w:rsid w:val="00043982"/>
    <w:rsid w:val="00054A2A"/>
    <w:rsid w:val="000561C9"/>
    <w:rsid w:val="00061842"/>
    <w:rsid w:val="00067EB7"/>
    <w:rsid w:val="000B42ED"/>
    <w:rsid w:val="000E5EBB"/>
    <w:rsid w:val="000F1228"/>
    <w:rsid w:val="00101253"/>
    <w:rsid w:val="001177EC"/>
    <w:rsid w:val="00134D5D"/>
    <w:rsid w:val="00160253"/>
    <w:rsid w:val="00185894"/>
    <w:rsid w:val="001A0F53"/>
    <w:rsid w:val="001A33BF"/>
    <w:rsid w:val="001A6CFA"/>
    <w:rsid w:val="001B56B7"/>
    <w:rsid w:val="001C638C"/>
    <w:rsid w:val="001C651B"/>
    <w:rsid w:val="0020046C"/>
    <w:rsid w:val="0021173D"/>
    <w:rsid w:val="002214B8"/>
    <w:rsid w:val="00257134"/>
    <w:rsid w:val="00265AD6"/>
    <w:rsid w:val="002B6AAE"/>
    <w:rsid w:val="002C1147"/>
    <w:rsid w:val="002C7A49"/>
    <w:rsid w:val="002E2E9C"/>
    <w:rsid w:val="00325BDD"/>
    <w:rsid w:val="00327B9F"/>
    <w:rsid w:val="003677A2"/>
    <w:rsid w:val="00367CA5"/>
    <w:rsid w:val="0037466F"/>
    <w:rsid w:val="0037690D"/>
    <w:rsid w:val="0038317E"/>
    <w:rsid w:val="003A4680"/>
    <w:rsid w:val="003B1A95"/>
    <w:rsid w:val="003C3433"/>
    <w:rsid w:val="003E25C8"/>
    <w:rsid w:val="0040769D"/>
    <w:rsid w:val="00477837"/>
    <w:rsid w:val="004A6756"/>
    <w:rsid w:val="004A6B65"/>
    <w:rsid w:val="00502C2F"/>
    <w:rsid w:val="005117FC"/>
    <w:rsid w:val="00543B81"/>
    <w:rsid w:val="00550E50"/>
    <w:rsid w:val="00555DB1"/>
    <w:rsid w:val="005A4D3B"/>
    <w:rsid w:val="005E33E1"/>
    <w:rsid w:val="00604F84"/>
    <w:rsid w:val="0061235B"/>
    <w:rsid w:val="006166AA"/>
    <w:rsid w:val="006201DB"/>
    <w:rsid w:val="0067382B"/>
    <w:rsid w:val="00685240"/>
    <w:rsid w:val="00687A93"/>
    <w:rsid w:val="006A5E05"/>
    <w:rsid w:val="006B5C2F"/>
    <w:rsid w:val="006B6982"/>
    <w:rsid w:val="006B700D"/>
    <w:rsid w:val="006C1E03"/>
    <w:rsid w:val="006E3F1F"/>
    <w:rsid w:val="00702F20"/>
    <w:rsid w:val="00716168"/>
    <w:rsid w:val="007332E1"/>
    <w:rsid w:val="0073562E"/>
    <w:rsid w:val="0074551A"/>
    <w:rsid w:val="00764CFB"/>
    <w:rsid w:val="00774746"/>
    <w:rsid w:val="00777564"/>
    <w:rsid w:val="00784EB1"/>
    <w:rsid w:val="00794A0E"/>
    <w:rsid w:val="007C52CF"/>
    <w:rsid w:val="007D1D13"/>
    <w:rsid w:val="007F2272"/>
    <w:rsid w:val="007F4D96"/>
    <w:rsid w:val="00843CCE"/>
    <w:rsid w:val="0085310E"/>
    <w:rsid w:val="0085720D"/>
    <w:rsid w:val="008901E0"/>
    <w:rsid w:val="008A0BEC"/>
    <w:rsid w:val="008A53C2"/>
    <w:rsid w:val="008E0623"/>
    <w:rsid w:val="00920652"/>
    <w:rsid w:val="00957818"/>
    <w:rsid w:val="00965CC9"/>
    <w:rsid w:val="0098276E"/>
    <w:rsid w:val="009A00E6"/>
    <w:rsid w:val="009D4C37"/>
    <w:rsid w:val="009F06D6"/>
    <w:rsid w:val="00A007D0"/>
    <w:rsid w:val="00A05D30"/>
    <w:rsid w:val="00A10E34"/>
    <w:rsid w:val="00A34D18"/>
    <w:rsid w:val="00A35CD4"/>
    <w:rsid w:val="00A423A7"/>
    <w:rsid w:val="00A5176D"/>
    <w:rsid w:val="00A517D5"/>
    <w:rsid w:val="00A85B27"/>
    <w:rsid w:val="00A90170"/>
    <w:rsid w:val="00A92BD4"/>
    <w:rsid w:val="00AA0419"/>
    <w:rsid w:val="00AD187B"/>
    <w:rsid w:val="00B021B1"/>
    <w:rsid w:val="00B52BC2"/>
    <w:rsid w:val="00B83BBE"/>
    <w:rsid w:val="00B83EB5"/>
    <w:rsid w:val="00BB25D1"/>
    <w:rsid w:val="00BB3AF4"/>
    <w:rsid w:val="00BE7D73"/>
    <w:rsid w:val="00C207F3"/>
    <w:rsid w:val="00C21494"/>
    <w:rsid w:val="00C232BE"/>
    <w:rsid w:val="00C25B79"/>
    <w:rsid w:val="00C310CD"/>
    <w:rsid w:val="00C3318F"/>
    <w:rsid w:val="00C67046"/>
    <w:rsid w:val="00C75424"/>
    <w:rsid w:val="00CA2E7C"/>
    <w:rsid w:val="00CD778E"/>
    <w:rsid w:val="00D07F6D"/>
    <w:rsid w:val="00D509FC"/>
    <w:rsid w:val="00D548C1"/>
    <w:rsid w:val="00D6543D"/>
    <w:rsid w:val="00D67402"/>
    <w:rsid w:val="00D86B75"/>
    <w:rsid w:val="00DA14AA"/>
    <w:rsid w:val="00DC112B"/>
    <w:rsid w:val="00DC1707"/>
    <w:rsid w:val="00DD16D2"/>
    <w:rsid w:val="00E1026C"/>
    <w:rsid w:val="00E13BCC"/>
    <w:rsid w:val="00E20BE7"/>
    <w:rsid w:val="00E30478"/>
    <w:rsid w:val="00E57B4A"/>
    <w:rsid w:val="00E826AF"/>
    <w:rsid w:val="00E93FE7"/>
    <w:rsid w:val="00EB6AB3"/>
    <w:rsid w:val="00EC706C"/>
    <w:rsid w:val="00ED0559"/>
    <w:rsid w:val="00EE4CE1"/>
    <w:rsid w:val="00F159D8"/>
    <w:rsid w:val="00F32141"/>
    <w:rsid w:val="00F335AE"/>
    <w:rsid w:val="00F4270E"/>
    <w:rsid w:val="00FC6A4A"/>
    <w:rsid w:val="00FD3504"/>
    <w:rsid w:val="00FD5C62"/>
    <w:rsid w:val="00FF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91DB0"/>
  <w15:chartTrackingRefBased/>
  <w15:docId w15:val="{0495CD14-C063-4FE8-BE98-496D7212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qFormat/>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character" w:customStyle="1" w:styleId="documentbody1">
    <w:name w:val="documentbody1"/>
    <w:rPr>
      <w:rFonts w:ascii="Verdana" w:hAnsi="Verdana" w:hint="default"/>
      <w:sz w:val="19"/>
      <w:szCs w:val="19"/>
    </w:rPr>
  </w:style>
  <w:style w:type="paragraph" w:styleId="BalloonText">
    <w:name w:val="Balloon Text"/>
    <w:basedOn w:val="Normal"/>
    <w:semiHidden/>
    <w:rsid w:val="00BB3AF4"/>
    <w:rPr>
      <w:rFonts w:ascii="Tahoma" w:hAnsi="Tahoma" w:cs="Tahoma"/>
      <w:sz w:val="16"/>
      <w:szCs w:val="16"/>
    </w:rPr>
  </w:style>
  <w:style w:type="character" w:customStyle="1" w:styleId="BodyTextChar">
    <w:name w:val="Body Text Char"/>
    <w:link w:val="BodyText"/>
    <w:rsid w:val="002B6AAE"/>
    <w:rPr>
      <w:rFonts w:ascii="Arial Narrow" w:hAnsi="Arial Narrow"/>
      <w:sz w:val="24"/>
      <w:u w:val="single"/>
    </w:rPr>
  </w:style>
  <w:style w:type="character" w:styleId="CommentReference">
    <w:name w:val="annotation reference"/>
    <w:uiPriority w:val="99"/>
    <w:unhideWhenUsed/>
    <w:rsid w:val="00A92BD4"/>
    <w:rPr>
      <w:sz w:val="16"/>
      <w:szCs w:val="16"/>
    </w:rPr>
  </w:style>
  <w:style w:type="paragraph" w:styleId="CommentText">
    <w:name w:val="annotation text"/>
    <w:basedOn w:val="Normal"/>
    <w:link w:val="CommentTextChar"/>
    <w:uiPriority w:val="99"/>
    <w:unhideWhenUsed/>
    <w:rsid w:val="00A92BD4"/>
    <w:pPr>
      <w:spacing w:after="160"/>
    </w:pPr>
    <w:rPr>
      <w:rFonts w:ascii="Times New Roman" w:hAnsi="Times New Roman"/>
    </w:rPr>
  </w:style>
  <w:style w:type="character" w:customStyle="1" w:styleId="CommentTextChar">
    <w:name w:val="Comment Text Char"/>
    <w:basedOn w:val="DefaultParagraphFont"/>
    <w:link w:val="CommentText"/>
    <w:uiPriority w:val="99"/>
    <w:rsid w:val="00A92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22456">
      <w:bodyDiv w:val="1"/>
      <w:marLeft w:val="0"/>
      <w:marRight w:val="0"/>
      <w:marTop w:val="0"/>
      <w:marBottom w:val="0"/>
      <w:divBdr>
        <w:top w:val="none" w:sz="0" w:space="0" w:color="auto"/>
        <w:left w:val="none" w:sz="0" w:space="0" w:color="auto"/>
        <w:bottom w:val="none" w:sz="0" w:space="0" w:color="auto"/>
        <w:right w:val="none" w:sz="0" w:space="0" w:color="auto"/>
      </w:divBdr>
    </w:div>
    <w:div w:id="155458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1A1B5-8BD0-4543-9B69-47F556D5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OCC</dc:creator>
  <cp:keywords/>
  <cp:lastModifiedBy>Gottlieb, Mary</cp:lastModifiedBy>
  <cp:revision>2</cp:revision>
  <cp:lastPrinted>2018-05-07T15:38:00Z</cp:lastPrinted>
  <dcterms:created xsi:type="dcterms:W3CDTF">2021-03-09T20:19:00Z</dcterms:created>
  <dcterms:modified xsi:type="dcterms:W3CDTF">2021-03-09T20:19:00Z</dcterms:modified>
</cp:coreProperties>
</file>