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78B" w:rsidRDefault="00D0478B" w14:paraId="447D18BC" w14:textId="77777777">
      <w:pPr>
        <w:pStyle w:val="Title"/>
      </w:pPr>
      <w:r>
        <w:t>Supporting Statement for</w:t>
      </w:r>
    </w:p>
    <w:p w:rsidR="00D0478B" w:rsidRDefault="00D0478B" w14:paraId="0E2AC542" w14:textId="77777777">
      <w:pPr>
        <w:jc w:val="center"/>
        <w:rPr>
          <w:b/>
          <w:bCs/>
        </w:rPr>
      </w:pPr>
      <w:r>
        <w:rPr>
          <w:b/>
          <w:bCs/>
        </w:rPr>
        <w:t>OMB Control Number 1557-0205</w:t>
      </w:r>
    </w:p>
    <w:p w:rsidR="00D0478B" w:rsidRDefault="00D0478B" w14:paraId="19DE2A1A" w14:textId="77777777">
      <w:pPr>
        <w:tabs>
          <w:tab w:val="center" w:pos="4680"/>
        </w:tabs>
        <w:jc w:val="center"/>
        <w:rPr>
          <w:b/>
          <w:bCs/>
        </w:rPr>
      </w:pPr>
      <w:r>
        <w:rPr>
          <w:b/>
          <w:bCs/>
        </w:rPr>
        <w:t xml:space="preserve">Investment Securities </w:t>
      </w:r>
    </w:p>
    <w:p w:rsidR="00D0478B" w:rsidRDefault="00D0478B" w14:paraId="7B01F8F7" w14:textId="77777777"/>
    <w:p w:rsidR="004C4563" w:rsidP="004C4563" w:rsidRDefault="004C4563" w14:paraId="15B90D8D" w14:textId="77777777">
      <w:pPr>
        <w:jc w:val="center"/>
        <w:outlineLvl w:val="0"/>
        <w:rPr>
          <w:b/>
          <w:bCs/>
          <w:szCs w:val="24"/>
        </w:rPr>
      </w:pPr>
    </w:p>
    <w:p w:rsidRPr="0046254C" w:rsidR="0046254C" w:rsidP="0046254C" w:rsidRDefault="0046254C" w14:paraId="77498A66" w14:textId="77777777">
      <w:pPr>
        <w:pStyle w:val="BodyText"/>
        <w:rPr>
          <w:szCs w:val="24"/>
        </w:rPr>
      </w:pPr>
      <w:r w:rsidRPr="0046254C">
        <w:rPr>
          <w:szCs w:val="24"/>
        </w:rPr>
        <w:t>A.  Justification.</w:t>
      </w:r>
    </w:p>
    <w:p w:rsidR="0046254C" w:rsidP="0046254C" w:rsidRDefault="0046254C" w14:paraId="5B4F6363" w14:textId="77777777">
      <w:pPr>
        <w:rPr>
          <w:szCs w:val="24"/>
        </w:rPr>
      </w:pPr>
    </w:p>
    <w:p w:rsidR="0046254C" w:rsidP="0046254C" w:rsidRDefault="0046254C" w14:paraId="0FA4C261" w14:textId="77777777">
      <w:pPr>
        <w:rPr>
          <w:b/>
          <w:bCs/>
          <w:i/>
          <w:iCs/>
        </w:rPr>
      </w:pPr>
      <w:r>
        <w:rPr>
          <w:b/>
          <w:bCs/>
          <w:i/>
          <w:iCs/>
        </w:rPr>
        <w:t>1</w:t>
      </w:r>
      <w:r>
        <w:rPr>
          <w:b/>
          <w:bCs/>
          <w:i/>
          <w:iCs/>
          <w:szCs w:val="24"/>
        </w:rPr>
        <w:t>.</w:t>
      </w:r>
      <w:r>
        <w:rPr>
          <w:b/>
          <w:bCs/>
          <w:i/>
          <w:iCs/>
          <w:szCs w:val="24"/>
        </w:rPr>
        <w:tab/>
      </w:r>
      <w:r w:rsidR="00A25421">
        <w:rPr>
          <w:b/>
          <w:i/>
          <w:szCs w:val="24"/>
        </w:rPr>
        <w:t>Circumstances that make the collection necessary:</w:t>
      </w:r>
    </w:p>
    <w:p w:rsidRPr="00F830CA" w:rsidR="00D0478B" w:rsidRDefault="00D0478B" w14:paraId="3EC1CEEB" w14:textId="77777777">
      <w:pPr>
        <w:rPr>
          <w:szCs w:val="24"/>
        </w:rPr>
      </w:pPr>
    </w:p>
    <w:p w:rsidRPr="00F830CA" w:rsidR="00F830CA" w:rsidRDefault="00041B7C" w14:paraId="2C2BD262" w14:textId="77777777">
      <w:pPr>
        <w:rPr>
          <w:rStyle w:val="documentbody1"/>
          <w:rFonts w:ascii="Times New Roman" w:hAnsi="Times New Roman"/>
          <w:color w:val="000000"/>
          <w:sz w:val="24"/>
          <w:szCs w:val="24"/>
        </w:rPr>
      </w:pPr>
      <w:r>
        <w:rPr>
          <w:rStyle w:val="documentbody1"/>
          <w:rFonts w:ascii="Times New Roman" w:hAnsi="Times New Roman"/>
          <w:color w:val="000000"/>
          <w:sz w:val="24"/>
          <w:szCs w:val="24"/>
        </w:rPr>
        <w:t xml:space="preserve">          </w:t>
      </w:r>
      <w:r w:rsidR="00D956B6">
        <w:rPr>
          <w:rStyle w:val="documentbody1"/>
          <w:rFonts w:ascii="Times New Roman" w:hAnsi="Times New Roman"/>
          <w:color w:val="000000"/>
          <w:sz w:val="24"/>
          <w:szCs w:val="24"/>
        </w:rPr>
        <w:t>Under 12 CFR 1.3</w:t>
      </w:r>
      <w:r w:rsidRPr="00F830CA" w:rsidR="00F830CA">
        <w:rPr>
          <w:rStyle w:val="documentbody1"/>
          <w:rFonts w:ascii="Times New Roman" w:hAnsi="Times New Roman"/>
          <w:color w:val="000000"/>
          <w:sz w:val="24"/>
          <w:szCs w:val="24"/>
        </w:rPr>
        <w:t>(h)(2), a national bank may request an OCC determination that it may invest in an entity that is exempt from registration under section 3(c)(1) of the Investment Company Act of 1940</w:t>
      </w:r>
      <w:r w:rsidR="00424B82">
        <w:rPr>
          <w:rStyle w:val="FootnoteReference"/>
          <w:color w:val="000000"/>
          <w:szCs w:val="24"/>
        </w:rPr>
        <w:footnoteReference w:id="1"/>
      </w:r>
      <w:r w:rsidRPr="00F830CA" w:rsidR="00F830CA">
        <w:rPr>
          <w:rStyle w:val="documentbody1"/>
          <w:rFonts w:ascii="Times New Roman" w:hAnsi="Times New Roman"/>
          <w:color w:val="000000"/>
          <w:sz w:val="24"/>
          <w:szCs w:val="24"/>
        </w:rPr>
        <w:t xml:space="preserve"> if the portfolio of the entity consists exclusively of assets that a national bank may purchase and sell for its own account. </w:t>
      </w:r>
    </w:p>
    <w:p w:rsidRPr="0046254C" w:rsidR="00D0478B" w:rsidRDefault="00F830CA" w14:paraId="2832B83E" w14:textId="77777777">
      <w:pPr>
        <w:rPr>
          <w:rStyle w:val="a"/>
          <w:b/>
          <w:i/>
          <w:szCs w:val="24"/>
        </w:rPr>
      </w:pPr>
      <w:r w:rsidRPr="00F830CA">
        <w:rPr>
          <w:szCs w:val="24"/>
        </w:rPr>
        <w:br/>
      </w:r>
      <w:r w:rsidR="00041B7C">
        <w:rPr>
          <w:szCs w:val="24"/>
        </w:rPr>
        <w:t xml:space="preserve">          </w:t>
      </w:r>
      <w:r w:rsidRPr="00F830CA">
        <w:rPr>
          <w:rStyle w:val="documentbody1"/>
          <w:rFonts w:ascii="Times New Roman" w:hAnsi="Times New Roman"/>
          <w:color w:val="000000"/>
          <w:sz w:val="24"/>
          <w:szCs w:val="24"/>
        </w:rPr>
        <w:t>Under 12 CFR 1.7(b), a national bank may request OCC approval to extend the five-year holding period of securities held in satisfaction of debts previously contracted</w:t>
      </w:r>
      <w:r w:rsidR="00776F3F">
        <w:rPr>
          <w:rStyle w:val="documentbody1"/>
          <w:rFonts w:ascii="Times New Roman" w:hAnsi="Times New Roman"/>
          <w:color w:val="000000"/>
          <w:sz w:val="24"/>
          <w:szCs w:val="24"/>
        </w:rPr>
        <w:t xml:space="preserve"> </w:t>
      </w:r>
      <w:r w:rsidRPr="00F830CA">
        <w:rPr>
          <w:rStyle w:val="documentbody1"/>
          <w:rFonts w:ascii="Times New Roman" w:hAnsi="Times New Roman"/>
          <w:color w:val="000000"/>
          <w:sz w:val="24"/>
          <w:szCs w:val="24"/>
        </w:rPr>
        <w:t xml:space="preserve">for up to an additional five years. </w:t>
      </w:r>
      <w:r w:rsidR="00776F3F">
        <w:rPr>
          <w:rStyle w:val="documentbody1"/>
          <w:rFonts w:ascii="Times New Roman" w:hAnsi="Times New Roman"/>
          <w:color w:val="000000"/>
          <w:sz w:val="24"/>
          <w:szCs w:val="24"/>
        </w:rPr>
        <w:t>In its request, t</w:t>
      </w:r>
      <w:r w:rsidRPr="00F830CA">
        <w:rPr>
          <w:rStyle w:val="documentbody1"/>
          <w:rFonts w:ascii="Times New Roman" w:hAnsi="Times New Roman"/>
          <w:color w:val="000000"/>
          <w:sz w:val="24"/>
          <w:szCs w:val="24"/>
        </w:rPr>
        <w:t xml:space="preserve">he bank must provide a clearly convincing demonstration of why any additional holding period is needed. </w:t>
      </w:r>
      <w:r w:rsidRPr="00F830CA">
        <w:rPr>
          <w:szCs w:val="24"/>
        </w:rPr>
        <w:br/>
      </w:r>
    </w:p>
    <w:p w:rsidRPr="0046254C" w:rsidR="0046254C" w:rsidP="0046254C" w:rsidRDefault="0046254C" w14:paraId="3CD2F6AB" w14:textId="77777777">
      <w:pPr>
        <w:pStyle w:val="BodyText"/>
        <w:widowControl w:val="0"/>
        <w:ind w:right="162"/>
        <w:jc w:val="both"/>
      </w:pPr>
      <w:r w:rsidRPr="0046254C">
        <w:rPr>
          <w:bCs w:val="0"/>
          <w:iCs w:val="0"/>
        </w:rPr>
        <w:t>2.</w:t>
      </w:r>
      <w:r w:rsidRPr="0046254C">
        <w:rPr>
          <w:bCs w:val="0"/>
          <w:iCs w:val="0"/>
        </w:rPr>
        <w:tab/>
      </w:r>
      <w:r w:rsidR="00B614D8">
        <w:rPr>
          <w:spacing w:val="-1"/>
        </w:rPr>
        <w:t>Use of the information:</w:t>
      </w:r>
    </w:p>
    <w:p w:rsidRPr="00F830CA" w:rsidR="00D0478B" w:rsidRDefault="00D0478B" w14:paraId="044DD74A" w14:textId="77777777">
      <w:pPr>
        <w:rPr>
          <w:rStyle w:val="a"/>
          <w:szCs w:val="24"/>
        </w:rPr>
      </w:pPr>
    </w:p>
    <w:p w:rsidRPr="00F830CA" w:rsidR="00F830CA" w:rsidP="00F830CA" w:rsidRDefault="00041B7C" w14:paraId="3948EB34" w14:textId="77777777">
      <w:pPr>
        <w:rPr>
          <w:rStyle w:val="documentbody1"/>
          <w:rFonts w:ascii="Times New Roman" w:hAnsi="Times New Roman"/>
          <w:color w:val="000000"/>
          <w:sz w:val="24"/>
          <w:szCs w:val="24"/>
        </w:rPr>
      </w:pPr>
      <w:r>
        <w:rPr>
          <w:rStyle w:val="a"/>
          <w:szCs w:val="24"/>
        </w:rPr>
        <w:t xml:space="preserve">          </w:t>
      </w:r>
      <w:r w:rsidRPr="00F830CA" w:rsidR="00F830CA">
        <w:rPr>
          <w:rStyle w:val="documentbody1"/>
          <w:rFonts w:ascii="Times New Roman" w:hAnsi="Times New Roman"/>
          <w:color w:val="000000"/>
          <w:sz w:val="24"/>
          <w:szCs w:val="24"/>
        </w:rPr>
        <w:t xml:space="preserve">The OCC uses </w:t>
      </w:r>
      <w:r w:rsidR="00832151">
        <w:rPr>
          <w:rStyle w:val="documentbody1"/>
          <w:rFonts w:ascii="Times New Roman" w:hAnsi="Times New Roman"/>
          <w:color w:val="000000"/>
          <w:sz w:val="24"/>
          <w:szCs w:val="24"/>
        </w:rPr>
        <w:t>the information contained in</w:t>
      </w:r>
      <w:r w:rsidRPr="00F830CA" w:rsidR="00F830CA">
        <w:rPr>
          <w:rStyle w:val="documentbody1"/>
          <w:rFonts w:ascii="Times New Roman" w:hAnsi="Times New Roman"/>
          <w:color w:val="000000"/>
          <w:sz w:val="24"/>
          <w:szCs w:val="24"/>
        </w:rPr>
        <w:t xml:space="preserve"> request</w:t>
      </w:r>
      <w:r w:rsidR="00832151">
        <w:rPr>
          <w:rStyle w:val="documentbody1"/>
          <w:rFonts w:ascii="Times New Roman" w:hAnsi="Times New Roman"/>
          <w:color w:val="000000"/>
          <w:sz w:val="24"/>
          <w:szCs w:val="24"/>
        </w:rPr>
        <w:t>s submitted</w:t>
      </w:r>
      <w:r w:rsidRPr="00F830CA" w:rsidR="00F830CA">
        <w:rPr>
          <w:rStyle w:val="documentbody1"/>
          <w:rFonts w:ascii="Times New Roman" w:hAnsi="Times New Roman"/>
          <w:color w:val="000000"/>
          <w:sz w:val="24"/>
          <w:szCs w:val="24"/>
        </w:rPr>
        <w:t xml:space="preserve"> </w:t>
      </w:r>
      <w:r w:rsidR="00832151">
        <w:rPr>
          <w:rStyle w:val="documentbody1"/>
          <w:rFonts w:ascii="Times New Roman" w:hAnsi="Times New Roman"/>
          <w:color w:val="000000"/>
          <w:sz w:val="24"/>
          <w:szCs w:val="24"/>
        </w:rPr>
        <w:t xml:space="preserve">pursuant to </w:t>
      </w:r>
      <w:r w:rsidRPr="00F830CA" w:rsidR="00832151">
        <w:rPr>
          <w:rStyle w:val="a"/>
          <w:szCs w:val="24"/>
        </w:rPr>
        <w:t>12 CFR 1.3(h)(2)</w:t>
      </w:r>
      <w:r w:rsidR="00832151">
        <w:rPr>
          <w:rStyle w:val="a"/>
          <w:szCs w:val="24"/>
        </w:rPr>
        <w:t xml:space="preserve"> </w:t>
      </w:r>
      <w:r w:rsidRPr="00F830CA" w:rsidR="00F830CA">
        <w:rPr>
          <w:rStyle w:val="documentbody1"/>
          <w:rFonts w:ascii="Times New Roman" w:hAnsi="Times New Roman"/>
          <w:color w:val="000000"/>
          <w:sz w:val="24"/>
          <w:szCs w:val="24"/>
        </w:rPr>
        <w:t>as a basis for determining that the bank's investment is consistent with its investment authority under applicable law and does not pose unacceptable risk.</w:t>
      </w:r>
    </w:p>
    <w:p w:rsidRPr="00F830CA" w:rsidR="00D0478B" w:rsidP="00F830CA" w:rsidRDefault="00D0478B" w14:paraId="3D740202" w14:textId="77777777">
      <w:pPr>
        <w:rPr>
          <w:rStyle w:val="a"/>
          <w:szCs w:val="24"/>
        </w:rPr>
      </w:pPr>
    </w:p>
    <w:p w:rsidRPr="00F830CA" w:rsidR="00D0478B" w:rsidRDefault="00041B7C" w14:paraId="267DD195" w14:textId="77777777">
      <w:pPr>
        <w:rPr>
          <w:rStyle w:val="documentbody1"/>
          <w:rFonts w:ascii="Times New Roman" w:hAnsi="Times New Roman"/>
          <w:color w:val="000000"/>
          <w:sz w:val="24"/>
          <w:szCs w:val="24"/>
        </w:rPr>
      </w:pPr>
      <w:r>
        <w:rPr>
          <w:rStyle w:val="a"/>
          <w:szCs w:val="24"/>
        </w:rPr>
        <w:t xml:space="preserve">          </w:t>
      </w:r>
      <w:r w:rsidRPr="00F830CA" w:rsidR="00F830CA">
        <w:rPr>
          <w:rStyle w:val="documentbody1"/>
          <w:rFonts w:ascii="Times New Roman" w:hAnsi="Times New Roman"/>
          <w:color w:val="000000"/>
          <w:sz w:val="24"/>
          <w:szCs w:val="24"/>
        </w:rPr>
        <w:t>The OCC uses the information in request</w:t>
      </w:r>
      <w:r w:rsidR="00832151">
        <w:rPr>
          <w:rStyle w:val="documentbody1"/>
          <w:rFonts w:ascii="Times New Roman" w:hAnsi="Times New Roman"/>
          <w:color w:val="000000"/>
          <w:sz w:val="24"/>
          <w:szCs w:val="24"/>
        </w:rPr>
        <w:t>s submitted pursuant to</w:t>
      </w:r>
      <w:r w:rsidRPr="00F830CA" w:rsidR="00F830CA">
        <w:rPr>
          <w:rStyle w:val="documentbody1"/>
          <w:rFonts w:ascii="Times New Roman" w:hAnsi="Times New Roman"/>
          <w:color w:val="000000"/>
          <w:sz w:val="24"/>
          <w:szCs w:val="24"/>
        </w:rPr>
        <w:t xml:space="preserve"> </w:t>
      </w:r>
      <w:r w:rsidRPr="00F830CA" w:rsidR="00832151">
        <w:rPr>
          <w:rStyle w:val="a"/>
          <w:szCs w:val="24"/>
        </w:rPr>
        <w:t>12 CFR 1.7(b)</w:t>
      </w:r>
      <w:r w:rsidR="00832151">
        <w:rPr>
          <w:rStyle w:val="a"/>
          <w:szCs w:val="24"/>
        </w:rPr>
        <w:t xml:space="preserve"> </w:t>
      </w:r>
      <w:r w:rsidRPr="00F830CA" w:rsidR="00F830CA">
        <w:rPr>
          <w:rStyle w:val="documentbody1"/>
          <w:rFonts w:ascii="Times New Roman" w:hAnsi="Times New Roman"/>
          <w:color w:val="000000"/>
          <w:sz w:val="24"/>
          <w:szCs w:val="24"/>
        </w:rPr>
        <w:t xml:space="preserve">to ensure, on a case-by-case basis, that </w:t>
      </w:r>
      <w:r w:rsidR="0012016A">
        <w:rPr>
          <w:rStyle w:val="documentbody1"/>
          <w:rFonts w:ascii="Times New Roman" w:hAnsi="Times New Roman"/>
          <w:color w:val="000000"/>
          <w:sz w:val="24"/>
          <w:szCs w:val="24"/>
        </w:rPr>
        <w:t>a</w:t>
      </w:r>
      <w:r w:rsidRPr="00F830CA" w:rsidR="00F830CA">
        <w:rPr>
          <w:rStyle w:val="documentbody1"/>
          <w:rFonts w:ascii="Times New Roman" w:hAnsi="Times New Roman"/>
          <w:color w:val="000000"/>
          <w:sz w:val="24"/>
          <w:szCs w:val="24"/>
        </w:rPr>
        <w:t xml:space="preserve"> bank's purpose in retaining the securities is not speculative</w:t>
      </w:r>
      <w:r w:rsidR="0012016A">
        <w:rPr>
          <w:rStyle w:val="documentbody1"/>
          <w:rFonts w:ascii="Times New Roman" w:hAnsi="Times New Roman"/>
          <w:color w:val="000000"/>
          <w:sz w:val="24"/>
          <w:szCs w:val="24"/>
        </w:rPr>
        <w:t>,</w:t>
      </w:r>
      <w:r w:rsidRPr="00F830CA" w:rsidR="00F830CA">
        <w:rPr>
          <w:rStyle w:val="documentbody1"/>
          <w:rFonts w:ascii="Times New Roman" w:hAnsi="Times New Roman"/>
          <w:color w:val="000000"/>
          <w:sz w:val="24"/>
          <w:szCs w:val="24"/>
        </w:rPr>
        <w:t xml:space="preserve"> that the bank's reasons for requesting the extension are adequate, and to evaluate the risks to the bank </w:t>
      </w:r>
      <w:r w:rsidR="00273549">
        <w:rPr>
          <w:rStyle w:val="documentbody1"/>
          <w:rFonts w:ascii="Times New Roman" w:hAnsi="Times New Roman"/>
          <w:color w:val="000000"/>
          <w:sz w:val="24"/>
          <w:szCs w:val="24"/>
        </w:rPr>
        <w:t>in</w:t>
      </w:r>
      <w:r w:rsidRPr="00F830CA" w:rsidR="00F830CA">
        <w:rPr>
          <w:rStyle w:val="documentbody1"/>
          <w:rFonts w:ascii="Times New Roman" w:hAnsi="Times New Roman"/>
          <w:color w:val="000000"/>
          <w:sz w:val="24"/>
          <w:szCs w:val="24"/>
        </w:rPr>
        <w:t xml:space="preserve"> extending the holding period, including potential effects on bank safety and soundness.</w:t>
      </w:r>
    </w:p>
    <w:p w:rsidR="00F830CA" w:rsidRDefault="00F830CA" w14:paraId="43DE0636" w14:textId="77777777">
      <w:pPr>
        <w:rPr>
          <w:rStyle w:val="a"/>
        </w:rPr>
      </w:pPr>
    </w:p>
    <w:p w:rsidRPr="0046254C" w:rsidR="0046254C" w:rsidP="0046254C" w:rsidRDefault="0046254C" w14:paraId="37A13197" w14:textId="77777777">
      <w:pPr>
        <w:pStyle w:val="BodyText"/>
        <w:widowControl w:val="0"/>
        <w:tabs>
          <w:tab w:val="left" w:pos="720"/>
        </w:tabs>
        <w:ind w:left="100" w:right="205"/>
        <w:rPr>
          <w:bCs w:val="0"/>
          <w:iCs w:val="0"/>
        </w:rPr>
      </w:pPr>
      <w:r w:rsidRPr="0046254C">
        <w:rPr>
          <w:bCs w:val="0"/>
          <w:iCs w:val="0"/>
        </w:rPr>
        <w:t>3.</w:t>
      </w:r>
      <w:r w:rsidRPr="0046254C">
        <w:rPr>
          <w:bCs w:val="0"/>
          <w:iCs w:val="0"/>
        </w:rPr>
        <w:tab/>
      </w:r>
      <w:r w:rsidR="003015C5">
        <w:rPr>
          <w:spacing w:val="-1"/>
        </w:rPr>
        <w:t>Consideration of the use of improved information technology:</w:t>
      </w:r>
    </w:p>
    <w:p w:rsidR="00D0478B" w:rsidRDefault="00D0478B" w14:paraId="3DF83DE1" w14:textId="77777777">
      <w:pPr>
        <w:rPr>
          <w:rStyle w:val="a"/>
        </w:rPr>
      </w:pPr>
    </w:p>
    <w:p w:rsidR="00D0478B" w:rsidRDefault="00041B7C" w14:paraId="776ABA46" w14:textId="77777777">
      <w:pPr>
        <w:rPr>
          <w:rStyle w:val="a"/>
        </w:rPr>
      </w:pPr>
      <w:r>
        <w:rPr>
          <w:rStyle w:val="a"/>
        </w:rPr>
        <w:t xml:space="preserve">          </w:t>
      </w:r>
      <w:r w:rsidR="00D0478B">
        <w:rPr>
          <w:rStyle w:val="a"/>
        </w:rPr>
        <w:t xml:space="preserve">The information is unique and non-recurring.  Therefore, the use of improved information technology does not appear to reduce burden or cost.  However, the OCC would consider a bank’s proposal to use any existing technology </w:t>
      </w:r>
      <w:r w:rsidR="00273549">
        <w:rPr>
          <w:rStyle w:val="a"/>
        </w:rPr>
        <w:t>appropriate for</w:t>
      </w:r>
      <w:r w:rsidR="00D0478B">
        <w:rPr>
          <w:rStyle w:val="a"/>
        </w:rPr>
        <w:t xml:space="preserve"> producing or delivering the information. </w:t>
      </w:r>
    </w:p>
    <w:p w:rsidR="003015C5" w:rsidP="0046254C" w:rsidRDefault="003015C5" w14:paraId="547911F4" w14:textId="77777777">
      <w:pPr>
        <w:pStyle w:val="BodyText"/>
        <w:widowControl w:val="0"/>
        <w:ind w:left="100" w:right="141"/>
        <w:jc w:val="both"/>
        <w:rPr>
          <w:bCs w:val="0"/>
          <w:iCs w:val="0"/>
        </w:rPr>
      </w:pPr>
    </w:p>
    <w:p w:rsidRPr="0046254C" w:rsidR="0046254C" w:rsidP="0046254C" w:rsidRDefault="0046254C" w14:paraId="43B2A7AA" w14:textId="77777777">
      <w:pPr>
        <w:pStyle w:val="BodyText"/>
        <w:widowControl w:val="0"/>
        <w:ind w:left="100" w:right="141"/>
        <w:jc w:val="both"/>
      </w:pPr>
      <w:r w:rsidRPr="0046254C">
        <w:rPr>
          <w:bCs w:val="0"/>
          <w:iCs w:val="0"/>
        </w:rPr>
        <w:t>4.</w:t>
      </w:r>
      <w:r w:rsidRPr="0046254C">
        <w:rPr>
          <w:bCs w:val="0"/>
          <w:iCs w:val="0"/>
        </w:rPr>
        <w:tab/>
      </w:r>
      <w:r w:rsidR="003015C5">
        <w:rPr>
          <w:spacing w:val="-1"/>
        </w:rPr>
        <w:t>E</w:t>
      </w:r>
      <w:r w:rsidRPr="0046254C">
        <w:rPr>
          <w:spacing w:val="-1"/>
        </w:rPr>
        <w:t>fforts</w:t>
      </w:r>
      <w:r w:rsidRPr="0046254C">
        <w:rPr>
          <w:spacing w:val="-7"/>
        </w:rPr>
        <w:t xml:space="preserve"> </w:t>
      </w:r>
      <w:r w:rsidRPr="0046254C">
        <w:t>to</w:t>
      </w:r>
      <w:r w:rsidRPr="0046254C">
        <w:rPr>
          <w:spacing w:val="-7"/>
        </w:rPr>
        <w:t xml:space="preserve"> </w:t>
      </w:r>
      <w:r w:rsidRPr="0046254C">
        <w:t>identify</w:t>
      </w:r>
      <w:r w:rsidRPr="0046254C">
        <w:rPr>
          <w:spacing w:val="-11"/>
        </w:rPr>
        <w:t xml:space="preserve"> </w:t>
      </w:r>
      <w:r w:rsidRPr="0046254C">
        <w:rPr>
          <w:spacing w:val="-1"/>
        </w:rPr>
        <w:t>duplication</w:t>
      </w:r>
      <w:r w:rsidR="003015C5">
        <w:rPr>
          <w:spacing w:val="-1"/>
        </w:rPr>
        <w:t>:</w:t>
      </w:r>
    </w:p>
    <w:p w:rsidR="00D0478B" w:rsidRDefault="00D0478B" w14:paraId="37D6FF6C" w14:textId="77777777">
      <w:pPr>
        <w:rPr>
          <w:rStyle w:val="a"/>
        </w:rPr>
      </w:pPr>
    </w:p>
    <w:p w:rsidR="00D0478B" w:rsidRDefault="00041B7C" w14:paraId="4E11A3D5" w14:textId="77777777">
      <w:pPr>
        <w:rPr>
          <w:rStyle w:val="a"/>
        </w:rPr>
      </w:pPr>
      <w:r>
        <w:rPr>
          <w:rStyle w:val="a"/>
        </w:rPr>
        <w:t xml:space="preserve">          </w:t>
      </w:r>
      <w:r w:rsidR="00D0478B">
        <w:rPr>
          <w:rStyle w:val="a"/>
        </w:rPr>
        <w:t xml:space="preserve">This information collection is unique to the bank and the </w:t>
      </w:r>
      <w:proofErr w:type="gramStart"/>
      <w:r w:rsidR="00D0478B">
        <w:rPr>
          <w:rStyle w:val="a"/>
        </w:rPr>
        <w:t>particular filing</w:t>
      </w:r>
      <w:proofErr w:type="gramEnd"/>
      <w:r w:rsidR="00D0478B">
        <w:rPr>
          <w:rStyle w:val="a"/>
        </w:rPr>
        <w:t>.  It is not duplicated anywhere.</w:t>
      </w:r>
    </w:p>
    <w:p w:rsidR="00D0478B" w:rsidRDefault="00D0478B" w14:paraId="15C6F4CE" w14:textId="77777777">
      <w:pPr>
        <w:rPr>
          <w:rStyle w:val="a"/>
          <w:b/>
          <w:i/>
        </w:rPr>
      </w:pPr>
    </w:p>
    <w:p w:rsidR="007B47A5" w:rsidRDefault="007B47A5" w14:paraId="0CAA2ED3" w14:textId="77777777">
      <w:pPr>
        <w:rPr>
          <w:rStyle w:val="a"/>
          <w:b/>
          <w:i/>
        </w:rPr>
      </w:pPr>
    </w:p>
    <w:p w:rsidR="007B47A5" w:rsidRDefault="007B47A5" w14:paraId="77D2F9AA" w14:textId="77777777">
      <w:pPr>
        <w:rPr>
          <w:rStyle w:val="a"/>
          <w:b/>
          <w:i/>
        </w:rPr>
      </w:pPr>
    </w:p>
    <w:p w:rsidRPr="0046254C" w:rsidR="007B47A5" w:rsidRDefault="007B47A5" w14:paraId="73C0E49E" w14:textId="77777777">
      <w:pPr>
        <w:rPr>
          <w:rStyle w:val="a"/>
          <w:b/>
          <w:i/>
        </w:rPr>
      </w:pPr>
    </w:p>
    <w:p w:rsidR="003015C5" w:rsidP="003015C5" w:rsidRDefault="003015C5" w14:paraId="4A0F76F6" w14:textId="77777777">
      <w:pPr>
        <w:pStyle w:val="BodyText"/>
        <w:widowControl w:val="0"/>
        <w:ind w:left="100" w:right="861"/>
        <w:rPr>
          <w:b w:val="0"/>
          <w:i w:val="0"/>
        </w:rPr>
      </w:pPr>
      <w:r>
        <w:lastRenderedPageBreak/>
        <w:t>5.</w:t>
      </w:r>
      <w:r>
        <w:tab/>
      </w:r>
      <w:r>
        <w:rPr>
          <w:spacing w:val="-2"/>
        </w:rPr>
        <w:t>If</w:t>
      </w:r>
      <w:r>
        <w:rPr>
          <w:spacing w:val="-8"/>
        </w:rPr>
        <w:t xml:space="preserve"> </w:t>
      </w:r>
      <w:r>
        <w:t>the</w:t>
      </w:r>
      <w:r>
        <w:rPr>
          <w:spacing w:val="-7"/>
        </w:rPr>
        <w:t xml:space="preserve"> </w:t>
      </w:r>
      <w:r>
        <w:rPr>
          <w:spacing w:val="-1"/>
        </w:rPr>
        <w:t>collection</w:t>
      </w:r>
      <w:r>
        <w:rPr>
          <w:spacing w:val="-7"/>
        </w:rPr>
        <w:t xml:space="preserve"> </w:t>
      </w:r>
      <w:r>
        <w:t>of</w:t>
      </w:r>
      <w:r>
        <w:rPr>
          <w:spacing w:val="-8"/>
        </w:rPr>
        <w:t xml:space="preserve"> </w:t>
      </w:r>
      <w:r>
        <w:rPr>
          <w:spacing w:val="-1"/>
        </w:rPr>
        <w:t>information</w:t>
      </w:r>
      <w:r>
        <w:rPr>
          <w:spacing w:val="-7"/>
        </w:rPr>
        <w:t xml:space="preserve"> </w:t>
      </w:r>
      <w:r>
        <w:rPr>
          <w:spacing w:val="-1"/>
        </w:rPr>
        <w:t>impacts</w:t>
      </w:r>
      <w:r>
        <w:rPr>
          <w:spacing w:val="-6"/>
        </w:rPr>
        <w:t xml:space="preserve"> </w:t>
      </w:r>
      <w:r>
        <w:rPr>
          <w:spacing w:val="-1"/>
        </w:rPr>
        <w:t>small</w:t>
      </w:r>
      <w:r>
        <w:rPr>
          <w:spacing w:val="-7"/>
        </w:rPr>
        <w:t xml:space="preserve"> </w:t>
      </w:r>
      <w:r>
        <w:rPr>
          <w:spacing w:val="-1"/>
        </w:rPr>
        <w:t>businesses</w:t>
      </w:r>
      <w:r>
        <w:rPr>
          <w:spacing w:val="-6"/>
        </w:rPr>
        <w:t xml:space="preserve"> </w:t>
      </w:r>
      <w:r>
        <w:t>or</w:t>
      </w:r>
      <w:r>
        <w:rPr>
          <w:spacing w:val="-8"/>
        </w:rPr>
        <w:t xml:space="preserve"> </w:t>
      </w:r>
      <w:r>
        <w:rPr>
          <w:spacing w:val="1"/>
        </w:rPr>
        <w:t>other</w:t>
      </w:r>
      <w:r>
        <w:rPr>
          <w:spacing w:val="-7"/>
        </w:rPr>
        <w:t xml:space="preserve"> </w:t>
      </w:r>
      <w:r>
        <w:rPr>
          <w:spacing w:val="-1"/>
        </w:rPr>
        <w:t>small</w:t>
      </w:r>
      <w:r>
        <w:rPr>
          <w:spacing w:val="-6"/>
        </w:rPr>
        <w:t xml:space="preserve"> </w:t>
      </w:r>
      <w:r>
        <w:t>entities, describe</w:t>
      </w:r>
      <w:r>
        <w:rPr>
          <w:spacing w:val="-7"/>
        </w:rPr>
        <w:t xml:space="preserve"> </w:t>
      </w:r>
      <w:r>
        <w:rPr>
          <w:spacing w:val="1"/>
        </w:rPr>
        <w:t>any</w:t>
      </w:r>
      <w:r>
        <w:rPr>
          <w:spacing w:val="-11"/>
        </w:rPr>
        <w:t xml:space="preserve"> </w:t>
      </w:r>
      <w:r>
        <w:rPr>
          <w:spacing w:val="-1"/>
        </w:rPr>
        <w:t>methods</w:t>
      </w:r>
      <w:r>
        <w:rPr>
          <w:spacing w:val="-8"/>
        </w:rPr>
        <w:t xml:space="preserve"> </w:t>
      </w:r>
      <w:r>
        <w:rPr>
          <w:spacing w:val="-1"/>
        </w:rPr>
        <w:t>used</w:t>
      </w:r>
      <w:r>
        <w:rPr>
          <w:spacing w:val="-8"/>
        </w:rPr>
        <w:t xml:space="preserve"> </w:t>
      </w:r>
      <w:r>
        <w:t>to</w:t>
      </w:r>
      <w:r>
        <w:rPr>
          <w:spacing w:val="-8"/>
        </w:rPr>
        <w:t xml:space="preserve"> </w:t>
      </w:r>
      <w:r>
        <w:t>minimize</w:t>
      </w:r>
      <w:r>
        <w:rPr>
          <w:spacing w:val="-8"/>
        </w:rPr>
        <w:t xml:space="preserve"> </w:t>
      </w:r>
      <w:r>
        <w:rPr>
          <w:spacing w:val="-1"/>
        </w:rPr>
        <w:t>burden.</w:t>
      </w:r>
    </w:p>
    <w:p w:rsidR="003015C5" w:rsidP="003015C5" w:rsidRDefault="003015C5" w14:paraId="4E53950E" w14:textId="77777777"/>
    <w:p w:rsidR="003015C5" w:rsidP="003015C5" w:rsidRDefault="003015C5" w14:paraId="778A242E" w14:textId="77777777">
      <w:pPr>
        <w:ind w:firstLine="720"/>
        <w:rPr>
          <w:color w:val="000000"/>
        </w:rPr>
      </w:pPr>
      <w:r>
        <w:rPr>
          <w:color w:val="000000"/>
        </w:rPr>
        <w:t>There are no alternatives that would result in lowering the burden on small institutions, while still accomplishing the purpose of the rules.</w:t>
      </w:r>
    </w:p>
    <w:p w:rsidR="00D0478B" w:rsidRDefault="00D0478B" w14:paraId="099B00B6" w14:textId="77777777">
      <w:pPr>
        <w:rPr>
          <w:rStyle w:val="a"/>
        </w:rPr>
      </w:pPr>
    </w:p>
    <w:p w:rsidRPr="0046254C" w:rsidR="0046254C" w:rsidP="0046254C" w:rsidRDefault="0046254C" w14:paraId="1A76ED4F" w14:textId="77777777">
      <w:pPr>
        <w:pStyle w:val="BodyText"/>
        <w:widowControl w:val="0"/>
        <w:tabs>
          <w:tab w:val="left" w:pos="340"/>
          <w:tab w:val="left" w:pos="630"/>
        </w:tabs>
        <w:ind w:left="100" w:right="205"/>
      </w:pPr>
      <w:r w:rsidRPr="0046254C">
        <w:rPr>
          <w:bCs w:val="0"/>
          <w:iCs w:val="0"/>
        </w:rPr>
        <w:t>6.</w:t>
      </w:r>
      <w:r w:rsidRPr="0046254C">
        <w:rPr>
          <w:bCs w:val="0"/>
          <w:iCs w:val="0"/>
        </w:rPr>
        <w:tab/>
        <w:t xml:space="preserve">     </w:t>
      </w:r>
      <w:r w:rsidR="008F29AE">
        <w:rPr>
          <w:spacing w:val="-1"/>
        </w:rPr>
        <w:t xml:space="preserve">Consequences to the </w:t>
      </w:r>
      <w:r w:rsidR="00273549">
        <w:rPr>
          <w:spacing w:val="-1"/>
        </w:rPr>
        <w:t>F</w:t>
      </w:r>
      <w:r w:rsidR="008F29AE">
        <w:rPr>
          <w:spacing w:val="-1"/>
        </w:rPr>
        <w:t>ederal program if the collection were collected less frequently:</w:t>
      </w:r>
    </w:p>
    <w:p w:rsidR="00D0478B" w:rsidRDefault="00D0478B" w14:paraId="5F7AA319" w14:textId="77777777">
      <w:pPr>
        <w:rPr>
          <w:rStyle w:val="a"/>
        </w:rPr>
      </w:pPr>
    </w:p>
    <w:p w:rsidR="00D0478B" w:rsidRDefault="00041B7C" w14:paraId="7ECFE725" w14:textId="77777777">
      <w:pPr>
        <w:rPr>
          <w:rStyle w:val="a"/>
        </w:rPr>
      </w:pPr>
      <w:r>
        <w:rPr>
          <w:rStyle w:val="a"/>
        </w:rPr>
        <w:t xml:space="preserve">          </w:t>
      </w:r>
      <w:r w:rsidR="00D0478B">
        <w:rPr>
          <w:rStyle w:val="a"/>
        </w:rPr>
        <w:t xml:space="preserve">The information is collected infrequently, as covered situations arise.  Less frequent collection could impair OCC’s bank supervisory activities and would limit the utility of the information to bank management.  Less frequent collection could result in unsafe and unsound bank operations. </w:t>
      </w:r>
    </w:p>
    <w:p w:rsidR="00D0478B" w:rsidRDefault="00D0478B" w14:paraId="08E37A52" w14:textId="77777777">
      <w:pPr>
        <w:rPr>
          <w:rStyle w:val="a"/>
        </w:rPr>
      </w:pPr>
    </w:p>
    <w:p w:rsidR="0046254C" w:rsidP="0046254C" w:rsidRDefault="0046254C" w14:paraId="19D84347" w14:textId="77777777">
      <w:pPr>
        <w:rPr>
          <w:b/>
          <w:bCs/>
          <w:i/>
          <w:iCs/>
        </w:rPr>
      </w:pPr>
      <w:r>
        <w:rPr>
          <w:b/>
          <w:bCs/>
          <w:i/>
          <w:iCs/>
        </w:rPr>
        <w:t xml:space="preserve">7.        Explain any special circumstances necessitating collection inconsistent with 5 CFR </w:t>
      </w:r>
      <w:r w:rsidR="008F29AE">
        <w:rPr>
          <w:b/>
          <w:bCs/>
          <w:i/>
          <w:iCs/>
        </w:rPr>
        <w:t xml:space="preserve">part </w:t>
      </w:r>
      <w:r>
        <w:rPr>
          <w:b/>
          <w:bCs/>
          <w:i/>
          <w:iCs/>
        </w:rPr>
        <w:t>1320.</w:t>
      </w:r>
    </w:p>
    <w:p w:rsidR="00D0478B" w:rsidRDefault="00D0478B" w14:paraId="1899CA12" w14:textId="77777777">
      <w:pPr>
        <w:rPr>
          <w:rStyle w:val="a"/>
        </w:rPr>
      </w:pPr>
    </w:p>
    <w:p w:rsidR="00D0478B" w:rsidRDefault="00041B7C" w14:paraId="5EE9CEC2" w14:textId="77777777">
      <w:pPr>
        <w:rPr>
          <w:rStyle w:val="a"/>
        </w:rPr>
      </w:pPr>
      <w:r>
        <w:rPr>
          <w:rStyle w:val="a"/>
        </w:rPr>
        <w:t xml:space="preserve">          </w:t>
      </w:r>
      <w:r w:rsidR="00D0478B">
        <w:rPr>
          <w:rStyle w:val="a"/>
        </w:rPr>
        <w:t xml:space="preserve">Not applicable.  </w:t>
      </w:r>
    </w:p>
    <w:p w:rsidR="008F29AE" w:rsidRDefault="008F29AE" w14:paraId="4AADC77C" w14:textId="77777777">
      <w:pPr>
        <w:rPr>
          <w:rStyle w:val="a"/>
        </w:rPr>
      </w:pPr>
    </w:p>
    <w:p w:rsidR="0046254C" w:rsidP="0046254C" w:rsidRDefault="0046254C" w14:paraId="07CAC62E" w14:textId="77777777">
      <w:pPr>
        <w:pStyle w:val="BodyText"/>
        <w:ind w:right="270"/>
      </w:pPr>
      <w:r w:rsidRPr="0046254C">
        <w:rPr>
          <w:bCs w:val="0"/>
          <w:iCs w:val="0"/>
        </w:rPr>
        <w:t>8.</w:t>
      </w:r>
      <w:r w:rsidRPr="0046254C">
        <w:rPr>
          <w:bCs w:val="0"/>
          <w:iCs w:val="0"/>
        </w:rPr>
        <w:tab/>
      </w:r>
      <w:r w:rsidR="008F29AE">
        <w:rPr>
          <w:spacing w:val="-1"/>
        </w:rPr>
        <w:t>E</w:t>
      </w:r>
      <w:r w:rsidRPr="0046254C">
        <w:rPr>
          <w:spacing w:val="-1"/>
        </w:rPr>
        <w:t>fforts</w:t>
      </w:r>
      <w:r w:rsidRPr="0046254C">
        <w:rPr>
          <w:spacing w:val="-5"/>
        </w:rPr>
        <w:t xml:space="preserve"> </w:t>
      </w:r>
      <w:r w:rsidRPr="0046254C">
        <w:t>to</w:t>
      </w:r>
      <w:r w:rsidRPr="0046254C">
        <w:rPr>
          <w:spacing w:val="-7"/>
        </w:rPr>
        <w:t xml:space="preserve"> </w:t>
      </w:r>
      <w:r w:rsidRPr="0046254C">
        <w:t>consult</w:t>
      </w:r>
      <w:r w:rsidRPr="0046254C">
        <w:rPr>
          <w:spacing w:val="-5"/>
        </w:rPr>
        <w:t xml:space="preserve"> </w:t>
      </w:r>
      <w:r w:rsidRPr="0046254C">
        <w:t>with</w:t>
      </w:r>
      <w:r w:rsidRPr="0046254C">
        <w:rPr>
          <w:spacing w:val="-7"/>
        </w:rPr>
        <w:t xml:space="preserve"> </w:t>
      </w:r>
      <w:r w:rsidRPr="0046254C">
        <w:rPr>
          <w:spacing w:val="-1"/>
        </w:rPr>
        <w:t>persons</w:t>
      </w:r>
      <w:r w:rsidRPr="0046254C">
        <w:rPr>
          <w:spacing w:val="-5"/>
        </w:rPr>
        <w:t xml:space="preserve"> </w:t>
      </w:r>
      <w:r w:rsidRPr="0046254C">
        <w:t>outside</w:t>
      </w:r>
      <w:r w:rsidRPr="0046254C">
        <w:rPr>
          <w:spacing w:val="-6"/>
        </w:rPr>
        <w:t xml:space="preserve"> </w:t>
      </w:r>
      <w:r w:rsidRPr="0046254C">
        <w:t>the</w:t>
      </w:r>
      <w:r w:rsidRPr="0046254C">
        <w:rPr>
          <w:spacing w:val="-7"/>
        </w:rPr>
        <w:t xml:space="preserve"> </w:t>
      </w:r>
      <w:r w:rsidRPr="0046254C">
        <w:t>agency</w:t>
      </w:r>
      <w:r w:rsidR="008F29AE">
        <w:t>:</w:t>
      </w:r>
    </w:p>
    <w:p w:rsidR="00D23C0F" w:rsidP="0046254C" w:rsidRDefault="00D23C0F" w14:paraId="092175EE" w14:textId="77777777">
      <w:pPr>
        <w:pStyle w:val="BodyText"/>
        <w:ind w:right="270"/>
      </w:pPr>
    </w:p>
    <w:p w:rsidRPr="0046254C" w:rsidR="00D23C0F" w:rsidP="0046254C" w:rsidRDefault="00D23C0F" w14:paraId="63B5ED2C" w14:textId="77777777">
      <w:pPr>
        <w:pStyle w:val="BodyText"/>
        <w:ind w:right="270"/>
        <w:rPr>
          <w:rFonts w:ascii="Arial Narrow" w:hAnsi="Arial Narrow"/>
        </w:rPr>
      </w:pPr>
      <w:r>
        <w:t>60-Day Notice</w:t>
      </w:r>
    </w:p>
    <w:p w:rsidR="00D0478B" w:rsidRDefault="00D0478B" w14:paraId="55589649" w14:textId="77777777">
      <w:pPr>
        <w:rPr>
          <w:rStyle w:val="a"/>
        </w:rPr>
      </w:pPr>
    </w:p>
    <w:p w:rsidR="004160F2" w:rsidP="00A63D4A" w:rsidRDefault="0040770E" w14:paraId="428A5E8A" w14:textId="77777777">
      <w:pPr>
        <w:ind w:firstLine="720"/>
      </w:pPr>
      <w:r w:rsidRPr="0040770E">
        <w:rPr>
          <w:rStyle w:val="documentbody1"/>
          <w:rFonts w:ascii="Times New Roman" w:hAnsi="Times New Roman"/>
          <w:color w:val="000000"/>
          <w:sz w:val="24"/>
          <w:szCs w:val="24"/>
        </w:rPr>
        <w:t>The OCC issued a notice for 60 days of comment regarding this collection</w:t>
      </w:r>
      <w:r w:rsidR="00A63D4A">
        <w:rPr>
          <w:rStyle w:val="documentbody1"/>
          <w:rFonts w:ascii="Times New Roman" w:hAnsi="Times New Roman"/>
          <w:color w:val="000000"/>
          <w:sz w:val="24"/>
          <w:szCs w:val="24"/>
        </w:rPr>
        <w:t>.</w:t>
      </w:r>
    </w:p>
    <w:p w:rsidR="00D0478B" w:rsidRDefault="00D0478B" w14:paraId="51599CD0" w14:textId="77777777">
      <w:pPr>
        <w:rPr>
          <w:rStyle w:val="a"/>
        </w:rPr>
      </w:pPr>
    </w:p>
    <w:p w:rsidRPr="003B5736" w:rsidR="003B5736" w:rsidP="003B5736" w:rsidRDefault="003B5736" w14:paraId="75E1B8BE" w14:textId="77777777">
      <w:pPr>
        <w:pStyle w:val="BodyText"/>
        <w:widowControl w:val="0"/>
        <w:ind w:right="982" w:firstLine="100"/>
      </w:pPr>
      <w:r w:rsidRPr="003B5736">
        <w:rPr>
          <w:bCs w:val="0"/>
          <w:iCs w:val="0"/>
        </w:rPr>
        <w:t>9.</w:t>
      </w:r>
      <w:r w:rsidRPr="003B5736">
        <w:rPr>
          <w:bCs w:val="0"/>
          <w:iCs w:val="0"/>
        </w:rPr>
        <w:tab/>
      </w:r>
      <w:r w:rsidR="00ED5646">
        <w:t>Payment or gift to respondents:</w:t>
      </w:r>
    </w:p>
    <w:p w:rsidR="00D0478B" w:rsidRDefault="00D0478B" w14:paraId="6F79416A" w14:textId="77777777">
      <w:pPr>
        <w:rPr>
          <w:rStyle w:val="a"/>
        </w:rPr>
      </w:pPr>
    </w:p>
    <w:p w:rsidR="00D0478B" w:rsidRDefault="00041B7C" w14:paraId="19CF6B08" w14:textId="77777777">
      <w:pPr>
        <w:rPr>
          <w:rStyle w:val="a"/>
        </w:rPr>
      </w:pPr>
      <w:r>
        <w:rPr>
          <w:rStyle w:val="a"/>
        </w:rPr>
        <w:t xml:space="preserve">          </w:t>
      </w:r>
      <w:r w:rsidR="00D0478B">
        <w:rPr>
          <w:rStyle w:val="a"/>
        </w:rPr>
        <w:t>There is no payment to respondents.</w:t>
      </w:r>
    </w:p>
    <w:p w:rsidRPr="003B5736" w:rsidR="00D0478B" w:rsidRDefault="00D0478B" w14:paraId="4549DE8F" w14:textId="77777777">
      <w:pPr>
        <w:rPr>
          <w:rStyle w:val="a"/>
          <w:b/>
          <w:i/>
        </w:rPr>
      </w:pPr>
    </w:p>
    <w:p w:rsidRPr="003B5736" w:rsidR="003B5736" w:rsidP="003B5736" w:rsidRDefault="003B5736" w14:paraId="3DEBE6D2" w14:textId="77777777">
      <w:pPr>
        <w:pStyle w:val="BodyText"/>
        <w:widowControl w:val="0"/>
        <w:tabs>
          <w:tab w:val="left" w:pos="460"/>
        </w:tabs>
        <w:ind w:right="410"/>
      </w:pPr>
      <w:r w:rsidRPr="003B5736">
        <w:rPr>
          <w:bCs w:val="0"/>
          <w:iCs w:val="0"/>
        </w:rPr>
        <w:t>10.</w:t>
      </w:r>
      <w:r w:rsidRPr="003B5736">
        <w:rPr>
          <w:bCs w:val="0"/>
          <w:iCs w:val="0"/>
        </w:rPr>
        <w:tab/>
        <w:t xml:space="preserve">    </w:t>
      </w:r>
      <w:r w:rsidR="00ED5646">
        <w:rPr>
          <w:spacing w:val="-1"/>
        </w:rPr>
        <w:t>Any assurance of confidentiality:</w:t>
      </w:r>
    </w:p>
    <w:p w:rsidR="00D0478B" w:rsidRDefault="00D0478B" w14:paraId="1E02DC16" w14:textId="77777777">
      <w:pPr>
        <w:rPr>
          <w:rStyle w:val="a"/>
        </w:rPr>
      </w:pPr>
    </w:p>
    <w:p w:rsidR="00D0478B" w:rsidRDefault="00041B7C" w14:paraId="6EC1EAA4" w14:textId="77777777">
      <w:pPr>
        <w:rPr>
          <w:rStyle w:val="a"/>
        </w:rPr>
      </w:pPr>
      <w:r>
        <w:rPr>
          <w:rStyle w:val="a"/>
        </w:rPr>
        <w:t xml:space="preserve">          </w:t>
      </w:r>
      <w:r w:rsidR="00B83C32">
        <w:rPr>
          <w:rStyle w:val="a"/>
        </w:rPr>
        <w:t xml:space="preserve">The information collected is kept </w:t>
      </w:r>
      <w:r w:rsidR="00ED5646">
        <w:rPr>
          <w:rStyle w:val="a"/>
        </w:rPr>
        <w:t>private</w:t>
      </w:r>
      <w:r w:rsidR="00B83C32">
        <w:rPr>
          <w:rStyle w:val="a"/>
        </w:rPr>
        <w:t xml:space="preserve"> to the extent permitted by law.</w:t>
      </w:r>
      <w:r w:rsidR="00D0478B">
        <w:rPr>
          <w:rStyle w:val="a"/>
        </w:rPr>
        <w:t xml:space="preserve"> </w:t>
      </w:r>
    </w:p>
    <w:p w:rsidR="00D0478B" w:rsidRDefault="00D0478B" w14:paraId="20538DB1" w14:textId="77777777">
      <w:pPr>
        <w:rPr>
          <w:rStyle w:val="a"/>
        </w:rPr>
      </w:pPr>
    </w:p>
    <w:p w:rsidRPr="003B5736" w:rsidR="003B5736" w:rsidP="003B5736" w:rsidRDefault="003B5736" w14:paraId="406F795F" w14:textId="77777777">
      <w:pPr>
        <w:pStyle w:val="BodyText"/>
        <w:widowControl w:val="0"/>
        <w:tabs>
          <w:tab w:val="left" w:pos="460"/>
        </w:tabs>
        <w:spacing w:before="69"/>
        <w:ind w:right="205"/>
        <w:rPr>
          <w:spacing w:val="-1"/>
        </w:rPr>
      </w:pPr>
      <w:r w:rsidRPr="003B5736">
        <w:rPr>
          <w:bCs w:val="0"/>
          <w:iCs w:val="0"/>
        </w:rPr>
        <w:t>11.</w:t>
      </w:r>
      <w:r w:rsidRPr="003B5736">
        <w:rPr>
          <w:bCs w:val="0"/>
          <w:iCs w:val="0"/>
        </w:rPr>
        <w:tab/>
        <w:t xml:space="preserve">   </w:t>
      </w:r>
      <w:r w:rsidR="00ED5646">
        <w:t>Justification for questions of a sensitive nature:</w:t>
      </w:r>
    </w:p>
    <w:p w:rsidR="00D0478B" w:rsidRDefault="00D0478B" w14:paraId="0F900296" w14:textId="77777777">
      <w:pPr>
        <w:rPr>
          <w:rStyle w:val="a"/>
        </w:rPr>
      </w:pPr>
    </w:p>
    <w:p w:rsidR="00D0478B" w:rsidRDefault="00041B7C" w14:paraId="22BFFC80" w14:textId="77777777">
      <w:pPr>
        <w:rPr>
          <w:rStyle w:val="a"/>
        </w:rPr>
      </w:pPr>
      <w:r>
        <w:rPr>
          <w:rStyle w:val="a"/>
        </w:rPr>
        <w:t xml:space="preserve">          </w:t>
      </w:r>
      <w:r w:rsidR="00B83C32">
        <w:rPr>
          <w:rStyle w:val="a"/>
        </w:rPr>
        <w:t xml:space="preserve">Not applicable.  </w:t>
      </w:r>
    </w:p>
    <w:p w:rsidR="00D0478B" w:rsidRDefault="00D0478B" w14:paraId="3A468355" w14:textId="77777777">
      <w:pPr>
        <w:tabs>
          <w:tab w:val="left" w:pos="-1440"/>
        </w:tabs>
        <w:ind w:left="720" w:hanging="720"/>
        <w:rPr>
          <w:rStyle w:val="a"/>
          <w:b/>
          <w:bCs/>
          <w:i/>
          <w:iCs/>
        </w:rPr>
      </w:pPr>
    </w:p>
    <w:p w:rsidRPr="002F585B" w:rsidR="00D0478B" w:rsidP="002F585B" w:rsidRDefault="003B5736" w14:paraId="3E291CA2" w14:textId="77777777">
      <w:pPr>
        <w:tabs>
          <w:tab w:val="left" w:pos="630"/>
        </w:tabs>
        <w:rPr>
          <w:b/>
          <w:bCs/>
          <w:i/>
          <w:iCs/>
        </w:rPr>
      </w:pPr>
      <w:r>
        <w:rPr>
          <w:b/>
          <w:bCs/>
          <w:i/>
          <w:iCs/>
        </w:rPr>
        <w:t xml:space="preserve">12.       </w:t>
      </w:r>
      <w:r w:rsidR="00B73B35">
        <w:rPr>
          <w:b/>
          <w:bCs/>
          <w:i/>
          <w:iCs/>
        </w:rPr>
        <w:t>Burden estimates:</w:t>
      </w:r>
    </w:p>
    <w:p w:rsidR="00D0478B" w:rsidRDefault="00D0478B" w14:paraId="4A3C5B0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03"/>
        <w:gridCol w:w="2328"/>
        <w:gridCol w:w="1386"/>
        <w:gridCol w:w="1238"/>
        <w:gridCol w:w="1094"/>
        <w:gridCol w:w="1035"/>
        <w:gridCol w:w="1192"/>
        <w:tblGridChange w:id="0">
          <w:tblGrid>
            <w:gridCol w:w="1303"/>
            <w:gridCol w:w="2328"/>
            <w:gridCol w:w="1386"/>
            <w:gridCol w:w="1238"/>
            <w:gridCol w:w="1094"/>
            <w:gridCol w:w="1035"/>
            <w:gridCol w:w="1192"/>
          </w:tblGrid>
        </w:tblGridChange>
      </w:tblGrid>
      <w:tr w:rsidR="00EA11F5" w:rsidTr="00EA11F5" w14:paraId="5EEEB4F8" w14:textId="77777777">
        <w:tblPrEx>
          <w:tblCellMar>
            <w:top w:w="0" w:type="dxa"/>
            <w:bottom w:w="0" w:type="dxa"/>
          </w:tblCellMar>
        </w:tblPrEx>
        <w:trPr>
          <w:tblHeader/>
        </w:trPr>
        <w:tc>
          <w:tcPr>
            <w:tcW w:w="1365" w:type="dxa"/>
          </w:tcPr>
          <w:p w:rsidR="00EA11F5" w:rsidRDefault="00EA11F5" w14:paraId="087BFB46" w14:textId="77777777">
            <w:pPr>
              <w:pStyle w:val="ArticleNumber"/>
              <w:numPr>
                <w:ilvl w:val="0"/>
                <w:numId w:val="0"/>
              </w:numPr>
              <w:spacing w:line="240" w:lineRule="auto"/>
              <w:rPr>
                <w:b/>
                <w:bCs/>
                <w:sz w:val="20"/>
              </w:rPr>
            </w:pPr>
            <w:r>
              <w:rPr>
                <w:b/>
                <w:bCs/>
                <w:sz w:val="20"/>
              </w:rPr>
              <w:t>Cite</w:t>
            </w:r>
          </w:p>
          <w:p w:rsidR="00EA11F5" w:rsidRDefault="00EA11F5" w14:paraId="176371F7" w14:textId="77777777">
            <w:pPr>
              <w:jc w:val="center"/>
              <w:rPr>
                <w:b/>
                <w:bCs/>
                <w:sz w:val="20"/>
              </w:rPr>
            </w:pPr>
            <w:r>
              <w:rPr>
                <w:b/>
                <w:bCs/>
                <w:sz w:val="20"/>
              </w:rPr>
              <w:t>and</w:t>
            </w:r>
          </w:p>
          <w:p w:rsidR="00EA11F5" w:rsidRDefault="00EA11F5" w14:paraId="5D17D9C9" w14:textId="77777777">
            <w:pPr>
              <w:jc w:val="center"/>
              <w:rPr>
                <w:b/>
                <w:bCs/>
                <w:sz w:val="20"/>
              </w:rPr>
            </w:pPr>
            <w:r>
              <w:rPr>
                <w:b/>
                <w:bCs/>
                <w:sz w:val="20"/>
              </w:rPr>
              <w:t>Burden Type</w:t>
            </w:r>
          </w:p>
        </w:tc>
        <w:tc>
          <w:tcPr>
            <w:tcW w:w="2525" w:type="dxa"/>
          </w:tcPr>
          <w:p w:rsidR="00EA11F5" w:rsidRDefault="00EA11F5" w14:paraId="770AD1AD" w14:textId="77777777">
            <w:pPr>
              <w:jc w:val="center"/>
              <w:rPr>
                <w:b/>
                <w:bCs/>
                <w:sz w:val="20"/>
              </w:rPr>
            </w:pPr>
            <w:r>
              <w:rPr>
                <w:b/>
                <w:bCs/>
                <w:sz w:val="20"/>
              </w:rPr>
              <w:t>Information Collection Requirements</w:t>
            </w:r>
          </w:p>
          <w:p w:rsidR="00EA11F5" w:rsidRDefault="00EA11F5" w14:paraId="751ADBFF" w14:textId="77777777">
            <w:pPr>
              <w:jc w:val="center"/>
              <w:rPr>
                <w:b/>
                <w:bCs/>
                <w:sz w:val="20"/>
              </w:rPr>
            </w:pPr>
            <w:r>
              <w:rPr>
                <w:b/>
                <w:bCs/>
                <w:sz w:val="20"/>
              </w:rPr>
              <w:t>in</w:t>
            </w:r>
          </w:p>
          <w:p w:rsidR="00EA11F5" w:rsidRDefault="00EA11F5" w14:paraId="2276B31C" w14:textId="77777777">
            <w:pPr>
              <w:jc w:val="center"/>
              <w:rPr>
                <w:b/>
                <w:bCs/>
                <w:sz w:val="20"/>
              </w:rPr>
            </w:pPr>
            <w:r>
              <w:rPr>
                <w:b/>
                <w:bCs/>
                <w:sz w:val="20"/>
              </w:rPr>
              <w:t>12 CFR Part 1</w:t>
            </w:r>
          </w:p>
        </w:tc>
        <w:tc>
          <w:tcPr>
            <w:tcW w:w="1403" w:type="dxa"/>
          </w:tcPr>
          <w:p w:rsidR="00EA11F5" w:rsidRDefault="00EA11F5" w14:paraId="3EC1FB2F" w14:textId="77777777">
            <w:pPr>
              <w:pStyle w:val="ArticleNumber"/>
              <w:numPr>
                <w:ilvl w:val="0"/>
                <w:numId w:val="0"/>
              </w:numPr>
              <w:spacing w:line="240" w:lineRule="auto"/>
              <w:rPr>
                <w:b/>
                <w:bCs/>
                <w:sz w:val="20"/>
              </w:rPr>
            </w:pPr>
            <w:r>
              <w:rPr>
                <w:b/>
                <w:bCs/>
                <w:sz w:val="20"/>
              </w:rPr>
              <w:t>Number</w:t>
            </w:r>
          </w:p>
          <w:p w:rsidR="00EA11F5" w:rsidRDefault="00EA11F5" w14:paraId="32CE14E3" w14:textId="77777777">
            <w:pPr>
              <w:pStyle w:val="ArticleNumber"/>
              <w:numPr>
                <w:ilvl w:val="0"/>
                <w:numId w:val="0"/>
              </w:numPr>
              <w:spacing w:line="240" w:lineRule="auto"/>
              <w:rPr>
                <w:b/>
                <w:bCs/>
                <w:sz w:val="20"/>
              </w:rPr>
            </w:pPr>
            <w:r>
              <w:rPr>
                <w:b/>
                <w:bCs/>
                <w:sz w:val="20"/>
              </w:rPr>
              <w:t>Of</w:t>
            </w:r>
          </w:p>
          <w:p w:rsidR="00EA11F5" w:rsidRDefault="00EA11F5" w14:paraId="27042800" w14:textId="77777777">
            <w:pPr>
              <w:pStyle w:val="ArticleNumber"/>
              <w:numPr>
                <w:ilvl w:val="0"/>
                <w:numId w:val="0"/>
              </w:numPr>
              <w:spacing w:line="240" w:lineRule="auto"/>
              <w:rPr>
                <w:b/>
                <w:bCs/>
                <w:sz w:val="20"/>
              </w:rPr>
            </w:pPr>
            <w:r>
              <w:rPr>
                <w:b/>
                <w:bCs/>
                <w:sz w:val="20"/>
              </w:rPr>
              <w:t>Respondents</w:t>
            </w:r>
          </w:p>
        </w:tc>
        <w:tc>
          <w:tcPr>
            <w:tcW w:w="1240" w:type="dxa"/>
          </w:tcPr>
          <w:p w:rsidR="00EA11F5" w:rsidRDefault="00EA11F5" w14:paraId="657F522D" w14:textId="77777777">
            <w:pPr>
              <w:pStyle w:val="ArticleNumber"/>
              <w:numPr>
                <w:ilvl w:val="0"/>
                <w:numId w:val="0"/>
              </w:numPr>
              <w:spacing w:line="240" w:lineRule="auto"/>
              <w:rPr>
                <w:b/>
                <w:bCs/>
                <w:sz w:val="20"/>
              </w:rPr>
            </w:pPr>
            <w:r>
              <w:rPr>
                <w:b/>
                <w:bCs/>
                <w:sz w:val="20"/>
              </w:rPr>
              <w:t>Number</w:t>
            </w:r>
          </w:p>
          <w:p w:rsidR="00EA11F5" w:rsidRDefault="00EA11F5" w14:paraId="608081CE" w14:textId="77777777">
            <w:pPr>
              <w:pStyle w:val="ArticleNumber"/>
              <w:numPr>
                <w:ilvl w:val="0"/>
                <w:numId w:val="0"/>
              </w:numPr>
              <w:spacing w:line="240" w:lineRule="auto"/>
              <w:rPr>
                <w:b/>
                <w:bCs/>
                <w:sz w:val="20"/>
              </w:rPr>
            </w:pPr>
            <w:r>
              <w:rPr>
                <w:b/>
                <w:bCs/>
                <w:sz w:val="20"/>
              </w:rPr>
              <w:t>Of</w:t>
            </w:r>
          </w:p>
          <w:p w:rsidR="00EA11F5" w:rsidRDefault="00EA11F5" w14:paraId="3D00A689" w14:textId="77777777">
            <w:pPr>
              <w:pStyle w:val="ArticleNumber"/>
              <w:numPr>
                <w:ilvl w:val="0"/>
                <w:numId w:val="0"/>
              </w:numPr>
              <w:spacing w:line="240" w:lineRule="auto"/>
              <w:rPr>
                <w:b/>
                <w:bCs/>
                <w:sz w:val="20"/>
              </w:rPr>
            </w:pPr>
            <w:r>
              <w:rPr>
                <w:b/>
                <w:bCs/>
                <w:sz w:val="20"/>
              </w:rPr>
              <w:t>Responses</w:t>
            </w:r>
          </w:p>
          <w:p w:rsidR="00EA11F5" w:rsidRDefault="00EA11F5" w14:paraId="5D01A26B" w14:textId="77777777">
            <w:pPr>
              <w:pStyle w:val="ArticleNumber"/>
              <w:numPr>
                <w:ilvl w:val="0"/>
                <w:numId w:val="0"/>
              </w:numPr>
              <w:spacing w:line="240" w:lineRule="auto"/>
              <w:rPr>
                <w:b/>
                <w:bCs/>
                <w:sz w:val="20"/>
              </w:rPr>
            </w:pPr>
            <w:r>
              <w:rPr>
                <w:b/>
                <w:bCs/>
                <w:sz w:val="20"/>
              </w:rPr>
              <w:t>Per</w:t>
            </w:r>
          </w:p>
          <w:p w:rsidR="00EA11F5" w:rsidRDefault="00EA11F5" w14:paraId="22C0DC1B" w14:textId="77777777">
            <w:pPr>
              <w:pStyle w:val="ArticleNumber"/>
              <w:numPr>
                <w:ilvl w:val="0"/>
                <w:numId w:val="0"/>
              </w:numPr>
              <w:spacing w:line="240" w:lineRule="auto"/>
              <w:rPr>
                <w:b/>
                <w:bCs/>
                <w:sz w:val="20"/>
              </w:rPr>
            </w:pPr>
            <w:r>
              <w:rPr>
                <w:b/>
                <w:bCs/>
                <w:sz w:val="20"/>
              </w:rPr>
              <w:t>Respondent</w:t>
            </w:r>
          </w:p>
          <w:p w:rsidR="00EA11F5" w:rsidRDefault="00EA11F5" w14:paraId="5BC8CD9A" w14:textId="77777777">
            <w:pPr>
              <w:pStyle w:val="ArticleNumber"/>
              <w:numPr>
                <w:ilvl w:val="0"/>
                <w:numId w:val="0"/>
              </w:numPr>
              <w:spacing w:line="240" w:lineRule="auto"/>
              <w:rPr>
                <w:b/>
                <w:bCs/>
                <w:sz w:val="20"/>
              </w:rPr>
            </w:pPr>
          </w:p>
        </w:tc>
        <w:tc>
          <w:tcPr>
            <w:tcW w:w="789" w:type="dxa"/>
          </w:tcPr>
          <w:p w:rsidR="00EA11F5" w:rsidRDefault="00EA11F5" w14:paraId="418465F6" w14:textId="77777777">
            <w:pPr>
              <w:pStyle w:val="ArticleNumber"/>
              <w:numPr>
                <w:ilvl w:val="0"/>
                <w:numId w:val="0"/>
              </w:numPr>
              <w:spacing w:line="240" w:lineRule="auto"/>
              <w:rPr>
                <w:b/>
                <w:bCs/>
                <w:sz w:val="20"/>
              </w:rPr>
            </w:pPr>
            <w:r>
              <w:rPr>
                <w:b/>
                <w:bCs/>
                <w:sz w:val="20"/>
              </w:rPr>
              <w:t>Total</w:t>
            </w:r>
          </w:p>
          <w:p w:rsidR="00EA11F5" w:rsidRDefault="00EA11F5" w14:paraId="0F48601E" w14:textId="77777777">
            <w:pPr>
              <w:pStyle w:val="ArticleNumber"/>
              <w:numPr>
                <w:ilvl w:val="0"/>
                <w:numId w:val="0"/>
              </w:numPr>
              <w:spacing w:line="240" w:lineRule="auto"/>
              <w:rPr>
                <w:b/>
                <w:bCs/>
                <w:sz w:val="20"/>
              </w:rPr>
            </w:pPr>
            <w:r>
              <w:rPr>
                <w:b/>
                <w:bCs/>
                <w:sz w:val="20"/>
              </w:rPr>
              <w:t>Number</w:t>
            </w:r>
          </w:p>
          <w:p w:rsidR="00EA11F5" w:rsidRDefault="00EA11F5" w14:paraId="669C18E4" w14:textId="77777777">
            <w:pPr>
              <w:pStyle w:val="ArticleNumber"/>
              <w:numPr>
                <w:ilvl w:val="0"/>
                <w:numId w:val="0"/>
              </w:numPr>
              <w:spacing w:line="240" w:lineRule="auto"/>
              <w:rPr>
                <w:b/>
                <w:bCs/>
                <w:sz w:val="20"/>
              </w:rPr>
            </w:pPr>
            <w:r>
              <w:rPr>
                <w:b/>
                <w:bCs/>
                <w:sz w:val="20"/>
              </w:rPr>
              <w:t>Of</w:t>
            </w:r>
          </w:p>
          <w:p w:rsidR="00EA11F5" w:rsidRDefault="00EA11F5" w14:paraId="0D73D34D" w14:textId="77777777">
            <w:pPr>
              <w:pStyle w:val="ArticleNumber"/>
              <w:numPr>
                <w:ilvl w:val="0"/>
                <w:numId w:val="0"/>
              </w:numPr>
              <w:spacing w:line="240" w:lineRule="auto"/>
              <w:rPr>
                <w:b/>
                <w:bCs/>
                <w:sz w:val="20"/>
              </w:rPr>
            </w:pPr>
            <w:r>
              <w:rPr>
                <w:b/>
                <w:bCs/>
                <w:sz w:val="20"/>
              </w:rPr>
              <w:t>Responses</w:t>
            </w:r>
          </w:p>
        </w:tc>
        <w:tc>
          <w:tcPr>
            <w:tcW w:w="1039" w:type="dxa"/>
          </w:tcPr>
          <w:p w:rsidR="00EA11F5" w:rsidRDefault="00EA11F5" w14:paraId="2F7DD6BD" w14:textId="77777777">
            <w:pPr>
              <w:pStyle w:val="ArticleNumber"/>
              <w:numPr>
                <w:ilvl w:val="0"/>
                <w:numId w:val="0"/>
              </w:numPr>
              <w:spacing w:line="240" w:lineRule="auto"/>
              <w:rPr>
                <w:b/>
                <w:bCs/>
                <w:sz w:val="20"/>
              </w:rPr>
            </w:pPr>
            <w:r>
              <w:rPr>
                <w:b/>
                <w:bCs/>
                <w:sz w:val="20"/>
              </w:rPr>
              <w:t>Average</w:t>
            </w:r>
          </w:p>
          <w:p w:rsidR="00EA11F5" w:rsidRDefault="00EA11F5" w14:paraId="09A3D91F" w14:textId="77777777">
            <w:pPr>
              <w:jc w:val="center"/>
              <w:rPr>
                <w:b/>
                <w:bCs/>
                <w:sz w:val="20"/>
              </w:rPr>
            </w:pPr>
            <w:r>
              <w:rPr>
                <w:b/>
                <w:bCs/>
                <w:sz w:val="20"/>
              </w:rPr>
              <w:t>Hours Per</w:t>
            </w:r>
          </w:p>
          <w:p w:rsidR="00EA11F5" w:rsidRDefault="00EA11F5" w14:paraId="6DCD202C" w14:textId="77777777">
            <w:pPr>
              <w:jc w:val="center"/>
              <w:rPr>
                <w:b/>
                <w:bCs/>
                <w:sz w:val="20"/>
              </w:rPr>
            </w:pPr>
            <w:r>
              <w:rPr>
                <w:b/>
                <w:bCs/>
                <w:sz w:val="20"/>
              </w:rPr>
              <w:t>Response</w:t>
            </w:r>
          </w:p>
        </w:tc>
        <w:tc>
          <w:tcPr>
            <w:tcW w:w="1215" w:type="dxa"/>
          </w:tcPr>
          <w:p w:rsidR="00EA11F5" w:rsidRDefault="00EA11F5" w14:paraId="715834BD" w14:textId="77777777">
            <w:pPr>
              <w:pStyle w:val="ArticleNumber"/>
              <w:numPr>
                <w:ilvl w:val="0"/>
                <w:numId w:val="0"/>
              </w:numPr>
              <w:spacing w:line="240" w:lineRule="auto"/>
              <w:rPr>
                <w:b/>
                <w:bCs/>
                <w:sz w:val="20"/>
              </w:rPr>
            </w:pPr>
            <w:r>
              <w:rPr>
                <w:b/>
                <w:bCs/>
                <w:sz w:val="20"/>
              </w:rPr>
              <w:t>Estimated</w:t>
            </w:r>
          </w:p>
          <w:p w:rsidR="00EA11F5" w:rsidRDefault="00EA11F5" w14:paraId="5FEC2122" w14:textId="77777777">
            <w:pPr>
              <w:jc w:val="center"/>
              <w:rPr>
                <w:b/>
                <w:bCs/>
                <w:sz w:val="20"/>
              </w:rPr>
            </w:pPr>
            <w:r>
              <w:rPr>
                <w:b/>
                <w:bCs/>
                <w:sz w:val="20"/>
              </w:rPr>
              <w:t>Burden</w:t>
            </w:r>
          </w:p>
          <w:p w:rsidR="00EA11F5" w:rsidRDefault="00EA11F5" w14:paraId="00BFF38A" w14:textId="77777777">
            <w:pPr>
              <w:jc w:val="center"/>
              <w:rPr>
                <w:b/>
                <w:bCs/>
                <w:sz w:val="20"/>
              </w:rPr>
            </w:pPr>
            <w:r>
              <w:rPr>
                <w:b/>
                <w:bCs/>
                <w:sz w:val="20"/>
              </w:rPr>
              <w:t>Hours</w:t>
            </w:r>
          </w:p>
        </w:tc>
      </w:tr>
      <w:tr w:rsidR="00EA11F5" w:rsidTr="00EA11F5" w14:paraId="364CF257" w14:textId="77777777">
        <w:tblPrEx>
          <w:tblCellMar>
            <w:top w:w="0" w:type="dxa"/>
            <w:bottom w:w="0" w:type="dxa"/>
          </w:tblCellMar>
        </w:tblPrEx>
        <w:tc>
          <w:tcPr>
            <w:tcW w:w="1365" w:type="dxa"/>
          </w:tcPr>
          <w:p w:rsidR="00EA11F5" w:rsidRDefault="00EA11F5" w14:paraId="06A18503" w14:textId="77777777">
            <w:pPr>
              <w:rPr>
                <w:sz w:val="20"/>
              </w:rPr>
            </w:pPr>
            <w:r>
              <w:rPr>
                <w:sz w:val="20"/>
              </w:rPr>
              <w:t>12 CFR 1.3(h)(2)</w:t>
            </w:r>
          </w:p>
          <w:p w:rsidR="00EA11F5" w:rsidRDefault="00EA11F5" w14:paraId="7D7866C7" w14:textId="77777777">
            <w:pPr>
              <w:rPr>
                <w:sz w:val="20"/>
              </w:rPr>
            </w:pPr>
            <w:r>
              <w:rPr>
                <w:sz w:val="20"/>
              </w:rPr>
              <w:t>Reporting</w:t>
            </w:r>
          </w:p>
        </w:tc>
        <w:tc>
          <w:tcPr>
            <w:tcW w:w="2525" w:type="dxa"/>
          </w:tcPr>
          <w:p w:rsidRPr="00C9030B" w:rsidR="00EA11F5" w:rsidRDefault="00EA11F5" w14:paraId="0F0BE452" w14:textId="77777777">
            <w:pPr>
              <w:rPr>
                <w:color w:val="000000"/>
                <w:szCs w:val="24"/>
              </w:rPr>
            </w:pPr>
            <w:r>
              <w:rPr>
                <w:b/>
                <w:bCs/>
                <w:i/>
                <w:iCs/>
                <w:sz w:val="20"/>
              </w:rPr>
              <w:t xml:space="preserve">Limitations on dealing in, underwriting, and purchase and sale of securities – Pooled </w:t>
            </w:r>
            <w:r>
              <w:rPr>
                <w:b/>
                <w:bCs/>
                <w:i/>
                <w:iCs/>
                <w:sz w:val="20"/>
              </w:rPr>
              <w:lastRenderedPageBreak/>
              <w:t>Investment – Other issuers –</w:t>
            </w:r>
            <w:r>
              <w:rPr>
                <w:sz w:val="20"/>
              </w:rPr>
              <w:t xml:space="preserve"> </w:t>
            </w:r>
            <w:r w:rsidRPr="00C9030B">
              <w:rPr>
                <w:sz w:val="20"/>
              </w:rPr>
              <w:t xml:space="preserve">A national bank may </w:t>
            </w:r>
            <w:r w:rsidRPr="00C9030B">
              <w:rPr>
                <w:rStyle w:val="documentbody1"/>
                <w:rFonts w:ascii="Times New Roman" w:hAnsi="Times New Roman"/>
                <w:color w:val="000000"/>
                <w:sz w:val="20"/>
                <w:szCs w:val="20"/>
              </w:rPr>
              <w:t>request an OCC determination that it may invest in an entity that is exempt from registration under section 3(c)(1) of the Investment Company Act of 1940 if the portfolio of the entity consists exclusively of assets that a national bank may purchase and sell for its own account.</w:t>
            </w:r>
            <w:r w:rsidRPr="00F830CA">
              <w:rPr>
                <w:rStyle w:val="documentbody1"/>
                <w:rFonts w:ascii="Times New Roman" w:hAnsi="Times New Roman"/>
                <w:color w:val="000000"/>
                <w:sz w:val="24"/>
                <w:szCs w:val="24"/>
              </w:rPr>
              <w:t xml:space="preserve"> </w:t>
            </w:r>
          </w:p>
        </w:tc>
        <w:tc>
          <w:tcPr>
            <w:tcW w:w="1403" w:type="dxa"/>
          </w:tcPr>
          <w:p w:rsidR="00EA11F5" w:rsidRDefault="00EA11F5" w14:paraId="5642D35D" w14:textId="77777777">
            <w:pPr>
              <w:pStyle w:val="FootnoteText"/>
              <w:jc w:val="right"/>
            </w:pPr>
            <w:r>
              <w:lastRenderedPageBreak/>
              <w:t>15</w:t>
            </w:r>
          </w:p>
        </w:tc>
        <w:tc>
          <w:tcPr>
            <w:tcW w:w="1240" w:type="dxa"/>
          </w:tcPr>
          <w:p w:rsidR="00EA11F5" w:rsidRDefault="00EA11F5" w14:paraId="5CB36BC1" w14:textId="77777777">
            <w:pPr>
              <w:jc w:val="right"/>
              <w:rPr>
                <w:sz w:val="20"/>
              </w:rPr>
            </w:pPr>
            <w:r>
              <w:rPr>
                <w:sz w:val="20"/>
              </w:rPr>
              <w:t>1</w:t>
            </w:r>
          </w:p>
        </w:tc>
        <w:tc>
          <w:tcPr>
            <w:tcW w:w="789" w:type="dxa"/>
          </w:tcPr>
          <w:p w:rsidR="00EA11F5" w:rsidRDefault="00EA11F5" w14:paraId="6A39A433" w14:textId="77777777">
            <w:pPr>
              <w:jc w:val="right"/>
              <w:rPr>
                <w:sz w:val="20"/>
              </w:rPr>
            </w:pPr>
            <w:r>
              <w:rPr>
                <w:sz w:val="20"/>
              </w:rPr>
              <w:t>15</w:t>
            </w:r>
          </w:p>
        </w:tc>
        <w:tc>
          <w:tcPr>
            <w:tcW w:w="1039" w:type="dxa"/>
          </w:tcPr>
          <w:p w:rsidR="00EA11F5" w:rsidRDefault="00EA11F5" w14:paraId="405D379B" w14:textId="77777777">
            <w:pPr>
              <w:jc w:val="right"/>
              <w:rPr>
                <w:sz w:val="20"/>
              </w:rPr>
            </w:pPr>
            <w:r>
              <w:rPr>
                <w:sz w:val="20"/>
              </w:rPr>
              <w:t>24</w:t>
            </w:r>
          </w:p>
        </w:tc>
        <w:tc>
          <w:tcPr>
            <w:tcW w:w="1215" w:type="dxa"/>
          </w:tcPr>
          <w:p w:rsidR="00EA11F5" w:rsidRDefault="00EA11F5" w14:paraId="532B118B" w14:textId="77777777">
            <w:pPr>
              <w:jc w:val="right"/>
              <w:rPr>
                <w:sz w:val="20"/>
              </w:rPr>
            </w:pPr>
            <w:r>
              <w:rPr>
                <w:sz w:val="20"/>
              </w:rPr>
              <w:t>360 hours</w:t>
            </w:r>
          </w:p>
        </w:tc>
      </w:tr>
      <w:tr w:rsidR="00EA11F5" w:rsidTr="00EA11F5" w14:paraId="3E054356" w14:textId="77777777">
        <w:tblPrEx>
          <w:tblCellMar>
            <w:top w:w="0" w:type="dxa"/>
            <w:bottom w:w="0" w:type="dxa"/>
          </w:tblCellMar>
        </w:tblPrEx>
        <w:trPr>
          <w:cantSplit/>
        </w:trPr>
        <w:tc>
          <w:tcPr>
            <w:tcW w:w="1365" w:type="dxa"/>
          </w:tcPr>
          <w:p w:rsidR="00EA11F5" w:rsidRDefault="00EA11F5" w14:paraId="40F9BC36" w14:textId="77777777">
            <w:pPr>
              <w:pStyle w:val="FootnoteText"/>
            </w:pPr>
            <w:r>
              <w:t>12 CFR 1.7(b)</w:t>
            </w:r>
          </w:p>
        </w:tc>
        <w:tc>
          <w:tcPr>
            <w:tcW w:w="2525" w:type="dxa"/>
          </w:tcPr>
          <w:p w:rsidR="00EA11F5" w:rsidRDefault="00EA11F5" w14:paraId="47B63DD5" w14:textId="77777777">
            <w:pPr>
              <w:rPr>
                <w:sz w:val="20"/>
              </w:rPr>
            </w:pPr>
            <w:r>
              <w:rPr>
                <w:b/>
                <w:bCs/>
                <w:i/>
                <w:iCs/>
                <w:sz w:val="20"/>
              </w:rPr>
              <w:t>Securities held in satisfaction of debts previously contracted; holding period; disposal; accounting treatment; non-speculative purpose – Holding period –</w:t>
            </w:r>
            <w:r w:rsidRPr="00734A21">
              <w:rPr>
                <w:sz w:val="20"/>
              </w:rPr>
              <w:t xml:space="preserve"> A national bank may </w:t>
            </w:r>
            <w:r w:rsidRPr="00734A21">
              <w:rPr>
                <w:rStyle w:val="documentbody1"/>
                <w:rFonts w:ascii="Times New Roman" w:hAnsi="Times New Roman"/>
                <w:color w:val="000000"/>
                <w:sz w:val="20"/>
                <w:szCs w:val="20"/>
              </w:rPr>
              <w:t>request OCC approval to extend the five-year holding period of securities held in satisfaction of debts previously contracted for up to an additional five years. The bank must provide a clearly convincing demonstration of why any additional holding period is needed.</w:t>
            </w:r>
            <w:r w:rsidRPr="00F830CA">
              <w:rPr>
                <w:rStyle w:val="documentbody1"/>
                <w:rFonts w:ascii="Times New Roman" w:hAnsi="Times New Roman"/>
                <w:color w:val="000000"/>
                <w:sz w:val="24"/>
                <w:szCs w:val="24"/>
              </w:rPr>
              <w:t xml:space="preserve"> </w:t>
            </w:r>
          </w:p>
        </w:tc>
        <w:tc>
          <w:tcPr>
            <w:tcW w:w="1403" w:type="dxa"/>
          </w:tcPr>
          <w:p w:rsidR="00EA11F5" w:rsidRDefault="00EA11F5" w14:paraId="356EE288" w14:textId="77777777">
            <w:pPr>
              <w:pStyle w:val="FootnoteText"/>
              <w:jc w:val="right"/>
            </w:pPr>
            <w:r>
              <w:t>10</w:t>
            </w:r>
          </w:p>
        </w:tc>
        <w:tc>
          <w:tcPr>
            <w:tcW w:w="1240" w:type="dxa"/>
          </w:tcPr>
          <w:p w:rsidR="00EA11F5" w:rsidRDefault="00EA11F5" w14:paraId="79F54030" w14:textId="77777777">
            <w:pPr>
              <w:jc w:val="right"/>
              <w:rPr>
                <w:sz w:val="20"/>
              </w:rPr>
            </w:pPr>
            <w:r>
              <w:rPr>
                <w:sz w:val="20"/>
              </w:rPr>
              <w:t>1</w:t>
            </w:r>
          </w:p>
        </w:tc>
        <w:tc>
          <w:tcPr>
            <w:tcW w:w="789" w:type="dxa"/>
          </w:tcPr>
          <w:p w:rsidR="00EA11F5" w:rsidRDefault="00EA11F5" w14:paraId="50AC67E6" w14:textId="77777777">
            <w:pPr>
              <w:jc w:val="right"/>
              <w:rPr>
                <w:sz w:val="20"/>
              </w:rPr>
            </w:pPr>
            <w:r>
              <w:rPr>
                <w:sz w:val="20"/>
              </w:rPr>
              <w:t>10</w:t>
            </w:r>
          </w:p>
        </w:tc>
        <w:tc>
          <w:tcPr>
            <w:tcW w:w="1039" w:type="dxa"/>
          </w:tcPr>
          <w:p w:rsidR="00EA11F5" w:rsidRDefault="00EA11F5" w14:paraId="011AC324" w14:textId="77777777">
            <w:pPr>
              <w:jc w:val="right"/>
              <w:rPr>
                <w:sz w:val="20"/>
              </w:rPr>
            </w:pPr>
            <w:r>
              <w:rPr>
                <w:sz w:val="20"/>
              </w:rPr>
              <w:t>10</w:t>
            </w:r>
          </w:p>
        </w:tc>
        <w:tc>
          <w:tcPr>
            <w:tcW w:w="1215" w:type="dxa"/>
          </w:tcPr>
          <w:p w:rsidR="00EA11F5" w:rsidRDefault="00EA11F5" w14:paraId="7ABCF4B8" w14:textId="77777777">
            <w:pPr>
              <w:jc w:val="right"/>
              <w:rPr>
                <w:sz w:val="20"/>
              </w:rPr>
            </w:pPr>
            <w:r>
              <w:rPr>
                <w:sz w:val="20"/>
              </w:rPr>
              <w:t>100</w:t>
            </w:r>
          </w:p>
        </w:tc>
      </w:tr>
      <w:tr w:rsidR="00EA11F5" w:rsidTr="00EA11F5" w14:paraId="018FCD0C" w14:textId="77777777">
        <w:tblPrEx>
          <w:tblCellMar>
            <w:top w:w="0" w:type="dxa"/>
            <w:bottom w:w="0" w:type="dxa"/>
          </w:tblCellMar>
        </w:tblPrEx>
        <w:tc>
          <w:tcPr>
            <w:tcW w:w="1365" w:type="dxa"/>
          </w:tcPr>
          <w:p w:rsidR="00EA11F5" w:rsidRDefault="00EA11F5" w14:paraId="6AF50F6F" w14:textId="77777777">
            <w:pPr>
              <w:pStyle w:val="Heading4"/>
            </w:pPr>
            <w:r>
              <w:t>Totals</w:t>
            </w:r>
          </w:p>
        </w:tc>
        <w:tc>
          <w:tcPr>
            <w:tcW w:w="2525" w:type="dxa"/>
          </w:tcPr>
          <w:p w:rsidR="00EA11F5" w:rsidRDefault="00EA11F5" w14:paraId="565E0351" w14:textId="77777777">
            <w:pPr>
              <w:rPr>
                <w:sz w:val="20"/>
              </w:rPr>
            </w:pPr>
          </w:p>
        </w:tc>
        <w:tc>
          <w:tcPr>
            <w:tcW w:w="1403" w:type="dxa"/>
          </w:tcPr>
          <w:p w:rsidR="00EA11F5" w:rsidRDefault="00EA11F5" w14:paraId="6FB22D23" w14:textId="77777777">
            <w:pPr>
              <w:jc w:val="right"/>
              <w:rPr>
                <w:b/>
                <w:bCs/>
                <w:sz w:val="20"/>
              </w:rPr>
            </w:pPr>
            <w:r>
              <w:rPr>
                <w:b/>
                <w:bCs/>
                <w:sz w:val="20"/>
              </w:rPr>
              <w:t>25</w:t>
            </w:r>
          </w:p>
        </w:tc>
        <w:tc>
          <w:tcPr>
            <w:tcW w:w="1240" w:type="dxa"/>
          </w:tcPr>
          <w:p w:rsidR="00EA11F5" w:rsidRDefault="00EA11F5" w14:paraId="217A9B71" w14:textId="2B6CDF0B">
            <w:pPr>
              <w:jc w:val="right"/>
              <w:rPr>
                <w:b/>
                <w:bCs/>
                <w:sz w:val="20"/>
              </w:rPr>
            </w:pPr>
            <w:bookmarkStart w:name="_GoBack" w:id="1"/>
            <w:bookmarkEnd w:id="1"/>
          </w:p>
        </w:tc>
        <w:tc>
          <w:tcPr>
            <w:tcW w:w="789" w:type="dxa"/>
          </w:tcPr>
          <w:p w:rsidR="00EA11F5" w:rsidRDefault="00EA11F5" w14:paraId="77A9FE1D" w14:textId="77777777">
            <w:pPr>
              <w:jc w:val="right"/>
              <w:rPr>
                <w:b/>
                <w:bCs/>
                <w:sz w:val="20"/>
              </w:rPr>
            </w:pPr>
            <w:r>
              <w:rPr>
                <w:b/>
                <w:bCs/>
                <w:sz w:val="20"/>
              </w:rPr>
              <w:t>25</w:t>
            </w:r>
          </w:p>
        </w:tc>
        <w:tc>
          <w:tcPr>
            <w:tcW w:w="1039" w:type="dxa"/>
          </w:tcPr>
          <w:p w:rsidR="00EA11F5" w:rsidRDefault="00EA11F5" w14:paraId="4F8683FD" w14:textId="77777777">
            <w:pPr>
              <w:jc w:val="right"/>
              <w:rPr>
                <w:b/>
                <w:bCs/>
                <w:sz w:val="20"/>
              </w:rPr>
            </w:pPr>
          </w:p>
        </w:tc>
        <w:tc>
          <w:tcPr>
            <w:tcW w:w="1215" w:type="dxa"/>
          </w:tcPr>
          <w:p w:rsidR="00EA11F5" w:rsidRDefault="00EA11F5" w14:paraId="768258A6" w14:textId="77777777">
            <w:pPr>
              <w:jc w:val="right"/>
              <w:rPr>
                <w:b/>
                <w:bCs/>
                <w:sz w:val="20"/>
              </w:rPr>
            </w:pPr>
            <w:r>
              <w:rPr>
                <w:b/>
                <w:bCs/>
                <w:sz w:val="20"/>
              </w:rPr>
              <w:t>460</w:t>
            </w:r>
          </w:p>
        </w:tc>
      </w:tr>
      <w:tr w:rsidR="00EA11F5" w:rsidTr="00EA11F5" w14:paraId="5F7C5575" w14:textId="77777777">
        <w:tblPrEx>
          <w:tblCellMar>
            <w:top w:w="0" w:type="dxa"/>
            <w:bottom w:w="0" w:type="dxa"/>
          </w:tblCellMar>
        </w:tblPrEx>
        <w:tc>
          <w:tcPr>
            <w:tcW w:w="1365" w:type="dxa"/>
          </w:tcPr>
          <w:p w:rsidR="00EA11F5" w:rsidRDefault="00EA11F5" w14:paraId="04B9F8D7" w14:textId="77777777">
            <w:pPr>
              <w:rPr>
                <w:sz w:val="20"/>
              </w:rPr>
            </w:pPr>
          </w:p>
        </w:tc>
        <w:tc>
          <w:tcPr>
            <w:tcW w:w="2525" w:type="dxa"/>
          </w:tcPr>
          <w:p w:rsidR="00EA11F5" w:rsidRDefault="00EA11F5" w14:paraId="6D8BFB6A" w14:textId="77777777">
            <w:pPr>
              <w:rPr>
                <w:sz w:val="20"/>
              </w:rPr>
            </w:pPr>
          </w:p>
        </w:tc>
        <w:tc>
          <w:tcPr>
            <w:tcW w:w="1403" w:type="dxa"/>
          </w:tcPr>
          <w:p w:rsidR="00EA11F5" w:rsidRDefault="00EA11F5" w14:paraId="2E38F665" w14:textId="77777777">
            <w:pPr>
              <w:pStyle w:val="FootnoteText"/>
            </w:pPr>
          </w:p>
        </w:tc>
        <w:tc>
          <w:tcPr>
            <w:tcW w:w="1240" w:type="dxa"/>
          </w:tcPr>
          <w:p w:rsidR="00EA11F5" w:rsidRDefault="00EA11F5" w14:paraId="5A515609" w14:textId="77777777">
            <w:pPr>
              <w:rPr>
                <w:sz w:val="20"/>
              </w:rPr>
            </w:pPr>
          </w:p>
        </w:tc>
        <w:tc>
          <w:tcPr>
            <w:tcW w:w="789" w:type="dxa"/>
          </w:tcPr>
          <w:p w:rsidR="00EA11F5" w:rsidRDefault="00EA11F5" w14:paraId="7D5E6CD6" w14:textId="77777777">
            <w:pPr>
              <w:rPr>
                <w:sz w:val="20"/>
              </w:rPr>
            </w:pPr>
          </w:p>
        </w:tc>
        <w:tc>
          <w:tcPr>
            <w:tcW w:w="1039" w:type="dxa"/>
          </w:tcPr>
          <w:p w:rsidR="00EA11F5" w:rsidRDefault="00EA11F5" w14:paraId="2A823838" w14:textId="77777777">
            <w:pPr>
              <w:rPr>
                <w:sz w:val="20"/>
              </w:rPr>
            </w:pPr>
          </w:p>
        </w:tc>
        <w:tc>
          <w:tcPr>
            <w:tcW w:w="1215" w:type="dxa"/>
          </w:tcPr>
          <w:p w:rsidR="00EA11F5" w:rsidRDefault="00EA11F5" w14:paraId="60B3742A" w14:textId="77777777">
            <w:pPr>
              <w:rPr>
                <w:sz w:val="20"/>
              </w:rPr>
            </w:pPr>
          </w:p>
        </w:tc>
      </w:tr>
    </w:tbl>
    <w:p w:rsidR="00D0478B" w:rsidRDefault="00D0478B" w14:paraId="3FE7606A" w14:textId="77777777"/>
    <w:p w:rsidRPr="00521104" w:rsidR="00CB153A" w:rsidP="00CB153A" w:rsidRDefault="00CB153A" w14:paraId="2A6AA677" w14:textId="77777777">
      <w:pPr>
        <w:ind w:right="630"/>
        <w:rPr>
          <w:b/>
          <w:szCs w:val="24"/>
        </w:rPr>
      </w:pPr>
      <w:r w:rsidRPr="00521104">
        <w:rPr>
          <w:b/>
          <w:szCs w:val="24"/>
        </w:rPr>
        <w:t>Cost of hour burden:</w:t>
      </w:r>
    </w:p>
    <w:p w:rsidR="00CB153A" w:rsidP="00CB153A" w:rsidRDefault="00CB153A" w14:paraId="5880E28B" w14:textId="77777777">
      <w:pPr>
        <w:ind w:right="630"/>
        <w:rPr>
          <w:szCs w:val="24"/>
        </w:rPr>
      </w:pPr>
    </w:p>
    <w:p w:rsidR="00CB153A" w:rsidP="00CB153A" w:rsidRDefault="00023230" w14:paraId="637FDAFE" w14:textId="77777777">
      <w:pPr>
        <w:ind w:right="630"/>
        <w:rPr>
          <w:szCs w:val="24"/>
        </w:rPr>
      </w:pPr>
      <w:r>
        <w:rPr>
          <w:szCs w:val="24"/>
        </w:rPr>
        <w:t>460 hours x $11</w:t>
      </w:r>
      <w:r w:rsidR="00A63D4A">
        <w:rPr>
          <w:szCs w:val="24"/>
        </w:rPr>
        <w:t>5.19</w:t>
      </w:r>
      <w:r>
        <w:rPr>
          <w:szCs w:val="24"/>
        </w:rPr>
        <w:t xml:space="preserve"> = $52,</w:t>
      </w:r>
      <w:r w:rsidR="00A63D4A">
        <w:rPr>
          <w:szCs w:val="24"/>
        </w:rPr>
        <w:t>987.40</w:t>
      </w:r>
    </w:p>
    <w:p w:rsidR="00CB153A" w:rsidP="00CB153A" w:rsidRDefault="00CB153A" w14:paraId="3B011CB6" w14:textId="77777777">
      <w:pPr>
        <w:ind w:right="630"/>
        <w:rPr>
          <w:szCs w:val="24"/>
        </w:rPr>
      </w:pPr>
    </w:p>
    <w:p w:rsidRPr="0064167F" w:rsidR="00A63D4A" w:rsidP="00A63D4A" w:rsidRDefault="00A63D4A" w14:paraId="34B7552C" w14:textId="77777777">
      <w:pPr>
        <w:rPr>
          <w:szCs w:val="24"/>
        </w:rPr>
      </w:pPr>
      <w:r>
        <w:rPr>
          <w:color w:val="000000"/>
          <w:szCs w:val="24"/>
        </w:rPr>
        <w:t xml:space="preserve">To estimate wages the OCC reviewed May 2019 data for wages (by industry and occupation) from the U.S. Bureau of Labor Statistics (BLS) for credit intermediation and related activities 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w:t>
      </w:r>
      <w:r>
        <w:rPr>
          <w:color w:val="000000"/>
          <w:szCs w:val="24"/>
        </w:rPr>
        <w:lastRenderedPageBreak/>
        <w:t>compensation allocated to benefits as of Q4 2019 for NAICS 522: credit intermediation and related activities).</w:t>
      </w:r>
    </w:p>
    <w:p w:rsidR="00D0478B" w:rsidRDefault="00D0478B" w14:paraId="784B57C4" w14:textId="77777777"/>
    <w:p w:rsidR="003B5736" w:rsidP="003B5736" w:rsidRDefault="003B5736" w14:paraId="7D72F1C9" w14:textId="77777777">
      <w:pPr>
        <w:tabs>
          <w:tab w:val="left" w:pos="-1440"/>
        </w:tabs>
        <w:ind w:left="720" w:hanging="720"/>
        <w:rPr>
          <w:b/>
          <w:bCs/>
          <w:i/>
          <w:szCs w:val="24"/>
        </w:rPr>
      </w:pPr>
      <w:r>
        <w:rPr>
          <w:b/>
          <w:bCs/>
          <w:i/>
          <w:iCs/>
          <w:szCs w:val="24"/>
        </w:rPr>
        <w:t>13.</w:t>
      </w:r>
      <w:r>
        <w:rPr>
          <w:b/>
          <w:bCs/>
          <w:i/>
          <w:iCs/>
          <w:szCs w:val="24"/>
        </w:rPr>
        <w:tab/>
      </w:r>
      <w:r>
        <w:rPr>
          <w:b/>
          <w:bCs/>
          <w:i/>
          <w:szCs w:val="24"/>
        </w:rPr>
        <w:t>Estimate of total annual costs to respondents</w:t>
      </w:r>
      <w:r w:rsidR="0013603F">
        <w:rPr>
          <w:b/>
          <w:bCs/>
          <w:i/>
          <w:szCs w:val="24"/>
        </w:rPr>
        <w:t xml:space="preserve"> (excluding cost of hour burden in item #12):</w:t>
      </w:r>
    </w:p>
    <w:p w:rsidR="00D0478B" w:rsidRDefault="00D0478B" w14:paraId="3DB2A853" w14:textId="77777777">
      <w:pPr>
        <w:rPr>
          <w:rStyle w:val="a"/>
        </w:rPr>
      </w:pPr>
    </w:p>
    <w:p w:rsidR="00D0478B" w:rsidRDefault="00DA1189" w14:paraId="09F05F2F" w14:textId="77777777">
      <w:pPr>
        <w:rPr>
          <w:rStyle w:val="a"/>
        </w:rPr>
      </w:pPr>
      <w:r>
        <w:rPr>
          <w:rStyle w:val="a"/>
        </w:rPr>
        <w:t xml:space="preserve">           </w:t>
      </w:r>
      <w:r w:rsidR="00D0478B">
        <w:rPr>
          <w:rStyle w:val="a"/>
        </w:rPr>
        <w:t>Not applicable.</w:t>
      </w:r>
    </w:p>
    <w:p w:rsidR="00D0478B" w:rsidRDefault="00D0478B" w14:paraId="6580382F" w14:textId="77777777">
      <w:pPr>
        <w:rPr>
          <w:rStyle w:val="a"/>
        </w:rPr>
      </w:pPr>
    </w:p>
    <w:p w:rsidR="003B5736" w:rsidP="003B5736" w:rsidRDefault="003B5736" w14:paraId="02F84010" w14:textId="77777777">
      <w:pPr>
        <w:rPr>
          <w:b/>
          <w:bCs/>
          <w:i/>
          <w:iCs/>
        </w:rPr>
      </w:pPr>
      <w:r>
        <w:rPr>
          <w:b/>
          <w:bCs/>
          <w:i/>
          <w:iCs/>
        </w:rPr>
        <w:t>14.</w:t>
      </w:r>
      <w:r>
        <w:rPr>
          <w:b/>
          <w:bCs/>
          <w:i/>
          <w:iCs/>
        </w:rPr>
        <w:tab/>
      </w:r>
      <w:r w:rsidR="00912625">
        <w:rPr>
          <w:b/>
          <w:bCs/>
          <w:i/>
          <w:iCs/>
        </w:rPr>
        <w:t>E</w:t>
      </w:r>
      <w:r>
        <w:rPr>
          <w:b/>
          <w:bCs/>
          <w:i/>
          <w:iCs/>
        </w:rPr>
        <w:t xml:space="preserve">stimates of annualized cost to the Federal </w:t>
      </w:r>
      <w:r w:rsidR="00776F3F">
        <w:rPr>
          <w:b/>
          <w:bCs/>
          <w:i/>
          <w:iCs/>
        </w:rPr>
        <w:t>G</w:t>
      </w:r>
      <w:r>
        <w:rPr>
          <w:b/>
          <w:bCs/>
          <w:i/>
          <w:iCs/>
        </w:rPr>
        <w:t>overnment</w:t>
      </w:r>
      <w:r w:rsidR="00912625">
        <w:rPr>
          <w:b/>
          <w:bCs/>
          <w:i/>
          <w:iCs/>
        </w:rPr>
        <w:t>:</w:t>
      </w:r>
    </w:p>
    <w:p w:rsidR="00D0478B" w:rsidRDefault="00D0478B" w14:paraId="08BE6940" w14:textId="77777777">
      <w:pPr>
        <w:rPr>
          <w:rStyle w:val="a"/>
        </w:rPr>
      </w:pPr>
    </w:p>
    <w:p w:rsidR="00D0478B" w:rsidRDefault="00A06AD2" w14:paraId="0BD88204" w14:textId="77777777">
      <w:pPr>
        <w:rPr>
          <w:rStyle w:val="a"/>
        </w:rPr>
      </w:pPr>
      <w:r>
        <w:rPr>
          <w:rStyle w:val="a"/>
        </w:rPr>
        <w:t xml:space="preserve">          </w:t>
      </w:r>
      <w:r w:rsidR="00DA1189">
        <w:rPr>
          <w:rStyle w:val="a"/>
        </w:rPr>
        <w:t xml:space="preserve"> </w:t>
      </w:r>
      <w:r w:rsidR="00D0478B">
        <w:rPr>
          <w:rStyle w:val="a"/>
        </w:rPr>
        <w:t>Not applicable.</w:t>
      </w:r>
    </w:p>
    <w:p w:rsidR="00D0478B" w:rsidRDefault="00D0478B" w14:paraId="0C007BAF" w14:textId="77777777">
      <w:pPr>
        <w:rPr>
          <w:rStyle w:val="a"/>
        </w:rPr>
      </w:pPr>
    </w:p>
    <w:p w:rsidR="003B5736" w:rsidP="003B5736" w:rsidRDefault="003B5736" w14:paraId="0995A18D" w14:textId="77777777">
      <w:pPr>
        <w:rPr>
          <w:b/>
          <w:bCs/>
          <w:i/>
          <w:iCs/>
        </w:rPr>
      </w:pPr>
      <w:r>
        <w:rPr>
          <w:b/>
          <w:bCs/>
          <w:i/>
          <w:iCs/>
        </w:rPr>
        <w:t>15.</w:t>
      </w:r>
      <w:r>
        <w:rPr>
          <w:b/>
          <w:bCs/>
          <w:i/>
          <w:iCs/>
        </w:rPr>
        <w:tab/>
      </w:r>
      <w:r w:rsidR="00912625">
        <w:rPr>
          <w:b/>
          <w:bCs/>
          <w:i/>
          <w:iCs/>
        </w:rPr>
        <w:t>Change in burden:</w:t>
      </w:r>
    </w:p>
    <w:p w:rsidR="00D0478B" w:rsidRDefault="00D0478B" w14:paraId="4C635AE8" w14:textId="77777777">
      <w:pPr>
        <w:rPr>
          <w:rStyle w:val="a"/>
        </w:rPr>
      </w:pPr>
    </w:p>
    <w:p w:rsidR="00D0478B" w:rsidRDefault="00DA1189" w14:paraId="1AA345D0" w14:textId="77777777">
      <w:pPr>
        <w:rPr>
          <w:rStyle w:val="a"/>
        </w:rPr>
      </w:pPr>
      <w:r>
        <w:rPr>
          <w:rStyle w:val="a"/>
        </w:rPr>
        <w:t xml:space="preserve">           </w:t>
      </w:r>
      <w:r w:rsidR="00D0478B">
        <w:rPr>
          <w:rStyle w:val="a"/>
        </w:rPr>
        <w:t>There is no change in burden.</w:t>
      </w:r>
    </w:p>
    <w:p w:rsidR="003B5736" w:rsidP="003B5736" w:rsidRDefault="003B5736" w14:paraId="04B9ECBF" w14:textId="77777777">
      <w:pPr>
        <w:rPr>
          <w:szCs w:val="24"/>
        </w:rPr>
      </w:pPr>
    </w:p>
    <w:p w:rsidR="003B5736" w:rsidP="003B5736" w:rsidRDefault="003B5736" w14:paraId="6BBC06FE" w14:textId="77777777">
      <w:r>
        <w:rPr>
          <w:b/>
          <w:i/>
        </w:rPr>
        <w:t>16.</w:t>
      </w:r>
      <w:r>
        <w:tab/>
      </w:r>
      <w:r w:rsidR="00912625">
        <w:rPr>
          <w:b/>
          <w:i/>
        </w:rPr>
        <w:t>Information regarding collections whose results are to be published for statistical use:</w:t>
      </w:r>
    </w:p>
    <w:p w:rsidR="00D0478B" w:rsidRDefault="00D0478B" w14:paraId="2765338A" w14:textId="77777777">
      <w:pPr>
        <w:rPr>
          <w:rStyle w:val="a"/>
        </w:rPr>
      </w:pPr>
    </w:p>
    <w:p w:rsidR="00D0478B" w:rsidRDefault="00DA1189" w14:paraId="7076F2F2" w14:textId="77777777">
      <w:pPr>
        <w:rPr>
          <w:rStyle w:val="a"/>
        </w:rPr>
      </w:pPr>
      <w:r>
        <w:rPr>
          <w:rStyle w:val="a"/>
        </w:rPr>
        <w:t xml:space="preserve">           </w:t>
      </w:r>
      <w:r w:rsidR="00912625">
        <w:rPr>
          <w:rStyle w:val="a"/>
        </w:rPr>
        <w:t>Not applicable.</w:t>
      </w:r>
    </w:p>
    <w:p w:rsidR="00D0478B" w:rsidRDefault="00D0478B" w14:paraId="1E532880" w14:textId="77777777"/>
    <w:p w:rsidRPr="003B5736" w:rsidR="003B5736" w:rsidP="003B5736" w:rsidRDefault="003B5736" w14:paraId="77457044" w14:textId="77777777">
      <w:pPr>
        <w:pStyle w:val="BodyText"/>
        <w:widowControl w:val="0"/>
        <w:tabs>
          <w:tab w:val="left" w:pos="462"/>
        </w:tabs>
        <w:ind w:left="100" w:right="861" w:hanging="100"/>
        <w:rPr>
          <w:spacing w:val="-1"/>
          <w:szCs w:val="24"/>
        </w:rPr>
      </w:pPr>
      <w:r w:rsidRPr="003B5736">
        <w:rPr>
          <w:spacing w:val="-2"/>
          <w:szCs w:val="24"/>
        </w:rPr>
        <w:t xml:space="preserve">17.     </w:t>
      </w:r>
      <w:r w:rsidR="00912625">
        <w:rPr>
          <w:spacing w:val="-2"/>
          <w:szCs w:val="24"/>
        </w:rPr>
        <w:t>Reasons for not displaying OMB approval expiration date:</w:t>
      </w:r>
    </w:p>
    <w:p w:rsidR="00D0478B" w:rsidRDefault="00D0478B" w14:paraId="3DF0E2A1" w14:textId="77777777"/>
    <w:p w:rsidR="00D0478B" w:rsidRDefault="00DA1189" w14:paraId="5D331321" w14:textId="77777777">
      <w:r>
        <w:t xml:space="preserve">           </w:t>
      </w:r>
      <w:r w:rsidR="00D0478B">
        <w:t>Not applicable.</w:t>
      </w:r>
    </w:p>
    <w:p w:rsidR="00D0478B" w:rsidRDefault="00D0478B" w14:paraId="0B71AE43" w14:textId="77777777">
      <w:pPr>
        <w:pStyle w:val="BodyText"/>
        <w:tabs>
          <w:tab w:val="clear" w:pos="-1440"/>
        </w:tabs>
        <w:rPr>
          <w:b w:val="0"/>
          <w:bCs w:val="0"/>
          <w:i w:val="0"/>
          <w:iCs w:val="0"/>
        </w:rPr>
      </w:pPr>
    </w:p>
    <w:p w:rsidRPr="003B5736" w:rsidR="003B5736" w:rsidP="00BE44AF" w:rsidRDefault="003B5736" w14:paraId="2336E894" w14:textId="77777777">
      <w:pPr>
        <w:pStyle w:val="BodyText"/>
        <w:widowControl w:val="0"/>
        <w:tabs>
          <w:tab w:val="left" w:pos="0"/>
        </w:tabs>
        <w:ind w:left="459" w:hanging="459"/>
        <w:rPr>
          <w:szCs w:val="24"/>
        </w:rPr>
      </w:pPr>
      <w:r w:rsidRPr="003B5736">
        <w:rPr>
          <w:szCs w:val="24"/>
        </w:rPr>
        <w:t xml:space="preserve">18.  </w:t>
      </w:r>
      <w:r w:rsidR="00BE44AF">
        <w:rPr>
          <w:szCs w:val="24"/>
        </w:rPr>
        <w:t>Exceptions to the certification statement:</w:t>
      </w:r>
    </w:p>
    <w:p w:rsidR="00D0478B" w:rsidRDefault="00D0478B" w14:paraId="0C853E00" w14:textId="77777777">
      <w:pPr>
        <w:pStyle w:val="BodyText"/>
        <w:tabs>
          <w:tab w:val="clear" w:pos="-1440"/>
        </w:tabs>
        <w:rPr>
          <w:b w:val="0"/>
          <w:bCs w:val="0"/>
          <w:i w:val="0"/>
          <w:iCs w:val="0"/>
        </w:rPr>
      </w:pPr>
    </w:p>
    <w:p w:rsidR="00D0478B" w:rsidRDefault="00DA1189" w14:paraId="6EA83D5F" w14:textId="77777777">
      <w:pPr>
        <w:pStyle w:val="BodyText"/>
        <w:tabs>
          <w:tab w:val="clear" w:pos="-1440"/>
        </w:tabs>
        <w:rPr>
          <w:b w:val="0"/>
          <w:bCs w:val="0"/>
          <w:i w:val="0"/>
          <w:iCs w:val="0"/>
        </w:rPr>
      </w:pPr>
      <w:r>
        <w:rPr>
          <w:b w:val="0"/>
          <w:bCs w:val="0"/>
          <w:i w:val="0"/>
          <w:iCs w:val="0"/>
        </w:rPr>
        <w:t xml:space="preserve">           </w:t>
      </w:r>
      <w:r w:rsidR="00D0478B">
        <w:rPr>
          <w:b w:val="0"/>
          <w:bCs w:val="0"/>
          <w:i w:val="0"/>
          <w:iCs w:val="0"/>
        </w:rPr>
        <w:t>None.</w:t>
      </w:r>
    </w:p>
    <w:p w:rsidR="00D0478B" w:rsidRDefault="00D0478B" w14:paraId="47474844" w14:textId="77777777">
      <w:pPr>
        <w:pStyle w:val="BodyText"/>
        <w:tabs>
          <w:tab w:val="clear" w:pos="-1440"/>
        </w:tabs>
        <w:rPr>
          <w:b w:val="0"/>
          <w:bCs w:val="0"/>
          <w:i w:val="0"/>
          <w:iCs w:val="0"/>
        </w:rPr>
      </w:pPr>
    </w:p>
    <w:p w:rsidRPr="00C37870" w:rsidR="00D0478B" w:rsidRDefault="00D0478B" w14:paraId="14AC4221" w14:textId="77777777">
      <w:pPr>
        <w:pStyle w:val="BodyText"/>
        <w:tabs>
          <w:tab w:val="clear" w:pos="-1440"/>
        </w:tabs>
        <w:rPr>
          <w:iCs w:val="0"/>
        </w:rPr>
      </w:pPr>
      <w:r w:rsidRPr="00C37870">
        <w:rPr>
          <w:iCs w:val="0"/>
        </w:rPr>
        <w:t>B.  Collections of Informatio</w:t>
      </w:r>
      <w:r w:rsidRPr="00C37870" w:rsidR="00C3599A">
        <w:rPr>
          <w:iCs w:val="0"/>
        </w:rPr>
        <w:t>n Employing Statistical Methods.</w:t>
      </w:r>
    </w:p>
    <w:p w:rsidR="00D0478B" w:rsidRDefault="00D0478B" w14:paraId="2F71B545" w14:textId="77777777">
      <w:pPr>
        <w:pStyle w:val="BodyText"/>
        <w:tabs>
          <w:tab w:val="clear" w:pos="-1440"/>
        </w:tabs>
        <w:rPr>
          <w:i w:val="0"/>
          <w:iCs w:val="0"/>
        </w:rPr>
      </w:pPr>
    </w:p>
    <w:p w:rsidR="00D0478B" w:rsidP="00E449CA" w:rsidRDefault="00DA1189" w14:paraId="3843E445" w14:textId="77777777">
      <w:pPr>
        <w:pStyle w:val="BodyText"/>
        <w:tabs>
          <w:tab w:val="clear" w:pos="-1440"/>
          <w:tab w:val="left" w:pos="720"/>
        </w:tabs>
        <w:rPr>
          <w:b w:val="0"/>
          <w:bCs w:val="0"/>
          <w:i w:val="0"/>
          <w:iCs w:val="0"/>
        </w:rPr>
      </w:pPr>
      <w:r>
        <w:rPr>
          <w:b w:val="0"/>
          <w:bCs w:val="0"/>
          <w:i w:val="0"/>
          <w:iCs w:val="0"/>
        </w:rPr>
        <w:t xml:space="preserve">           </w:t>
      </w:r>
      <w:r w:rsidR="00D0478B">
        <w:rPr>
          <w:b w:val="0"/>
          <w:bCs w:val="0"/>
          <w:i w:val="0"/>
          <w:iCs w:val="0"/>
        </w:rPr>
        <w:t>Not applicable.</w:t>
      </w:r>
    </w:p>
    <w:p w:rsidRPr="00C37870" w:rsidR="003B5736" w:rsidP="00C37870" w:rsidRDefault="003B5736" w14:paraId="1F98FA7E" w14:textId="77777777">
      <w:pPr>
        <w:outlineLvl w:val="0"/>
        <w:rPr>
          <w:szCs w:val="24"/>
        </w:rPr>
      </w:pPr>
      <w:r>
        <w:rPr>
          <w:szCs w:val="24"/>
        </w:rPr>
        <w:t xml:space="preserve">         </w:t>
      </w:r>
    </w:p>
    <w:sectPr w:rsidRPr="00C37870" w:rsidR="003B57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767F8" w14:textId="77777777" w:rsidR="00663D56" w:rsidRDefault="00663D56">
      <w:r>
        <w:separator/>
      </w:r>
    </w:p>
  </w:endnote>
  <w:endnote w:type="continuationSeparator" w:id="0">
    <w:p w14:paraId="4DC6561C" w14:textId="77777777" w:rsidR="00663D56" w:rsidRDefault="0066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589E" w14:textId="77777777" w:rsidR="007C190E" w:rsidRDefault="007C19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3A108" w14:textId="77777777" w:rsidR="007C190E" w:rsidRDefault="007C1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0974" w14:textId="77777777" w:rsidR="007C190E" w:rsidRDefault="007C19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46E0">
      <w:rPr>
        <w:rStyle w:val="PageNumber"/>
        <w:noProof/>
      </w:rPr>
      <w:t>2</w:t>
    </w:r>
    <w:r>
      <w:rPr>
        <w:rStyle w:val="PageNumber"/>
      </w:rPr>
      <w:fldChar w:fldCharType="end"/>
    </w:r>
  </w:p>
  <w:p w14:paraId="195EAB3E" w14:textId="77777777" w:rsidR="007C190E" w:rsidRDefault="007C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764EF" w14:textId="77777777" w:rsidR="005B24F0" w:rsidRDefault="005B2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3E50B" w14:textId="77777777" w:rsidR="00663D56" w:rsidRDefault="00663D56">
      <w:r>
        <w:separator/>
      </w:r>
    </w:p>
  </w:footnote>
  <w:footnote w:type="continuationSeparator" w:id="0">
    <w:p w14:paraId="02FA2561" w14:textId="77777777" w:rsidR="00663D56" w:rsidRDefault="00663D56">
      <w:r>
        <w:continuationSeparator/>
      </w:r>
    </w:p>
  </w:footnote>
  <w:footnote w:id="1">
    <w:p w14:paraId="229BEFC8" w14:textId="77777777" w:rsidR="007C190E" w:rsidRDefault="007C190E">
      <w:pPr>
        <w:pStyle w:val="FootnoteText"/>
      </w:pPr>
      <w:r>
        <w:rPr>
          <w:rStyle w:val="FootnoteReference"/>
        </w:rPr>
        <w:footnoteRef/>
      </w:r>
      <w:r>
        <w:t xml:space="preserve">  15 U.S.C. 80a-3(c)(1).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5FD6" w14:textId="77777777" w:rsidR="005B24F0" w:rsidRDefault="005B2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E52B2" w14:textId="77777777" w:rsidR="005B24F0" w:rsidRDefault="005B2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4B28" w14:textId="77777777" w:rsidR="005B24F0" w:rsidRDefault="005B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212C"/>
    <w:multiLevelType w:val="hybridMultilevel"/>
    <w:tmpl w:val="B7DC082A"/>
    <w:lvl w:ilvl="0" w:tplc="A6EE641A">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DCA7755"/>
    <w:multiLevelType w:val="hybridMultilevel"/>
    <w:tmpl w:val="D626FF66"/>
    <w:lvl w:ilvl="0" w:tplc="71D2E466">
      <w:start w:val="18"/>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09010E"/>
    <w:multiLevelType w:val="hybridMultilevel"/>
    <w:tmpl w:val="00F638D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26080"/>
    <w:multiLevelType w:val="hybridMultilevel"/>
    <w:tmpl w:val="77D24DD0"/>
    <w:lvl w:ilvl="0" w:tplc="12DA73A2">
      <w:start w:val="18"/>
      <w:numFmt w:val="decimal"/>
      <w:lvlText w:val="%1."/>
      <w:lvlJc w:val="left"/>
      <w:pPr>
        <w:tabs>
          <w:tab w:val="num" w:pos="780"/>
        </w:tabs>
        <w:ind w:left="780" w:hanging="4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43022A7"/>
    <w:multiLevelType w:val="hybridMultilevel"/>
    <w:tmpl w:val="B5D2C640"/>
    <w:lvl w:ilvl="0" w:tplc="62640FB4">
      <w:start w:val="18"/>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B6603F"/>
    <w:multiLevelType w:val="hybridMultilevel"/>
    <w:tmpl w:val="3684EF7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9375E"/>
    <w:multiLevelType w:val="hybridMultilevel"/>
    <w:tmpl w:val="FB9898F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AF546F"/>
    <w:multiLevelType w:val="hybridMultilevel"/>
    <w:tmpl w:val="09AA145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7F4249F5"/>
    <w:multiLevelType w:val="hybridMultilevel"/>
    <w:tmpl w:val="23E6BA84"/>
    <w:lvl w:ilvl="0" w:tplc="B246D634">
      <w:start w:val="18"/>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6"/>
  </w:num>
  <w:num w:numId="4">
    <w:abstractNumId w:val="6"/>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6"/>
  </w:num>
  <w:num w:numId="15">
    <w:abstractNumId w:val="6"/>
  </w:num>
  <w:num w:numId="16">
    <w:abstractNumId w:val="6"/>
  </w:num>
  <w:num w:numId="17">
    <w:abstractNumId w:val="0"/>
  </w:num>
  <w:num w:numId="18">
    <w:abstractNumId w:val="9"/>
  </w:num>
  <w:num w:numId="19">
    <w:abstractNumId w:val="4"/>
  </w:num>
  <w:num w:numId="20">
    <w:abstractNumId w:val="5"/>
  </w:num>
  <w:num w:numId="21">
    <w:abstractNumId w:val="7"/>
  </w:num>
  <w:num w:numId="22">
    <w:abstractNumId w:val="3"/>
  </w:num>
  <w:num w:numId="23">
    <w:abstractNumId w:val="8"/>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F41"/>
    <w:rsid w:val="00003EC1"/>
    <w:rsid w:val="00017679"/>
    <w:rsid w:val="00023230"/>
    <w:rsid w:val="00024CA4"/>
    <w:rsid w:val="00037309"/>
    <w:rsid w:val="00041B7C"/>
    <w:rsid w:val="00072442"/>
    <w:rsid w:val="00085B40"/>
    <w:rsid w:val="000C2E64"/>
    <w:rsid w:val="000C6853"/>
    <w:rsid w:val="000E22B1"/>
    <w:rsid w:val="000F78DF"/>
    <w:rsid w:val="001156B1"/>
    <w:rsid w:val="0012016A"/>
    <w:rsid w:val="0013603F"/>
    <w:rsid w:val="00164B80"/>
    <w:rsid w:val="00196ED5"/>
    <w:rsid w:val="001C7AD9"/>
    <w:rsid w:val="001E08A4"/>
    <w:rsid w:val="001E4C45"/>
    <w:rsid w:val="00273549"/>
    <w:rsid w:val="002F585B"/>
    <w:rsid w:val="003015C5"/>
    <w:rsid w:val="003357FB"/>
    <w:rsid w:val="003647FA"/>
    <w:rsid w:val="00365152"/>
    <w:rsid w:val="003773EB"/>
    <w:rsid w:val="003B5736"/>
    <w:rsid w:val="003E46E0"/>
    <w:rsid w:val="0040770E"/>
    <w:rsid w:val="0040799A"/>
    <w:rsid w:val="004160F2"/>
    <w:rsid w:val="00416F80"/>
    <w:rsid w:val="00424B82"/>
    <w:rsid w:val="0046254C"/>
    <w:rsid w:val="0047146F"/>
    <w:rsid w:val="00474C49"/>
    <w:rsid w:val="00487C60"/>
    <w:rsid w:val="004C4563"/>
    <w:rsid w:val="00504A38"/>
    <w:rsid w:val="0051757F"/>
    <w:rsid w:val="00521104"/>
    <w:rsid w:val="00530CF2"/>
    <w:rsid w:val="005B1F36"/>
    <w:rsid w:val="005B24F0"/>
    <w:rsid w:val="0060189D"/>
    <w:rsid w:val="00616448"/>
    <w:rsid w:val="006276BA"/>
    <w:rsid w:val="00663D56"/>
    <w:rsid w:val="00695347"/>
    <w:rsid w:val="006C6A26"/>
    <w:rsid w:val="00734A21"/>
    <w:rsid w:val="00776F3F"/>
    <w:rsid w:val="007B47A5"/>
    <w:rsid w:val="007C190E"/>
    <w:rsid w:val="00832151"/>
    <w:rsid w:val="00855EC4"/>
    <w:rsid w:val="00881DA4"/>
    <w:rsid w:val="008C03CA"/>
    <w:rsid w:val="008F29AE"/>
    <w:rsid w:val="00912625"/>
    <w:rsid w:val="009677FC"/>
    <w:rsid w:val="00971A97"/>
    <w:rsid w:val="0097798E"/>
    <w:rsid w:val="00A01AEF"/>
    <w:rsid w:val="00A06AD2"/>
    <w:rsid w:val="00A11AB1"/>
    <w:rsid w:val="00A25421"/>
    <w:rsid w:val="00A5563F"/>
    <w:rsid w:val="00A63D4A"/>
    <w:rsid w:val="00A65C92"/>
    <w:rsid w:val="00A942CA"/>
    <w:rsid w:val="00B01930"/>
    <w:rsid w:val="00B04556"/>
    <w:rsid w:val="00B30F41"/>
    <w:rsid w:val="00B35A8C"/>
    <w:rsid w:val="00B570EC"/>
    <w:rsid w:val="00B614D8"/>
    <w:rsid w:val="00B73B35"/>
    <w:rsid w:val="00B83C32"/>
    <w:rsid w:val="00BD73B7"/>
    <w:rsid w:val="00BE44AF"/>
    <w:rsid w:val="00BF3FDC"/>
    <w:rsid w:val="00BF7022"/>
    <w:rsid w:val="00C2070C"/>
    <w:rsid w:val="00C3599A"/>
    <w:rsid w:val="00C37870"/>
    <w:rsid w:val="00C56863"/>
    <w:rsid w:val="00C7002B"/>
    <w:rsid w:val="00C9030B"/>
    <w:rsid w:val="00C93727"/>
    <w:rsid w:val="00CB153A"/>
    <w:rsid w:val="00CF6939"/>
    <w:rsid w:val="00CF6F08"/>
    <w:rsid w:val="00CF779D"/>
    <w:rsid w:val="00D0478B"/>
    <w:rsid w:val="00D23C0F"/>
    <w:rsid w:val="00D66D03"/>
    <w:rsid w:val="00D775EC"/>
    <w:rsid w:val="00D956B6"/>
    <w:rsid w:val="00DA1189"/>
    <w:rsid w:val="00DF6749"/>
    <w:rsid w:val="00E201C0"/>
    <w:rsid w:val="00E449CA"/>
    <w:rsid w:val="00E51FC3"/>
    <w:rsid w:val="00E94E79"/>
    <w:rsid w:val="00EA11F5"/>
    <w:rsid w:val="00EB69A5"/>
    <w:rsid w:val="00EC3166"/>
    <w:rsid w:val="00ED5646"/>
    <w:rsid w:val="00F10AF7"/>
    <w:rsid w:val="00F202BA"/>
    <w:rsid w:val="00F830CA"/>
    <w:rsid w:val="00FB4FDF"/>
    <w:rsid w:val="00FE7918"/>
    <w:rsid w:val="00FE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0880C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9030B"/>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customStyle="1" w:styleId="a">
    <w:name w:val="_"/>
  </w:style>
  <w:style w:type="paragraph" w:styleId="Title">
    <w:name w:val="Title"/>
    <w:basedOn w:val="Normal"/>
    <w:qFormat/>
    <w:pPr>
      <w:tabs>
        <w:tab w:val="center" w:pos="4680"/>
      </w:tabs>
      <w:jc w:val="center"/>
    </w:pPr>
    <w:rPr>
      <w:b/>
      <w:bCs/>
    </w:rPr>
  </w:style>
  <w:style w:type="paragraph" w:styleId="BodyText">
    <w:name w:val="Body Text"/>
    <w:basedOn w:val="Normal"/>
    <w:pPr>
      <w:tabs>
        <w:tab w:val="left" w:pos="-1440"/>
      </w:tabs>
    </w:pPr>
    <w:rPr>
      <w:b/>
      <w:bCs/>
      <w:i/>
      <w:iCs/>
    </w:rPr>
  </w:style>
  <w:style w:type="paragraph" w:styleId="BodyTextIndent">
    <w:name w:val="Body Text Indent"/>
    <w:basedOn w:val="Normal"/>
    <w:pPr>
      <w:tabs>
        <w:tab w:val="left" w:pos="-1440"/>
      </w:tabs>
      <w:ind w:left="720" w:hanging="720"/>
    </w:pPr>
    <w:rPr>
      <w:b/>
      <w:bCs/>
      <w:i/>
      <w:i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documentbody1">
    <w:name w:val="documentbody1"/>
    <w:rsid w:val="00F830CA"/>
    <w:rPr>
      <w:rFonts w:ascii="Verdana" w:hAnsi="Verdana" w:hint="default"/>
      <w:sz w:val="19"/>
      <w:szCs w:val="19"/>
    </w:rPr>
  </w:style>
  <w:style w:type="paragraph" w:styleId="BalloonText">
    <w:name w:val="Balloon Text"/>
    <w:basedOn w:val="Normal"/>
    <w:semiHidden/>
    <w:rsid w:val="007C190E"/>
    <w:rPr>
      <w:rFonts w:ascii="Tahoma" w:hAnsi="Tahoma" w:cs="Tahoma"/>
      <w:sz w:val="16"/>
      <w:szCs w:val="16"/>
    </w:rPr>
  </w:style>
  <w:style w:type="paragraph" w:styleId="Header">
    <w:name w:val="header"/>
    <w:basedOn w:val="Normal"/>
    <w:link w:val="HeaderChar"/>
    <w:rsid w:val="005B24F0"/>
    <w:pPr>
      <w:tabs>
        <w:tab w:val="center" w:pos="4680"/>
        <w:tab w:val="right" w:pos="9360"/>
      </w:tabs>
    </w:pPr>
  </w:style>
  <w:style w:type="character" w:customStyle="1" w:styleId="HeaderChar">
    <w:name w:val="Header Char"/>
    <w:link w:val="Header"/>
    <w:rsid w:val="005B24F0"/>
    <w:rPr>
      <w:sz w:val="24"/>
    </w:rPr>
  </w:style>
  <w:style w:type="character" w:customStyle="1" w:styleId="FootnoteTextChar">
    <w:name w:val="Footnote Text Char"/>
    <w:link w:val="FootnoteText"/>
    <w:uiPriority w:val="99"/>
    <w:semiHidden/>
    <w:rsid w:val="0040770E"/>
  </w:style>
  <w:style w:type="character" w:styleId="CommentReference">
    <w:name w:val="annotation reference"/>
    <w:rsid w:val="00B04556"/>
    <w:rPr>
      <w:sz w:val="16"/>
      <w:szCs w:val="16"/>
    </w:rPr>
  </w:style>
  <w:style w:type="paragraph" w:styleId="CommentText">
    <w:name w:val="annotation text"/>
    <w:basedOn w:val="Normal"/>
    <w:link w:val="CommentTextChar"/>
    <w:rsid w:val="00B04556"/>
    <w:rPr>
      <w:sz w:val="20"/>
    </w:rPr>
  </w:style>
  <w:style w:type="character" w:customStyle="1" w:styleId="CommentTextChar">
    <w:name w:val="Comment Text Char"/>
    <w:basedOn w:val="DefaultParagraphFont"/>
    <w:link w:val="CommentText"/>
    <w:rsid w:val="00B04556"/>
  </w:style>
  <w:style w:type="paragraph" w:styleId="CommentSubject">
    <w:name w:val="annotation subject"/>
    <w:basedOn w:val="CommentText"/>
    <w:next w:val="CommentText"/>
    <w:link w:val="CommentSubjectChar"/>
    <w:rsid w:val="00B04556"/>
    <w:rPr>
      <w:b/>
      <w:bCs/>
    </w:rPr>
  </w:style>
  <w:style w:type="character" w:customStyle="1" w:styleId="CommentSubjectChar">
    <w:name w:val="Comment Subject Char"/>
    <w:link w:val="CommentSubject"/>
    <w:rsid w:val="00B04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0378">
      <w:bodyDiv w:val="1"/>
      <w:marLeft w:val="0"/>
      <w:marRight w:val="0"/>
      <w:marTop w:val="0"/>
      <w:marBottom w:val="0"/>
      <w:divBdr>
        <w:top w:val="none" w:sz="0" w:space="0" w:color="auto"/>
        <w:left w:val="none" w:sz="0" w:space="0" w:color="auto"/>
        <w:bottom w:val="none" w:sz="0" w:space="0" w:color="auto"/>
        <w:right w:val="none" w:sz="0" w:space="0" w:color="auto"/>
      </w:divBdr>
    </w:div>
    <w:div w:id="567767638">
      <w:bodyDiv w:val="1"/>
      <w:marLeft w:val="0"/>
      <w:marRight w:val="0"/>
      <w:marTop w:val="0"/>
      <w:marBottom w:val="0"/>
      <w:divBdr>
        <w:top w:val="none" w:sz="0" w:space="0" w:color="auto"/>
        <w:left w:val="none" w:sz="0" w:space="0" w:color="auto"/>
        <w:bottom w:val="none" w:sz="0" w:space="0" w:color="auto"/>
        <w:right w:val="none" w:sz="0" w:space="0" w:color="auto"/>
      </w:divBdr>
    </w:div>
    <w:div w:id="785808704">
      <w:bodyDiv w:val="1"/>
      <w:marLeft w:val="0"/>
      <w:marRight w:val="0"/>
      <w:marTop w:val="0"/>
      <w:marBottom w:val="0"/>
      <w:divBdr>
        <w:top w:val="none" w:sz="0" w:space="0" w:color="auto"/>
        <w:left w:val="none" w:sz="0" w:space="0" w:color="auto"/>
        <w:bottom w:val="none" w:sz="0" w:space="0" w:color="auto"/>
        <w:right w:val="none" w:sz="0" w:space="0" w:color="auto"/>
      </w:divBdr>
    </w:div>
    <w:div w:id="8165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2021-01-07T16:47:00Z</dcterms:created>
  <dcterms:modified xsi:type="dcterms:W3CDTF">2021-01-07T16:47:00Z</dcterms:modified>
</cp:coreProperties>
</file>