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77108" w:rsidR="00AE69EF" w:rsidP="00FE5090" w:rsidRDefault="00AE69EF">
      <w:pPr>
        <w:pStyle w:val="Title"/>
        <w:widowControl w:val="0"/>
        <w:tabs>
          <w:tab w:val="left" w:pos="360"/>
        </w:tabs>
        <w:rPr>
          <w:rFonts w:ascii="Arial" w:hAnsi="Arial" w:cs="Arial"/>
          <w:b/>
          <w:bCs/>
          <w:szCs w:val="24"/>
        </w:rPr>
      </w:pPr>
      <w:r w:rsidRPr="00C77108">
        <w:rPr>
          <w:rFonts w:ascii="Arial" w:hAnsi="Arial" w:cs="Arial"/>
          <w:b/>
          <w:bCs/>
          <w:szCs w:val="24"/>
        </w:rPr>
        <w:t xml:space="preserve">Supporting Statement </w:t>
      </w:r>
    </w:p>
    <w:p w:rsidRPr="00C77108" w:rsidR="00AE69EF" w:rsidP="00FE5090" w:rsidRDefault="00AE69EF">
      <w:pPr>
        <w:pStyle w:val="Title"/>
        <w:widowControl w:val="0"/>
        <w:tabs>
          <w:tab w:val="left" w:pos="360"/>
        </w:tabs>
        <w:rPr>
          <w:rFonts w:ascii="Arial" w:hAnsi="Arial" w:cs="Arial"/>
          <w:b/>
          <w:bCs/>
          <w:szCs w:val="24"/>
        </w:rPr>
      </w:pPr>
      <w:r w:rsidRPr="00C77108">
        <w:rPr>
          <w:rFonts w:ascii="Arial" w:hAnsi="Arial" w:cs="Arial"/>
          <w:b/>
          <w:bCs/>
          <w:szCs w:val="24"/>
        </w:rPr>
        <w:t>for</w:t>
      </w:r>
    </w:p>
    <w:p w:rsidRPr="00C77108" w:rsidR="00AE69EF" w:rsidP="00FE5090" w:rsidRDefault="00AE69EF">
      <w:pPr>
        <w:pStyle w:val="Title"/>
        <w:widowControl w:val="0"/>
        <w:tabs>
          <w:tab w:val="left" w:pos="360"/>
        </w:tabs>
        <w:rPr>
          <w:rFonts w:ascii="Arial" w:hAnsi="Arial" w:cs="Arial"/>
          <w:b/>
          <w:bCs/>
          <w:szCs w:val="24"/>
        </w:rPr>
      </w:pPr>
      <w:r w:rsidRPr="00C77108">
        <w:rPr>
          <w:rFonts w:ascii="Arial" w:hAnsi="Arial" w:cs="Arial"/>
          <w:b/>
          <w:bCs/>
          <w:szCs w:val="24"/>
        </w:rPr>
        <w:t xml:space="preserve">Sewage and Graywater Discharge Records for Certain </w:t>
      </w:r>
    </w:p>
    <w:p w:rsidRPr="00C77108" w:rsidR="00AE69EF" w:rsidP="00FE5090" w:rsidRDefault="00AE69EF">
      <w:pPr>
        <w:pStyle w:val="Title"/>
        <w:widowControl w:val="0"/>
        <w:tabs>
          <w:tab w:val="left" w:pos="360"/>
        </w:tabs>
        <w:rPr>
          <w:rFonts w:ascii="Arial" w:hAnsi="Arial" w:cs="Arial"/>
          <w:b/>
          <w:bCs/>
          <w:szCs w:val="24"/>
        </w:rPr>
      </w:pPr>
      <w:r w:rsidRPr="00C77108">
        <w:rPr>
          <w:rFonts w:ascii="Arial" w:hAnsi="Arial" w:cs="Arial"/>
          <w:b/>
          <w:bCs/>
          <w:szCs w:val="24"/>
        </w:rPr>
        <w:t>Cruise Vessels Operating on Alaskan Waters</w:t>
      </w:r>
    </w:p>
    <w:p w:rsidRPr="00FE5090" w:rsidR="00AE69EF" w:rsidP="00FE5090" w:rsidRDefault="00AE69EF">
      <w:pPr>
        <w:widowControl w:val="0"/>
        <w:tabs>
          <w:tab w:val="left" w:pos="360"/>
        </w:tabs>
        <w:jc w:val="center"/>
        <w:rPr>
          <w:rFonts w:ascii="Arial" w:hAnsi="Arial" w:cs="Arial"/>
          <w:sz w:val="16"/>
          <w:szCs w:val="16"/>
        </w:rPr>
      </w:pPr>
    </w:p>
    <w:p w:rsidRPr="00FE5090" w:rsidR="00C77108" w:rsidP="00FE5090" w:rsidRDefault="00C77108">
      <w:pPr>
        <w:widowControl w:val="0"/>
        <w:jc w:val="center"/>
        <w:rPr>
          <w:rFonts w:ascii="Arial" w:hAnsi="Arial" w:cs="Arial"/>
        </w:rPr>
      </w:pPr>
      <w:r w:rsidRPr="00FE5090">
        <w:rPr>
          <w:rFonts w:ascii="Arial" w:hAnsi="Arial" w:cs="Arial"/>
        </w:rPr>
        <w:t xml:space="preserve">OMB No.: </w:t>
      </w:r>
      <w:r w:rsidRPr="00FE5090" w:rsidR="00FE5090">
        <w:rPr>
          <w:rFonts w:ascii="Arial" w:hAnsi="Arial" w:cs="Arial"/>
        </w:rPr>
        <w:t xml:space="preserve"> </w:t>
      </w:r>
      <w:r w:rsidRPr="00FE5090">
        <w:rPr>
          <w:rFonts w:ascii="Arial" w:hAnsi="Arial" w:cs="Arial"/>
        </w:rPr>
        <w:t>1625-0092</w:t>
      </w:r>
    </w:p>
    <w:p w:rsidRPr="00FE5090" w:rsidR="00C77108" w:rsidP="00FE5090" w:rsidRDefault="00C77108">
      <w:pPr>
        <w:widowControl w:val="0"/>
        <w:tabs>
          <w:tab w:val="left" w:pos="360"/>
        </w:tabs>
        <w:jc w:val="center"/>
        <w:rPr>
          <w:rFonts w:ascii="Arial" w:hAnsi="Arial" w:cs="Arial"/>
        </w:rPr>
      </w:pPr>
      <w:r w:rsidRPr="00FE5090">
        <w:rPr>
          <w:rFonts w:ascii="Arial" w:hAnsi="Arial" w:cs="Arial"/>
        </w:rPr>
        <w:t xml:space="preserve">COLLECTION INSTRUMENTS:  </w:t>
      </w:r>
      <w:r w:rsidRPr="00FE5090" w:rsidR="00450A67">
        <w:rPr>
          <w:rFonts w:ascii="Arial" w:hAnsi="Arial" w:cs="Arial"/>
        </w:rPr>
        <w:t>Instruction</w:t>
      </w:r>
    </w:p>
    <w:p w:rsidRPr="00C77108" w:rsidR="00AE69EF" w:rsidP="00FE5090" w:rsidRDefault="00AE69EF">
      <w:pPr>
        <w:widowControl w:val="0"/>
        <w:tabs>
          <w:tab w:val="left" w:pos="360"/>
        </w:tabs>
        <w:jc w:val="both"/>
        <w:rPr>
          <w:rFonts w:ascii="Arial" w:hAnsi="Arial" w:cs="Arial"/>
          <w:bCs/>
        </w:rPr>
      </w:pPr>
      <w:r w:rsidRPr="00C77108">
        <w:rPr>
          <w:rFonts w:ascii="Arial" w:hAnsi="Arial" w:cs="Arial"/>
          <w:b/>
          <w:bCs/>
        </w:rPr>
        <w:t>A.  Justification</w:t>
      </w:r>
      <w:r w:rsidRPr="00C77108" w:rsidR="00C77108">
        <w:rPr>
          <w:rFonts w:ascii="Arial" w:hAnsi="Arial" w:cs="Arial"/>
          <w:bCs/>
        </w:rPr>
        <w:t xml:space="preserve">  </w:t>
      </w:r>
    </w:p>
    <w:p w:rsidRPr="00C77108" w:rsidR="00AE69EF" w:rsidP="00FE5090" w:rsidRDefault="00AE69EF">
      <w:pPr>
        <w:widowControl w:val="0"/>
        <w:tabs>
          <w:tab w:val="left" w:pos="360"/>
        </w:tabs>
        <w:jc w:val="both"/>
        <w:rPr>
          <w:rFonts w:ascii="Arial" w:hAnsi="Arial" w:cs="Arial"/>
        </w:rPr>
      </w:pPr>
    </w:p>
    <w:p w:rsidRPr="00C77108" w:rsidR="00AE69EF" w:rsidP="00FE5090" w:rsidRDefault="00AE69EF">
      <w:pPr>
        <w:widowControl w:val="0"/>
        <w:tabs>
          <w:tab w:val="left" w:pos="360"/>
        </w:tabs>
        <w:rPr>
          <w:rFonts w:ascii="Arial" w:hAnsi="Arial" w:cs="Arial"/>
        </w:rPr>
      </w:pPr>
      <w:r w:rsidRPr="00C77108">
        <w:rPr>
          <w:rFonts w:ascii="Arial" w:hAnsi="Arial" w:cs="Arial"/>
        </w:rPr>
        <w:t xml:space="preserve">1.  </w:t>
      </w:r>
      <w:r w:rsidRPr="00C77108">
        <w:rPr>
          <w:rFonts w:ascii="Arial" w:hAnsi="Arial" w:cs="Arial"/>
          <w:u w:val="single"/>
        </w:rPr>
        <w:t>Circumstances that make the collection of information necessary</w:t>
      </w:r>
      <w:r w:rsidRPr="00C77108">
        <w:rPr>
          <w:rFonts w:ascii="Arial" w:hAnsi="Arial" w:cs="Arial"/>
        </w:rPr>
        <w:t>.</w:t>
      </w:r>
      <w:r w:rsidR="00C77108">
        <w:rPr>
          <w:rFonts w:ascii="Arial" w:hAnsi="Arial" w:cs="Arial"/>
        </w:rPr>
        <w:t xml:space="preserve">  </w:t>
      </w:r>
    </w:p>
    <w:p w:rsidRPr="00C77108" w:rsidR="00AE69EF" w:rsidP="00FE5090" w:rsidRDefault="00AE69EF">
      <w:pPr>
        <w:widowControl w:val="0"/>
        <w:tabs>
          <w:tab w:val="left" w:pos="360"/>
        </w:tabs>
        <w:jc w:val="both"/>
        <w:rPr>
          <w:rFonts w:ascii="Arial" w:hAnsi="Arial" w:cs="Arial"/>
        </w:rPr>
      </w:pPr>
    </w:p>
    <w:p w:rsidRPr="00C77108" w:rsidR="00AE69EF" w:rsidP="00FE5090" w:rsidRDefault="00AE69EF">
      <w:pPr>
        <w:widowControl w:val="0"/>
        <w:tabs>
          <w:tab w:val="left" w:pos="270"/>
          <w:tab w:val="left" w:pos="360"/>
        </w:tabs>
        <w:rPr>
          <w:rFonts w:ascii="Arial" w:hAnsi="Arial" w:cs="Arial"/>
        </w:rPr>
      </w:pPr>
      <w:r w:rsidRPr="00C77108">
        <w:rPr>
          <w:rFonts w:ascii="Arial" w:hAnsi="Arial" w:cs="Arial"/>
        </w:rPr>
        <w:t>This information collection is needed to support Federal regulations that cover the discharges of graywater into the Alaskan navigable waterway.  These rules</w:t>
      </w:r>
      <w:r w:rsidR="00175EA4">
        <w:rPr>
          <w:rStyle w:val="FootnoteReference"/>
          <w:rFonts w:ascii="Arial" w:hAnsi="Arial" w:cs="Arial"/>
        </w:rPr>
        <w:footnoteReference w:id="1"/>
      </w:r>
      <w:r w:rsidRPr="00C77108">
        <w:rPr>
          <w:rFonts w:ascii="Arial" w:hAnsi="Arial" w:cs="Arial"/>
        </w:rPr>
        <w:t xml:space="preserve"> are in response to Title XIV of Public Law 106-554 (passed on December 21, 2000), directing the Secretary to develop regulations incorporating an inspection regime into the commercial vessel examination program.  This inspection regime verifies that cruise vessels transiting the applicable waters of Alaska are in full compliance with all treated and untreated sewage and graywater discharge laws and regulations.  Collection of the information via the </w:t>
      </w:r>
      <w:r w:rsidRPr="00C77108" w:rsidR="00FD2336">
        <w:rPr>
          <w:rFonts w:ascii="Arial" w:hAnsi="Arial" w:cs="Arial"/>
        </w:rPr>
        <w:t xml:space="preserve">certification of participation under </w:t>
      </w:r>
      <w:r w:rsidRPr="00C77108">
        <w:rPr>
          <w:rFonts w:ascii="Arial" w:hAnsi="Arial" w:cs="Arial"/>
        </w:rPr>
        <w:t xml:space="preserve">Quality Assurance/Quality Plan (QA/QCP), Vessel Specific Sampling Plan (VSSP), the Sewage &amp; Graywater Discharge Record Book, and </w:t>
      </w:r>
      <w:r w:rsidRPr="00C77108" w:rsidR="00FD2336">
        <w:rPr>
          <w:rFonts w:ascii="Arial" w:hAnsi="Arial" w:cs="Arial"/>
        </w:rPr>
        <w:t>submission of a statement certifying compliance with the standards</w:t>
      </w:r>
      <w:r w:rsidRPr="00C77108">
        <w:rPr>
          <w:rFonts w:ascii="Arial" w:hAnsi="Arial" w:cs="Arial"/>
        </w:rPr>
        <w:t xml:space="preserve"> are necessary for two important reasons: (1) to determine compliance with the applicable laws and regulations, and (2) to create a historical record to prevent patterns that circumvent or nullify consistent compliance with the law and for the proper application of enforcement provisions of the applicable law and regulations.</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E69EF">
      <w:pPr>
        <w:widowControl w:val="0"/>
        <w:tabs>
          <w:tab w:val="left" w:pos="270"/>
          <w:tab w:val="left" w:pos="360"/>
        </w:tabs>
        <w:rPr>
          <w:rFonts w:ascii="Arial" w:hAnsi="Arial" w:cs="Arial"/>
        </w:rPr>
      </w:pPr>
      <w:r w:rsidRPr="00C77108">
        <w:rPr>
          <w:rFonts w:ascii="Arial" w:hAnsi="Arial" w:cs="Arial"/>
        </w:rPr>
        <w:t xml:space="preserve">Approximately 1,000,000 cruise vessel passengers and crew transited Southeast Alaska waters in the </w:t>
      </w:r>
      <w:r w:rsidRPr="00C77108" w:rsidR="001E43CE">
        <w:rPr>
          <w:rFonts w:ascii="Arial" w:hAnsi="Arial" w:cs="Arial"/>
        </w:rPr>
        <w:t xml:space="preserve">summer </w:t>
      </w:r>
      <w:r w:rsidRPr="00C77108">
        <w:rPr>
          <w:rFonts w:ascii="Arial" w:hAnsi="Arial" w:cs="Arial"/>
        </w:rPr>
        <w:t>of 2001, where a resident population of approximately 60,000 exists.  Based on high levels of fecal coliform and total suspended solids found in graywater and treated sewage as a result of the voluntary testing conducted during the 2000 cruise vessel season, the Coast Guard has determined that a sampling and reporting regime is necessary to allow timely detection and corrective action.</w:t>
      </w:r>
    </w:p>
    <w:p w:rsidRPr="00C77108" w:rsidR="00AE69EF" w:rsidP="00FE5090" w:rsidRDefault="00AE69EF">
      <w:pPr>
        <w:widowControl w:val="0"/>
        <w:tabs>
          <w:tab w:val="left" w:pos="360"/>
        </w:tabs>
        <w:rPr>
          <w:rFonts w:ascii="Arial" w:hAnsi="Arial" w:cs="Arial"/>
        </w:rPr>
      </w:pPr>
    </w:p>
    <w:p w:rsidRPr="00C77108" w:rsidR="00AE69EF" w:rsidP="00FE5090" w:rsidRDefault="00AE69EF">
      <w:pPr>
        <w:pStyle w:val="BodyText"/>
        <w:widowControl w:val="0"/>
        <w:tabs>
          <w:tab w:val="left" w:pos="360"/>
        </w:tabs>
        <w:jc w:val="left"/>
        <w:rPr>
          <w:rFonts w:ascii="Arial" w:hAnsi="Arial" w:cs="Arial"/>
        </w:rPr>
      </w:pPr>
      <w:r w:rsidRPr="00C77108">
        <w:rPr>
          <w:rFonts w:ascii="Arial" w:hAnsi="Arial" w:cs="Arial"/>
        </w:rPr>
        <w:t xml:space="preserve">2.  </w:t>
      </w:r>
      <w:r w:rsidRPr="00C77108" w:rsidR="00C77108">
        <w:rPr>
          <w:rFonts w:ascii="Arial" w:hAnsi="Arial" w:cs="Arial"/>
          <w:u w:val="single"/>
        </w:rPr>
        <w:t>Purposes of the information collection</w:t>
      </w:r>
      <w:r w:rsidRPr="00C77108">
        <w:rPr>
          <w:rFonts w:ascii="Arial" w:hAnsi="Arial" w:cs="Arial"/>
        </w:rPr>
        <w:t>.</w:t>
      </w:r>
      <w:r w:rsidR="00C77108">
        <w:rPr>
          <w:rFonts w:ascii="Arial" w:hAnsi="Arial" w:cs="Arial"/>
        </w:rPr>
        <w:t xml:space="preserve">  </w:t>
      </w:r>
    </w:p>
    <w:p w:rsidRPr="00C77108" w:rsidR="00AE69EF" w:rsidP="00FE5090" w:rsidRDefault="00AE69EF">
      <w:pPr>
        <w:pStyle w:val="BodyText"/>
        <w:widowControl w:val="0"/>
        <w:tabs>
          <w:tab w:val="left" w:pos="360"/>
        </w:tabs>
        <w:jc w:val="left"/>
        <w:rPr>
          <w:rFonts w:ascii="Arial" w:hAnsi="Arial" w:cs="Arial"/>
        </w:rPr>
      </w:pPr>
    </w:p>
    <w:p w:rsidRPr="00C77108" w:rsidR="00AE69EF" w:rsidP="00FE5090" w:rsidRDefault="00AE69EF">
      <w:pPr>
        <w:pStyle w:val="BodyText"/>
        <w:widowControl w:val="0"/>
        <w:tabs>
          <w:tab w:val="left" w:pos="360"/>
        </w:tabs>
        <w:jc w:val="left"/>
        <w:rPr>
          <w:rFonts w:ascii="Arial" w:hAnsi="Arial" w:cs="Arial"/>
        </w:rPr>
      </w:pPr>
      <w:r w:rsidRPr="00C77108">
        <w:rPr>
          <w:rFonts w:ascii="Arial" w:hAnsi="Arial" w:cs="Arial"/>
        </w:rPr>
        <w:t>The sampling protocol with a VSSP describes where samples are drawn on board cruise vessels, how those samples are transported to the lab, how the lab tests and analyzes the samples, the quality review applied to the test results, and how the information will be reported to the Coast Guard.  Documentation of sewage and graywater discharges from cruise ships operating within certain waters of Alaska in the form of a Sewage and Graywater Discharge Record Book and reports of sewage and graywater discharge test results creates a reference for Coast Guard personnel to determine compliance with Public Law 106-554 and the regulations promulgated there under.</w:t>
      </w:r>
    </w:p>
    <w:p w:rsidRPr="00C77108" w:rsidR="00AE69EF" w:rsidP="00FE5090" w:rsidRDefault="00AE69EF">
      <w:pPr>
        <w:pStyle w:val="BodyText"/>
        <w:widowControl w:val="0"/>
        <w:tabs>
          <w:tab w:val="left" w:pos="360"/>
        </w:tabs>
        <w:jc w:val="left"/>
        <w:rPr>
          <w:rFonts w:ascii="Arial" w:hAnsi="Arial" w:cs="Arial"/>
        </w:rPr>
      </w:pPr>
    </w:p>
    <w:p w:rsidRPr="00C77108" w:rsidR="00AE69EF" w:rsidP="00FE5090" w:rsidRDefault="00AE69EF">
      <w:pPr>
        <w:pStyle w:val="BodyText"/>
        <w:widowControl w:val="0"/>
        <w:tabs>
          <w:tab w:val="left" w:pos="360"/>
        </w:tabs>
        <w:jc w:val="left"/>
        <w:rPr>
          <w:rFonts w:ascii="Arial" w:hAnsi="Arial" w:cs="Arial"/>
        </w:rPr>
      </w:pPr>
      <w:r w:rsidRPr="00C77108">
        <w:rPr>
          <w:rFonts w:ascii="Arial" w:hAnsi="Arial" w:cs="Arial"/>
        </w:rPr>
        <w:t xml:space="preserve">3.  </w:t>
      </w:r>
      <w:r w:rsidRPr="00C77108">
        <w:rPr>
          <w:rFonts w:ascii="Arial" w:hAnsi="Arial" w:cs="Arial"/>
          <w:u w:val="single"/>
        </w:rPr>
        <w:t>Consideration of the use of improved information technology</w:t>
      </w:r>
      <w:r w:rsidRPr="00C77108">
        <w:rPr>
          <w:rFonts w:ascii="Arial" w:hAnsi="Arial" w:cs="Arial"/>
        </w:rPr>
        <w:t>.</w:t>
      </w:r>
      <w:r w:rsidR="00C77108">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E69EF">
      <w:pPr>
        <w:widowControl w:val="0"/>
        <w:tabs>
          <w:tab w:val="left" w:pos="270"/>
          <w:tab w:val="left" w:pos="360"/>
        </w:tabs>
        <w:rPr>
          <w:rFonts w:ascii="Arial" w:hAnsi="Arial" w:cs="Arial"/>
        </w:rPr>
      </w:pPr>
      <w:r w:rsidRPr="00C77108">
        <w:rPr>
          <w:rFonts w:ascii="Arial" w:hAnsi="Arial" w:cs="Arial"/>
        </w:rPr>
        <w:t xml:space="preserve">In consideration of efficiencies of information technology, the sampling protocol with a vessel specific sampling plan </w:t>
      </w:r>
      <w:r w:rsidRPr="00C77108" w:rsidR="00FD2336">
        <w:rPr>
          <w:rFonts w:ascii="Arial" w:hAnsi="Arial" w:cs="Arial"/>
        </w:rPr>
        <w:t>and certification statements</w:t>
      </w:r>
      <w:r w:rsidRPr="00C77108">
        <w:rPr>
          <w:rFonts w:ascii="Arial" w:hAnsi="Arial" w:cs="Arial"/>
        </w:rPr>
        <w:t xml:space="preserve"> can be manually sent or submitted in an electronic format that is readable by both the Coast Guard and Alaska Department of Environmental Conservation’s information data systems.  The Sewage and Graywater Discharge Record Book is</w:t>
      </w:r>
      <w:r w:rsidRPr="00C77108" w:rsidR="00FD2336">
        <w:rPr>
          <w:rFonts w:ascii="Arial" w:hAnsi="Arial" w:cs="Arial"/>
        </w:rPr>
        <w:t xml:space="preserve"> typically</w:t>
      </w:r>
      <w:r w:rsidRPr="00C77108">
        <w:rPr>
          <w:rFonts w:ascii="Arial" w:hAnsi="Arial" w:cs="Arial"/>
        </w:rPr>
        <w:t xml:space="preserve"> a manual system that requires various entries and signatures, which will be maintained on board each cruise vessel and available at all times the cruise vessel is operating within the jurisdiction of the United States by the Coast Guard.  The Sewage and Graywater Discharge Record Book will not be required to be submitted to the Coast Guard, however, the Coast Guard may </w:t>
      </w:r>
      <w:r w:rsidRPr="00C77108" w:rsidR="00FD2336">
        <w:rPr>
          <w:rFonts w:ascii="Arial" w:hAnsi="Arial" w:cs="Arial"/>
        </w:rPr>
        <w:t xml:space="preserve">review and </w:t>
      </w:r>
      <w:r w:rsidRPr="00C77108">
        <w:rPr>
          <w:rFonts w:ascii="Arial" w:hAnsi="Arial" w:cs="Arial"/>
        </w:rPr>
        <w:t>make copies of entries into the record during a visit to the vessel.  These records will be generated during the normal course of a shipboard engineering watch and entries made in multiple locations throughout the ships engineering spaces.  Original signatures and unalterable, manual record entries are required to ensure authenticity for enforcement purposes.</w:t>
      </w:r>
      <w:r w:rsidR="00C77108">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FD2336">
      <w:pPr>
        <w:widowControl w:val="0"/>
        <w:tabs>
          <w:tab w:val="left" w:pos="270"/>
          <w:tab w:val="left" w:pos="360"/>
        </w:tabs>
        <w:rPr>
          <w:rFonts w:ascii="Arial" w:hAnsi="Arial" w:cs="Arial"/>
        </w:rPr>
      </w:pPr>
      <w:r w:rsidRPr="00C77108">
        <w:rPr>
          <w:rFonts w:ascii="Arial" w:hAnsi="Arial" w:cs="Arial"/>
        </w:rPr>
        <w:t>We estimate that 10</w:t>
      </w:r>
      <w:r w:rsidRPr="00C77108" w:rsidR="00AE69EF">
        <w:rPr>
          <w:rFonts w:ascii="Arial" w:hAnsi="Arial" w:cs="Arial"/>
        </w:rPr>
        <w:t xml:space="preserve">0% of the reporting and recordkeeping requirements can be done electronically.  At this time, we estimate that </w:t>
      </w:r>
      <w:r w:rsidR="00B37410">
        <w:rPr>
          <w:rFonts w:ascii="Arial" w:hAnsi="Arial" w:cs="Arial"/>
        </w:rPr>
        <w:t>50</w:t>
      </w:r>
      <w:r w:rsidRPr="00C77108" w:rsidR="00AE69EF">
        <w:rPr>
          <w:rFonts w:ascii="Arial" w:hAnsi="Arial" w:cs="Arial"/>
        </w:rPr>
        <w:t>% is done electronically.</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E69EF">
      <w:pPr>
        <w:widowControl w:val="0"/>
        <w:tabs>
          <w:tab w:val="left" w:pos="270"/>
          <w:tab w:val="left" w:pos="360"/>
        </w:tabs>
        <w:rPr>
          <w:rFonts w:ascii="Arial" w:hAnsi="Arial" w:cs="Arial"/>
        </w:rPr>
      </w:pPr>
      <w:r w:rsidRPr="00C77108">
        <w:rPr>
          <w:rFonts w:ascii="Arial" w:hAnsi="Arial" w:cs="Arial"/>
        </w:rPr>
        <w:t xml:space="preserve">4.  </w:t>
      </w:r>
      <w:r w:rsidRPr="00C77108">
        <w:rPr>
          <w:rFonts w:ascii="Arial" w:hAnsi="Arial" w:cs="Arial"/>
          <w:u w:val="single"/>
        </w:rPr>
        <w:t>Efforts to identify duplication</w:t>
      </w:r>
      <w:r w:rsidRPr="00C77108">
        <w:rPr>
          <w:rFonts w:ascii="Arial" w:hAnsi="Arial" w:cs="Arial"/>
        </w:rPr>
        <w:t>.</w:t>
      </w:r>
      <w:r w:rsidRPr="00C77108">
        <w:rPr>
          <w:rFonts w:ascii="Arial" w:hAnsi="Arial" w:cs="Arial"/>
          <w:u w:val="single"/>
        </w:rPr>
        <w:t xml:space="preserve">  </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E69EF">
      <w:pPr>
        <w:widowControl w:val="0"/>
        <w:tabs>
          <w:tab w:val="left" w:pos="270"/>
          <w:tab w:val="left" w:pos="360"/>
        </w:tabs>
        <w:rPr>
          <w:rFonts w:ascii="Arial" w:hAnsi="Arial" w:cs="Arial"/>
        </w:rPr>
      </w:pPr>
      <w:r w:rsidRPr="00C77108">
        <w:rPr>
          <w:rFonts w:ascii="Arial" w:hAnsi="Arial" w:cs="Arial"/>
        </w:rPr>
        <w:t>This requirement is not covered by any other law or regulation.  Therefore, this is not a duplicative reporting requirement.</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E69EF">
      <w:pPr>
        <w:widowControl w:val="0"/>
        <w:tabs>
          <w:tab w:val="left" w:pos="270"/>
          <w:tab w:val="left" w:pos="360"/>
        </w:tabs>
        <w:rPr>
          <w:rFonts w:ascii="Arial" w:hAnsi="Arial" w:cs="Arial"/>
        </w:rPr>
      </w:pPr>
      <w:r w:rsidRPr="00C77108">
        <w:rPr>
          <w:rFonts w:ascii="Arial" w:hAnsi="Arial" w:cs="Arial"/>
        </w:rPr>
        <w:t xml:space="preserve">5.  </w:t>
      </w:r>
      <w:r w:rsidRPr="00C77108">
        <w:rPr>
          <w:rFonts w:ascii="Arial" w:hAnsi="Arial" w:cs="Arial"/>
          <w:u w:val="single"/>
        </w:rPr>
        <w:t>Methods to minimize the burden to small business if involved</w:t>
      </w:r>
      <w:r w:rsidRPr="00C77108">
        <w:rPr>
          <w:rFonts w:ascii="Arial" w:hAnsi="Arial" w:cs="Arial"/>
        </w:rPr>
        <w:t>.</w:t>
      </w:r>
      <w:r w:rsidR="00C77108">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E69EF">
      <w:pPr>
        <w:widowControl w:val="0"/>
        <w:tabs>
          <w:tab w:val="left" w:pos="270"/>
          <w:tab w:val="left" w:pos="360"/>
        </w:tabs>
        <w:rPr>
          <w:rFonts w:ascii="Arial" w:hAnsi="Arial" w:cs="Arial"/>
        </w:rPr>
      </w:pPr>
      <w:r w:rsidRPr="00C77108">
        <w:rPr>
          <w:rFonts w:ascii="Arial" w:hAnsi="Arial" w:cs="Arial"/>
        </w:rPr>
        <w:lastRenderedPageBreak/>
        <w:t xml:space="preserve">These regulations are applicable to operators of cruise vessels carrying 500 or more passengers, which are typically owned by corporations that do not qualify as small entities.  Therefore, the Coast Guard believes that this </w:t>
      </w:r>
      <w:r w:rsidRPr="00C77108" w:rsidR="00C30664">
        <w:rPr>
          <w:rFonts w:ascii="Arial" w:hAnsi="Arial" w:cs="Arial"/>
        </w:rPr>
        <w:t>information collection does not have an impact on small businesses or other small entities</w:t>
      </w:r>
      <w:r w:rsidRPr="00C77108">
        <w:rPr>
          <w:rFonts w:ascii="Arial" w:hAnsi="Arial" w:cs="Arial"/>
        </w:rPr>
        <w:t>.</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E69EF">
      <w:pPr>
        <w:widowControl w:val="0"/>
        <w:tabs>
          <w:tab w:val="left" w:pos="270"/>
          <w:tab w:val="left" w:pos="360"/>
        </w:tabs>
        <w:rPr>
          <w:rFonts w:ascii="Arial" w:hAnsi="Arial" w:cs="Arial"/>
        </w:rPr>
      </w:pPr>
      <w:r w:rsidRPr="00C77108">
        <w:rPr>
          <w:rFonts w:ascii="Arial" w:hAnsi="Arial" w:cs="Arial"/>
        </w:rPr>
        <w:t xml:space="preserve">6.  </w:t>
      </w:r>
      <w:r w:rsidRPr="00C77108">
        <w:rPr>
          <w:rFonts w:ascii="Arial" w:hAnsi="Arial" w:cs="Arial"/>
          <w:u w:val="single"/>
        </w:rPr>
        <w:t>Consequences to the Federal program if collection were done less frequently</w:t>
      </w:r>
      <w:r w:rsidRPr="00C77108">
        <w:rPr>
          <w:rFonts w:ascii="Arial" w:hAnsi="Arial" w:cs="Arial"/>
        </w:rPr>
        <w:t>.</w:t>
      </w:r>
      <w:r w:rsidR="00C77108">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FD2336">
      <w:pPr>
        <w:widowControl w:val="0"/>
        <w:tabs>
          <w:tab w:val="left" w:pos="270"/>
          <w:tab w:val="left" w:pos="360"/>
        </w:tabs>
        <w:rPr>
          <w:rFonts w:ascii="Arial" w:hAnsi="Arial" w:cs="Arial"/>
        </w:rPr>
      </w:pPr>
      <w:r w:rsidRPr="00C77108">
        <w:rPr>
          <w:rFonts w:ascii="Arial" w:hAnsi="Arial" w:cs="Arial"/>
        </w:rPr>
        <w:t xml:space="preserve">Less frequent collection could result in an </w:t>
      </w:r>
      <w:r w:rsidRPr="00C77108" w:rsidR="00AE69EF">
        <w:rPr>
          <w:rFonts w:ascii="Arial" w:hAnsi="Arial" w:cs="Arial"/>
        </w:rPr>
        <w:t xml:space="preserve">increase in the probability of an illegal discharge not being detected.  </w:t>
      </w:r>
      <w:r w:rsidRPr="00C77108">
        <w:rPr>
          <w:rFonts w:ascii="Arial" w:hAnsi="Arial" w:cs="Arial"/>
        </w:rPr>
        <w:t>Discharges create the possibility of the</w:t>
      </w:r>
      <w:r w:rsidRPr="00C77108" w:rsidR="00AE69EF">
        <w:rPr>
          <w:rFonts w:ascii="Arial" w:hAnsi="Arial" w:cs="Arial"/>
        </w:rPr>
        <w:t xml:space="preserve"> contamination of fish, other marine mammals and wildlife, with an overall negative impact to public health and safety and the ecology.</w:t>
      </w:r>
    </w:p>
    <w:p w:rsidRPr="00C77108" w:rsidR="00C30664" w:rsidP="00FE5090" w:rsidRDefault="00C30664">
      <w:pPr>
        <w:widowControl w:val="0"/>
        <w:tabs>
          <w:tab w:val="left" w:pos="270"/>
          <w:tab w:val="left" w:pos="360"/>
        </w:tabs>
        <w:rPr>
          <w:rFonts w:ascii="Arial" w:hAnsi="Arial" w:cs="Arial"/>
        </w:rPr>
      </w:pPr>
    </w:p>
    <w:p w:rsidRPr="00C77108" w:rsidR="00AE69EF" w:rsidP="00FE5090" w:rsidRDefault="00AE69EF">
      <w:pPr>
        <w:widowControl w:val="0"/>
        <w:tabs>
          <w:tab w:val="left" w:pos="270"/>
          <w:tab w:val="left" w:pos="360"/>
        </w:tabs>
        <w:ind w:left="270" w:hanging="270"/>
        <w:rPr>
          <w:rFonts w:ascii="Arial" w:hAnsi="Arial" w:cs="Arial"/>
        </w:rPr>
      </w:pPr>
      <w:r w:rsidRPr="00C77108">
        <w:rPr>
          <w:rFonts w:ascii="Arial" w:hAnsi="Arial" w:cs="Arial"/>
        </w:rPr>
        <w:t xml:space="preserve">7.  </w:t>
      </w:r>
      <w:r w:rsidRPr="00C77108" w:rsidR="00C77108">
        <w:rPr>
          <w:rFonts w:ascii="Arial" w:hAnsi="Arial" w:cs="Arial"/>
          <w:u w:val="single"/>
        </w:rPr>
        <w:t>Special collection circumstances</w:t>
      </w:r>
      <w:r w:rsidRPr="00C77108">
        <w:rPr>
          <w:rFonts w:ascii="Arial" w:hAnsi="Arial" w:cs="Arial"/>
        </w:rPr>
        <w:t>.</w:t>
      </w:r>
      <w:r w:rsidR="00C77108">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C30664">
      <w:pPr>
        <w:widowControl w:val="0"/>
        <w:tabs>
          <w:tab w:val="left" w:pos="270"/>
          <w:tab w:val="left" w:pos="360"/>
        </w:tabs>
        <w:rPr>
          <w:rFonts w:ascii="Arial" w:hAnsi="Arial" w:cs="Arial"/>
        </w:rPr>
      </w:pPr>
      <w:r w:rsidRPr="00C77108">
        <w:rPr>
          <w:rFonts w:ascii="Arial" w:hAnsi="Arial" w:cs="Arial"/>
        </w:rPr>
        <w:t>This information collection is conducted in manner consistent with the guidelines in 5 CFR 1320.5(d)(2)</w:t>
      </w:r>
      <w:r w:rsidRPr="00C77108" w:rsidR="00AE69EF">
        <w:rPr>
          <w:rFonts w:ascii="Arial" w:hAnsi="Arial" w:cs="Arial"/>
        </w:rPr>
        <w:t>.</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E69EF">
      <w:pPr>
        <w:widowControl w:val="0"/>
        <w:tabs>
          <w:tab w:val="left" w:pos="270"/>
          <w:tab w:val="left" w:pos="360"/>
        </w:tabs>
        <w:rPr>
          <w:rFonts w:ascii="Arial" w:hAnsi="Arial" w:cs="Arial"/>
        </w:rPr>
      </w:pPr>
      <w:r w:rsidRPr="00C77108">
        <w:rPr>
          <w:rFonts w:ascii="Arial" w:hAnsi="Arial" w:cs="Arial"/>
        </w:rPr>
        <w:t xml:space="preserve">8.  </w:t>
      </w:r>
      <w:r w:rsidRPr="00C77108">
        <w:rPr>
          <w:rFonts w:ascii="Arial" w:hAnsi="Arial" w:cs="Arial"/>
          <w:u w:val="single"/>
        </w:rPr>
        <w:t>Consultation</w:t>
      </w:r>
      <w:r w:rsidRPr="00C77108">
        <w:rPr>
          <w:rFonts w:ascii="Arial" w:hAnsi="Arial" w:cs="Arial"/>
        </w:rPr>
        <w:t>.</w:t>
      </w:r>
      <w:r w:rsidR="00C77108">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E1507F">
      <w:pPr>
        <w:widowControl w:val="0"/>
        <w:tabs>
          <w:tab w:val="left" w:pos="270"/>
          <w:tab w:val="left" w:pos="360"/>
        </w:tabs>
        <w:rPr>
          <w:rFonts w:ascii="Arial" w:hAnsi="Arial" w:cs="Arial"/>
        </w:rPr>
      </w:pPr>
      <w:r w:rsidRPr="00E1507F">
        <w:rPr>
          <w:rFonts w:ascii="Arial" w:hAnsi="Arial" w:cs="Arial"/>
        </w:rPr>
        <w:t>A 60-day Notice was published in the Federal Register to obtain public comment on this</w:t>
      </w:r>
      <w:r>
        <w:rPr>
          <w:rFonts w:ascii="Arial" w:hAnsi="Arial" w:cs="Arial"/>
        </w:rPr>
        <w:t xml:space="preserve"> collection (See [USCG-2020-0752</w:t>
      </w:r>
      <w:r w:rsidRPr="00E1507F">
        <w:rPr>
          <w:rFonts w:ascii="Arial" w:hAnsi="Arial" w:cs="Arial"/>
        </w:rPr>
        <w:t>]; December 17, 2020, 85 FR</w:t>
      </w:r>
      <w:r>
        <w:rPr>
          <w:rFonts w:ascii="Arial" w:hAnsi="Arial" w:cs="Arial"/>
        </w:rPr>
        <w:t xml:space="preserve"> 81938</w:t>
      </w:r>
      <w:r w:rsidRPr="00E1507F">
        <w:rPr>
          <w:rFonts w:ascii="Arial" w:hAnsi="Arial" w:cs="Arial"/>
        </w:rPr>
        <w:t>) and 30-Day Notic</w:t>
      </w:r>
      <w:r>
        <w:rPr>
          <w:rFonts w:ascii="Arial" w:hAnsi="Arial" w:cs="Arial"/>
        </w:rPr>
        <w:t>e (February 26, 2021 86 FR 11786</w:t>
      </w:r>
      <w:bookmarkStart w:name="_GoBack" w:id="0"/>
      <w:bookmarkEnd w:id="0"/>
      <w:r w:rsidRPr="00E1507F">
        <w:rPr>
          <w:rFonts w:ascii="Arial" w:hAnsi="Arial" w:cs="Arial"/>
        </w:rPr>
        <w:t xml:space="preserve">) were published in the Federal Register to obtain public comment on this collection.  The Coast Guard has not received any comments on this information collection </w:t>
      </w:r>
      <w:r w:rsidRPr="00C77108" w:rsidR="007A5287">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E69EF">
      <w:pPr>
        <w:widowControl w:val="0"/>
        <w:tabs>
          <w:tab w:val="left" w:pos="270"/>
          <w:tab w:val="left" w:pos="360"/>
        </w:tabs>
        <w:rPr>
          <w:rFonts w:ascii="Arial" w:hAnsi="Arial" w:cs="Arial"/>
        </w:rPr>
      </w:pPr>
      <w:r w:rsidRPr="00C77108">
        <w:rPr>
          <w:rFonts w:ascii="Arial" w:hAnsi="Arial" w:cs="Arial"/>
        </w:rPr>
        <w:t xml:space="preserve">9.  </w:t>
      </w:r>
      <w:r w:rsidRPr="00C77108" w:rsidR="00C77108">
        <w:rPr>
          <w:rFonts w:ascii="Arial" w:hAnsi="Arial" w:cs="Arial"/>
          <w:u w:val="single"/>
        </w:rPr>
        <w:t>Provide any payments or gifts to respondents</w:t>
      </w:r>
      <w:r w:rsidRPr="00C77108">
        <w:rPr>
          <w:rFonts w:ascii="Arial" w:hAnsi="Arial" w:cs="Arial"/>
        </w:rPr>
        <w:t>.</w:t>
      </w:r>
      <w:r w:rsidR="00C77108">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C30664">
      <w:pPr>
        <w:widowControl w:val="0"/>
        <w:tabs>
          <w:tab w:val="left" w:pos="270"/>
          <w:tab w:val="left" w:pos="360"/>
        </w:tabs>
        <w:rPr>
          <w:rFonts w:ascii="Arial" w:hAnsi="Arial" w:cs="Arial"/>
        </w:rPr>
      </w:pPr>
      <w:r w:rsidRPr="00C77108">
        <w:rPr>
          <w:rFonts w:ascii="Arial" w:hAnsi="Arial" w:cs="Arial"/>
        </w:rPr>
        <w:t>There is no offer of monetary or material value for this information collection</w:t>
      </w:r>
      <w:r w:rsidRPr="00C77108" w:rsidR="00AE69EF">
        <w:rPr>
          <w:rFonts w:ascii="Arial" w:hAnsi="Arial" w:cs="Arial"/>
        </w:rPr>
        <w:t>.</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E69EF">
      <w:pPr>
        <w:widowControl w:val="0"/>
        <w:tabs>
          <w:tab w:val="left" w:pos="270"/>
          <w:tab w:val="left" w:pos="360"/>
        </w:tabs>
        <w:rPr>
          <w:rFonts w:ascii="Arial" w:hAnsi="Arial" w:cs="Arial"/>
        </w:rPr>
      </w:pPr>
      <w:r w:rsidRPr="00C77108">
        <w:rPr>
          <w:rFonts w:ascii="Arial" w:hAnsi="Arial" w:cs="Arial"/>
        </w:rPr>
        <w:t xml:space="preserve">10.  </w:t>
      </w:r>
      <w:r w:rsidRPr="00C77108">
        <w:rPr>
          <w:rFonts w:ascii="Arial" w:hAnsi="Arial" w:cs="Arial"/>
          <w:u w:val="single"/>
        </w:rPr>
        <w:t>Describe any assurance of confidentially provided to respondents</w:t>
      </w:r>
      <w:r w:rsidRPr="00C77108">
        <w:rPr>
          <w:rFonts w:ascii="Arial" w:hAnsi="Arial" w:cs="Arial"/>
        </w:rPr>
        <w:t>.</w:t>
      </w:r>
      <w:r w:rsidR="00FE5090">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CF7102" w:rsidR="00FE5090" w:rsidP="00FE5090" w:rsidRDefault="00C30664">
      <w:pPr>
        <w:pStyle w:val="BodyText"/>
        <w:widowControl w:val="0"/>
        <w:tabs>
          <w:tab w:val="clear" w:pos="270"/>
        </w:tabs>
        <w:jc w:val="left"/>
        <w:rPr>
          <w:rFonts w:ascii="Arial" w:hAnsi="Arial" w:cs="Arial"/>
        </w:rPr>
      </w:pPr>
      <w:r w:rsidRPr="00C77108">
        <w:rPr>
          <w:rFonts w:ascii="Arial" w:hAnsi="Arial" w:cs="Arial"/>
        </w:rPr>
        <w:t>There are no assurances of confidentiality provided to the respondents for this information collection</w:t>
      </w:r>
      <w:r w:rsidRPr="00C77108" w:rsidR="00AE69EF">
        <w:rPr>
          <w:rFonts w:ascii="Arial" w:hAnsi="Arial" w:cs="Arial"/>
        </w:rPr>
        <w:t>.</w:t>
      </w:r>
      <w:r w:rsidR="00FE5090">
        <w:rPr>
          <w:rFonts w:ascii="Arial" w:hAnsi="Arial" w:cs="Arial"/>
        </w:rPr>
        <w:t xml:space="preserve">  </w:t>
      </w:r>
      <w:r w:rsidRPr="00CF7102" w:rsidR="00FE5090">
        <w:rPr>
          <w:rFonts w:ascii="Arial" w:hAnsi="Arial" w:cs="Arial"/>
        </w:rPr>
        <w:t>This information collection request is covered by the Marine Information for Safety and Law Enforcement (MISLE) Privacy Impact Assessment (PIA) and System of Records Notice (SORN).  Links to the MISLE PIA and SORN are provided below:</w:t>
      </w:r>
    </w:p>
    <w:p w:rsidRPr="004A5F53" w:rsidR="00FE5090" w:rsidP="008961D5" w:rsidRDefault="00E1507F">
      <w:pPr>
        <w:pStyle w:val="BodyText"/>
        <w:widowControl w:val="0"/>
        <w:numPr>
          <w:ilvl w:val="0"/>
          <w:numId w:val="15"/>
        </w:numPr>
        <w:tabs>
          <w:tab w:val="clear" w:pos="270"/>
        </w:tabs>
        <w:jc w:val="left"/>
        <w:rPr>
          <w:rFonts w:ascii="Arial" w:hAnsi="Arial" w:cs="Arial"/>
        </w:rPr>
      </w:pPr>
      <w:hyperlink w:history="1" r:id="rId8">
        <w:r w:rsidRPr="004A5F53" w:rsidR="00FE5090">
          <w:rPr>
            <w:rStyle w:val="Hyperlink"/>
            <w:rFonts w:ascii="Arial" w:hAnsi="Arial" w:cs="Arial"/>
          </w:rPr>
          <w:t>https://www.dhs.gov/sites/default/files/publications/privacy_pia_uscg_misle.pdf</w:t>
        </w:r>
      </w:hyperlink>
      <w:r w:rsidRPr="004A5F53" w:rsidR="00FE5090">
        <w:rPr>
          <w:rFonts w:ascii="Arial" w:hAnsi="Arial" w:cs="Arial"/>
        </w:rPr>
        <w:t xml:space="preserve">  </w:t>
      </w:r>
    </w:p>
    <w:p w:rsidRPr="00CF7102" w:rsidR="00FE5090" w:rsidP="008961D5" w:rsidRDefault="00E1507F">
      <w:pPr>
        <w:pStyle w:val="BodyText"/>
        <w:widowControl w:val="0"/>
        <w:numPr>
          <w:ilvl w:val="0"/>
          <w:numId w:val="15"/>
        </w:numPr>
        <w:tabs>
          <w:tab w:val="clear" w:pos="270"/>
          <w:tab w:val="left" w:pos="360"/>
        </w:tabs>
        <w:jc w:val="left"/>
        <w:rPr>
          <w:rFonts w:ascii="Arial" w:hAnsi="Arial" w:cs="Arial"/>
        </w:rPr>
      </w:pPr>
      <w:hyperlink w:history="1" r:id="rId9">
        <w:r w:rsidRPr="00356A89" w:rsidR="00471158">
          <w:rPr>
            <w:rStyle w:val="Hyperlink"/>
            <w:rFonts w:ascii="Arial" w:hAnsi="Arial" w:cs="Arial"/>
          </w:rPr>
          <w:t>http://edocket.access.gpo.gov/2009/E9-14906.htm</w:t>
        </w:r>
      </w:hyperlink>
      <w:r w:rsidRPr="00CF7102" w:rsidR="00FE5090">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E69EF">
      <w:pPr>
        <w:widowControl w:val="0"/>
        <w:tabs>
          <w:tab w:val="left" w:pos="270"/>
          <w:tab w:val="left" w:pos="360"/>
        </w:tabs>
        <w:rPr>
          <w:rFonts w:ascii="Arial" w:hAnsi="Arial" w:cs="Arial"/>
        </w:rPr>
      </w:pPr>
      <w:r w:rsidRPr="00C77108">
        <w:rPr>
          <w:rFonts w:ascii="Arial" w:hAnsi="Arial" w:cs="Arial"/>
        </w:rPr>
        <w:lastRenderedPageBreak/>
        <w:t xml:space="preserve">11.  </w:t>
      </w:r>
      <w:r w:rsidRPr="00C77108">
        <w:rPr>
          <w:rFonts w:ascii="Arial" w:hAnsi="Arial" w:cs="Arial"/>
          <w:u w:val="single"/>
        </w:rPr>
        <w:t>Additional justification for any questions of a sensitive nature</w:t>
      </w:r>
      <w:r w:rsidRPr="00C77108">
        <w:rPr>
          <w:rFonts w:ascii="Arial" w:hAnsi="Arial" w:cs="Arial"/>
        </w:rPr>
        <w:t>.</w:t>
      </w:r>
      <w:r w:rsidR="00FE5090">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C30664">
      <w:pPr>
        <w:pStyle w:val="BodyText"/>
        <w:widowControl w:val="0"/>
        <w:tabs>
          <w:tab w:val="left" w:pos="360"/>
        </w:tabs>
        <w:rPr>
          <w:rFonts w:ascii="Arial" w:hAnsi="Arial" w:cs="Arial"/>
        </w:rPr>
      </w:pPr>
      <w:r w:rsidRPr="00C77108">
        <w:rPr>
          <w:rFonts w:ascii="Arial" w:hAnsi="Arial" w:cs="Arial"/>
        </w:rPr>
        <w:t>There are no questions of sensitive language</w:t>
      </w:r>
      <w:r w:rsidRPr="00C77108" w:rsidR="00AE69EF">
        <w:rPr>
          <w:rFonts w:ascii="Arial" w:hAnsi="Arial" w:cs="Arial"/>
        </w:rPr>
        <w:t>.</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E69EF">
      <w:pPr>
        <w:widowControl w:val="0"/>
        <w:tabs>
          <w:tab w:val="left" w:pos="270"/>
          <w:tab w:val="left" w:pos="360"/>
        </w:tabs>
        <w:ind w:left="450" w:hanging="450"/>
        <w:rPr>
          <w:rFonts w:ascii="Arial" w:hAnsi="Arial" w:cs="Arial"/>
        </w:rPr>
      </w:pPr>
      <w:r w:rsidRPr="00C77108">
        <w:rPr>
          <w:rFonts w:ascii="Arial" w:hAnsi="Arial" w:cs="Arial"/>
        </w:rPr>
        <w:t xml:space="preserve">12.  </w:t>
      </w:r>
      <w:r w:rsidRPr="00C77108">
        <w:rPr>
          <w:rFonts w:ascii="Arial" w:hAnsi="Arial" w:cs="Arial"/>
          <w:u w:val="single"/>
        </w:rPr>
        <w:t xml:space="preserve">Estimates of </w:t>
      </w:r>
      <w:r w:rsidR="00FE5090">
        <w:rPr>
          <w:rFonts w:ascii="Arial" w:hAnsi="Arial" w:cs="Arial"/>
          <w:u w:val="single"/>
        </w:rPr>
        <w:t>annual</w:t>
      </w:r>
      <w:r w:rsidRPr="00C77108">
        <w:rPr>
          <w:rFonts w:ascii="Arial" w:hAnsi="Arial" w:cs="Arial"/>
          <w:u w:val="single"/>
        </w:rPr>
        <w:t xml:space="preserve"> hour and cost burdens </w:t>
      </w:r>
      <w:r w:rsidR="00FE5090">
        <w:rPr>
          <w:rFonts w:ascii="Arial" w:hAnsi="Arial" w:cs="Arial"/>
          <w:u w:val="single"/>
        </w:rPr>
        <w:t>to respondents</w:t>
      </w:r>
      <w:r w:rsidRPr="00C77108">
        <w:rPr>
          <w:rFonts w:ascii="Arial" w:hAnsi="Arial" w:cs="Arial"/>
        </w:rPr>
        <w:t>.</w:t>
      </w:r>
      <w:r w:rsidR="00D968D1">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B37410" w:rsidR="007C0ECB" w:rsidP="00FE5090" w:rsidRDefault="007C0ECB">
      <w:pPr>
        <w:pStyle w:val="p10"/>
        <w:numPr>
          <w:ilvl w:val="0"/>
          <w:numId w:val="13"/>
        </w:numPr>
        <w:rPr>
          <w:rFonts w:ascii="Arial" w:hAnsi="Arial" w:cs="Arial"/>
          <w:sz w:val="20"/>
        </w:rPr>
      </w:pPr>
      <w:r w:rsidRPr="00497218">
        <w:rPr>
          <w:rFonts w:ascii="Arial" w:hAnsi="Arial" w:cs="Arial"/>
          <w:sz w:val="20"/>
        </w:rPr>
        <w:t xml:space="preserve">The estimated number of annual respondents is </w:t>
      </w:r>
      <w:r w:rsidRPr="00B37410" w:rsidR="00B37410">
        <w:rPr>
          <w:rFonts w:ascii="Arial" w:hAnsi="Arial" w:cs="Arial"/>
          <w:sz w:val="20"/>
        </w:rPr>
        <w:t>18</w:t>
      </w:r>
      <w:r w:rsidRPr="00B37410">
        <w:rPr>
          <w:rFonts w:ascii="Arial" w:hAnsi="Arial" w:cs="Arial"/>
          <w:sz w:val="20"/>
        </w:rPr>
        <w:t xml:space="preserve">.   </w:t>
      </w:r>
    </w:p>
    <w:p w:rsidRPr="00B37410" w:rsidR="007C0ECB" w:rsidP="00FE5090" w:rsidRDefault="007C0ECB">
      <w:pPr>
        <w:pStyle w:val="p10"/>
        <w:numPr>
          <w:ilvl w:val="0"/>
          <w:numId w:val="13"/>
        </w:numPr>
        <w:rPr>
          <w:rFonts w:ascii="Arial" w:hAnsi="Arial" w:cs="Arial"/>
          <w:sz w:val="20"/>
        </w:rPr>
      </w:pPr>
      <w:r w:rsidRPr="00B37410">
        <w:rPr>
          <w:rFonts w:ascii="Arial" w:hAnsi="Arial" w:cs="Arial"/>
          <w:sz w:val="20"/>
        </w:rPr>
        <w:t xml:space="preserve">The estimated number of annual responses is </w:t>
      </w:r>
      <w:r w:rsidRPr="00B37410" w:rsidR="00B37410">
        <w:rPr>
          <w:rFonts w:ascii="Arial" w:hAnsi="Arial" w:cs="Arial"/>
          <w:sz w:val="20"/>
        </w:rPr>
        <w:t>4,374</w:t>
      </w:r>
      <w:r w:rsidRPr="00B37410">
        <w:rPr>
          <w:rFonts w:ascii="Arial" w:hAnsi="Arial" w:cs="Arial"/>
          <w:sz w:val="20"/>
        </w:rPr>
        <w:t xml:space="preserve">.  </w:t>
      </w:r>
    </w:p>
    <w:p w:rsidRPr="00B37410" w:rsidR="007C0ECB" w:rsidP="00FE5090" w:rsidRDefault="007C0ECB">
      <w:pPr>
        <w:pStyle w:val="p10"/>
        <w:numPr>
          <w:ilvl w:val="0"/>
          <w:numId w:val="13"/>
        </w:numPr>
        <w:rPr>
          <w:rFonts w:ascii="Arial" w:hAnsi="Arial" w:cs="Arial"/>
          <w:sz w:val="20"/>
        </w:rPr>
      </w:pPr>
      <w:r w:rsidRPr="00B37410">
        <w:rPr>
          <w:rFonts w:ascii="Arial" w:hAnsi="Arial" w:cs="Arial"/>
          <w:sz w:val="20"/>
        </w:rPr>
        <w:t xml:space="preserve">The estimated hour burden is </w:t>
      </w:r>
      <w:r w:rsidR="00D31F56">
        <w:rPr>
          <w:rFonts w:ascii="Arial" w:hAnsi="Arial" w:cs="Arial"/>
          <w:sz w:val="20"/>
        </w:rPr>
        <w:t>358</w:t>
      </w:r>
      <w:r w:rsidRPr="00B37410" w:rsidR="00E64D19">
        <w:rPr>
          <w:rFonts w:ascii="Arial" w:hAnsi="Arial" w:cs="Arial"/>
          <w:sz w:val="20"/>
        </w:rPr>
        <w:t xml:space="preserve"> </w:t>
      </w:r>
      <w:r w:rsidRPr="00B37410">
        <w:rPr>
          <w:rFonts w:ascii="Arial" w:hAnsi="Arial" w:cs="Arial"/>
          <w:sz w:val="20"/>
        </w:rPr>
        <w:t xml:space="preserve">hours.  </w:t>
      </w:r>
    </w:p>
    <w:p w:rsidRPr="00B37410" w:rsidR="007C0ECB" w:rsidP="00FE5090" w:rsidRDefault="007C0ECB">
      <w:pPr>
        <w:pStyle w:val="p10"/>
        <w:numPr>
          <w:ilvl w:val="0"/>
          <w:numId w:val="13"/>
        </w:numPr>
        <w:rPr>
          <w:rFonts w:ascii="Arial" w:hAnsi="Arial" w:cs="Arial"/>
          <w:sz w:val="20"/>
        </w:rPr>
      </w:pPr>
      <w:r w:rsidRPr="00B37410">
        <w:rPr>
          <w:rFonts w:ascii="Arial" w:hAnsi="Arial" w:cs="Arial"/>
          <w:sz w:val="20"/>
        </w:rPr>
        <w:t>The estimated cost burden is $</w:t>
      </w:r>
      <w:r w:rsidR="00D31F56">
        <w:rPr>
          <w:rFonts w:ascii="Arial" w:hAnsi="Arial" w:cs="Arial"/>
          <w:sz w:val="20"/>
        </w:rPr>
        <w:t>20,</w:t>
      </w:r>
      <w:r w:rsidR="00D42D32">
        <w:rPr>
          <w:rFonts w:ascii="Arial" w:hAnsi="Arial" w:cs="Arial"/>
          <w:sz w:val="20"/>
        </w:rPr>
        <w:t>396</w:t>
      </w:r>
      <w:r w:rsidRPr="00B37410">
        <w:rPr>
          <w:rFonts w:ascii="Arial" w:hAnsi="Arial" w:cs="Arial"/>
          <w:sz w:val="20"/>
        </w:rPr>
        <w:t xml:space="preserve">.  </w:t>
      </w:r>
    </w:p>
    <w:p w:rsidRPr="00C77108" w:rsidR="00A329A1" w:rsidP="00FE5090" w:rsidRDefault="00A329A1">
      <w:pPr>
        <w:widowControl w:val="0"/>
        <w:tabs>
          <w:tab w:val="left" w:pos="270"/>
          <w:tab w:val="left" w:pos="360"/>
        </w:tabs>
        <w:rPr>
          <w:rFonts w:ascii="Arial" w:hAnsi="Arial" w:cs="Arial"/>
        </w:rPr>
      </w:pPr>
    </w:p>
    <w:p w:rsidRPr="00C77108" w:rsidR="00A329A1" w:rsidP="00FE5090" w:rsidRDefault="007C0ECB">
      <w:pPr>
        <w:widowControl w:val="0"/>
        <w:tabs>
          <w:tab w:val="left" w:pos="270"/>
          <w:tab w:val="left" w:pos="360"/>
        </w:tabs>
        <w:rPr>
          <w:rFonts w:ascii="Arial" w:hAnsi="Arial" w:cs="Arial"/>
        </w:rPr>
      </w:pPr>
      <w:r w:rsidRPr="007C0ECB">
        <w:rPr>
          <w:rFonts w:ascii="Arial" w:hAnsi="Arial" w:cs="Arial"/>
        </w:rPr>
        <w:t xml:space="preserve">The burden to respondents is provided in Appendix A.  </w:t>
      </w:r>
      <w:r w:rsidRPr="00C77108" w:rsidR="00A329A1">
        <w:rPr>
          <w:rFonts w:ascii="Arial" w:hAnsi="Arial" w:cs="Arial"/>
        </w:rPr>
        <w:t xml:space="preserve">Log entries will be made during the cruise vessels’ </w:t>
      </w:r>
      <w:r w:rsidRPr="00C77108" w:rsidR="001E43CE">
        <w:rPr>
          <w:rFonts w:ascii="Arial" w:hAnsi="Arial" w:cs="Arial"/>
        </w:rPr>
        <w:t xml:space="preserve">summer </w:t>
      </w:r>
      <w:r w:rsidRPr="00C77108" w:rsidR="00A329A1">
        <w:rPr>
          <w:rFonts w:ascii="Arial" w:hAnsi="Arial" w:cs="Arial"/>
        </w:rPr>
        <w:t xml:space="preserve">cruise season, typically running from </w:t>
      </w:r>
      <w:r w:rsidR="00B37410">
        <w:rPr>
          <w:rFonts w:ascii="Arial" w:hAnsi="Arial" w:cs="Arial"/>
        </w:rPr>
        <w:t>mid-</w:t>
      </w:r>
      <w:r w:rsidRPr="00C77108" w:rsidR="00A329A1">
        <w:rPr>
          <w:rFonts w:ascii="Arial" w:hAnsi="Arial" w:cs="Arial"/>
        </w:rPr>
        <w:t xml:space="preserve">May to </w:t>
      </w:r>
      <w:r w:rsidR="00B37410">
        <w:rPr>
          <w:rFonts w:ascii="Arial" w:hAnsi="Arial" w:cs="Arial"/>
        </w:rPr>
        <w:t>mid-</w:t>
      </w:r>
      <w:r w:rsidRPr="00C77108" w:rsidR="00A329A1">
        <w:rPr>
          <w:rFonts w:ascii="Arial" w:hAnsi="Arial" w:cs="Arial"/>
        </w:rPr>
        <w:t xml:space="preserve">September, and only while in the applicable waters of Alaska.  The Coast Guard assumes that each vessel will make </w:t>
      </w:r>
      <w:r w:rsidR="00B37410">
        <w:rPr>
          <w:rFonts w:ascii="Arial" w:hAnsi="Arial" w:cs="Arial"/>
        </w:rPr>
        <w:t>two</w:t>
      </w:r>
      <w:r w:rsidRPr="00C77108" w:rsidR="00B37410">
        <w:rPr>
          <w:rFonts w:ascii="Arial" w:hAnsi="Arial" w:cs="Arial"/>
        </w:rPr>
        <w:t xml:space="preserve"> </w:t>
      </w:r>
      <w:r w:rsidRPr="00C77108" w:rsidR="00A329A1">
        <w:rPr>
          <w:rFonts w:ascii="Arial" w:hAnsi="Arial" w:cs="Arial"/>
        </w:rPr>
        <w:t>log entr</w:t>
      </w:r>
      <w:r w:rsidR="00B37410">
        <w:rPr>
          <w:rFonts w:ascii="Arial" w:hAnsi="Arial" w:cs="Arial"/>
        </w:rPr>
        <w:t xml:space="preserve">ies </w:t>
      </w:r>
      <w:r w:rsidRPr="00C77108" w:rsidR="00A329A1">
        <w:rPr>
          <w:rFonts w:ascii="Arial" w:hAnsi="Arial" w:cs="Arial"/>
        </w:rPr>
        <w:t xml:space="preserve">per day, on each of the </w:t>
      </w:r>
      <w:r w:rsidRPr="00C77108" w:rsidR="00B37410">
        <w:rPr>
          <w:rFonts w:ascii="Arial" w:hAnsi="Arial" w:cs="Arial"/>
        </w:rPr>
        <w:t>1</w:t>
      </w:r>
      <w:r w:rsidR="00B37410">
        <w:rPr>
          <w:rFonts w:ascii="Arial" w:hAnsi="Arial" w:cs="Arial"/>
        </w:rPr>
        <w:t>2</w:t>
      </w:r>
      <w:r w:rsidRPr="00C77108" w:rsidR="00B37410">
        <w:rPr>
          <w:rFonts w:ascii="Arial" w:hAnsi="Arial" w:cs="Arial"/>
        </w:rPr>
        <w:t xml:space="preserve">0 </w:t>
      </w:r>
      <w:r w:rsidRPr="00C77108" w:rsidR="00A329A1">
        <w:rPr>
          <w:rFonts w:ascii="Arial" w:hAnsi="Arial" w:cs="Arial"/>
        </w:rPr>
        <w:t xml:space="preserve">days in the cruising season. </w:t>
      </w:r>
    </w:p>
    <w:p w:rsidRPr="00C77108" w:rsidR="00A329A1" w:rsidP="00FE5090" w:rsidRDefault="00A329A1">
      <w:pPr>
        <w:widowControl w:val="0"/>
        <w:tabs>
          <w:tab w:val="left" w:pos="270"/>
          <w:tab w:val="left" w:pos="360"/>
        </w:tabs>
        <w:rPr>
          <w:rFonts w:ascii="Arial" w:hAnsi="Arial" w:cs="Arial"/>
        </w:rPr>
      </w:pPr>
    </w:p>
    <w:p w:rsidRPr="00C77108" w:rsidR="00A329A1" w:rsidP="00FE5090" w:rsidRDefault="00A329A1">
      <w:pPr>
        <w:widowControl w:val="0"/>
        <w:tabs>
          <w:tab w:val="left" w:pos="270"/>
          <w:tab w:val="left" w:pos="360"/>
        </w:tabs>
        <w:rPr>
          <w:rFonts w:ascii="Arial" w:hAnsi="Arial" w:cs="Arial"/>
        </w:rPr>
      </w:pPr>
      <w:r w:rsidRPr="00C77108">
        <w:rPr>
          <w:rFonts w:ascii="Arial" w:hAnsi="Arial" w:cs="Arial"/>
        </w:rPr>
        <w:t xml:space="preserve">The hourly burden associated with each element of this collection consists of both licensed engineer effort and clerical effort, except in the case of the log entries, requiring no clerical time.  </w:t>
      </w:r>
      <w:r w:rsidRPr="00C77108" w:rsidR="00874039">
        <w:rPr>
          <w:rFonts w:ascii="Arial" w:hAnsi="Arial" w:cs="Arial"/>
        </w:rPr>
        <w:t xml:space="preserve">The estimated burden for each reflects time for the engineer to review the document for accuracy, and for the clerical staff to duplicate and transmit it.  Log entries are made by the licensed engineer, and require no clerical effort.  </w:t>
      </w:r>
      <w:r w:rsidRPr="00F7309A" w:rsidR="003C16E7">
        <w:rPr>
          <w:rFonts w:ascii="Arial" w:hAnsi="Arial" w:cs="Arial"/>
        </w:rPr>
        <w:t xml:space="preserve">.  </w:t>
      </w:r>
      <w:r w:rsidRPr="00B5348C" w:rsidR="003C16E7">
        <w:rPr>
          <w:rFonts w:ascii="Arial" w:hAnsi="Arial" w:cs="Arial"/>
        </w:rPr>
        <w:t>For t</w:t>
      </w:r>
      <w:r w:rsidRPr="00875221" w:rsidR="003C16E7">
        <w:rPr>
          <w:rFonts w:ascii="Arial" w:hAnsi="Arial" w:cs="Arial"/>
        </w:rPr>
        <w:t>he wage rate</w:t>
      </w:r>
      <w:r w:rsidR="003C16E7">
        <w:rPr>
          <w:rFonts w:ascii="Arial" w:hAnsi="Arial" w:cs="Arial"/>
        </w:rPr>
        <w:t>s</w:t>
      </w:r>
      <w:r w:rsidRPr="00B5348C" w:rsidR="003C16E7">
        <w:rPr>
          <w:rFonts w:ascii="Arial" w:hAnsi="Arial" w:cs="Arial"/>
        </w:rPr>
        <w:t xml:space="preserve">, </w:t>
      </w:r>
      <w:r w:rsidRPr="00875221" w:rsidR="003C16E7">
        <w:rPr>
          <w:rFonts w:ascii="Arial" w:hAnsi="Arial" w:cs="Arial"/>
        </w:rPr>
        <w:t>we used the</w:t>
      </w:r>
      <w:r w:rsidRPr="00B5348C" w:rsidR="003C16E7">
        <w:rPr>
          <w:rFonts w:ascii="Arial" w:hAnsi="Arial" w:cs="Arial"/>
        </w:rPr>
        <w:t xml:space="preserve"> Bureau of Labor Statistics (BLS) wage rate for </w:t>
      </w:r>
      <w:r w:rsidR="003C16E7">
        <w:rPr>
          <w:rFonts w:ascii="Arial" w:hAnsi="Arial" w:cs="Arial"/>
        </w:rPr>
        <w:t xml:space="preserve">Ship Engineers </w:t>
      </w:r>
      <w:r w:rsidRPr="00875221" w:rsidR="003C16E7">
        <w:rPr>
          <w:rFonts w:ascii="Arial" w:hAnsi="Arial" w:cs="Arial"/>
        </w:rPr>
        <w:t>(</w:t>
      </w:r>
      <w:r w:rsidR="003C16E7">
        <w:rPr>
          <w:rFonts w:ascii="Arial" w:hAnsi="Arial" w:cs="Arial"/>
        </w:rPr>
        <w:t>53-5051)</w:t>
      </w:r>
      <w:r w:rsidRPr="00B5348C" w:rsidR="003C16E7">
        <w:rPr>
          <w:rFonts w:ascii="Arial" w:hAnsi="Arial" w:cs="Arial"/>
        </w:rPr>
        <w:t xml:space="preserve"> [May 2019, </w:t>
      </w:r>
      <w:r w:rsidR="003C16E7">
        <w:rPr>
          <w:rFonts w:ascii="Arial" w:hAnsi="Arial" w:cs="Arial"/>
        </w:rPr>
        <w:t xml:space="preserve">mean hourly wage, loaded 52%, </w:t>
      </w:r>
      <w:r w:rsidRPr="00875221" w:rsidR="003C16E7">
        <w:rPr>
          <w:rFonts w:ascii="Arial" w:hAnsi="Arial" w:cs="Arial"/>
        </w:rPr>
        <w:t>and rounded]</w:t>
      </w:r>
      <w:r w:rsidR="003C16E7">
        <w:rPr>
          <w:rStyle w:val="FootnoteReference"/>
          <w:rFonts w:ascii="Arial" w:hAnsi="Arial" w:cs="Arial"/>
        </w:rPr>
        <w:footnoteReference w:id="2"/>
      </w:r>
      <w:r w:rsidR="003C16E7">
        <w:rPr>
          <w:rFonts w:ascii="Arial" w:hAnsi="Arial" w:cs="Arial"/>
        </w:rPr>
        <w:t xml:space="preserve"> and Water Transportation Workers (53-5000) </w:t>
      </w:r>
      <w:r w:rsidRPr="00B5348C" w:rsidR="003C16E7">
        <w:rPr>
          <w:rFonts w:ascii="Arial" w:hAnsi="Arial" w:cs="Arial"/>
        </w:rPr>
        <w:t xml:space="preserve">[May 2019, </w:t>
      </w:r>
      <w:r w:rsidR="003C16E7">
        <w:rPr>
          <w:rFonts w:ascii="Arial" w:hAnsi="Arial" w:cs="Arial"/>
        </w:rPr>
        <w:t xml:space="preserve">mean hourly wage, loaded 52%, </w:t>
      </w:r>
      <w:r w:rsidRPr="00875221" w:rsidR="003C16E7">
        <w:rPr>
          <w:rFonts w:ascii="Arial" w:hAnsi="Arial" w:cs="Arial"/>
        </w:rPr>
        <w:t>and rounded]</w:t>
      </w:r>
      <w:r w:rsidR="003C16E7">
        <w:rPr>
          <w:rFonts w:ascii="Arial" w:hAnsi="Arial" w:cs="Arial"/>
        </w:rPr>
        <w:t>.</w:t>
      </w:r>
      <w:r w:rsidR="003C16E7">
        <w:rPr>
          <w:rStyle w:val="FootnoteReference"/>
          <w:rFonts w:ascii="Arial" w:hAnsi="Arial" w:cs="Arial"/>
        </w:rPr>
        <w:footnoteReference w:id="3"/>
      </w:r>
      <w:r w:rsidR="003C16E7">
        <w:rPr>
          <w:rFonts w:ascii="Arial" w:hAnsi="Arial" w:cs="Arial"/>
        </w:rPr>
        <w:t xml:space="preserve"> </w:t>
      </w:r>
      <w:r w:rsidRPr="00875221" w:rsidR="003C16E7">
        <w:rPr>
          <w:rFonts w:ascii="Arial" w:hAnsi="Arial" w:cs="Arial"/>
        </w:rPr>
        <w:t xml:space="preserve"> </w:t>
      </w:r>
    </w:p>
    <w:p w:rsidRPr="00C77108" w:rsidR="00A1208E" w:rsidP="00FE5090" w:rsidRDefault="00A1208E">
      <w:pPr>
        <w:widowControl w:val="0"/>
        <w:tabs>
          <w:tab w:val="left" w:pos="270"/>
          <w:tab w:val="left" w:pos="360"/>
        </w:tabs>
        <w:rPr>
          <w:rFonts w:ascii="Arial" w:hAnsi="Arial" w:cs="Arial"/>
        </w:rPr>
      </w:pPr>
    </w:p>
    <w:p w:rsidRPr="00C77108" w:rsidR="00AE69EF" w:rsidP="00FE5090" w:rsidRDefault="00AE69EF">
      <w:pPr>
        <w:pStyle w:val="BodyText"/>
        <w:widowControl w:val="0"/>
        <w:tabs>
          <w:tab w:val="left" w:pos="360"/>
        </w:tabs>
        <w:rPr>
          <w:rFonts w:ascii="Arial" w:hAnsi="Arial" w:cs="Arial"/>
        </w:rPr>
      </w:pPr>
      <w:r w:rsidRPr="00C77108">
        <w:rPr>
          <w:rFonts w:ascii="Arial" w:hAnsi="Arial" w:cs="Arial"/>
        </w:rPr>
        <w:t xml:space="preserve">13.  </w:t>
      </w:r>
      <w:r w:rsidR="00FE5090">
        <w:rPr>
          <w:rFonts w:ascii="Arial" w:hAnsi="Arial" w:cs="Arial"/>
          <w:u w:val="single"/>
        </w:rPr>
        <w:t>Total annualized</w:t>
      </w:r>
      <w:r w:rsidRPr="00C77108">
        <w:rPr>
          <w:rFonts w:ascii="Arial" w:hAnsi="Arial" w:cs="Arial"/>
          <w:u w:val="single"/>
        </w:rPr>
        <w:t xml:space="preserve"> capital and start-up costs</w:t>
      </w:r>
      <w:r w:rsidRPr="00C77108">
        <w:rPr>
          <w:rFonts w:ascii="Arial" w:hAnsi="Arial" w:cs="Arial"/>
        </w:rPr>
        <w:t>.</w:t>
      </w:r>
      <w:r w:rsidR="00D968D1">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706443">
      <w:pPr>
        <w:widowControl w:val="0"/>
        <w:tabs>
          <w:tab w:val="left" w:pos="270"/>
          <w:tab w:val="left" w:pos="360"/>
        </w:tabs>
        <w:rPr>
          <w:rFonts w:ascii="Arial" w:hAnsi="Arial" w:cs="Arial"/>
        </w:rPr>
      </w:pPr>
      <w:r w:rsidRPr="00C77108">
        <w:rPr>
          <w:rFonts w:ascii="Arial" w:hAnsi="Arial" w:cs="Arial"/>
        </w:rPr>
        <w:t>There are no capital, start-up or maintenance costs associated with this information collection</w:t>
      </w:r>
      <w:r w:rsidRPr="00C77108" w:rsidR="00874039">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E69EF">
      <w:pPr>
        <w:widowControl w:val="0"/>
        <w:tabs>
          <w:tab w:val="left" w:pos="270"/>
          <w:tab w:val="left" w:pos="360"/>
        </w:tabs>
        <w:rPr>
          <w:rFonts w:ascii="Arial" w:hAnsi="Arial" w:cs="Arial"/>
        </w:rPr>
      </w:pPr>
      <w:r w:rsidRPr="00C77108">
        <w:rPr>
          <w:rFonts w:ascii="Arial" w:hAnsi="Arial" w:cs="Arial"/>
        </w:rPr>
        <w:t xml:space="preserve">14.  </w:t>
      </w:r>
      <w:r w:rsidRPr="00C77108">
        <w:rPr>
          <w:rFonts w:ascii="Arial" w:hAnsi="Arial" w:cs="Arial"/>
          <w:u w:val="single"/>
        </w:rPr>
        <w:t>Estimated of annualized Federal Government costs</w:t>
      </w:r>
      <w:r w:rsidRPr="00C77108">
        <w:rPr>
          <w:rFonts w:ascii="Arial" w:hAnsi="Arial" w:cs="Arial"/>
        </w:rPr>
        <w:t>.</w:t>
      </w:r>
      <w:r w:rsidR="00D968D1">
        <w:rPr>
          <w:rFonts w:ascii="Arial" w:hAnsi="Arial" w:cs="Arial"/>
        </w:rPr>
        <w:t xml:space="preserve">  </w:t>
      </w:r>
    </w:p>
    <w:p w:rsidRPr="00C77108" w:rsidR="00874039" w:rsidP="00FE5090" w:rsidRDefault="00874039">
      <w:pPr>
        <w:widowControl w:val="0"/>
        <w:tabs>
          <w:tab w:val="left" w:pos="270"/>
          <w:tab w:val="left" w:pos="360"/>
        </w:tabs>
        <w:rPr>
          <w:rFonts w:ascii="Arial" w:hAnsi="Arial" w:cs="Arial"/>
        </w:rPr>
      </w:pPr>
    </w:p>
    <w:p w:rsidRPr="00C77108" w:rsidR="00AE69EF" w:rsidP="00FE5090" w:rsidRDefault="00710164">
      <w:pPr>
        <w:pStyle w:val="BodyText2"/>
        <w:widowControl w:val="0"/>
        <w:rPr>
          <w:rFonts w:ascii="Arial" w:hAnsi="Arial" w:cs="Arial"/>
          <w:sz w:val="20"/>
        </w:rPr>
      </w:pPr>
      <w:r w:rsidRPr="00D968D1">
        <w:rPr>
          <w:rFonts w:ascii="Arial" w:hAnsi="Arial" w:cs="Arial"/>
          <w:sz w:val="20"/>
        </w:rPr>
        <w:t xml:space="preserve">The estimated annual Federal Government cost </w:t>
      </w:r>
      <w:r w:rsidRPr="00EF5978">
        <w:rPr>
          <w:rFonts w:ascii="Arial" w:hAnsi="Arial" w:cs="Arial"/>
          <w:sz w:val="20"/>
        </w:rPr>
        <w:t>is $</w:t>
      </w:r>
      <w:r w:rsidRPr="00EF5978" w:rsidR="00B37410">
        <w:rPr>
          <w:rFonts w:ascii="Arial" w:hAnsi="Arial" w:cs="Arial"/>
          <w:sz w:val="20"/>
        </w:rPr>
        <w:t>7,</w:t>
      </w:r>
      <w:r w:rsidRPr="008961D5" w:rsidR="00D31F56">
        <w:rPr>
          <w:rFonts w:ascii="Arial" w:hAnsi="Arial" w:cs="Arial"/>
          <w:sz w:val="20"/>
        </w:rPr>
        <w:t>914</w:t>
      </w:r>
      <w:r w:rsidRPr="00EF5978">
        <w:rPr>
          <w:rFonts w:ascii="Arial" w:hAnsi="Arial" w:cs="Arial"/>
          <w:sz w:val="20"/>
        </w:rPr>
        <w:t xml:space="preserve"> (see</w:t>
      </w:r>
      <w:r w:rsidRPr="00D968D1">
        <w:rPr>
          <w:rFonts w:ascii="Arial" w:hAnsi="Arial" w:cs="Arial"/>
          <w:sz w:val="20"/>
        </w:rPr>
        <w:t xml:space="preserve"> Appendix B).  </w:t>
      </w:r>
      <w:r w:rsidR="00D968D1">
        <w:rPr>
          <w:rFonts w:ascii="Arial" w:hAnsi="Arial" w:cs="Arial"/>
          <w:sz w:val="20"/>
        </w:rPr>
        <w:t xml:space="preserve">We </w:t>
      </w:r>
      <w:r w:rsidR="00B37410">
        <w:rPr>
          <w:rFonts w:ascii="Arial" w:hAnsi="Arial" w:cs="Arial"/>
          <w:sz w:val="20"/>
        </w:rPr>
        <w:t xml:space="preserve">estimate that it will take a </w:t>
      </w:r>
      <w:r w:rsidRPr="00471158" w:rsidR="00471158">
        <w:rPr>
          <w:rFonts w:ascii="Arial" w:hAnsi="Arial" w:cs="Arial"/>
          <w:sz w:val="20"/>
        </w:rPr>
        <w:t xml:space="preserve">Lieutenant (LT, O-3) </w:t>
      </w:r>
      <w:r w:rsidR="00B37410">
        <w:rPr>
          <w:rFonts w:ascii="Arial" w:hAnsi="Arial" w:cs="Arial"/>
          <w:sz w:val="20"/>
        </w:rPr>
        <w:t xml:space="preserve">about 15 minutes to review a logbook, 30 minutes to review a </w:t>
      </w:r>
      <w:r w:rsidR="00B37410">
        <w:rPr>
          <w:rFonts w:ascii="Arial" w:hAnsi="Arial" w:cs="Arial"/>
          <w:sz w:val="20"/>
        </w:rPr>
        <w:lastRenderedPageBreak/>
        <w:t xml:space="preserve">Participation or Compliance Certification submission, and 2 hours to review a VSSP submission.  </w:t>
      </w:r>
      <w:r w:rsidR="00D968D1">
        <w:rPr>
          <w:rFonts w:ascii="Arial" w:hAnsi="Arial" w:cs="Arial"/>
          <w:sz w:val="20"/>
        </w:rPr>
        <w:t>Also, w</w:t>
      </w:r>
      <w:r>
        <w:rPr>
          <w:rFonts w:ascii="Arial" w:hAnsi="Arial" w:cs="Arial"/>
          <w:sz w:val="20"/>
        </w:rPr>
        <w:t>e assume</w:t>
      </w:r>
      <w:r w:rsidRPr="00C77108" w:rsidR="00AE69EF">
        <w:rPr>
          <w:rFonts w:ascii="Arial" w:hAnsi="Arial" w:cs="Arial"/>
          <w:sz w:val="20"/>
        </w:rPr>
        <w:t xml:space="preserve"> three oversight trips </w:t>
      </w:r>
      <w:r>
        <w:rPr>
          <w:rFonts w:ascii="Arial" w:hAnsi="Arial" w:cs="Arial"/>
          <w:sz w:val="20"/>
        </w:rPr>
        <w:t>are</w:t>
      </w:r>
      <w:r w:rsidRPr="00C77108">
        <w:rPr>
          <w:rFonts w:ascii="Arial" w:hAnsi="Arial" w:cs="Arial"/>
          <w:sz w:val="20"/>
        </w:rPr>
        <w:t xml:space="preserve"> </w:t>
      </w:r>
      <w:r w:rsidRPr="00C77108" w:rsidR="00AE69EF">
        <w:rPr>
          <w:rFonts w:ascii="Arial" w:hAnsi="Arial" w:cs="Arial"/>
          <w:sz w:val="20"/>
        </w:rPr>
        <w:t>made at an approximate cost of $1,000</w:t>
      </w:r>
      <w:r w:rsidR="00D968D1">
        <w:rPr>
          <w:rFonts w:ascii="Arial" w:hAnsi="Arial" w:cs="Arial"/>
          <w:sz w:val="20"/>
        </w:rPr>
        <w:t xml:space="preserve"> each</w:t>
      </w:r>
      <w:r w:rsidRPr="00C77108" w:rsidR="00D968D1">
        <w:rPr>
          <w:rFonts w:ascii="Arial" w:hAnsi="Arial" w:cs="Arial"/>
          <w:sz w:val="20"/>
        </w:rPr>
        <w:t xml:space="preserve"> for Coast Guard members to oversee the sampling effort.  </w:t>
      </w:r>
      <w:r w:rsidRPr="005E68BE" w:rsidR="00B37410">
        <w:rPr>
          <w:rFonts w:ascii="Arial" w:hAnsi="Arial" w:cs="Arial"/>
          <w:sz w:val="20"/>
        </w:rPr>
        <w:t xml:space="preserve">The wage rate shown is in accordance with the current edition of COMDTINST 7310.1(series) for “In-Government” personnel.  </w:t>
      </w:r>
    </w:p>
    <w:p w:rsidRPr="00C77108" w:rsidR="00A1208E" w:rsidP="00FE5090" w:rsidRDefault="00A1208E">
      <w:pPr>
        <w:pStyle w:val="BodyText2"/>
        <w:widowControl w:val="0"/>
        <w:rPr>
          <w:rFonts w:ascii="Arial" w:hAnsi="Arial" w:cs="Arial"/>
          <w:sz w:val="20"/>
        </w:rPr>
      </w:pPr>
    </w:p>
    <w:p w:rsidRPr="00C77108" w:rsidR="00AE69EF" w:rsidP="00FE5090" w:rsidRDefault="00AE69EF">
      <w:pPr>
        <w:widowControl w:val="0"/>
        <w:tabs>
          <w:tab w:val="left" w:pos="270"/>
          <w:tab w:val="left" w:pos="360"/>
        </w:tabs>
        <w:rPr>
          <w:rFonts w:ascii="Arial" w:hAnsi="Arial" w:cs="Arial"/>
        </w:rPr>
      </w:pPr>
      <w:r w:rsidRPr="00C77108">
        <w:rPr>
          <w:rFonts w:ascii="Arial" w:hAnsi="Arial" w:cs="Arial"/>
        </w:rPr>
        <w:t xml:space="preserve">15.  </w:t>
      </w:r>
      <w:r w:rsidRPr="00C77108">
        <w:rPr>
          <w:rFonts w:ascii="Arial" w:hAnsi="Arial" w:cs="Arial"/>
          <w:u w:val="single"/>
        </w:rPr>
        <w:t>Explain the reasons for the change in burden</w:t>
      </w:r>
      <w:r w:rsidRPr="00C77108">
        <w:rPr>
          <w:rFonts w:ascii="Arial" w:hAnsi="Arial" w:cs="Arial"/>
        </w:rPr>
        <w:t>.</w:t>
      </w:r>
      <w:r w:rsidR="00D968D1">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C77108" w:rsidR="00BC141E" w:rsidP="00FE5090" w:rsidRDefault="00BC141E">
      <w:pPr>
        <w:widowControl w:val="0"/>
        <w:autoSpaceDE w:val="0"/>
        <w:autoSpaceDN w:val="0"/>
        <w:adjustRightInd w:val="0"/>
        <w:rPr>
          <w:rFonts w:ascii="Arial" w:hAnsi="Arial" w:cs="Arial"/>
        </w:rPr>
      </w:pPr>
      <w:r w:rsidRPr="00C77108">
        <w:rPr>
          <w:rFonts w:ascii="Arial" w:hAnsi="Arial" w:cs="Arial"/>
        </w:rPr>
        <w:t xml:space="preserve">The </w:t>
      </w:r>
      <w:r w:rsidR="00D31F56">
        <w:rPr>
          <w:rFonts w:ascii="Arial" w:hAnsi="Arial" w:cs="Arial"/>
        </w:rPr>
        <w:t xml:space="preserve">change in </w:t>
      </w:r>
      <w:r w:rsidRPr="00C77108">
        <w:rPr>
          <w:rFonts w:ascii="Arial" w:hAnsi="Arial" w:cs="Arial"/>
        </w:rPr>
        <w:t xml:space="preserve">burden </w:t>
      </w:r>
      <w:r w:rsidR="00D31F56">
        <w:rPr>
          <w:rFonts w:ascii="Arial" w:hAnsi="Arial" w:cs="Arial"/>
        </w:rPr>
        <w:t>(i.e., decrease) is an ADJUSTMENT due to a</w:t>
      </w:r>
      <w:r w:rsidRPr="00D31F56" w:rsidR="00D31F56">
        <w:rPr>
          <w:rFonts w:ascii="Arial" w:hAnsi="Arial" w:cs="Arial"/>
        </w:rPr>
        <w:t xml:space="preserve"> calculation error</w:t>
      </w:r>
      <w:r w:rsidR="00D31F56">
        <w:rPr>
          <w:rStyle w:val="FootnoteReference"/>
          <w:rFonts w:ascii="Arial" w:hAnsi="Arial" w:cs="Arial"/>
        </w:rPr>
        <w:footnoteReference w:id="4"/>
      </w:r>
      <w:r w:rsidRPr="00D31F56" w:rsidR="00D31F56">
        <w:rPr>
          <w:rFonts w:ascii="Arial" w:hAnsi="Arial" w:cs="Arial"/>
        </w:rPr>
        <w:t xml:space="preserve"> made during the last periodic renewal</w:t>
      </w:r>
      <w:r w:rsidR="00D968D1">
        <w:rPr>
          <w:rFonts w:ascii="Arial" w:hAnsi="Arial" w:cs="Arial"/>
        </w:rPr>
        <w:t xml:space="preserve">.  </w:t>
      </w:r>
      <w:r w:rsidRPr="00C77108" w:rsidR="000044BE">
        <w:rPr>
          <w:rFonts w:ascii="Arial" w:hAnsi="Arial" w:cs="Arial"/>
        </w:rPr>
        <w:t xml:space="preserve">The reporting and recordkeeping requirements and the methodology for calculating burden remain unchanged.  </w:t>
      </w:r>
    </w:p>
    <w:p w:rsidRPr="00C77108" w:rsidR="00AE69EF" w:rsidP="00FE5090" w:rsidRDefault="009C6CA6">
      <w:pPr>
        <w:pStyle w:val="BodyText"/>
        <w:widowControl w:val="0"/>
        <w:tabs>
          <w:tab w:val="left" w:pos="360"/>
        </w:tabs>
        <w:jc w:val="left"/>
        <w:rPr>
          <w:rFonts w:ascii="Arial" w:hAnsi="Arial" w:cs="Arial"/>
        </w:rPr>
      </w:pPr>
      <w:r w:rsidRPr="00C77108">
        <w:rPr>
          <w:rFonts w:ascii="Arial" w:hAnsi="Arial" w:cs="Arial"/>
        </w:rPr>
        <w:t xml:space="preserve"> </w:t>
      </w:r>
    </w:p>
    <w:p w:rsidRPr="00C77108" w:rsidR="00AE69EF" w:rsidP="00FE5090" w:rsidRDefault="00AE69EF">
      <w:pPr>
        <w:widowControl w:val="0"/>
        <w:tabs>
          <w:tab w:val="left" w:pos="270"/>
          <w:tab w:val="left" w:pos="540"/>
        </w:tabs>
        <w:ind w:left="450" w:hanging="450"/>
        <w:rPr>
          <w:rFonts w:ascii="Arial" w:hAnsi="Arial" w:cs="Arial"/>
        </w:rPr>
      </w:pPr>
      <w:r w:rsidRPr="00C77108">
        <w:rPr>
          <w:rFonts w:ascii="Arial" w:hAnsi="Arial" w:cs="Arial"/>
        </w:rPr>
        <w:t xml:space="preserve">16.  </w:t>
      </w:r>
      <w:r w:rsidRPr="00D968D1" w:rsidR="00D968D1">
        <w:rPr>
          <w:rFonts w:ascii="Arial" w:hAnsi="Arial" w:cs="Arial"/>
          <w:u w:val="single"/>
        </w:rPr>
        <w:t>Plans for tabulation, statistical analysis, and publication</w:t>
      </w:r>
      <w:r w:rsidRPr="00C77108">
        <w:rPr>
          <w:rFonts w:ascii="Arial" w:hAnsi="Arial" w:cs="Arial"/>
        </w:rPr>
        <w:t>.</w:t>
      </w:r>
      <w:r w:rsidR="00D968D1">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80729">
      <w:pPr>
        <w:widowControl w:val="0"/>
        <w:tabs>
          <w:tab w:val="left" w:pos="270"/>
          <w:tab w:val="left" w:pos="360"/>
        </w:tabs>
        <w:rPr>
          <w:rFonts w:ascii="Arial" w:hAnsi="Arial" w:cs="Arial"/>
        </w:rPr>
      </w:pPr>
      <w:r w:rsidRPr="00C77108">
        <w:rPr>
          <w:rFonts w:ascii="Arial" w:hAnsi="Arial" w:cs="Arial"/>
        </w:rPr>
        <w:t>This information collection will not be published for statistical purposes</w:t>
      </w:r>
      <w:r w:rsidRPr="00C77108" w:rsidR="00AE69EF">
        <w:rPr>
          <w:rFonts w:ascii="Arial" w:hAnsi="Arial" w:cs="Arial"/>
        </w:rPr>
        <w:t>.</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E69EF">
      <w:pPr>
        <w:widowControl w:val="0"/>
        <w:tabs>
          <w:tab w:val="left" w:pos="270"/>
        </w:tabs>
        <w:ind w:left="450" w:hanging="450"/>
        <w:rPr>
          <w:rFonts w:ascii="Arial" w:hAnsi="Arial" w:cs="Arial"/>
        </w:rPr>
      </w:pPr>
      <w:r w:rsidRPr="00C77108">
        <w:rPr>
          <w:rFonts w:ascii="Arial" w:hAnsi="Arial" w:cs="Arial"/>
        </w:rPr>
        <w:t>17</w:t>
      </w:r>
      <w:r w:rsidRPr="00D968D1" w:rsidR="00D968D1">
        <w:t xml:space="preserve"> </w:t>
      </w:r>
      <w:r w:rsidRPr="00D968D1" w:rsidR="00D968D1">
        <w:rPr>
          <w:rFonts w:ascii="Arial" w:hAnsi="Arial" w:cs="Arial"/>
          <w:u w:val="single"/>
        </w:rPr>
        <w:t>Approval for not explaining the expiration date for OMB approval</w:t>
      </w:r>
      <w:r w:rsidRPr="00C77108">
        <w:rPr>
          <w:rFonts w:ascii="Arial" w:hAnsi="Arial" w:cs="Arial"/>
        </w:rPr>
        <w:t>.</w:t>
      </w:r>
      <w:r w:rsidR="00D968D1">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80729">
      <w:pPr>
        <w:pStyle w:val="BodyText"/>
        <w:widowControl w:val="0"/>
        <w:tabs>
          <w:tab w:val="left" w:pos="360"/>
        </w:tabs>
        <w:jc w:val="left"/>
        <w:rPr>
          <w:rFonts w:ascii="Arial" w:hAnsi="Arial" w:cs="Arial"/>
        </w:rPr>
      </w:pPr>
      <w:r w:rsidRPr="00C77108">
        <w:rPr>
          <w:rFonts w:ascii="Arial" w:hAnsi="Arial" w:cs="Arial"/>
        </w:rPr>
        <w:t>The Coast Guard will display the expiration date for OMB approval of this information collection</w:t>
      </w:r>
      <w:r w:rsidRPr="00C77108" w:rsidR="009C6CA6">
        <w:rPr>
          <w:rFonts w:ascii="Arial" w:hAnsi="Arial" w:cs="Arial"/>
        </w:rPr>
        <w:t>.</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E69EF">
      <w:pPr>
        <w:widowControl w:val="0"/>
        <w:tabs>
          <w:tab w:val="left" w:pos="270"/>
          <w:tab w:val="left" w:pos="360"/>
        </w:tabs>
        <w:rPr>
          <w:rFonts w:ascii="Arial" w:hAnsi="Arial" w:cs="Arial"/>
        </w:rPr>
      </w:pPr>
      <w:r w:rsidRPr="00C77108">
        <w:rPr>
          <w:rFonts w:ascii="Arial" w:hAnsi="Arial" w:cs="Arial"/>
        </w:rPr>
        <w:t xml:space="preserve">18.  </w:t>
      </w:r>
      <w:r w:rsidRPr="00C77108">
        <w:rPr>
          <w:rFonts w:ascii="Arial" w:hAnsi="Arial" w:cs="Arial"/>
          <w:u w:val="single"/>
        </w:rPr>
        <w:t>Explain each exception to the certification statement</w:t>
      </w:r>
      <w:r w:rsidRPr="00C77108">
        <w:rPr>
          <w:rFonts w:ascii="Arial" w:hAnsi="Arial" w:cs="Arial"/>
        </w:rPr>
        <w:t>.</w:t>
      </w:r>
      <w:r w:rsidR="00471158">
        <w:rPr>
          <w:rFonts w:ascii="Arial" w:hAnsi="Arial" w:cs="Arial"/>
        </w:rPr>
        <w:t xml:space="preserve">  </w:t>
      </w:r>
    </w:p>
    <w:p w:rsidRPr="00C77108" w:rsidR="00AE69EF" w:rsidP="00FE5090" w:rsidRDefault="00AE69EF">
      <w:pPr>
        <w:widowControl w:val="0"/>
        <w:tabs>
          <w:tab w:val="left" w:pos="270"/>
          <w:tab w:val="left" w:pos="360"/>
        </w:tabs>
        <w:rPr>
          <w:rFonts w:ascii="Arial" w:hAnsi="Arial" w:cs="Arial"/>
        </w:rPr>
      </w:pPr>
    </w:p>
    <w:p w:rsidRPr="00C77108" w:rsidR="00AE69EF" w:rsidP="00FE5090" w:rsidRDefault="00A80729">
      <w:pPr>
        <w:widowControl w:val="0"/>
        <w:tabs>
          <w:tab w:val="left" w:pos="270"/>
          <w:tab w:val="left" w:pos="360"/>
        </w:tabs>
        <w:rPr>
          <w:rFonts w:ascii="Arial" w:hAnsi="Arial" w:cs="Arial"/>
        </w:rPr>
      </w:pPr>
      <w:r w:rsidRPr="00C77108">
        <w:rPr>
          <w:rFonts w:ascii="Arial" w:hAnsi="Arial" w:cs="Arial"/>
        </w:rPr>
        <w:t>The Coast Guard does not request an exception to the certification of this information collection</w:t>
      </w:r>
      <w:r w:rsidRPr="00C77108" w:rsidR="00AE69EF">
        <w:rPr>
          <w:rFonts w:ascii="Arial" w:hAnsi="Arial" w:cs="Arial"/>
        </w:rPr>
        <w:t>.</w:t>
      </w:r>
    </w:p>
    <w:p w:rsidR="00AE69EF" w:rsidP="00FE5090" w:rsidRDefault="00AE69EF">
      <w:pPr>
        <w:widowControl w:val="0"/>
        <w:tabs>
          <w:tab w:val="left" w:pos="270"/>
          <w:tab w:val="left" w:pos="360"/>
        </w:tabs>
        <w:rPr>
          <w:rFonts w:ascii="Arial" w:hAnsi="Arial" w:cs="Arial"/>
        </w:rPr>
      </w:pPr>
    </w:p>
    <w:p w:rsidRPr="00C77108" w:rsidR="00471158" w:rsidP="00FE5090" w:rsidRDefault="00471158">
      <w:pPr>
        <w:widowControl w:val="0"/>
        <w:tabs>
          <w:tab w:val="left" w:pos="270"/>
          <w:tab w:val="left" w:pos="360"/>
        </w:tabs>
        <w:rPr>
          <w:rFonts w:ascii="Arial" w:hAnsi="Arial" w:cs="Arial"/>
        </w:rPr>
      </w:pPr>
    </w:p>
    <w:p w:rsidRPr="00C77108" w:rsidR="00AE69EF" w:rsidP="00FE5090" w:rsidRDefault="00AE69EF">
      <w:pPr>
        <w:widowControl w:val="0"/>
        <w:tabs>
          <w:tab w:val="left" w:pos="0"/>
        </w:tabs>
        <w:jc w:val="both"/>
        <w:rPr>
          <w:rFonts w:ascii="Arial" w:hAnsi="Arial" w:cs="Arial"/>
          <w:b/>
          <w:bCs/>
        </w:rPr>
      </w:pPr>
      <w:r w:rsidRPr="00C77108">
        <w:rPr>
          <w:rFonts w:ascii="Arial" w:hAnsi="Arial" w:cs="Arial"/>
          <w:b/>
          <w:bCs/>
        </w:rPr>
        <w:t>B.  Collection of Information Employing Statistical Methods.</w:t>
      </w:r>
    </w:p>
    <w:p w:rsidRPr="00C77108" w:rsidR="00FE5090" w:rsidP="00FE5090" w:rsidRDefault="00FE5090">
      <w:pPr>
        <w:widowControl w:val="0"/>
        <w:tabs>
          <w:tab w:val="left" w:pos="0"/>
        </w:tabs>
        <w:jc w:val="both"/>
        <w:rPr>
          <w:rFonts w:ascii="Arial" w:hAnsi="Arial" w:cs="Arial"/>
        </w:rPr>
      </w:pPr>
    </w:p>
    <w:p w:rsidRPr="00C77108" w:rsidR="00AE69EF" w:rsidP="00FE5090" w:rsidRDefault="009C6CA6">
      <w:pPr>
        <w:widowControl w:val="0"/>
        <w:tabs>
          <w:tab w:val="left" w:pos="0"/>
        </w:tabs>
        <w:jc w:val="both"/>
        <w:rPr>
          <w:rFonts w:ascii="Arial" w:hAnsi="Arial" w:cs="Arial"/>
        </w:rPr>
      </w:pPr>
      <w:r w:rsidRPr="00C77108">
        <w:rPr>
          <w:rFonts w:ascii="Arial" w:hAnsi="Arial" w:cs="Arial"/>
        </w:rPr>
        <w:t>This information collection does not employ statistical methods.</w:t>
      </w:r>
    </w:p>
    <w:sectPr w:rsidRPr="00C77108" w:rsidR="00AE69EF" w:rsidSect="00FE5090">
      <w:headerReference w:type="default" r:id="rId10"/>
      <w:footerReference w:type="default" r:id="rId11"/>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AC1" w:rsidRDefault="00610AC1">
      <w:r>
        <w:separator/>
      </w:r>
    </w:p>
  </w:endnote>
  <w:endnote w:type="continuationSeparator" w:id="0">
    <w:p w:rsidR="00610AC1" w:rsidRDefault="0061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164" w:rsidRPr="00C77108" w:rsidRDefault="00710164">
    <w:pPr>
      <w:pStyle w:val="Footer"/>
      <w:jc w:val="center"/>
      <w:rPr>
        <w:rFonts w:ascii="Arial" w:hAnsi="Arial" w:cs="Arial"/>
      </w:rPr>
    </w:pPr>
    <w:r w:rsidRPr="00C77108">
      <w:rPr>
        <w:rStyle w:val="PageNumber"/>
        <w:rFonts w:ascii="Arial" w:hAnsi="Arial" w:cs="Arial"/>
      </w:rPr>
      <w:fldChar w:fldCharType="begin"/>
    </w:r>
    <w:r w:rsidRPr="00C77108">
      <w:rPr>
        <w:rStyle w:val="PageNumber"/>
        <w:rFonts w:ascii="Arial" w:hAnsi="Arial" w:cs="Arial"/>
      </w:rPr>
      <w:instrText xml:space="preserve"> PAGE </w:instrText>
    </w:r>
    <w:r w:rsidRPr="00C77108">
      <w:rPr>
        <w:rStyle w:val="PageNumber"/>
        <w:rFonts w:ascii="Arial" w:hAnsi="Arial" w:cs="Arial"/>
      </w:rPr>
      <w:fldChar w:fldCharType="separate"/>
    </w:r>
    <w:r w:rsidR="00E1507F">
      <w:rPr>
        <w:rStyle w:val="PageNumber"/>
        <w:rFonts w:ascii="Arial" w:hAnsi="Arial" w:cs="Arial"/>
        <w:noProof/>
      </w:rPr>
      <w:t>2</w:t>
    </w:r>
    <w:r w:rsidRPr="00C77108">
      <w:rPr>
        <w:rStyle w:val="PageNumber"/>
        <w:rFonts w:ascii="Arial" w:hAnsi="Arial" w:cs="Arial"/>
      </w:rPr>
      <w:fldChar w:fldCharType="end"/>
    </w:r>
    <w:r w:rsidRPr="00C77108">
      <w:rPr>
        <w:rStyle w:val="PageNumber"/>
        <w:rFonts w:ascii="Arial" w:hAnsi="Arial" w:cs="Arial"/>
      </w:rPr>
      <w:t xml:space="preserve"> of </w:t>
    </w:r>
    <w:r w:rsidRPr="00C77108">
      <w:rPr>
        <w:rStyle w:val="PageNumber"/>
        <w:rFonts w:ascii="Arial" w:hAnsi="Arial" w:cs="Arial"/>
      </w:rPr>
      <w:fldChar w:fldCharType="begin"/>
    </w:r>
    <w:r w:rsidRPr="00C77108">
      <w:rPr>
        <w:rStyle w:val="PageNumber"/>
        <w:rFonts w:ascii="Arial" w:hAnsi="Arial" w:cs="Arial"/>
      </w:rPr>
      <w:instrText xml:space="preserve"> NUMPAGES </w:instrText>
    </w:r>
    <w:r w:rsidRPr="00C77108">
      <w:rPr>
        <w:rStyle w:val="PageNumber"/>
        <w:rFonts w:ascii="Arial" w:hAnsi="Arial" w:cs="Arial"/>
      </w:rPr>
      <w:fldChar w:fldCharType="separate"/>
    </w:r>
    <w:r w:rsidR="00E1507F">
      <w:rPr>
        <w:rStyle w:val="PageNumber"/>
        <w:rFonts w:ascii="Arial" w:hAnsi="Arial" w:cs="Arial"/>
        <w:noProof/>
      </w:rPr>
      <w:t>3</w:t>
    </w:r>
    <w:r w:rsidRPr="00C77108">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AC1" w:rsidRDefault="00610AC1">
      <w:r>
        <w:separator/>
      </w:r>
    </w:p>
  </w:footnote>
  <w:footnote w:type="continuationSeparator" w:id="0">
    <w:p w:rsidR="00610AC1" w:rsidRDefault="00610AC1">
      <w:r>
        <w:continuationSeparator/>
      </w:r>
    </w:p>
  </w:footnote>
  <w:footnote w:id="1">
    <w:p w:rsidR="00175EA4" w:rsidRPr="00175EA4" w:rsidRDefault="00175EA4">
      <w:pPr>
        <w:pStyle w:val="FootnoteText"/>
        <w:rPr>
          <w:rFonts w:ascii="Arial" w:hAnsi="Arial" w:cs="Arial"/>
          <w:sz w:val="18"/>
          <w:szCs w:val="18"/>
        </w:rPr>
      </w:pPr>
      <w:r w:rsidRPr="00175EA4">
        <w:rPr>
          <w:rStyle w:val="FootnoteReference"/>
          <w:rFonts w:ascii="Arial" w:hAnsi="Arial" w:cs="Arial"/>
          <w:sz w:val="18"/>
          <w:szCs w:val="18"/>
        </w:rPr>
        <w:footnoteRef/>
      </w:r>
      <w:r w:rsidRPr="00175EA4">
        <w:rPr>
          <w:rFonts w:ascii="Arial" w:hAnsi="Arial" w:cs="Arial"/>
          <w:sz w:val="18"/>
          <w:szCs w:val="18"/>
        </w:rPr>
        <w:t xml:space="preserve">  Title 33 CFR 159, Subpart E  </w:t>
      </w:r>
    </w:p>
  </w:footnote>
  <w:footnote w:id="2">
    <w:p w:rsidR="003C16E7" w:rsidRPr="008961D5" w:rsidRDefault="003C16E7" w:rsidP="003C16E7">
      <w:pPr>
        <w:rPr>
          <w:rFonts w:ascii="Arial" w:hAnsi="Arial" w:cs="Arial"/>
          <w:color w:val="0000FF"/>
          <w:sz w:val="16"/>
          <w:szCs w:val="16"/>
          <w:u w:val="single"/>
        </w:rPr>
      </w:pPr>
      <w:r w:rsidRPr="003C16E7">
        <w:rPr>
          <w:rStyle w:val="FootnoteReference"/>
          <w:rFonts w:ascii="Arial" w:hAnsi="Arial" w:cs="Arial"/>
          <w:sz w:val="16"/>
          <w:szCs w:val="16"/>
        </w:rPr>
        <w:footnoteRef/>
      </w:r>
      <w:r w:rsidRPr="00EF5978">
        <w:rPr>
          <w:rFonts w:ascii="Arial" w:hAnsi="Arial" w:cs="Arial"/>
          <w:sz w:val="16"/>
          <w:szCs w:val="16"/>
        </w:rPr>
        <w:t xml:space="preserve">  </w:t>
      </w:r>
      <w:hyperlink r:id="rId1" w:history="1">
        <w:r w:rsidRPr="008961D5">
          <w:rPr>
            <w:rFonts w:ascii="Arial" w:hAnsi="Arial" w:cs="Arial"/>
            <w:color w:val="0000FF"/>
            <w:sz w:val="16"/>
            <w:szCs w:val="16"/>
            <w:u w:val="single"/>
          </w:rPr>
          <w:t>https://www.bls.gov/oes/2019/may/oes535031.htm</w:t>
        </w:r>
      </w:hyperlink>
      <w:r w:rsidRPr="00EF5978">
        <w:rPr>
          <w:rFonts w:ascii="Arial" w:hAnsi="Arial" w:cs="Arial"/>
          <w:color w:val="0000FF"/>
          <w:sz w:val="16"/>
          <w:szCs w:val="16"/>
          <w:u w:val="single"/>
        </w:rPr>
        <w:t xml:space="preserve">  </w:t>
      </w:r>
    </w:p>
  </w:footnote>
  <w:footnote w:id="3">
    <w:p w:rsidR="003C16E7" w:rsidRPr="008961D5" w:rsidRDefault="003C16E7" w:rsidP="003C16E7">
      <w:pPr>
        <w:rPr>
          <w:rFonts w:ascii="Arial" w:hAnsi="Arial" w:cs="Arial"/>
          <w:color w:val="0000FF"/>
          <w:sz w:val="16"/>
          <w:szCs w:val="16"/>
          <w:u w:val="single"/>
        </w:rPr>
      </w:pPr>
      <w:r w:rsidRPr="00EF5978">
        <w:rPr>
          <w:rStyle w:val="FootnoteReference"/>
          <w:rFonts w:ascii="Arial" w:hAnsi="Arial" w:cs="Arial"/>
          <w:sz w:val="16"/>
          <w:szCs w:val="16"/>
        </w:rPr>
        <w:footnoteRef/>
      </w:r>
      <w:r w:rsidRPr="00EF5978">
        <w:rPr>
          <w:rFonts w:ascii="Arial" w:hAnsi="Arial" w:cs="Arial"/>
          <w:sz w:val="16"/>
          <w:szCs w:val="16"/>
        </w:rPr>
        <w:t xml:space="preserve">  </w:t>
      </w:r>
      <w:hyperlink r:id="rId2" w:anchor="53-0000" w:history="1">
        <w:r w:rsidRPr="008961D5">
          <w:rPr>
            <w:rFonts w:ascii="Arial" w:hAnsi="Arial" w:cs="Arial"/>
            <w:color w:val="0000FF"/>
            <w:sz w:val="16"/>
            <w:szCs w:val="16"/>
            <w:u w:val="single"/>
          </w:rPr>
          <w:t>https://www.bls.gov/oes/2019/may/naics4_483200.htm#53-0000</w:t>
        </w:r>
      </w:hyperlink>
      <w:r w:rsidRPr="00EF5978">
        <w:rPr>
          <w:rFonts w:ascii="Arial" w:hAnsi="Arial" w:cs="Arial"/>
          <w:color w:val="0000FF"/>
          <w:sz w:val="16"/>
          <w:szCs w:val="16"/>
          <w:u w:val="single"/>
        </w:rPr>
        <w:t xml:space="preserve">  </w:t>
      </w:r>
    </w:p>
  </w:footnote>
  <w:footnote w:id="4">
    <w:p w:rsidR="00D31F56" w:rsidRPr="008961D5" w:rsidRDefault="00D31F56">
      <w:pPr>
        <w:pStyle w:val="FootnoteText"/>
        <w:rPr>
          <w:rFonts w:ascii="Arial" w:hAnsi="Arial" w:cs="Arial"/>
          <w:sz w:val="16"/>
          <w:szCs w:val="16"/>
        </w:rPr>
      </w:pPr>
      <w:r w:rsidRPr="008961D5">
        <w:rPr>
          <w:rStyle w:val="FootnoteReference"/>
          <w:rFonts w:ascii="Arial" w:hAnsi="Arial" w:cs="Arial"/>
          <w:sz w:val="16"/>
          <w:szCs w:val="16"/>
        </w:rPr>
        <w:footnoteRef/>
      </w:r>
      <w:r w:rsidRPr="008961D5">
        <w:rPr>
          <w:rFonts w:ascii="Arial" w:hAnsi="Arial" w:cs="Arial"/>
          <w:sz w:val="16"/>
          <w:szCs w:val="16"/>
        </w:rPr>
        <w:t xml:space="preserve">  Specifically the inputs used to calculate the Annual Engineer Hours for the Compliance Certification submission.  </w:t>
      </w:r>
      <w:r>
        <w:rPr>
          <w:rFonts w:ascii="Arial" w:hAnsi="Arial" w:cs="Arial"/>
          <w:sz w:val="16"/>
          <w:szCs w:val="16"/>
        </w:rPr>
        <w:t xml:space="preserve">The Engineers Hours now reads 9; in the last submission it erroneously read 55 hours.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164" w:rsidRPr="00C77108" w:rsidRDefault="00710164">
    <w:pPr>
      <w:pStyle w:val="Header"/>
      <w:rPr>
        <w:rFonts w:ascii="Arial" w:hAnsi="Arial" w:cs="Arial"/>
      </w:rPr>
    </w:pPr>
    <w:r w:rsidRPr="00C77108">
      <w:rPr>
        <w:rFonts w:ascii="Arial" w:hAnsi="Arial" w:cs="Arial"/>
      </w:rPr>
      <w:t>1625-0092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B42"/>
    <w:multiLevelType w:val="hybridMultilevel"/>
    <w:tmpl w:val="0F8AA7A8"/>
    <w:lvl w:ilvl="0" w:tplc="0409000F">
      <w:start w:val="13"/>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 w15:restartNumberingAfterBreak="0">
    <w:nsid w:val="18232F5E"/>
    <w:multiLevelType w:val="hybridMultilevel"/>
    <w:tmpl w:val="4D3EBB0A"/>
    <w:lvl w:ilvl="0" w:tplc="98686BF0">
      <w:start w:val="1"/>
      <w:numFmt w:val="bullet"/>
      <w:lvlText w:val=""/>
      <w:lvlJc w:val="left"/>
      <w:pPr>
        <w:tabs>
          <w:tab w:val="num" w:pos="1728"/>
        </w:tabs>
        <w:ind w:left="1728" w:hanging="504"/>
      </w:pPr>
      <w:rPr>
        <w:rFonts w:ascii="Symbol" w:hAnsi="Symbol" w:hint="default"/>
      </w:rPr>
    </w:lvl>
    <w:lvl w:ilvl="1" w:tplc="04090003" w:tentative="1">
      <w:start w:val="1"/>
      <w:numFmt w:val="bullet"/>
      <w:lvlText w:val="o"/>
      <w:lvlJc w:val="left"/>
      <w:pPr>
        <w:tabs>
          <w:tab w:val="num" w:pos="2358"/>
        </w:tabs>
        <w:ind w:left="2358" w:hanging="360"/>
      </w:pPr>
      <w:rPr>
        <w:rFonts w:ascii="Courier New" w:hAnsi="Courier New" w:hint="default"/>
      </w:rPr>
    </w:lvl>
    <w:lvl w:ilvl="2" w:tplc="04090005" w:tentative="1">
      <w:start w:val="1"/>
      <w:numFmt w:val="bullet"/>
      <w:lvlText w:val=""/>
      <w:lvlJc w:val="left"/>
      <w:pPr>
        <w:tabs>
          <w:tab w:val="num" w:pos="3078"/>
        </w:tabs>
        <w:ind w:left="3078" w:hanging="360"/>
      </w:pPr>
      <w:rPr>
        <w:rFonts w:ascii="Wingdings" w:hAnsi="Wingdings" w:hint="default"/>
      </w:rPr>
    </w:lvl>
    <w:lvl w:ilvl="3" w:tplc="04090001" w:tentative="1">
      <w:start w:val="1"/>
      <w:numFmt w:val="bullet"/>
      <w:lvlText w:val=""/>
      <w:lvlJc w:val="left"/>
      <w:pPr>
        <w:tabs>
          <w:tab w:val="num" w:pos="3798"/>
        </w:tabs>
        <w:ind w:left="3798" w:hanging="360"/>
      </w:pPr>
      <w:rPr>
        <w:rFonts w:ascii="Symbol" w:hAnsi="Symbol" w:hint="default"/>
      </w:rPr>
    </w:lvl>
    <w:lvl w:ilvl="4" w:tplc="04090003" w:tentative="1">
      <w:start w:val="1"/>
      <w:numFmt w:val="bullet"/>
      <w:lvlText w:val="o"/>
      <w:lvlJc w:val="left"/>
      <w:pPr>
        <w:tabs>
          <w:tab w:val="num" w:pos="4518"/>
        </w:tabs>
        <w:ind w:left="4518" w:hanging="360"/>
      </w:pPr>
      <w:rPr>
        <w:rFonts w:ascii="Courier New" w:hAnsi="Courier New" w:hint="default"/>
      </w:rPr>
    </w:lvl>
    <w:lvl w:ilvl="5" w:tplc="04090005" w:tentative="1">
      <w:start w:val="1"/>
      <w:numFmt w:val="bullet"/>
      <w:lvlText w:val=""/>
      <w:lvlJc w:val="left"/>
      <w:pPr>
        <w:tabs>
          <w:tab w:val="num" w:pos="5238"/>
        </w:tabs>
        <w:ind w:left="5238" w:hanging="360"/>
      </w:pPr>
      <w:rPr>
        <w:rFonts w:ascii="Wingdings" w:hAnsi="Wingdings" w:hint="default"/>
      </w:rPr>
    </w:lvl>
    <w:lvl w:ilvl="6" w:tplc="04090001" w:tentative="1">
      <w:start w:val="1"/>
      <w:numFmt w:val="bullet"/>
      <w:lvlText w:val=""/>
      <w:lvlJc w:val="left"/>
      <w:pPr>
        <w:tabs>
          <w:tab w:val="num" w:pos="5958"/>
        </w:tabs>
        <w:ind w:left="5958" w:hanging="360"/>
      </w:pPr>
      <w:rPr>
        <w:rFonts w:ascii="Symbol" w:hAnsi="Symbol" w:hint="default"/>
      </w:rPr>
    </w:lvl>
    <w:lvl w:ilvl="7" w:tplc="04090003" w:tentative="1">
      <w:start w:val="1"/>
      <w:numFmt w:val="bullet"/>
      <w:lvlText w:val="o"/>
      <w:lvlJc w:val="left"/>
      <w:pPr>
        <w:tabs>
          <w:tab w:val="num" w:pos="6678"/>
        </w:tabs>
        <w:ind w:left="6678" w:hanging="360"/>
      </w:pPr>
      <w:rPr>
        <w:rFonts w:ascii="Courier New" w:hAnsi="Courier New" w:hint="default"/>
      </w:rPr>
    </w:lvl>
    <w:lvl w:ilvl="8" w:tplc="04090005" w:tentative="1">
      <w:start w:val="1"/>
      <w:numFmt w:val="bullet"/>
      <w:lvlText w:val=""/>
      <w:lvlJc w:val="left"/>
      <w:pPr>
        <w:tabs>
          <w:tab w:val="num" w:pos="7398"/>
        </w:tabs>
        <w:ind w:left="7398" w:hanging="360"/>
      </w:pPr>
      <w:rPr>
        <w:rFonts w:ascii="Wingdings" w:hAnsi="Wingdings" w:hint="default"/>
      </w:rPr>
    </w:lvl>
  </w:abstractNum>
  <w:abstractNum w:abstractNumId="2" w15:restartNumberingAfterBreak="0">
    <w:nsid w:val="342F39E3"/>
    <w:multiLevelType w:val="hybridMultilevel"/>
    <w:tmpl w:val="E25C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F36C05"/>
    <w:multiLevelType w:val="hybridMultilevel"/>
    <w:tmpl w:val="C57828E0"/>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6264BE"/>
    <w:multiLevelType w:val="hybridMultilevel"/>
    <w:tmpl w:val="2EB08A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2F164C"/>
    <w:multiLevelType w:val="hybridMultilevel"/>
    <w:tmpl w:val="1096A35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395364"/>
    <w:multiLevelType w:val="hybridMultilevel"/>
    <w:tmpl w:val="EB9E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97F7C"/>
    <w:multiLevelType w:val="hybridMultilevel"/>
    <w:tmpl w:val="17D2155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062DA8"/>
    <w:multiLevelType w:val="hybridMultilevel"/>
    <w:tmpl w:val="144AB566"/>
    <w:lvl w:ilvl="0" w:tplc="98CC43B0">
      <w:start w:val="1"/>
      <w:numFmt w:val="upperLetter"/>
      <w:pStyle w:val="Heading2"/>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936D1E"/>
    <w:multiLevelType w:val="hybridMultilevel"/>
    <w:tmpl w:val="F2820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387F9F"/>
    <w:multiLevelType w:val="hybridMultilevel"/>
    <w:tmpl w:val="49301A92"/>
    <w:lvl w:ilvl="0" w:tplc="00564B94">
      <w:start w:val="1"/>
      <w:numFmt w:val="bullet"/>
      <w:lvlText w:val=""/>
      <w:lvlJc w:val="left"/>
      <w:pPr>
        <w:tabs>
          <w:tab w:val="num" w:pos="1728"/>
        </w:tabs>
        <w:ind w:left="1728" w:hanging="504"/>
      </w:pPr>
      <w:rPr>
        <w:rFonts w:ascii="Symbol" w:hAnsi="Symbol" w:hint="default"/>
      </w:rPr>
    </w:lvl>
    <w:lvl w:ilvl="1" w:tplc="98686BF0">
      <w:start w:val="1"/>
      <w:numFmt w:val="bullet"/>
      <w:lvlText w:val=""/>
      <w:lvlJc w:val="left"/>
      <w:pPr>
        <w:tabs>
          <w:tab w:val="num" w:pos="2502"/>
        </w:tabs>
        <w:ind w:left="2502" w:hanging="504"/>
      </w:pPr>
      <w:rPr>
        <w:rFonts w:ascii="Symbol" w:hAnsi="Symbol" w:hint="default"/>
      </w:rPr>
    </w:lvl>
    <w:lvl w:ilvl="2" w:tplc="04090005" w:tentative="1">
      <w:start w:val="1"/>
      <w:numFmt w:val="bullet"/>
      <w:lvlText w:val=""/>
      <w:lvlJc w:val="left"/>
      <w:pPr>
        <w:tabs>
          <w:tab w:val="num" w:pos="3078"/>
        </w:tabs>
        <w:ind w:left="3078" w:hanging="360"/>
      </w:pPr>
      <w:rPr>
        <w:rFonts w:ascii="Wingdings" w:hAnsi="Wingdings" w:hint="default"/>
      </w:rPr>
    </w:lvl>
    <w:lvl w:ilvl="3" w:tplc="04090001" w:tentative="1">
      <w:start w:val="1"/>
      <w:numFmt w:val="bullet"/>
      <w:lvlText w:val=""/>
      <w:lvlJc w:val="left"/>
      <w:pPr>
        <w:tabs>
          <w:tab w:val="num" w:pos="3798"/>
        </w:tabs>
        <w:ind w:left="3798" w:hanging="360"/>
      </w:pPr>
      <w:rPr>
        <w:rFonts w:ascii="Symbol" w:hAnsi="Symbol" w:hint="default"/>
      </w:rPr>
    </w:lvl>
    <w:lvl w:ilvl="4" w:tplc="04090003" w:tentative="1">
      <w:start w:val="1"/>
      <w:numFmt w:val="bullet"/>
      <w:lvlText w:val="o"/>
      <w:lvlJc w:val="left"/>
      <w:pPr>
        <w:tabs>
          <w:tab w:val="num" w:pos="4518"/>
        </w:tabs>
        <w:ind w:left="4518" w:hanging="360"/>
      </w:pPr>
      <w:rPr>
        <w:rFonts w:ascii="Courier New" w:hAnsi="Courier New" w:hint="default"/>
      </w:rPr>
    </w:lvl>
    <w:lvl w:ilvl="5" w:tplc="04090005" w:tentative="1">
      <w:start w:val="1"/>
      <w:numFmt w:val="bullet"/>
      <w:lvlText w:val=""/>
      <w:lvlJc w:val="left"/>
      <w:pPr>
        <w:tabs>
          <w:tab w:val="num" w:pos="5238"/>
        </w:tabs>
        <w:ind w:left="5238" w:hanging="360"/>
      </w:pPr>
      <w:rPr>
        <w:rFonts w:ascii="Wingdings" w:hAnsi="Wingdings" w:hint="default"/>
      </w:rPr>
    </w:lvl>
    <w:lvl w:ilvl="6" w:tplc="04090001" w:tentative="1">
      <w:start w:val="1"/>
      <w:numFmt w:val="bullet"/>
      <w:lvlText w:val=""/>
      <w:lvlJc w:val="left"/>
      <w:pPr>
        <w:tabs>
          <w:tab w:val="num" w:pos="5958"/>
        </w:tabs>
        <w:ind w:left="5958" w:hanging="360"/>
      </w:pPr>
      <w:rPr>
        <w:rFonts w:ascii="Symbol" w:hAnsi="Symbol" w:hint="default"/>
      </w:rPr>
    </w:lvl>
    <w:lvl w:ilvl="7" w:tplc="04090003" w:tentative="1">
      <w:start w:val="1"/>
      <w:numFmt w:val="bullet"/>
      <w:lvlText w:val="o"/>
      <w:lvlJc w:val="left"/>
      <w:pPr>
        <w:tabs>
          <w:tab w:val="num" w:pos="6678"/>
        </w:tabs>
        <w:ind w:left="6678" w:hanging="360"/>
      </w:pPr>
      <w:rPr>
        <w:rFonts w:ascii="Courier New" w:hAnsi="Courier New" w:hint="default"/>
      </w:rPr>
    </w:lvl>
    <w:lvl w:ilvl="8" w:tplc="04090005" w:tentative="1">
      <w:start w:val="1"/>
      <w:numFmt w:val="bullet"/>
      <w:lvlText w:val=""/>
      <w:lvlJc w:val="left"/>
      <w:pPr>
        <w:tabs>
          <w:tab w:val="num" w:pos="7398"/>
        </w:tabs>
        <w:ind w:left="7398" w:hanging="360"/>
      </w:pPr>
      <w:rPr>
        <w:rFonts w:ascii="Wingdings" w:hAnsi="Wingdings" w:hint="default"/>
      </w:rPr>
    </w:lvl>
  </w:abstractNum>
  <w:abstractNum w:abstractNumId="12" w15:restartNumberingAfterBreak="0">
    <w:nsid w:val="634E6CC2"/>
    <w:multiLevelType w:val="hybridMultilevel"/>
    <w:tmpl w:val="F3CEE626"/>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9758D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6"/>
  </w:num>
  <w:num w:numId="5">
    <w:abstractNumId w:val="5"/>
  </w:num>
  <w:num w:numId="6">
    <w:abstractNumId w:val="0"/>
  </w:num>
  <w:num w:numId="7">
    <w:abstractNumId w:val="3"/>
  </w:num>
  <w:num w:numId="8">
    <w:abstractNumId w:val="13"/>
  </w:num>
  <w:num w:numId="9">
    <w:abstractNumId w:val="12"/>
  </w:num>
  <w:num w:numId="10">
    <w:abstractNumId w:val="8"/>
  </w:num>
  <w:num w:numId="11">
    <w:abstractNumId w:val="11"/>
  </w:num>
  <w:num w:numId="12">
    <w:abstractNumId w:val="1"/>
  </w:num>
  <w:num w:numId="13">
    <w:abstractNumId w:val="7"/>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9EF"/>
    <w:rsid w:val="000044BE"/>
    <w:rsid w:val="0008248C"/>
    <w:rsid w:val="000B07B3"/>
    <w:rsid w:val="000D22EA"/>
    <w:rsid w:val="00103BCD"/>
    <w:rsid w:val="00104643"/>
    <w:rsid w:val="00130A65"/>
    <w:rsid w:val="00175EA4"/>
    <w:rsid w:val="0019353B"/>
    <w:rsid w:val="001A40C3"/>
    <w:rsid w:val="001D18BF"/>
    <w:rsid w:val="001E43CE"/>
    <w:rsid w:val="001F6E44"/>
    <w:rsid w:val="00246716"/>
    <w:rsid w:val="0028225F"/>
    <w:rsid w:val="00331D04"/>
    <w:rsid w:val="003C16E7"/>
    <w:rsid w:val="0040110A"/>
    <w:rsid w:val="00424D4A"/>
    <w:rsid w:val="00443E13"/>
    <w:rsid w:val="00450A67"/>
    <w:rsid w:val="00455134"/>
    <w:rsid w:val="004641C8"/>
    <w:rsid w:val="00471158"/>
    <w:rsid w:val="004B7FF1"/>
    <w:rsid w:val="004D58D3"/>
    <w:rsid w:val="0054283D"/>
    <w:rsid w:val="00610AC1"/>
    <w:rsid w:val="006401C6"/>
    <w:rsid w:val="00652905"/>
    <w:rsid w:val="00673B18"/>
    <w:rsid w:val="00674057"/>
    <w:rsid w:val="006976C2"/>
    <w:rsid w:val="006E36FB"/>
    <w:rsid w:val="00706443"/>
    <w:rsid w:val="00710164"/>
    <w:rsid w:val="0073033B"/>
    <w:rsid w:val="007A5287"/>
    <w:rsid w:val="007C0ECB"/>
    <w:rsid w:val="007C512C"/>
    <w:rsid w:val="007E0AAB"/>
    <w:rsid w:val="00822B04"/>
    <w:rsid w:val="00837F26"/>
    <w:rsid w:val="00845C42"/>
    <w:rsid w:val="00874039"/>
    <w:rsid w:val="00874B12"/>
    <w:rsid w:val="008815C2"/>
    <w:rsid w:val="008961D5"/>
    <w:rsid w:val="008B4E9D"/>
    <w:rsid w:val="008B6907"/>
    <w:rsid w:val="008B7922"/>
    <w:rsid w:val="008D7C90"/>
    <w:rsid w:val="009045A3"/>
    <w:rsid w:val="009605F2"/>
    <w:rsid w:val="009C6CA6"/>
    <w:rsid w:val="009F76FE"/>
    <w:rsid w:val="00A1208E"/>
    <w:rsid w:val="00A329A1"/>
    <w:rsid w:val="00A3540D"/>
    <w:rsid w:val="00A5798F"/>
    <w:rsid w:val="00A70082"/>
    <w:rsid w:val="00A80729"/>
    <w:rsid w:val="00AE69EF"/>
    <w:rsid w:val="00B37410"/>
    <w:rsid w:val="00B47054"/>
    <w:rsid w:val="00B67500"/>
    <w:rsid w:val="00BA2F38"/>
    <w:rsid w:val="00BC141E"/>
    <w:rsid w:val="00C035D4"/>
    <w:rsid w:val="00C30664"/>
    <w:rsid w:val="00C74F87"/>
    <w:rsid w:val="00C77108"/>
    <w:rsid w:val="00C9787E"/>
    <w:rsid w:val="00D02E1A"/>
    <w:rsid w:val="00D11FEB"/>
    <w:rsid w:val="00D31F56"/>
    <w:rsid w:val="00D42D32"/>
    <w:rsid w:val="00D471B2"/>
    <w:rsid w:val="00D50ED4"/>
    <w:rsid w:val="00D515A6"/>
    <w:rsid w:val="00D968D1"/>
    <w:rsid w:val="00E1507F"/>
    <w:rsid w:val="00E2123C"/>
    <w:rsid w:val="00E64D19"/>
    <w:rsid w:val="00EC5A11"/>
    <w:rsid w:val="00EF2F1D"/>
    <w:rsid w:val="00EF5978"/>
    <w:rsid w:val="00F506AF"/>
    <w:rsid w:val="00FA2227"/>
    <w:rsid w:val="00FA570C"/>
    <w:rsid w:val="00FB5176"/>
    <w:rsid w:val="00FD2336"/>
    <w:rsid w:val="00FE5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7BF98"/>
  <w15:chartTrackingRefBased/>
  <w15:docId w15:val="{5783A629-4D83-4710-86E7-26A9E768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643"/>
    <w:rPr>
      <w:rFonts w:ascii="Courier" w:hAnsi="Courier"/>
    </w:rPr>
  </w:style>
  <w:style w:type="paragraph" w:styleId="Heading1">
    <w:name w:val="heading 1"/>
    <w:basedOn w:val="Normal"/>
    <w:next w:val="Normal"/>
    <w:qFormat/>
    <w:rsid w:val="00104643"/>
    <w:pPr>
      <w:keepNext/>
      <w:tabs>
        <w:tab w:val="left" w:pos="270"/>
        <w:tab w:val="left" w:pos="360"/>
      </w:tabs>
      <w:jc w:val="both"/>
      <w:outlineLvl w:val="0"/>
    </w:pPr>
    <w:rPr>
      <w:rFonts w:ascii="Times New Roman" w:hAnsi="Times New Roman"/>
      <w:u w:val="single"/>
    </w:rPr>
  </w:style>
  <w:style w:type="paragraph" w:styleId="Heading2">
    <w:name w:val="heading 2"/>
    <w:basedOn w:val="Normal"/>
    <w:next w:val="Normal"/>
    <w:qFormat/>
    <w:rsid w:val="00104643"/>
    <w:pPr>
      <w:keepNext/>
      <w:numPr>
        <w:numId w:val="1"/>
      </w:numPr>
      <w:tabs>
        <w:tab w:val="clear" w:pos="720"/>
        <w:tab w:val="num" w:pos="90"/>
        <w:tab w:val="left" w:pos="270"/>
        <w:tab w:val="left" w:pos="360"/>
      </w:tabs>
      <w:ind w:left="0" w:firstLine="0"/>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04643"/>
    <w:pPr>
      <w:jc w:val="center"/>
    </w:pPr>
    <w:rPr>
      <w:rFonts w:ascii="Times New Roman" w:hAnsi="Times New Roman"/>
      <w:sz w:val="24"/>
    </w:rPr>
  </w:style>
  <w:style w:type="paragraph" w:styleId="BodyText">
    <w:name w:val="Body Text"/>
    <w:basedOn w:val="Normal"/>
    <w:rsid w:val="00104643"/>
    <w:pPr>
      <w:tabs>
        <w:tab w:val="left" w:pos="270"/>
      </w:tabs>
      <w:jc w:val="both"/>
    </w:pPr>
    <w:rPr>
      <w:rFonts w:ascii="Times New Roman" w:hAnsi="Times New Roman"/>
    </w:rPr>
  </w:style>
  <w:style w:type="paragraph" w:styleId="Header">
    <w:name w:val="header"/>
    <w:basedOn w:val="Normal"/>
    <w:rsid w:val="00104643"/>
    <w:pPr>
      <w:tabs>
        <w:tab w:val="center" w:pos="4320"/>
        <w:tab w:val="right" w:pos="8640"/>
      </w:tabs>
    </w:pPr>
  </w:style>
  <w:style w:type="paragraph" w:styleId="Footer">
    <w:name w:val="footer"/>
    <w:basedOn w:val="Normal"/>
    <w:rsid w:val="00104643"/>
    <w:pPr>
      <w:tabs>
        <w:tab w:val="center" w:pos="4320"/>
        <w:tab w:val="right" w:pos="8640"/>
      </w:tabs>
    </w:pPr>
  </w:style>
  <w:style w:type="character" w:styleId="PageNumber">
    <w:name w:val="page number"/>
    <w:basedOn w:val="DefaultParagraphFont"/>
    <w:rsid w:val="00104643"/>
  </w:style>
  <w:style w:type="paragraph" w:styleId="BodyText2">
    <w:name w:val="Body Text 2"/>
    <w:basedOn w:val="Normal"/>
    <w:rsid w:val="00104643"/>
    <w:pPr>
      <w:autoSpaceDE w:val="0"/>
      <w:autoSpaceDN w:val="0"/>
      <w:adjustRightInd w:val="0"/>
    </w:pPr>
    <w:rPr>
      <w:rFonts w:ascii="Times New Roman" w:hAnsi="Times New Roman"/>
      <w:sz w:val="24"/>
    </w:rPr>
  </w:style>
  <w:style w:type="paragraph" w:customStyle="1" w:styleId="TxBrp5">
    <w:name w:val="TxBr_p5"/>
    <w:basedOn w:val="Normal"/>
    <w:rsid w:val="00FD2336"/>
    <w:pPr>
      <w:widowControl w:val="0"/>
      <w:tabs>
        <w:tab w:val="left" w:pos="663"/>
        <w:tab w:val="left" w:pos="1286"/>
      </w:tabs>
      <w:spacing w:line="238" w:lineRule="atLeast"/>
      <w:ind w:left="828"/>
    </w:pPr>
    <w:rPr>
      <w:rFonts w:ascii="Times New Roman" w:hAnsi="Times New Roman"/>
      <w:sz w:val="24"/>
    </w:rPr>
  </w:style>
  <w:style w:type="paragraph" w:customStyle="1" w:styleId="TxBrp6">
    <w:name w:val="TxBr_p6"/>
    <w:basedOn w:val="Normal"/>
    <w:rsid w:val="00FD2336"/>
    <w:pPr>
      <w:widowControl w:val="0"/>
      <w:spacing w:line="238" w:lineRule="atLeast"/>
      <w:ind w:left="828"/>
    </w:pPr>
    <w:rPr>
      <w:rFonts w:ascii="Times New Roman" w:hAnsi="Times New Roman"/>
      <w:sz w:val="24"/>
    </w:rPr>
  </w:style>
  <w:style w:type="paragraph" w:styleId="BalloonText">
    <w:name w:val="Balloon Text"/>
    <w:basedOn w:val="Normal"/>
    <w:link w:val="BalloonTextChar"/>
    <w:rsid w:val="00D471B2"/>
    <w:rPr>
      <w:rFonts w:ascii="Tahoma" w:hAnsi="Tahoma" w:cs="Tahoma"/>
      <w:sz w:val="16"/>
      <w:szCs w:val="16"/>
    </w:rPr>
  </w:style>
  <w:style w:type="character" w:customStyle="1" w:styleId="BalloonTextChar">
    <w:name w:val="Balloon Text Char"/>
    <w:basedOn w:val="DefaultParagraphFont"/>
    <w:link w:val="BalloonText"/>
    <w:rsid w:val="00D471B2"/>
    <w:rPr>
      <w:rFonts w:ascii="Tahoma" w:hAnsi="Tahoma" w:cs="Tahoma"/>
      <w:sz w:val="16"/>
      <w:szCs w:val="16"/>
    </w:rPr>
  </w:style>
  <w:style w:type="paragraph" w:customStyle="1" w:styleId="p10">
    <w:name w:val="p10"/>
    <w:basedOn w:val="Normal"/>
    <w:rsid w:val="007C0ECB"/>
    <w:pPr>
      <w:widowControl w:val="0"/>
      <w:tabs>
        <w:tab w:val="left" w:pos="760"/>
      </w:tabs>
      <w:spacing w:line="240" w:lineRule="atLeast"/>
    </w:pPr>
    <w:rPr>
      <w:rFonts w:ascii="Times" w:hAnsi="Times"/>
      <w:sz w:val="24"/>
    </w:rPr>
  </w:style>
  <w:style w:type="paragraph" w:styleId="FootnoteText">
    <w:name w:val="footnote text"/>
    <w:basedOn w:val="Normal"/>
    <w:link w:val="FootnoteTextChar"/>
    <w:rsid w:val="00175EA4"/>
  </w:style>
  <w:style w:type="character" w:customStyle="1" w:styleId="FootnoteTextChar">
    <w:name w:val="Footnote Text Char"/>
    <w:basedOn w:val="DefaultParagraphFont"/>
    <w:link w:val="FootnoteText"/>
    <w:rsid w:val="00175EA4"/>
    <w:rPr>
      <w:rFonts w:ascii="Courier" w:hAnsi="Courier"/>
    </w:rPr>
  </w:style>
  <w:style w:type="character" w:styleId="FootnoteReference">
    <w:name w:val="footnote reference"/>
    <w:basedOn w:val="DefaultParagraphFont"/>
    <w:rsid w:val="00175EA4"/>
    <w:rPr>
      <w:vertAlign w:val="superscript"/>
    </w:rPr>
  </w:style>
  <w:style w:type="character" w:styleId="Hyperlink">
    <w:name w:val="Hyperlink"/>
    <w:basedOn w:val="DefaultParagraphFont"/>
    <w:rsid w:val="00FE50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95620">
      <w:bodyDiv w:val="1"/>
      <w:marLeft w:val="0"/>
      <w:marRight w:val="0"/>
      <w:marTop w:val="0"/>
      <w:marBottom w:val="0"/>
      <w:divBdr>
        <w:top w:val="none" w:sz="0" w:space="0" w:color="auto"/>
        <w:left w:val="none" w:sz="0" w:space="0" w:color="auto"/>
        <w:bottom w:val="none" w:sz="0" w:space="0" w:color="auto"/>
        <w:right w:val="none" w:sz="0" w:space="0" w:color="auto"/>
      </w:divBdr>
    </w:div>
    <w:div w:id="797720864">
      <w:bodyDiv w:val="1"/>
      <w:marLeft w:val="0"/>
      <w:marRight w:val="0"/>
      <w:marTop w:val="0"/>
      <w:marBottom w:val="0"/>
      <w:divBdr>
        <w:top w:val="none" w:sz="0" w:space="0" w:color="auto"/>
        <w:left w:val="none" w:sz="0" w:space="0" w:color="auto"/>
        <w:bottom w:val="none" w:sz="0" w:space="0" w:color="auto"/>
        <w:right w:val="none" w:sz="0" w:space="0" w:color="auto"/>
      </w:divBdr>
    </w:div>
    <w:div w:id="198858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sites/default/files/publications/privacy_pia_uscg_mis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docket.access.gpo.gov/2009/E9-14906.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2019/may/naics4_483200.htm" TargetMode="External"/><Relationship Id="rId1" Type="http://schemas.openxmlformats.org/officeDocument/2006/relationships/hyperlink" Target="https://www.bls.gov/oes/2019/may/oes535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55469D-97A0-4770-BA25-D4236CB39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1358</Words>
  <Characters>8048</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United States Coast Guard</Company>
  <LinksUpToDate>false</LinksUpToDate>
  <CharactersWithSpaces>9388</CharactersWithSpaces>
  <SharedDoc>false</SharedDoc>
  <HLinks>
    <vt:vector size="12" baseType="variant">
      <vt:variant>
        <vt:i4>5767175</vt:i4>
      </vt:variant>
      <vt:variant>
        <vt:i4>3</vt:i4>
      </vt:variant>
      <vt:variant>
        <vt:i4>0</vt:i4>
      </vt:variant>
      <vt:variant>
        <vt:i4>5</vt:i4>
      </vt:variant>
      <vt:variant>
        <vt:lpwstr>https://www.gpo.gov/fdsys/pkg/FR-2009-06-25/html/E9-14906.htm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JBeamon</dc:creator>
  <cp:keywords/>
  <cp:lastModifiedBy>Craig, Albert L CIV</cp:lastModifiedBy>
  <cp:revision>2</cp:revision>
  <cp:lastPrinted>2017-09-18T18:44:00Z</cp:lastPrinted>
  <dcterms:created xsi:type="dcterms:W3CDTF">2021-03-23T14:56:00Z</dcterms:created>
  <dcterms:modified xsi:type="dcterms:W3CDTF">2021-03-23T14:56:00Z</dcterms:modified>
</cp:coreProperties>
</file>