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61" w:rsidRDefault="007D0361" w14:paraId="63808535" w14:textId="77777777">
      <w:pPr>
        <w:tabs>
          <w:tab w:val="center" w:pos="4824"/>
        </w:tabs>
        <w:rPr>
          <w:rFonts w:ascii="Arial" w:hAnsi="Arial"/>
          <w:b/>
          <w:sz w:val="28"/>
        </w:rPr>
      </w:pPr>
      <w:r>
        <w:rPr>
          <w:rFonts w:ascii="Arial" w:hAnsi="Arial"/>
          <w:b/>
          <w:sz w:val="28"/>
        </w:rPr>
        <w:tab/>
        <w:t>Supporting Statement</w:t>
      </w:r>
    </w:p>
    <w:p w:rsidR="007D0361" w:rsidRDefault="007D0361" w14:paraId="548331D2" w14:textId="77777777">
      <w:pPr>
        <w:tabs>
          <w:tab w:val="center" w:pos="4824"/>
        </w:tabs>
        <w:rPr>
          <w:rFonts w:ascii="Arial" w:hAnsi="Arial"/>
          <w:b/>
          <w:sz w:val="28"/>
        </w:rPr>
      </w:pPr>
      <w:r>
        <w:rPr>
          <w:rFonts w:ascii="Arial" w:hAnsi="Arial"/>
          <w:b/>
          <w:sz w:val="28"/>
        </w:rPr>
        <w:tab/>
        <w:t xml:space="preserve">Vessel Entrance or Clearance Statement </w:t>
      </w:r>
    </w:p>
    <w:p w:rsidR="007D0361" w:rsidRDefault="007D0361" w14:paraId="481B30E3" w14:textId="77777777">
      <w:pPr>
        <w:tabs>
          <w:tab w:val="center" w:pos="4824"/>
        </w:tabs>
        <w:rPr>
          <w:rFonts w:ascii="Arial" w:hAnsi="Arial"/>
          <w:b/>
          <w:sz w:val="28"/>
        </w:rPr>
      </w:pPr>
      <w:r>
        <w:rPr>
          <w:rFonts w:ascii="Arial" w:hAnsi="Arial"/>
          <w:b/>
          <w:sz w:val="28"/>
        </w:rPr>
        <w:tab/>
        <w:t>1651-001</w:t>
      </w:r>
      <w:r w:rsidR="00720529">
        <w:rPr>
          <w:rFonts w:ascii="Arial" w:hAnsi="Arial"/>
          <w:b/>
          <w:sz w:val="28"/>
        </w:rPr>
        <w:t>9</w:t>
      </w:r>
    </w:p>
    <w:p w:rsidR="003F1480" w:rsidP="003F1480" w:rsidRDefault="003F1480" w14:paraId="562F4802" w14:textId="77777777">
      <w:pPr>
        <w:rPr>
          <w:rFonts w:ascii="Arial" w:hAnsi="Arial" w:cs="Arial"/>
          <w:b/>
        </w:rPr>
      </w:pPr>
    </w:p>
    <w:p w:rsidRPr="006F0AEE" w:rsidR="003F1480" w:rsidP="003F1480" w:rsidRDefault="003F1480" w14:paraId="6EEA62DE" w14:textId="77777777">
      <w:pPr>
        <w:rPr>
          <w:rFonts w:ascii="Arial" w:hAnsi="Arial" w:cs="Arial"/>
          <w:b/>
        </w:rPr>
      </w:pPr>
      <w:r>
        <w:rPr>
          <w:rFonts w:ascii="Arial" w:hAnsi="Arial" w:cs="Arial"/>
          <w:b/>
        </w:rPr>
        <w:t xml:space="preserve">A.  </w:t>
      </w:r>
      <w:r w:rsidRPr="006F0AEE">
        <w:rPr>
          <w:rFonts w:ascii="Arial" w:hAnsi="Arial" w:cs="Arial"/>
          <w:b/>
        </w:rPr>
        <w:t>Justification:</w:t>
      </w:r>
    </w:p>
    <w:p w:rsidRPr="006F0AEE" w:rsidR="003F1480" w:rsidP="003F1480" w:rsidRDefault="003F1480" w14:paraId="30DFDF4D" w14:textId="77777777"/>
    <w:p w:rsidR="00101E1C" w:rsidP="00101E1C" w:rsidRDefault="00101E1C" w14:paraId="1786622B" w14:textId="77777777">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Pr>
          <w:rFonts w:ascii="Arial" w:hAnsi="Arial" w:cs="Arial"/>
          <w:b/>
          <w:bCs/>
          <w:szCs w:val="24"/>
        </w:rPr>
        <w:t>t</w:t>
      </w:r>
      <w:r w:rsidRPr="00C47181">
        <w:rPr>
          <w:rFonts w:ascii="Arial" w:hAnsi="Arial" w:cs="Arial"/>
          <w:b/>
          <w:bCs/>
          <w:szCs w:val="24"/>
        </w:rPr>
        <w:t>e and regulation mandating or authorizing the collection of information.</w:t>
      </w:r>
    </w:p>
    <w:p w:rsidR="00C82FFA" w:rsidP="007D0361" w:rsidRDefault="00C82FFA" w14:paraId="5C3689CB" w14:textId="77777777">
      <w:pPr>
        <w:tabs>
          <w:tab w:val="left" w:pos="-1440"/>
        </w:tabs>
        <w:ind w:left="720" w:hanging="720"/>
        <w:jc w:val="both"/>
        <w:rPr>
          <w:rFonts w:ascii="Arial" w:hAnsi="Arial"/>
          <w:b/>
          <w:color w:val="FF0000"/>
        </w:rPr>
      </w:pPr>
    </w:p>
    <w:p w:rsidRPr="00C82FFA" w:rsidR="00B51EE7" w:rsidP="007D0361" w:rsidRDefault="003F1480" w14:paraId="186530F8" w14:textId="787C863B">
      <w:pPr>
        <w:tabs>
          <w:tab w:val="left" w:pos="-1440"/>
        </w:tabs>
        <w:ind w:left="720" w:hanging="720"/>
        <w:jc w:val="both"/>
        <w:rPr>
          <w:rFonts w:ascii="Arial" w:hAnsi="Arial"/>
        </w:rPr>
      </w:pPr>
      <w:r>
        <w:rPr>
          <w:rFonts w:ascii="Arial" w:hAnsi="Arial"/>
        </w:rPr>
        <w:tab/>
      </w:r>
      <w:r w:rsidRPr="00C82FFA" w:rsidR="007D0361">
        <w:rPr>
          <w:rFonts w:ascii="Arial" w:hAnsi="Arial"/>
        </w:rPr>
        <w:t>CBP Form</w:t>
      </w:r>
      <w:r w:rsidRPr="00C82FFA" w:rsidR="00E87256">
        <w:rPr>
          <w:rFonts w:ascii="Arial" w:hAnsi="Arial"/>
        </w:rPr>
        <w:t xml:space="preserve"> </w:t>
      </w:r>
      <w:r w:rsidRPr="00C82FFA" w:rsidR="007D0361">
        <w:rPr>
          <w:rFonts w:ascii="Arial" w:hAnsi="Arial"/>
        </w:rPr>
        <w:t xml:space="preserve">1300, </w:t>
      </w:r>
      <w:r w:rsidRPr="00C82FFA" w:rsidR="007D0361">
        <w:rPr>
          <w:rFonts w:ascii="Arial" w:hAnsi="Arial"/>
          <w:i/>
        </w:rPr>
        <w:t>Vessel Entrance or Clearance Statement</w:t>
      </w:r>
      <w:r w:rsidRPr="00C82FFA" w:rsidR="007D0361">
        <w:rPr>
          <w:rFonts w:ascii="Arial" w:hAnsi="Arial"/>
        </w:rPr>
        <w:t xml:space="preserve">, was developed through agreement by the United Nations Intergovernmental Maritime Organization (IMO) in conjunction with the United States and various other countries. The form was developed as a single form to replace the numerous </w:t>
      </w:r>
      <w:r w:rsidRPr="00C82FFA" w:rsidR="00713E94">
        <w:rPr>
          <w:rFonts w:ascii="Arial" w:hAnsi="Arial"/>
        </w:rPr>
        <w:t>other</w:t>
      </w:r>
      <w:r w:rsidRPr="00C82FFA" w:rsidR="007D0361">
        <w:rPr>
          <w:rFonts w:ascii="Arial" w:hAnsi="Arial"/>
        </w:rPr>
        <w:t xml:space="preserve"> forms used by various countries for the entrance and clearance of vessels</w:t>
      </w:r>
      <w:r w:rsidRPr="00C82FFA" w:rsidR="00010F86">
        <w:rPr>
          <w:rFonts w:ascii="Arial" w:hAnsi="Arial"/>
        </w:rPr>
        <w:t xml:space="preserve">.  CBP Form 1300 is authorized by </w:t>
      </w:r>
      <w:r w:rsidRPr="00C82FFA" w:rsidR="007D0361">
        <w:rPr>
          <w:rFonts w:ascii="Arial" w:hAnsi="Arial"/>
        </w:rPr>
        <w:t>19 U.S.C. 1431, 1433, and 1434</w:t>
      </w:r>
      <w:r w:rsidRPr="00C82FFA" w:rsidR="00010F86">
        <w:rPr>
          <w:rFonts w:ascii="Arial" w:hAnsi="Arial"/>
        </w:rPr>
        <w:t xml:space="preserve">, and provided for by </w:t>
      </w:r>
      <w:r w:rsidRPr="00C82FFA" w:rsidR="007D0361">
        <w:rPr>
          <w:rFonts w:ascii="Arial" w:hAnsi="Arial"/>
        </w:rPr>
        <w:t>19 CFR 4.7-4.9.</w:t>
      </w:r>
    </w:p>
    <w:p w:rsidR="007D0361" w:rsidP="00B51EE7" w:rsidRDefault="00B51EE7" w14:paraId="7D145116" w14:textId="77777777">
      <w:pPr>
        <w:tabs>
          <w:tab w:val="left" w:pos="-1440"/>
        </w:tabs>
        <w:ind w:left="720" w:hanging="720"/>
        <w:rPr>
          <w:rFonts w:ascii="Arial" w:hAnsi="Arial"/>
        </w:rPr>
      </w:pPr>
      <w:r w:rsidRPr="00C82FFA">
        <w:rPr>
          <w:rFonts w:ascii="Arial" w:hAnsi="Arial"/>
        </w:rPr>
        <w:t xml:space="preserve">        </w:t>
      </w:r>
      <w:r w:rsidRPr="00C82FFA" w:rsidR="008E3ABD">
        <w:rPr>
          <w:rFonts w:ascii="Arial" w:hAnsi="Arial"/>
        </w:rPr>
        <w:t xml:space="preserve">  </w:t>
      </w:r>
      <w:r w:rsidRPr="00C82FFA" w:rsidR="00E73039">
        <w:rPr>
          <w:rFonts w:ascii="Arial" w:hAnsi="Arial"/>
        </w:rPr>
        <w:tab/>
      </w:r>
      <w:r w:rsidRPr="00C82FFA" w:rsidR="00010F86">
        <w:rPr>
          <w:rFonts w:ascii="Arial" w:hAnsi="Arial"/>
        </w:rPr>
        <w:t xml:space="preserve">This form </w:t>
      </w:r>
      <w:r w:rsidRPr="00C82FFA" w:rsidR="008E3ABD">
        <w:rPr>
          <w:rFonts w:ascii="Arial" w:hAnsi="Arial"/>
        </w:rPr>
        <w:t xml:space="preserve">is accessible at </w:t>
      </w:r>
      <w:hyperlink w:history="1" r:id="rId11">
        <w:r w:rsidRPr="00C82FFA" w:rsidR="00B33C4C">
          <w:rPr>
            <w:rStyle w:val="Hyperlink"/>
            <w:rFonts w:ascii="Arial" w:hAnsi="Arial"/>
          </w:rPr>
          <w:t>http://www.cbp.gov/newsroom/publications/forms?title=1300&amp;=Apply</w:t>
        </w:r>
      </w:hyperlink>
      <w:r w:rsidRPr="00C82FFA" w:rsidR="00B33C4C">
        <w:rPr>
          <w:rFonts w:ascii="Arial" w:hAnsi="Arial"/>
        </w:rPr>
        <w:t>.</w:t>
      </w:r>
      <w:r w:rsidR="00B33C4C">
        <w:rPr>
          <w:rFonts w:ascii="Arial" w:hAnsi="Arial"/>
        </w:rPr>
        <w:t xml:space="preserve"> </w:t>
      </w:r>
    </w:p>
    <w:p w:rsidR="003F1480" w:rsidP="003F1480" w:rsidRDefault="003F1480" w14:paraId="0F77C5A3" w14:textId="77777777">
      <w:pPr>
        <w:ind w:left="720" w:hanging="570"/>
        <w:rPr>
          <w:rFonts w:ascii="Arial" w:hAnsi="Arial" w:cs="Arial"/>
        </w:rPr>
      </w:pPr>
    </w:p>
    <w:p w:rsidR="003F1480" w:rsidP="003F1480" w:rsidRDefault="003F1480" w14:paraId="00E5AF72" w14:textId="77777777">
      <w:pPr>
        <w:ind w:left="720" w:hanging="57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C82FFA" w:rsidP="00BD6D4A" w:rsidRDefault="00C82FFA" w14:paraId="22A6125C" w14:textId="77777777">
      <w:pPr>
        <w:tabs>
          <w:tab w:val="left" w:pos="-1440"/>
        </w:tabs>
        <w:ind w:left="720" w:hanging="720"/>
        <w:jc w:val="both"/>
        <w:rPr>
          <w:rFonts w:ascii="Arial" w:hAnsi="Arial"/>
          <w:b/>
          <w:color w:val="FF0000"/>
        </w:rPr>
      </w:pPr>
    </w:p>
    <w:p w:rsidR="00842F61" w:rsidP="00BD6D4A" w:rsidRDefault="00842F61" w14:paraId="3A2B5521" w14:textId="10FF066C">
      <w:pPr>
        <w:tabs>
          <w:tab w:val="left" w:pos="-1440"/>
        </w:tabs>
        <w:ind w:left="720" w:hanging="720"/>
        <w:jc w:val="both"/>
        <w:rPr>
          <w:rFonts w:ascii="Arial" w:hAnsi="Arial"/>
        </w:rPr>
      </w:pPr>
      <w:r>
        <w:rPr>
          <w:rFonts w:ascii="Arial" w:hAnsi="Arial"/>
        </w:rPr>
        <w:tab/>
      </w:r>
      <w:r w:rsidRPr="00C82FFA">
        <w:rPr>
          <w:rFonts w:ascii="Arial" w:hAnsi="Arial"/>
        </w:rPr>
        <w:t xml:space="preserve">CBP Form 1300 </w:t>
      </w:r>
      <w:r w:rsidRPr="00C82FFA" w:rsidR="00B607BC">
        <w:rPr>
          <w:rFonts w:ascii="Arial" w:hAnsi="Arial"/>
        </w:rPr>
        <w:t xml:space="preserve">is </w:t>
      </w:r>
      <w:r w:rsidRPr="00C82FFA" w:rsidR="005E428B">
        <w:rPr>
          <w:rFonts w:ascii="Arial" w:hAnsi="Arial"/>
        </w:rPr>
        <w:t xml:space="preserve">used </w:t>
      </w:r>
      <w:r w:rsidRPr="00C82FFA" w:rsidR="00B607BC">
        <w:rPr>
          <w:rFonts w:ascii="Arial" w:hAnsi="Arial"/>
        </w:rPr>
        <w:t>to collect e</w:t>
      </w:r>
      <w:r w:rsidRPr="00C82FFA" w:rsidR="005E428B">
        <w:rPr>
          <w:rFonts w:ascii="Arial" w:hAnsi="Arial"/>
        </w:rPr>
        <w:t xml:space="preserve">ssential </w:t>
      </w:r>
      <w:r w:rsidRPr="00C82FFA" w:rsidR="00B607BC">
        <w:rPr>
          <w:rFonts w:ascii="Arial" w:hAnsi="Arial"/>
        </w:rPr>
        <w:t xml:space="preserve">commercial vessel </w:t>
      </w:r>
      <w:r w:rsidRPr="00C82FFA" w:rsidR="005E428B">
        <w:rPr>
          <w:rFonts w:ascii="Arial" w:hAnsi="Arial"/>
        </w:rPr>
        <w:t xml:space="preserve">data </w:t>
      </w:r>
      <w:r w:rsidRPr="00C82FFA" w:rsidR="00B607BC">
        <w:rPr>
          <w:rFonts w:ascii="Arial" w:hAnsi="Arial"/>
        </w:rPr>
        <w:t xml:space="preserve">at time of formal </w:t>
      </w:r>
      <w:r w:rsidRPr="00C82FFA" w:rsidR="005E428B">
        <w:rPr>
          <w:rFonts w:ascii="Arial" w:hAnsi="Arial"/>
        </w:rPr>
        <w:t>entrance and clearance</w:t>
      </w:r>
      <w:r w:rsidRPr="00C82FFA" w:rsidR="00B607BC">
        <w:rPr>
          <w:rFonts w:ascii="Arial" w:hAnsi="Arial"/>
        </w:rPr>
        <w:t xml:space="preserve"> in </w:t>
      </w:r>
      <w:r w:rsidRPr="00C82FFA" w:rsidR="005E428B">
        <w:rPr>
          <w:rFonts w:ascii="Arial" w:hAnsi="Arial"/>
        </w:rPr>
        <w:t>U.S.</w:t>
      </w:r>
      <w:r w:rsidRPr="00C82FFA" w:rsidR="00B607BC">
        <w:rPr>
          <w:rFonts w:ascii="Arial" w:hAnsi="Arial"/>
        </w:rPr>
        <w:t xml:space="preserve"> ports.  </w:t>
      </w:r>
      <w:r w:rsidRPr="00C82FFA" w:rsidR="003776F2">
        <w:rPr>
          <w:rFonts w:ascii="Arial" w:hAnsi="Arial"/>
        </w:rPr>
        <w:t>T</w:t>
      </w:r>
      <w:r w:rsidRPr="00C82FFA" w:rsidR="00B607BC">
        <w:rPr>
          <w:rFonts w:ascii="Arial" w:hAnsi="Arial"/>
        </w:rPr>
        <w:t>he form allows the master to attest to the truthfulness of all CBP forms associated with the manifest package</w:t>
      </w:r>
      <w:r w:rsidRPr="00C82FFA" w:rsidR="00BB6C4C">
        <w:rPr>
          <w:rFonts w:ascii="Arial" w:hAnsi="Arial"/>
        </w:rPr>
        <w:t>,</w:t>
      </w:r>
      <w:r w:rsidRPr="00C82FFA" w:rsidR="00B607BC">
        <w:rPr>
          <w:rFonts w:ascii="Arial" w:hAnsi="Arial"/>
        </w:rPr>
        <w:t xml:space="preserve"> and </w:t>
      </w:r>
      <w:r w:rsidRPr="00C82FFA">
        <w:rPr>
          <w:rFonts w:ascii="Arial" w:hAnsi="Arial"/>
        </w:rPr>
        <w:t xml:space="preserve">collects </w:t>
      </w:r>
      <w:r w:rsidRPr="00C82FFA" w:rsidR="003776F2">
        <w:rPr>
          <w:rFonts w:ascii="Arial" w:hAnsi="Arial"/>
        </w:rPr>
        <w:t>detailed information on the vessel, cargo, purpose</w:t>
      </w:r>
      <w:r w:rsidRPr="00C82FFA" w:rsidR="005505C0">
        <w:rPr>
          <w:rFonts w:ascii="Arial" w:hAnsi="Arial"/>
        </w:rPr>
        <w:t xml:space="preserve"> of entrance</w:t>
      </w:r>
      <w:r w:rsidRPr="00C82FFA" w:rsidR="003776F2">
        <w:rPr>
          <w:rFonts w:ascii="Arial" w:hAnsi="Arial"/>
        </w:rPr>
        <w:t xml:space="preserve">, </w:t>
      </w:r>
      <w:r w:rsidRPr="00C82FFA" w:rsidR="007D0361">
        <w:rPr>
          <w:rFonts w:ascii="Arial" w:hAnsi="Arial"/>
        </w:rPr>
        <w:t>certificate numbers and expiration for various certificates</w:t>
      </w:r>
      <w:r w:rsidRPr="00C82FFA" w:rsidR="00713E94">
        <w:rPr>
          <w:rFonts w:ascii="Arial" w:hAnsi="Arial"/>
        </w:rPr>
        <w:t>.</w:t>
      </w:r>
      <w:r w:rsidRPr="00C82FFA" w:rsidR="007D0361">
        <w:rPr>
          <w:rFonts w:ascii="Arial" w:hAnsi="Arial"/>
        </w:rPr>
        <w:t xml:space="preserve">  </w:t>
      </w:r>
      <w:r w:rsidRPr="00C82FFA" w:rsidR="00713E94">
        <w:rPr>
          <w:rFonts w:ascii="Arial" w:hAnsi="Arial"/>
        </w:rPr>
        <w:t>It also</w:t>
      </w:r>
      <w:r w:rsidRPr="00C82FFA" w:rsidR="007D0361">
        <w:rPr>
          <w:rFonts w:ascii="Arial" w:hAnsi="Arial"/>
        </w:rPr>
        <w:t xml:space="preserve"> </w:t>
      </w:r>
      <w:r w:rsidRPr="00C82FFA" w:rsidR="003776F2">
        <w:rPr>
          <w:rFonts w:ascii="Arial" w:hAnsi="Arial"/>
        </w:rPr>
        <w:t xml:space="preserve">serves </w:t>
      </w:r>
      <w:r w:rsidRPr="00C82FFA">
        <w:rPr>
          <w:rFonts w:ascii="Arial" w:hAnsi="Arial"/>
        </w:rPr>
        <w:t xml:space="preserve">as a record of </w:t>
      </w:r>
      <w:r w:rsidRPr="00C82FFA" w:rsidR="003776F2">
        <w:rPr>
          <w:rFonts w:ascii="Arial" w:hAnsi="Arial"/>
        </w:rPr>
        <w:t>fees and</w:t>
      </w:r>
      <w:r w:rsidRPr="00C82FFA">
        <w:rPr>
          <w:rFonts w:ascii="Arial" w:hAnsi="Arial"/>
        </w:rPr>
        <w:t xml:space="preserve"> </w:t>
      </w:r>
      <w:r w:rsidRPr="00C82FFA" w:rsidR="007D0361">
        <w:rPr>
          <w:rFonts w:ascii="Arial" w:hAnsi="Arial"/>
        </w:rPr>
        <w:t>tonnage tax payments in order to prevent overpayments</w:t>
      </w:r>
      <w:r w:rsidRPr="00C82FFA" w:rsidR="0072486C">
        <w:rPr>
          <w:rFonts w:ascii="Arial" w:hAnsi="Arial"/>
        </w:rPr>
        <w:t>.</w:t>
      </w:r>
      <w:r w:rsidR="00BB6C4C">
        <w:rPr>
          <w:rFonts w:ascii="Arial" w:hAnsi="Arial"/>
        </w:rPr>
        <w:t xml:space="preserve"> </w:t>
      </w:r>
    </w:p>
    <w:p w:rsidR="003F1480" w:rsidP="003F1480" w:rsidRDefault="003F1480" w14:paraId="2B6DA179" w14:textId="77777777">
      <w:pPr>
        <w:ind w:left="720" w:hanging="720"/>
        <w:rPr>
          <w:rFonts w:ascii="Arial" w:hAnsi="Arial" w:cs="Arial"/>
        </w:rPr>
      </w:pPr>
      <w:r>
        <w:rPr>
          <w:rFonts w:ascii="Arial" w:hAnsi="Arial"/>
        </w:rPr>
        <w:t xml:space="preserve">   </w:t>
      </w:r>
    </w:p>
    <w:p w:rsidR="003F1480" w:rsidP="00556A7B" w:rsidRDefault="003F1480" w14:paraId="27D86850" w14:textId="77777777">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C82FFA" w:rsidP="00556A7B" w:rsidRDefault="00C82FFA" w14:paraId="08D837CD" w14:textId="77777777">
      <w:pPr>
        <w:tabs>
          <w:tab w:val="left" w:pos="-1440"/>
        </w:tabs>
        <w:ind w:left="720" w:hanging="720"/>
        <w:jc w:val="both"/>
        <w:rPr>
          <w:rFonts w:ascii="Arial" w:hAnsi="Arial"/>
          <w:b/>
          <w:color w:val="FF0000"/>
        </w:rPr>
      </w:pPr>
    </w:p>
    <w:p w:rsidRPr="00C82FFA" w:rsidR="00FD62B1" w:rsidP="00556A7B" w:rsidRDefault="003F1480" w14:paraId="47AB011A" w14:textId="45E54D6D">
      <w:pPr>
        <w:tabs>
          <w:tab w:val="left" w:pos="-1440"/>
        </w:tabs>
        <w:ind w:left="720" w:hanging="720"/>
        <w:jc w:val="both"/>
        <w:rPr>
          <w:rFonts w:ascii="Arial" w:hAnsi="Arial"/>
        </w:rPr>
      </w:pPr>
      <w:r>
        <w:rPr>
          <w:rFonts w:ascii="Arial" w:hAnsi="Arial"/>
        </w:rPr>
        <w:t xml:space="preserve">   </w:t>
      </w:r>
      <w:r>
        <w:rPr>
          <w:rFonts w:ascii="Arial" w:hAnsi="Arial"/>
        </w:rPr>
        <w:tab/>
      </w:r>
      <w:r w:rsidRPr="00C82FFA" w:rsidR="00E621D6">
        <w:rPr>
          <w:rFonts w:ascii="Arial" w:hAnsi="Arial"/>
        </w:rPr>
        <w:t>Currently</w:t>
      </w:r>
      <w:r w:rsidRPr="00C82FFA" w:rsidR="0041275D">
        <w:rPr>
          <w:rFonts w:ascii="Arial" w:hAnsi="Arial"/>
        </w:rPr>
        <w:t xml:space="preserve"> this form can be filled out on</w:t>
      </w:r>
      <w:r w:rsidRPr="00C82FFA" w:rsidR="00E621D6">
        <w:rPr>
          <w:rFonts w:ascii="Arial" w:hAnsi="Arial"/>
        </w:rPr>
        <w:t>line, printed, and submitted on paper</w:t>
      </w:r>
      <w:r w:rsidRPr="00C82FFA" w:rsidR="009778D1">
        <w:rPr>
          <w:rFonts w:ascii="Arial" w:hAnsi="Arial"/>
        </w:rPr>
        <w:t xml:space="preserve"> at the port.</w:t>
      </w:r>
    </w:p>
    <w:p w:rsidRPr="00C82FFA" w:rsidR="0079364D" w:rsidP="00556A7B" w:rsidRDefault="0079364D" w14:paraId="06560AFB" w14:textId="77777777">
      <w:pPr>
        <w:tabs>
          <w:tab w:val="left" w:pos="-1440"/>
        </w:tabs>
        <w:ind w:left="720" w:hanging="720"/>
        <w:jc w:val="both"/>
        <w:rPr>
          <w:rFonts w:ascii="Arial" w:hAnsi="Arial"/>
        </w:rPr>
      </w:pPr>
    </w:p>
    <w:p w:rsidR="002D6A52" w:rsidP="00556A7B" w:rsidRDefault="0079364D" w14:paraId="27EF8917" w14:textId="6F258B0B">
      <w:pPr>
        <w:tabs>
          <w:tab w:val="left" w:pos="-1440"/>
        </w:tabs>
        <w:ind w:left="720" w:hanging="720"/>
        <w:jc w:val="both"/>
        <w:rPr>
          <w:rFonts w:ascii="Arial" w:hAnsi="Arial"/>
        </w:rPr>
      </w:pPr>
      <w:r w:rsidRPr="00C82FFA">
        <w:rPr>
          <w:rFonts w:ascii="Arial" w:hAnsi="Arial"/>
        </w:rPr>
        <w:tab/>
        <w:t>CBP-OFO</w:t>
      </w:r>
      <w:r w:rsidR="002D6A52">
        <w:rPr>
          <w:rFonts w:ascii="Arial" w:hAnsi="Arial"/>
        </w:rPr>
        <w:t xml:space="preserve"> </w:t>
      </w:r>
      <w:r w:rsidRPr="002D6A52" w:rsidR="002D6A52">
        <w:rPr>
          <w:rFonts w:ascii="Arial" w:hAnsi="Arial"/>
        </w:rPr>
        <w:t xml:space="preserve">has built and is testing a system, known as the Vessel Entrance and Clearance System (VECS), for the electronic submission, review, and processing of this CBP form however, development of a public facing portal is still required. With recent DHS and CBP prioritization of VECS the plan is to have an initial public portal by September 2021, pending requirements gathering, levels of efforts, and directional </w:t>
      </w:r>
      <w:r w:rsidRPr="002D6A52" w:rsidR="002D6A52">
        <w:rPr>
          <w:rFonts w:ascii="Arial" w:hAnsi="Arial"/>
        </w:rPr>
        <w:lastRenderedPageBreak/>
        <w:t>decisions on which platform is best to meet the agency and trade community needs. Even with an initial portal, CBP will still need to perform testing and a potential pilot with a small universe of stakeholder before nationwide roll out. A plan and timeline for testing will be developed once we have direction on and once more progress is made on the portal.</w:t>
      </w:r>
    </w:p>
    <w:p w:rsidRPr="005D15C4" w:rsidR="003F1480" w:rsidP="00556A7B" w:rsidRDefault="003F1480" w14:paraId="68401A72" w14:textId="01BC17F3">
      <w:pPr>
        <w:tabs>
          <w:tab w:val="left" w:pos="-1440"/>
        </w:tabs>
        <w:ind w:left="720" w:hanging="720"/>
        <w:jc w:val="both"/>
        <w:rPr>
          <w:rFonts w:ascii="Arial" w:hAnsi="Arial" w:cs="Arial"/>
          <w:highlight w:val="yellow"/>
        </w:rPr>
      </w:pPr>
      <w:r w:rsidRPr="005D15C4">
        <w:rPr>
          <w:rFonts w:ascii="Arial" w:hAnsi="Arial"/>
          <w:highlight w:val="yellow"/>
        </w:rPr>
        <w:t xml:space="preserve"> </w:t>
      </w:r>
      <w:r w:rsidRPr="005D15C4">
        <w:rPr>
          <w:rFonts w:ascii="Arial" w:hAnsi="Arial"/>
          <w:b/>
          <w:highlight w:val="yellow"/>
        </w:rPr>
        <w:t xml:space="preserve"> </w:t>
      </w:r>
    </w:p>
    <w:p w:rsidRPr="005D15C4" w:rsidR="003F1480" w:rsidP="00556A7B" w:rsidRDefault="003F1480" w14:paraId="7E43722F" w14:textId="77777777">
      <w:pPr>
        <w:ind w:left="720" w:hanging="540"/>
        <w:jc w:val="both"/>
        <w:rPr>
          <w:rFonts w:ascii="Arial" w:hAnsi="Arial" w:cs="Arial"/>
          <w:b/>
          <w:bCs/>
          <w:highlight w:val="yellow"/>
        </w:rPr>
      </w:pPr>
      <w:r w:rsidRPr="002C1C7C">
        <w:rPr>
          <w:rFonts w:ascii="Arial" w:hAnsi="Arial"/>
          <w:b/>
          <w:bCs/>
        </w:rPr>
        <w:t>4.</w:t>
      </w:r>
      <w:r w:rsidRPr="002C1C7C">
        <w:rPr>
          <w:rFonts w:ascii="Arial" w:hAnsi="Arial"/>
        </w:rPr>
        <w:tab/>
      </w:r>
      <w:r w:rsidRPr="002C1C7C">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C82FFA" w:rsidP="00556A7B" w:rsidRDefault="00C82FFA" w14:paraId="3FA1D28B" w14:textId="77777777">
      <w:pPr>
        <w:tabs>
          <w:tab w:val="left" w:pos="-1440"/>
        </w:tabs>
        <w:ind w:left="720" w:hanging="720"/>
        <w:jc w:val="both"/>
        <w:rPr>
          <w:rFonts w:ascii="Arial" w:hAnsi="Arial"/>
          <w:b/>
          <w:color w:val="FF0000"/>
        </w:rPr>
      </w:pPr>
    </w:p>
    <w:p w:rsidRPr="00F27385" w:rsidR="003F1480" w:rsidP="00556A7B" w:rsidRDefault="003F1480" w14:paraId="66316132" w14:textId="22FF8519">
      <w:pPr>
        <w:tabs>
          <w:tab w:val="left" w:pos="-1440"/>
        </w:tabs>
        <w:ind w:left="720" w:hanging="720"/>
        <w:jc w:val="both"/>
        <w:rPr>
          <w:rFonts w:ascii="Arial" w:hAnsi="Arial" w:cs="Arial"/>
          <w:szCs w:val="24"/>
        </w:rPr>
      </w:pPr>
      <w:r w:rsidRPr="002C1C7C">
        <w:rPr>
          <w:rFonts w:ascii="Arial" w:hAnsi="Arial"/>
        </w:rPr>
        <w:tab/>
      </w:r>
      <w:r w:rsidRPr="00C82FFA" w:rsidR="00E35E49">
        <w:rPr>
          <w:rFonts w:ascii="Arial" w:hAnsi="Arial"/>
        </w:rPr>
        <w:t>Some of this information may be provided via eNOAD, however, Office of Field Operation (OFO) personnel does not have access to eNOAD as it is strictly a Coast Guard system. Efforts are being made to automate the process and link information being transmitted to eNOAD to populate like data fields into CBP’s system.</w:t>
      </w:r>
      <w:r w:rsidRPr="00C82FFA" w:rsidR="00D177C9">
        <w:rPr>
          <w:rFonts w:ascii="Arial" w:hAnsi="Arial"/>
        </w:rPr>
        <w:t xml:space="preserve"> Some of this information is also available via ACE and ATS data. ACE, ATS, and eNOAD data will all be integrated into the VECS. Currently, all information is complete by hand by a Vessel Agent, who only has access to any information that is publicly available, information which they submitted to CBP through eNOAD or ACE, or is provided to them by the carrier/master of the vessel.</w:t>
      </w:r>
    </w:p>
    <w:p w:rsidR="003F1480" w:rsidP="00556A7B" w:rsidRDefault="003F1480" w14:paraId="0F6AB7C6" w14:textId="77777777">
      <w:pPr>
        <w:jc w:val="both"/>
        <w:rPr>
          <w:rFonts w:ascii="Arial" w:hAnsi="Arial"/>
        </w:rPr>
      </w:pPr>
      <w:r>
        <w:rPr>
          <w:rFonts w:ascii="Arial" w:hAnsi="Arial"/>
        </w:rPr>
        <w:t xml:space="preserve">         </w:t>
      </w:r>
    </w:p>
    <w:p w:rsidR="003F1480" w:rsidP="00556A7B" w:rsidRDefault="003F1480" w14:paraId="0C18DD08" w14:textId="77777777">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3F1480" w:rsidP="00556A7B" w:rsidRDefault="003F1480" w14:paraId="30E434EE" w14:textId="77777777">
      <w:pPr>
        <w:tabs>
          <w:tab w:val="left" w:pos="-1440"/>
        </w:tabs>
        <w:ind w:left="720" w:hanging="720"/>
        <w:jc w:val="both"/>
        <w:rPr>
          <w:rFonts w:ascii="Arial" w:hAnsi="Arial"/>
        </w:rPr>
      </w:pPr>
    </w:p>
    <w:p w:rsidR="006766C4" w:rsidP="006766C4" w:rsidRDefault="003F1480" w14:paraId="3DCF4AB4" w14:textId="77777777">
      <w:pPr>
        <w:pStyle w:val="BodyTextIndent"/>
        <w:rPr>
          <w:szCs w:val="24"/>
        </w:rPr>
      </w:pPr>
      <w:r>
        <w:tab/>
      </w:r>
      <w:r w:rsidRPr="00C47181" w:rsidR="006766C4">
        <w:rPr>
          <w:szCs w:val="24"/>
        </w:rPr>
        <w:t>This information collection does not have a</w:t>
      </w:r>
      <w:r w:rsidR="006766C4">
        <w:rPr>
          <w:szCs w:val="24"/>
        </w:rPr>
        <w:t>n impact on small businesses or other small entities.</w:t>
      </w:r>
    </w:p>
    <w:p w:rsidR="003F1480" w:rsidP="00556A7B" w:rsidRDefault="003F1480" w14:paraId="5471B6BA" w14:textId="77777777">
      <w:pPr>
        <w:jc w:val="both"/>
        <w:rPr>
          <w:rFonts w:ascii="Arial" w:hAnsi="Arial"/>
        </w:rPr>
      </w:pPr>
    </w:p>
    <w:p w:rsidR="003F1480" w:rsidP="00556A7B" w:rsidRDefault="003F1480" w14:paraId="297BE785" w14:textId="77777777">
      <w:pPr>
        <w:jc w:val="both"/>
        <w:rPr>
          <w:rFonts w:ascii="Arial" w:hAnsi="Arial" w:cs="Arial"/>
          <w:b/>
          <w:bCs/>
        </w:rPr>
      </w:pPr>
      <w:r>
        <w:rPr>
          <w:rFonts w:ascii="Arial" w:hAnsi="Arial" w:cs="Arial"/>
          <w:b/>
          <w:bCs/>
        </w:rPr>
        <w:t xml:space="preserve">6.   Describe consequences to Federal program or policy activities if the                           </w:t>
      </w:r>
      <w:r w:rsidR="00556A7B">
        <w:rPr>
          <w:rFonts w:ascii="Arial" w:hAnsi="Arial" w:cs="Arial"/>
          <w:b/>
          <w:bCs/>
        </w:rPr>
        <w:tab/>
      </w:r>
      <w:r>
        <w:rPr>
          <w:rFonts w:ascii="Arial" w:hAnsi="Arial" w:cs="Arial"/>
          <w:b/>
          <w:bCs/>
        </w:rPr>
        <w:t xml:space="preserve">collection is not conducted or is conducted less frequently, as well as any                  </w:t>
      </w:r>
      <w:r w:rsidR="00556A7B">
        <w:rPr>
          <w:rFonts w:ascii="Arial" w:hAnsi="Arial" w:cs="Arial"/>
          <w:b/>
          <w:bCs/>
        </w:rPr>
        <w:tab/>
      </w:r>
      <w:r>
        <w:rPr>
          <w:rFonts w:ascii="Arial" w:hAnsi="Arial" w:cs="Arial"/>
          <w:b/>
          <w:bCs/>
        </w:rPr>
        <w:t>technical or legal obstacles to reducing burden.</w:t>
      </w:r>
    </w:p>
    <w:p w:rsidR="003F1480" w:rsidP="00556A7B" w:rsidRDefault="003F1480" w14:paraId="116DAD04" w14:textId="77777777">
      <w:pPr>
        <w:tabs>
          <w:tab w:val="left" w:pos="-1440"/>
        </w:tabs>
        <w:ind w:left="720" w:hanging="720"/>
        <w:jc w:val="both"/>
        <w:rPr>
          <w:rFonts w:ascii="Arial" w:hAnsi="Arial"/>
        </w:rPr>
      </w:pPr>
    </w:p>
    <w:p w:rsidR="00C605CF" w:rsidP="00C605CF" w:rsidRDefault="00C605CF" w14:paraId="379321CF" w14:textId="77777777">
      <w:pPr>
        <w:tabs>
          <w:tab w:val="left" w:pos="-1440"/>
        </w:tabs>
        <w:ind w:left="720" w:hanging="720"/>
        <w:jc w:val="both"/>
        <w:rPr>
          <w:rFonts w:ascii="Arial" w:hAnsi="Arial"/>
        </w:rPr>
      </w:pPr>
      <w:r>
        <w:rPr>
          <w:rFonts w:ascii="Arial" w:hAnsi="Arial"/>
        </w:rPr>
        <w:tab/>
        <w:t>If this information collection was conducted less frequently CBP could not fulfill its regulatory requirements to verify vessel manifest documents</w:t>
      </w:r>
      <w:r w:rsidR="00D177C9">
        <w:rPr>
          <w:rFonts w:ascii="Arial" w:hAnsi="Arial"/>
        </w:rPr>
        <w:t xml:space="preserve">, would lose its ability to accurately assess fees and taxes, levy fines, and keep accurate records of vessel arrival and departure information. </w:t>
      </w:r>
    </w:p>
    <w:p w:rsidR="003F1480" w:rsidP="00556A7B" w:rsidRDefault="003F1480" w14:paraId="2284D43F" w14:textId="77777777">
      <w:pPr>
        <w:tabs>
          <w:tab w:val="left" w:pos="-1440"/>
        </w:tabs>
        <w:ind w:left="720" w:hanging="720"/>
        <w:jc w:val="both"/>
        <w:rPr>
          <w:rFonts w:ascii="Arial" w:hAnsi="Arial" w:cs="Arial"/>
        </w:rPr>
      </w:pPr>
      <w:r>
        <w:rPr>
          <w:rFonts w:ascii="Arial" w:hAnsi="Arial"/>
        </w:rPr>
        <w:tab/>
      </w:r>
      <w:r>
        <w:rPr>
          <w:rFonts w:ascii="Arial" w:hAnsi="Arial"/>
        </w:rPr>
        <w:tab/>
      </w:r>
    </w:p>
    <w:p w:rsidR="003F1480" w:rsidP="00556A7B" w:rsidRDefault="003F1480" w14:paraId="5CCF4AC1" w14:textId="77777777">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B5034D">
        <w:rPr>
          <w:rFonts w:ascii="Arial" w:hAnsi="Arial" w:cs="Arial"/>
          <w:b/>
          <w:bCs/>
        </w:rPr>
        <w:t>.</w:t>
      </w:r>
    </w:p>
    <w:p w:rsidR="003F1480" w:rsidP="00556A7B" w:rsidRDefault="003F1480" w14:paraId="1773AE19" w14:textId="77777777">
      <w:pPr>
        <w:tabs>
          <w:tab w:val="left" w:pos="-1440"/>
        </w:tabs>
        <w:ind w:left="720" w:hanging="720"/>
        <w:jc w:val="both"/>
        <w:rPr>
          <w:rFonts w:ascii="Arial" w:hAnsi="Arial"/>
        </w:rPr>
      </w:pPr>
    </w:p>
    <w:p w:rsidR="003F1480" w:rsidP="00556A7B" w:rsidRDefault="003F1480" w14:paraId="4BEAC2B5"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3F1480" w:rsidP="00556A7B" w:rsidRDefault="003F1480" w14:paraId="083C7A7D" w14:textId="77777777">
      <w:pPr>
        <w:ind w:left="720" w:hanging="720"/>
        <w:jc w:val="both"/>
        <w:rPr>
          <w:rFonts w:ascii="Arial" w:hAnsi="Arial"/>
          <w:b/>
          <w:bCs/>
        </w:rPr>
      </w:pPr>
    </w:p>
    <w:p w:rsidR="003F1480" w:rsidP="00556A7B" w:rsidRDefault="003F1480" w14:paraId="1333D3FF" w14:textId="77777777">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C1C7C" w:rsidR="003F1480" w:rsidP="00556A7B" w:rsidRDefault="003F1480" w14:paraId="46589529" w14:textId="60689F22">
      <w:pPr>
        <w:ind w:left="720" w:hanging="600"/>
        <w:jc w:val="both"/>
        <w:rPr>
          <w:rFonts w:ascii="Arial" w:hAnsi="Arial"/>
          <w:b/>
          <w:color w:val="FF0000"/>
        </w:rPr>
      </w:pPr>
      <w:r>
        <w:rPr>
          <w:rFonts w:ascii="Arial" w:hAnsi="Arial"/>
        </w:rPr>
        <w:tab/>
      </w:r>
      <w:r w:rsidRPr="0079364D" w:rsidR="00EB31A5">
        <w:rPr>
          <w:rFonts w:ascii="Arial" w:hAnsi="Arial"/>
          <w:color w:val="FF0000"/>
        </w:rPr>
        <w:t xml:space="preserve"> </w:t>
      </w:r>
    </w:p>
    <w:p w:rsidR="0036777A" w:rsidP="00220A33" w:rsidRDefault="003F1480" w14:paraId="4F5F1039" w14:textId="29401783">
      <w:pPr>
        <w:ind w:left="720" w:hanging="600"/>
        <w:jc w:val="both"/>
        <w:rPr>
          <w:rFonts w:ascii="Arial" w:hAnsi="Arial"/>
        </w:rPr>
      </w:pPr>
      <w:r w:rsidRPr="0079364D">
        <w:rPr>
          <w:rFonts w:ascii="Arial" w:hAnsi="Arial"/>
        </w:rPr>
        <w:lastRenderedPageBreak/>
        <w:tab/>
      </w:r>
      <w:r w:rsidRPr="002E721A" w:rsidR="00220A33">
        <w:rPr>
          <w:rFonts w:ascii="Arial" w:hAnsi="Arial"/>
        </w:rPr>
        <w:t xml:space="preserve">Public comments were solicited through two Federal Register notices including a 60-day notice published on </w:t>
      </w:r>
      <w:r w:rsidRPr="002E721A" w:rsidR="001F6464">
        <w:rPr>
          <w:rFonts w:ascii="Arial" w:hAnsi="Arial"/>
        </w:rPr>
        <w:t xml:space="preserve">January </w:t>
      </w:r>
      <w:r w:rsidRPr="002E721A" w:rsidR="00D177D2">
        <w:rPr>
          <w:rFonts w:ascii="Arial" w:hAnsi="Arial"/>
        </w:rPr>
        <w:t>25</w:t>
      </w:r>
      <w:r w:rsidRPr="002E721A" w:rsidR="001F6464">
        <w:rPr>
          <w:rFonts w:ascii="Arial" w:hAnsi="Arial"/>
        </w:rPr>
        <w:t>, 202</w:t>
      </w:r>
      <w:r w:rsidRPr="002E721A" w:rsidR="00D177D2">
        <w:rPr>
          <w:rFonts w:ascii="Arial" w:hAnsi="Arial"/>
        </w:rPr>
        <w:t>1</w:t>
      </w:r>
      <w:r w:rsidRPr="002E721A" w:rsidR="00220A33">
        <w:rPr>
          <w:rFonts w:ascii="Arial" w:hAnsi="Arial"/>
        </w:rPr>
        <w:t xml:space="preserve"> (</w:t>
      </w:r>
      <w:r w:rsidRPr="002E721A" w:rsidR="001F6464">
        <w:rPr>
          <w:rFonts w:ascii="Arial" w:hAnsi="Arial"/>
        </w:rPr>
        <w:t>8</w:t>
      </w:r>
      <w:r w:rsidRPr="002E721A" w:rsidR="00D177D2">
        <w:rPr>
          <w:rFonts w:ascii="Arial" w:hAnsi="Arial"/>
        </w:rPr>
        <w:t>6</w:t>
      </w:r>
      <w:r w:rsidRPr="002E721A" w:rsidR="00445A1A">
        <w:rPr>
          <w:rFonts w:ascii="Arial" w:hAnsi="Arial"/>
        </w:rPr>
        <w:t xml:space="preserve"> FR </w:t>
      </w:r>
      <w:r w:rsidRPr="002E721A" w:rsidR="000B5314">
        <w:rPr>
          <w:rFonts w:ascii="Arial" w:hAnsi="Arial"/>
        </w:rPr>
        <w:t>6896</w:t>
      </w:r>
      <w:r w:rsidRPr="002E721A" w:rsidR="00220A33">
        <w:rPr>
          <w:rFonts w:ascii="Arial" w:hAnsi="Arial"/>
        </w:rPr>
        <w:t xml:space="preserve">) on which </w:t>
      </w:r>
      <w:r w:rsidRPr="002E721A" w:rsidR="0079364D">
        <w:rPr>
          <w:rFonts w:ascii="Arial" w:hAnsi="Arial"/>
        </w:rPr>
        <w:t>no</w:t>
      </w:r>
      <w:r w:rsidRPr="002E721A" w:rsidR="00EA1CCE">
        <w:rPr>
          <w:rFonts w:ascii="Arial" w:hAnsi="Arial"/>
        </w:rPr>
        <w:t xml:space="preserve"> comment was</w:t>
      </w:r>
      <w:r w:rsidRPr="002E721A" w:rsidR="00220A33">
        <w:rPr>
          <w:rFonts w:ascii="Arial" w:hAnsi="Arial"/>
        </w:rPr>
        <w:t xml:space="preserve"> received, and a 30-day notice published on </w:t>
      </w:r>
      <w:r w:rsidRPr="002E721A" w:rsidR="002E721A">
        <w:rPr>
          <w:rFonts w:ascii="Arial" w:hAnsi="Arial"/>
        </w:rPr>
        <w:t>April</w:t>
      </w:r>
      <w:r w:rsidRPr="002E721A" w:rsidR="001F6464">
        <w:rPr>
          <w:rFonts w:ascii="Arial" w:hAnsi="Arial"/>
        </w:rPr>
        <w:t xml:space="preserve"> </w:t>
      </w:r>
      <w:r w:rsidRPr="002E721A" w:rsidR="002E721A">
        <w:rPr>
          <w:rFonts w:ascii="Arial" w:hAnsi="Arial"/>
        </w:rPr>
        <w:t>9</w:t>
      </w:r>
      <w:r w:rsidRPr="002E721A" w:rsidR="001F6464">
        <w:rPr>
          <w:rFonts w:ascii="Arial" w:hAnsi="Arial"/>
        </w:rPr>
        <w:t>, 202</w:t>
      </w:r>
      <w:r w:rsidRPr="002E721A" w:rsidR="002E721A">
        <w:rPr>
          <w:rFonts w:ascii="Arial" w:hAnsi="Arial"/>
        </w:rPr>
        <w:t>1</w:t>
      </w:r>
      <w:r w:rsidRPr="002E721A" w:rsidR="00151BFC">
        <w:rPr>
          <w:rFonts w:ascii="Arial" w:hAnsi="Arial"/>
        </w:rPr>
        <w:t xml:space="preserve"> </w:t>
      </w:r>
      <w:r w:rsidRPr="002E721A" w:rsidR="00220A33">
        <w:rPr>
          <w:rFonts w:ascii="Arial" w:hAnsi="Arial"/>
        </w:rPr>
        <w:t>(</w:t>
      </w:r>
      <w:r w:rsidRPr="002E721A" w:rsidR="001F6464">
        <w:rPr>
          <w:rFonts w:ascii="Arial" w:hAnsi="Arial"/>
        </w:rPr>
        <w:t>8</w:t>
      </w:r>
      <w:r w:rsidRPr="002E721A" w:rsidR="002E721A">
        <w:rPr>
          <w:rFonts w:ascii="Arial" w:hAnsi="Arial"/>
        </w:rPr>
        <w:t>6</w:t>
      </w:r>
      <w:r w:rsidRPr="002E721A" w:rsidR="00445A1A">
        <w:rPr>
          <w:rFonts w:ascii="Arial" w:hAnsi="Arial"/>
        </w:rPr>
        <w:t xml:space="preserve"> FR </w:t>
      </w:r>
      <w:r w:rsidRPr="002E721A" w:rsidR="002E721A">
        <w:rPr>
          <w:rFonts w:ascii="Arial" w:hAnsi="Arial"/>
        </w:rPr>
        <w:t>18550</w:t>
      </w:r>
      <w:r w:rsidRPr="002E721A" w:rsidR="004B046F">
        <w:rPr>
          <w:rFonts w:ascii="Arial" w:hAnsi="Arial"/>
        </w:rPr>
        <w:t xml:space="preserve">) on which </w:t>
      </w:r>
      <w:r w:rsidRPr="002E721A" w:rsidR="0079364D">
        <w:rPr>
          <w:rFonts w:ascii="Arial" w:hAnsi="Arial"/>
        </w:rPr>
        <w:t>no</w:t>
      </w:r>
      <w:r w:rsidRPr="002E721A" w:rsidR="00220A33">
        <w:rPr>
          <w:rFonts w:ascii="Arial" w:hAnsi="Arial"/>
        </w:rPr>
        <w:t xml:space="preserve"> comment</w:t>
      </w:r>
      <w:r w:rsidRPr="002E721A" w:rsidR="004B046F">
        <w:rPr>
          <w:rFonts w:ascii="Arial" w:hAnsi="Arial"/>
        </w:rPr>
        <w:t xml:space="preserve"> has</w:t>
      </w:r>
      <w:r w:rsidRPr="002E721A" w:rsidR="00220A33">
        <w:rPr>
          <w:rFonts w:ascii="Arial" w:hAnsi="Arial"/>
        </w:rPr>
        <w:t xml:space="preserve"> been received.</w:t>
      </w:r>
      <w:r w:rsidRPr="00845859" w:rsidR="00220A33">
        <w:rPr>
          <w:rFonts w:ascii="Arial" w:hAnsi="Arial"/>
        </w:rPr>
        <w:t xml:space="preserve"> </w:t>
      </w:r>
    </w:p>
    <w:p w:rsidR="00E35E49" w:rsidP="004E49F6" w:rsidRDefault="00E35E49" w14:paraId="0CFE3BBE" w14:textId="77777777">
      <w:pPr>
        <w:ind w:left="720" w:hanging="600"/>
        <w:jc w:val="both"/>
        <w:rPr>
          <w:rFonts w:ascii="Arial" w:hAnsi="Arial"/>
        </w:rPr>
      </w:pPr>
      <w:r>
        <w:rPr>
          <w:rFonts w:ascii="Arial" w:hAnsi="Arial"/>
        </w:rPr>
        <w:tab/>
      </w:r>
    </w:p>
    <w:p w:rsidR="003F1480" w:rsidP="00556A7B" w:rsidRDefault="003F1480" w14:paraId="1046A41F" w14:textId="77777777">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3F1480" w:rsidP="00556A7B" w:rsidRDefault="003F1480" w14:paraId="0112E04E" w14:textId="77777777">
      <w:pPr>
        <w:tabs>
          <w:tab w:val="left" w:pos="-1440"/>
        </w:tabs>
        <w:ind w:left="720" w:hanging="720"/>
        <w:jc w:val="both"/>
        <w:rPr>
          <w:rFonts w:ascii="Arial" w:hAnsi="Arial"/>
        </w:rPr>
      </w:pPr>
    </w:p>
    <w:p w:rsidR="003F1480" w:rsidP="00556A7B" w:rsidRDefault="003F1480" w14:paraId="4C33B5CD"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0200F8" w:rsidP="00556A7B" w:rsidRDefault="000200F8" w14:paraId="76D24C6B" w14:textId="77777777">
      <w:pPr>
        <w:ind w:left="720" w:hanging="720"/>
        <w:jc w:val="both"/>
        <w:rPr>
          <w:rFonts w:ascii="Arial" w:hAnsi="Arial"/>
          <w:b/>
          <w:bCs/>
        </w:rPr>
      </w:pPr>
    </w:p>
    <w:p w:rsidR="003F1480" w:rsidP="00556A7B" w:rsidRDefault="003F1480" w14:paraId="7CCA8D18" w14:textId="77777777">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C82FFA" w:rsidP="00851666" w:rsidRDefault="00C82FFA" w14:paraId="0ECFF714" w14:textId="77777777">
      <w:pPr>
        <w:tabs>
          <w:tab w:val="left" w:pos="-1440"/>
        </w:tabs>
        <w:ind w:left="720" w:hanging="720"/>
        <w:jc w:val="both"/>
        <w:rPr>
          <w:rFonts w:ascii="Arial" w:hAnsi="Arial" w:cs="Arial"/>
          <w:b/>
          <w:bCs/>
          <w:color w:val="FF0000"/>
          <w:szCs w:val="24"/>
        </w:rPr>
      </w:pPr>
    </w:p>
    <w:p w:rsidRPr="00851666" w:rsidR="00851666" w:rsidP="00851666" w:rsidRDefault="009B7974" w14:paraId="1CFAB2BA" w14:textId="329810F9">
      <w:pPr>
        <w:tabs>
          <w:tab w:val="left" w:pos="-1440"/>
        </w:tabs>
        <w:ind w:left="720" w:hanging="720"/>
        <w:jc w:val="both"/>
        <w:rPr>
          <w:rFonts w:ascii="Arial" w:hAnsi="Arial" w:cs="Arial"/>
          <w:iCs/>
          <w:szCs w:val="24"/>
        </w:rPr>
      </w:pPr>
      <w:r>
        <w:rPr>
          <w:rFonts w:ascii="Arial" w:hAnsi="Arial"/>
        </w:rPr>
        <w:tab/>
      </w:r>
      <w:r w:rsidRPr="00C82FFA" w:rsidR="00851666">
        <w:rPr>
          <w:rFonts w:ascii="Arial" w:hAnsi="Arial" w:cs="Arial"/>
          <w:iCs/>
          <w:szCs w:val="24"/>
        </w:rPr>
        <w:t>All data submitted is entered into the Vessel Management System (VMS) which is a sub-database of the Automated Target System (ATS)</w:t>
      </w:r>
      <w:r w:rsidRPr="00C82FFA" w:rsidR="00C95EC4">
        <w:rPr>
          <w:rFonts w:ascii="Arial" w:hAnsi="Arial" w:cs="Arial"/>
          <w:iCs/>
          <w:szCs w:val="24"/>
        </w:rPr>
        <w:t xml:space="preserve"> and a SORN for ATS, dated May 22, 2012 (Vol. 77, Page 30297) will be included in this ICR</w:t>
      </w:r>
      <w:r w:rsidRPr="00C82FFA" w:rsidR="00851666">
        <w:rPr>
          <w:rFonts w:ascii="Arial" w:hAnsi="Arial" w:cs="Arial"/>
          <w:iCs/>
          <w:szCs w:val="24"/>
        </w:rPr>
        <w:t>. PIA coverage is provided by DHS/CBP/PIA-006 Automated Targeting System.</w:t>
      </w:r>
    </w:p>
    <w:p w:rsidR="003F1480" w:rsidP="00256232" w:rsidRDefault="003F1480" w14:paraId="58A755D9" w14:textId="77777777">
      <w:pPr>
        <w:tabs>
          <w:tab w:val="left" w:pos="-1440"/>
        </w:tabs>
        <w:ind w:left="720" w:hanging="720"/>
        <w:jc w:val="both"/>
        <w:rPr>
          <w:rFonts w:ascii="Arial" w:hAnsi="Arial"/>
        </w:rPr>
      </w:pPr>
      <w:r>
        <w:rPr>
          <w:rFonts w:ascii="Arial" w:hAnsi="Arial"/>
        </w:rPr>
        <w:t xml:space="preserve">                                    </w:t>
      </w:r>
    </w:p>
    <w:p w:rsidR="003F1480" w:rsidP="00556A7B" w:rsidRDefault="003F1480" w14:paraId="269547BA"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P="00556A7B" w:rsidRDefault="003F1480" w14:paraId="47ED7D4A" w14:textId="77777777">
      <w:pPr>
        <w:tabs>
          <w:tab w:val="left" w:pos="-1440"/>
        </w:tabs>
        <w:ind w:left="720" w:hanging="720"/>
        <w:jc w:val="both"/>
        <w:rPr>
          <w:rFonts w:ascii="Arial" w:hAnsi="Arial"/>
        </w:rPr>
      </w:pPr>
      <w:r>
        <w:rPr>
          <w:rFonts w:ascii="Arial" w:hAnsi="Arial"/>
        </w:rPr>
        <w:tab/>
      </w:r>
    </w:p>
    <w:p w:rsidR="003F1480" w:rsidP="00691FBD" w:rsidRDefault="003F1480" w14:paraId="7CEC6E19" w14:textId="77777777">
      <w:pPr>
        <w:tabs>
          <w:tab w:val="left" w:pos="-1440"/>
        </w:tabs>
        <w:ind w:left="720" w:hanging="720"/>
        <w:jc w:val="both"/>
        <w:rPr>
          <w:rFonts w:ascii="Arial" w:hAnsi="Arial"/>
        </w:rPr>
      </w:pPr>
      <w:r>
        <w:rPr>
          <w:rFonts w:ascii="Arial" w:hAnsi="Arial"/>
        </w:rPr>
        <w:tab/>
        <w:t>There are no questions of a sensitive nature</w:t>
      </w:r>
      <w:r w:rsidR="00691FBD">
        <w:rPr>
          <w:rFonts w:ascii="Arial" w:hAnsi="Arial"/>
        </w:rPr>
        <w:t>.</w:t>
      </w:r>
    </w:p>
    <w:p w:rsidR="00691FBD" w:rsidP="00691FBD" w:rsidRDefault="00691FBD" w14:paraId="1548BCB5" w14:textId="77777777">
      <w:pPr>
        <w:tabs>
          <w:tab w:val="left" w:pos="-1440"/>
        </w:tabs>
        <w:ind w:left="720" w:hanging="720"/>
        <w:jc w:val="both"/>
        <w:rPr>
          <w:rFonts w:ascii="Arial" w:hAnsi="Arial"/>
        </w:rPr>
      </w:pPr>
    </w:p>
    <w:p w:rsidR="003F1480" w:rsidP="00556A7B" w:rsidRDefault="003F1480" w14:paraId="227C168A" w14:textId="77777777">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Pr="002C1C7C" w:rsidR="003F1480" w:rsidP="002C1C7C" w:rsidRDefault="003F1480" w14:paraId="0D797B1C" w14:textId="52C0B2F5">
      <w:pPr>
        <w:tabs>
          <w:tab w:val="left" w:pos="-1440"/>
        </w:tabs>
        <w:ind w:left="720"/>
        <w:rPr>
          <w:rFonts w:ascii="Arial" w:hAnsi="Arial"/>
          <w:b/>
          <w:color w:val="FF0000"/>
        </w:rPr>
      </w:pPr>
      <w:r>
        <w:rPr>
          <w:rFonts w:ascii="Arial" w:hAnsi="Arial" w:cs="Arial"/>
          <w:b/>
          <w:bCs/>
          <w:color w:val="000000"/>
        </w:rPr>
        <w:tab/>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260"/>
        <w:gridCol w:w="1775"/>
        <w:gridCol w:w="1915"/>
        <w:gridCol w:w="1818"/>
        <w:gridCol w:w="1728"/>
      </w:tblGrid>
      <w:tr w:rsidRPr="008E0916" w:rsidR="00B0227C" w:rsidTr="008E0916" w14:paraId="3822347F" w14:textId="77777777">
        <w:tc>
          <w:tcPr>
            <w:tcW w:w="1080" w:type="dxa"/>
            <w:shd w:val="clear" w:color="auto" w:fill="auto"/>
          </w:tcPr>
          <w:p w:rsidRPr="00831665" w:rsidR="003F1480" w:rsidP="00831665" w:rsidRDefault="003F1480" w14:paraId="0874A5E3" w14:textId="77777777">
            <w:pPr>
              <w:pStyle w:val="Style"/>
              <w:tabs>
                <w:tab w:val="left" w:pos="-1440"/>
              </w:tabs>
              <w:ind w:left="0" w:firstLine="0"/>
              <w:jc w:val="both"/>
              <w:rPr>
                <w:rFonts w:ascii="Arial" w:hAnsi="Arial"/>
                <w:szCs w:val="24"/>
              </w:rPr>
            </w:pPr>
          </w:p>
          <w:p w:rsidRPr="008E0916" w:rsidR="003F1480" w:rsidP="00831665" w:rsidRDefault="003F1480" w14:paraId="7E0C983A" w14:textId="77777777">
            <w:pPr>
              <w:pStyle w:val="Style"/>
              <w:tabs>
                <w:tab w:val="left" w:pos="-1440"/>
              </w:tabs>
              <w:ind w:left="0" w:firstLine="0"/>
              <w:jc w:val="both"/>
              <w:rPr>
                <w:rFonts w:ascii="Arial" w:hAnsi="Arial"/>
                <w:b/>
                <w:sz w:val="22"/>
                <w:szCs w:val="22"/>
              </w:rPr>
            </w:pPr>
            <w:r w:rsidRPr="008E0916">
              <w:rPr>
                <w:rFonts w:ascii="Arial" w:hAnsi="Arial"/>
                <w:b/>
                <w:sz w:val="22"/>
                <w:szCs w:val="22"/>
              </w:rPr>
              <w:t>FORM</w:t>
            </w:r>
          </w:p>
        </w:tc>
        <w:tc>
          <w:tcPr>
            <w:tcW w:w="1260" w:type="dxa"/>
            <w:shd w:val="clear" w:color="auto" w:fill="auto"/>
          </w:tcPr>
          <w:p w:rsidRPr="008E0916" w:rsidR="003F1480" w:rsidP="00831665" w:rsidRDefault="00D20365" w14:paraId="4438F410" w14:textId="77777777">
            <w:pPr>
              <w:pStyle w:val="Style"/>
              <w:tabs>
                <w:tab w:val="left" w:pos="-1440"/>
              </w:tabs>
              <w:ind w:left="0" w:firstLine="0"/>
              <w:jc w:val="both"/>
              <w:rPr>
                <w:rFonts w:ascii="Arial" w:hAnsi="Arial"/>
                <w:b/>
                <w:sz w:val="22"/>
                <w:szCs w:val="22"/>
              </w:rPr>
            </w:pPr>
            <w:r w:rsidRPr="008E0916">
              <w:rPr>
                <w:rFonts w:ascii="Arial" w:hAnsi="Arial"/>
                <w:b/>
                <w:sz w:val="22"/>
                <w:szCs w:val="22"/>
              </w:rPr>
              <w:t>TOTAL BURDEN</w:t>
            </w:r>
          </w:p>
          <w:p w:rsidRPr="008E0916" w:rsidR="003F1480" w:rsidP="00831665" w:rsidRDefault="003F1480" w14:paraId="57F7E18D" w14:textId="77777777">
            <w:pPr>
              <w:pStyle w:val="Style"/>
              <w:tabs>
                <w:tab w:val="left" w:pos="-1440"/>
              </w:tabs>
              <w:ind w:left="0" w:firstLine="0"/>
              <w:jc w:val="both"/>
              <w:rPr>
                <w:rFonts w:ascii="Arial" w:hAnsi="Arial"/>
                <w:b/>
                <w:sz w:val="22"/>
                <w:szCs w:val="22"/>
              </w:rPr>
            </w:pPr>
            <w:r w:rsidRPr="008E0916">
              <w:rPr>
                <w:rFonts w:ascii="Arial" w:hAnsi="Arial"/>
                <w:b/>
                <w:sz w:val="22"/>
                <w:szCs w:val="22"/>
              </w:rPr>
              <w:t>HOURS</w:t>
            </w:r>
          </w:p>
        </w:tc>
        <w:tc>
          <w:tcPr>
            <w:tcW w:w="1775" w:type="dxa"/>
            <w:shd w:val="clear" w:color="auto" w:fill="auto"/>
          </w:tcPr>
          <w:p w:rsidRPr="008E0916" w:rsidR="003F1480" w:rsidP="00831665" w:rsidRDefault="003F1480" w14:paraId="5B94D2F6" w14:textId="77777777">
            <w:pPr>
              <w:pStyle w:val="Style"/>
              <w:tabs>
                <w:tab w:val="left" w:pos="-1440"/>
              </w:tabs>
              <w:ind w:left="0" w:firstLine="0"/>
              <w:jc w:val="both"/>
              <w:rPr>
                <w:rFonts w:ascii="Arial" w:hAnsi="Arial"/>
                <w:sz w:val="22"/>
                <w:szCs w:val="22"/>
              </w:rPr>
            </w:pPr>
          </w:p>
          <w:p w:rsidRPr="008E0916" w:rsidR="003F1480" w:rsidP="00831665" w:rsidRDefault="003F1480" w14:paraId="776E010E" w14:textId="77777777">
            <w:pPr>
              <w:pStyle w:val="Style"/>
              <w:tabs>
                <w:tab w:val="left" w:pos="-1440"/>
              </w:tabs>
              <w:ind w:left="0" w:firstLine="0"/>
              <w:jc w:val="both"/>
              <w:rPr>
                <w:rFonts w:ascii="Arial" w:hAnsi="Arial"/>
                <w:b/>
                <w:sz w:val="22"/>
                <w:szCs w:val="22"/>
              </w:rPr>
            </w:pPr>
            <w:r w:rsidRPr="008E0916">
              <w:rPr>
                <w:rFonts w:ascii="Arial" w:hAnsi="Arial"/>
                <w:b/>
                <w:sz w:val="22"/>
                <w:szCs w:val="22"/>
              </w:rPr>
              <w:t>NO. OF</w:t>
            </w:r>
          </w:p>
          <w:p w:rsidRPr="008E0916" w:rsidR="003F1480" w:rsidP="00831665" w:rsidRDefault="003F1480" w14:paraId="522B602F" w14:textId="77777777">
            <w:pPr>
              <w:pStyle w:val="Style"/>
              <w:tabs>
                <w:tab w:val="left" w:pos="-1440"/>
              </w:tabs>
              <w:ind w:left="0" w:firstLine="0"/>
              <w:jc w:val="both"/>
              <w:rPr>
                <w:rFonts w:ascii="Arial" w:hAnsi="Arial"/>
                <w:szCs w:val="24"/>
              </w:rPr>
            </w:pPr>
            <w:r w:rsidRPr="008E0916">
              <w:rPr>
                <w:rFonts w:ascii="Arial" w:hAnsi="Arial"/>
                <w:b/>
                <w:sz w:val="22"/>
                <w:szCs w:val="22"/>
              </w:rPr>
              <w:t>RESPONDENTS</w:t>
            </w:r>
          </w:p>
        </w:tc>
        <w:tc>
          <w:tcPr>
            <w:tcW w:w="1915" w:type="dxa"/>
            <w:shd w:val="clear" w:color="auto" w:fill="auto"/>
          </w:tcPr>
          <w:p w:rsidRPr="008E0916" w:rsidR="003F1480" w:rsidP="00831665" w:rsidRDefault="00D20365" w14:paraId="6515CCB4" w14:textId="77777777">
            <w:pPr>
              <w:pStyle w:val="Style"/>
              <w:tabs>
                <w:tab w:val="left" w:pos="-1440"/>
              </w:tabs>
              <w:ind w:left="0" w:firstLine="0"/>
              <w:rPr>
                <w:rFonts w:ascii="Arial" w:hAnsi="Arial"/>
                <w:b/>
                <w:sz w:val="22"/>
                <w:szCs w:val="22"/>
              </w:rPr>
            </w:pPr>
            <w:r w:rsidRPr="008E0916">
              <w:rPr>
                <w:rFonts w:ascii="Arial" w:hAnsi="Arial"/>
                <w:b/>
                <w:sz w:val="22"/>
                <w:szCs w:val="22"/>
              </w:rPr>
              <w:t xml:space="preserve">NO. OF </w:t>
            </w:r>
            <w:r w:rsidRPr="008E0916" w:rsidR="003F1480">
              <w:rPr>
                <w:rFonts w:ascii="Arial" w:hAnsi="Arial"/>
                <w:b/>
                <w:sz w:val="22"/>
                <w:szCs w:val="22"/>
              </w:rPr>
              <w:t>RESPONSES PER RESPONDENT</w:t>
            </w:r>
          </w:p>
        </w:tc>
        <w:tc>
          <w:tcPr>
            <w:tcW w:w="1818" w:type="dxa"/>
            <w:shd w:val="clear" w:color="auto" w:fill="auto"/>
          </w:tcPr>
          <w:p w:rsidRPr="008E0916" w:rsidR="003F1480" w:rsidP="00831665" w:rsidRDefault="003F1480" w14:paraId="105B093C" w14:textId="77777777">
            <w:pPr>
              <w:pStyle w:val="Style"/>
              <w:tabs>
                <w:tab w:val="left" w:pos="-1440"/>
              </w:tabs>
              <w:ind w:left="0" w:firstLine="0"/>
              <w:jc w:val="both"/>
              <w:rPr>
                <w:rFonts w:ascii="Arial" w:hAnsi="Arial"/>
                <w:szCs w:val="24"/>
              </w:rPr>
            </w:pPr>
          </w:p>
          <w:p w:rsidRPr="008E0916" w:rsidR="003F1480" w:rsidP="00831665" w:rsidRDefault="003F1480" w14:paraId="0F7DEF3C" w14:textId="77777777">
            <w:pPr>
              <w:pStyle w:val="Style"/>
              <w:tabs>
                <w:tab w:val="left" w:pos="-1440"/>
              </w:tabs>
              <w:ind w:left="0" w:firstLine="0"/>
              <w:jc w:val="both"/>
              <w:rPr>
                <w:rFonts w:ascii="Arial" w:hAnsi="Arial"/>
                <w:b/>
                <w:sz w:val="22"/>
                <w:szCs w:val="22"/>
              </w:rPr>
            </w:pPr>
            <w:r w:rsidRPr="008E0916">
              <w:rPr>
                <w:rFonts w:ascii="Arial" w:hAnsi="Arial"/>
                <w:b/>
                <w:sz w:val="22"/>
                <w:szCs w:val="22"/>
              </w:rPr>
              <w:t>TOTAL</w:t>
            </w:r>
            <w:r w:rsidRPr="008E0916" w:rsidR="00D20365">
              <w:rPr>
                <w:rFonts w:ascii="Arial" w:hAnsi="Arial"/>
                <w:b/>
                <w:sz w:val="22"/>
                <w:szCs w:val="22"/>
              </w:rPr>
              <w:t xml:space="preserve"> ANNUAL</w:t>
            </w:r>
          </w:p>
          <w:p w:rsidRPr="008E0916" w:rsidR="003F1480" w:rsidP="00831665" w:rsidRDefault="003F1480" w14:paraId="6D4F7941" w14:textId="77777777">
            <w:pPr>
              <w:pStyle w:val="Style"/>
              <w:tabs>
                <w:tab w:val="left" w:pos="-1440"/>
              </w:tabs>
              <w:ind w:left="0" w:firstLine="0"/>
              <w:jc w:val="both"/>
              <w:rPr>
                <w:rFonts w:ascii="Arial" w:hAnsi="Arial"/>
                <w:szCs w:val="24"/>
              </w:rPr>
            </w:pPr>
            <w:r w:rsidRPr="008E0916">
              <w:rPr>
                <w:rFonts w:ascii="Arial" w:hAnsi="Arial"/>
                <w:b/>
                <w:sz w:val="22"/>
                <w:szCs w:val="22"/>
              </w:rPr>
              <w:t>RESPONSES</w:t>
            </w:r>
          </w:p>
        </w:tc>
        <w:tc>
          <w:tcPr>
            <w:tcW w:w="1728" w:type="dxa"/>
            <w:shd w:val="clear" w:color="auto" w:fill="auto"/>
          </w:tcPr>
          <w:p w:rsidRPr="008E0916" w:rsidR="003F1480" w:rsidP="00831665" w:rsidRDefault="003F1480" w14:paraId="1CEBB61D" w14:textId="77777777">
            <w:pPr>
              <w:pStyle w:val="Style"/>
              <w:tabs>
                <w:tab w:val="left" w:pos="-1440"/>
              </w:tabs>
              <w:ind w:left="0" w:firstLine="0"/>
              <w:jc w:val="both"/>
              <w:rPr>
                <w:rFonts w:ascii="Arial" w:hAnsi="Arial"/>
                <w:sz w:val="22"/>
                <w:szCs w:val="22"/>
              </w:rPr>
            </w:pPr>
          </w:p>
          <w:p w:rsidRPr="008E0916" w:rsidR="003F1480" w:rsidP="00831665" w:rsidRDefault="003F1480" w14:paraId="19B647FC" w14:textId="77777777">
            <w:pPr>
              <w:pStyle w:val="Style"/>
              <w:tabs>
                <w:tab w:val="left" w:pos="-1440"/>
              </w:tabs>
              <w:ind w:left="0" w:firstLine="0"/>
              <w:jc w:val="both"/>
              <w:rPr>
                <w:rFonts w:ascii="Arial" w:hAnsi="Arial"/>
                <w:b/>
                <w:sz w:val="22"/>
                <w:szCs w:val="22"/>
              </w:rPr>
            </w:pPr>
            <w:r w:rsidRPr="008E0916">
              <w:rPr>
                <w:rFonts w:ascii="Arial" w:hAnsi="Arial"/>
                <w:b/>
                <w:sz w:val="22"/>
                <w:szCs w:val="22"/>
              </w:rPr>
              <w:t>TIME PER</w:t>
            </w:r>
          </w:p>
          <w:p w:rsidRPr="008E0916" w:rsidR="003F1480" w:rsidP="00831665" w:rsidRDefault="003F1480" w14:paraId="00F45309" w14:textId="77777777">
            <w:pPr>
              <w:pStyle w:val="Style"/>
              <w:tabs>
                <w:tab w:val="left" w:pos="-1440"/>
              </w:tabs>
              <w:ind w:left="0" w:firstLine="0"/>
              <w:jc w:val="both"/>
              <w:rPr>
                <w:rFonts w:ascii="Arial" w:hAnsi="Arial"/>
                <w:sz w:val="22"/>
                <w:szCs w:val="22"/>
              </w:rPr>
            </w:pPr>
            <w:r w:rsidRPr="008E0916">
              <w:rPr>
                <w:rFonts w:ascii="Arial" w:hAnsi="Arial"/>
                <w:b/>
                <w:sz w:val="22"/>
                <w:szCs w:val="22"/>
              </w:rPr>
              <w:t>RESPONSE</w:t>
            </w:r>
          </w:p>
        </w:tc>
      </w:tr>
      <w:tr w:rsidRPr="00831665" w:rsidR="00B0227C" w:rsidTr="008E0916" w14:paraId="29BD6886" w14:textId="77777777">
        <w:trPr>
          <w:trHeight w:val="440"/>
        </w:trPr>
        <w:tc>
          <w:tcPr>
            <w:tcW w:w="1080" w:type="dxa"/>
            <w:shd w:val="clear" w:color="auto" w:fill="auto"/>
          </w:tcPr>
          <w:p w:rsidRPr="00C82FFA" w:rsidR="003F1480" w:rsidP="00831665" w:rsidRDefault="004E7E29" w14:paraId="1344B6C5" w14:textId="77777777">
            <w:pPr>
              <w:pStyle w:val="Style"/>
              <w:tabs>
                <w:tab w:val="left" w:pos="-1440"/>
              </w:tabs>
              <w:ind w:left="0" w:firstLine="0"/>
              <w:jc w:val="both"/>
              <w:rPr>
                <w:rFonts w:ascii="Arial" w:hAnsi="Arial"/>
                <w:szCs w:val="24"/>
              </w:rPr>
            </w:pPr>
            <w:r w:rsidRPr="00C82FFA">
              <w:rPr>
                <w:rFonts w:ascii="Arial" w:hAnsi="Arial"/>
                <w:szCs w:val="24"/>
              </w:rPr>
              <w:t xml:space="preserve">CBP Form </w:t>
            </w:r>
            <w:r w:rsidRPr="00C82FFA" w:rsidR="00B0227C">
              <w:rPr>
                <w:rFonts w:ascii="Arial" w:hAnsi="Arial"/>
                <w:szCs w:val="24"/>
              </w:rPr>
              <w:t>1300</w:t>
            </w:r>
          </w:p>
          <w:p w:rsidRPr="00C82FFA" w:rsidR="003F1480" w:rsidP="00831665" w:rsidRDefault="003F1480" w14:paraId="4E245F35" w14:textId="77777777">
            <w:pPr>
              <w:pStyle w:val="Style"/>
              <w:tabs>
                <w:tab w:val="left" w:pos="-1440"/>
              </w:tabs>
              <w:ind w:left="0" w:firstLine="0"/>
              <w:jc w:val="both"/>
              <w:rPr>
                <w:rFonts w:ascii="Arial" w:hAnsi="Arial"/>
                <w:szCs w:val="24"/>
              </w:rPr>
            </w:pPr>
          </w:p>
        </w:tc>
        <w:tc>
          <w:tcPr>
            <w:tcW w:w="1260" w:type="dxa"/>
            <w:shd w:val="clear" w:color="auto" w:fill="auto"/>
          </w:tcPr>
          <w:p w:rsidRPr="00C82FFA" w:rsidR="00D04D5B" w:rsidP="00831665" w:rsidRDefault="00D04D5B" w14:paraId="64656492" w14:textId="77777777">
            <w:pPr>
              <w:pStyle w:val="Style"/>
              <w:tabs>
                <w:tab w:val="left" w:pos="-1440"/>
              </w:tabs>
              <w:ind w:left="0" w:firstLine="0"/>
              <w:jc w:val="both"/>
              <w:rPr>
                <w:rFonts w:ascii="Arial" w:hAnsi="Arial"/>
                <w:szCs w:val="24"/>
              </w:rPr>
            </w:pPr>
          </w:p>
          <w:p w:rsidRPr="00C82FFA" w:rsidR="003F1480" w:rsidP="008E0916" w:rsidRDefault="008E0916" w14:paraId="20D01998" w14:textId="77777777">
            <w:pPr>
              <w:pStyle w:val="Style"/>
              <w:tabs>
                <w:tab w:val="left" w:pos="-1440"/>
              </w:tabs>
              <w:ind w:left="0" w:firstLine="0"/>
              <w:jc w:val="center"/>
              <w:rPr>
                <w:rFonts w:ascii="Arial" w:hAnsi="Arial"/>
                <w:szCs w:val="24"/>
              </w:rPr>
            </w:pPr>
            <w:r w:rsidRPr="00C82FFA">
              <w:rPr>
                <w:rFonts w:ascii="Arial" w:hAnsi="Arial"/>
                <w:szCs w:val="24"/>
              </w:rPr>
              <w:t>94,464</w:t>
            </w:r>
          </w:p>
        </w:tc>
        <w:tc>
          <w:tcPr>
            <w:tcW w:w="1775" w:type="dxa"/>
            <w:shd w:val="clear" w:color="auto" w:fill="auto"/>
          </w:tcPr>
          <w:p w:rsidRPr="00C82FFA" w:rsidR="00D04D5B" w:rsidP="00831665" w:rsidRDefault="003F1480" w14:paraId="6A72ACEA" w14:textId="77777777">
            <w:pPr>
              <w:pStyle w:val="Style"/>
              <w:tabs>
                <w:tab w:val="left" w:pos="-1440"/>
              </w:tabs>
              <w:ind w:left="0" w:firstLine="0"/>
              <w:jc w:val="both"/>
              <w:rPr>
                <w:rFonts w:ascii="Arial" w:hAnsi="Arial"/>
                <w:szCs w:val="24"/>
              </w:rPr>
            </w:pPr>
            <w:r w:rsidRPr="00C82FFA">
              <w:rPr>
                <w:rFonts w:ascii="Arial" w:hAnsi="Arial"/>
                <w:szCs w:val="24"/>
              </w:rPr>
              <w:t xml:space="preserve">   </w:t>
            </w:r>
          </w:p>
          <w:p w:rsidRPr="00C82FFA" w:rsidR="003F1480" w:rsidP="00D04D5B" w:rsidRDefault="008E0916" w14:paraId="4C607EE6" w14:textId="77777777">
            <w:pPr>
              <w:pStyle w:val="Style"/>
              <w:tabs>
                <w:tab w:val="left" w:pos="-1440"/>
              </w:tabs>
              <w:ind w:left="0" w:firstLine="0"/>
              <w:jc w:val="center"/>
              <w:rPr>
                <w:rFonts w:ascii="Arial" w:hAnsi="Arial"/>
                <w:szCs w:val="24"/>
              </w:rPr>
            </w:pPr>
            <w:r w:rsidRPr="00C82FFA">
              <w:rPr>
                <w:rFonts w:ascii="Arial" w:hAnsi="Arial"/>
                <w:szCs w:val="24"/>
              </w:rPr>
              <w:t>2,624</w:t>
            </w:r>
          </w:p>
        </w:tc>
        <w:tc>
          <w:tcPr>
            <w:tcW w:w="1915" w:type="dxa"/>
            <w:shd w:val="clear" w:color="auto" w:fill="auto"/>
          </w:tcPr>
          <w:p w:rsidRPr="00C82FFA" w:rsidR="00D04D5B" w:rsidP="00831665" w:rsidRDefault="003F1480" w14:paraId="2CF11AFE" w14:textId="77777777">
            <w:pPr>
              <w:pStyle w:val="Style"/>
              <w:tabs>
                <w:tab w:val="left" w:pos="-1440"/>
              </w:tabs>
              <w:ind w:left="0" w:firstLine="0"/>
              <w:jc w:val="both"/>
              <w:rPr>
                <w:rFonts w:ascii="Arial" w:hAnsi="Arial"/>
                <w:szCs w:val="24"/>
              </w:rPr>
            </w:pPr>
            <w:r w:rsidRPr="00C82FFA">
              <w:rPr>
                <w:rFonts w:ascii="Arial" w:hAnsi="Arial"/>
                <w:szCs w:val="24"/>
              </w:rPr>
              <w:t xml:space="preserve">  </w:t>
            </w:r>
            <w:r w:rsidRPr="00C82FFA" w:rsidR="00AE4703">
              <w:rPr>
                <w:rFonts w:ascii="Arial" w:hAnsi="Arial"/>
                <w:szCs w:val="24"/>
              </w:rPr>
              <w:t xml:space="preserve">     </w:t>
            </w:r>
          </w:p>
          <w:p w:rsidRPr="00C82FFA" w:rsidR="003F1480" w:rsidP="00D04D5B" w:rsidRDefault="008E0916" w14:paraId="38A54928" w14:textId="77777777">
            <w:pPr>
              <w:pStyle w:val="Style"/>
              <w:tabs>
                <w:tab w:val="left" w:pos="-1440"/>
              </w:tabs>
              <w:ind w:left="0" w:firstLine="0"/>
              <w:jc w:val="center"/>
              <w:rPr>
                <w:rFonts w:ascii="Arial" w:hAnsi="Arial"/>
                <w:szCs w:val="24"/>
              </w:rPr>
            </w:pPr>
            <w:r w:rsidRPr="00C82FFA">
              <w:rPr>
                <w:rFonts w:ascii="Arial" w:hAnsi="Arial"/>
                <w:szCs w:val="24"/>
              </w:rPr>
              <w:t>72</w:t>
            </w:r>
          </w:p>
        </w:tc>
        <w:tc>
          <w:tcPr>
            <w:tcW w:w="1818" w:type="dxa"/>
            <w:shd w:val="clear" w:color="auto" w:fill="auto"/>
          </w:tcPr>
          <w:p w:rsidRPr="00C82FFA" w:rsidR="00D04D5B" w:rsidP="00D04D5B" w:rsidRDefault="00D04D5B" w14:paraId="37F456ED" w14:textId="77777777">
            <w:pPr>
              <w:pStyle w:val="Style"/>
              <w:tabs>
                <w:tab w:val="left" w:pos="-1440"/>
              </w:tabs>
              <w:ind w:left="0" w:firstLine="0"/>
              <w:jc w:val="center"/>
              <w:rPr>
                <w:rFonts w:ascii="Arial" w:hAnsi="Arial"/>
                <w:szCs w:val="24"/>
              </w:rPr>
            </w:pPr>
          </w:p>
          <w:p w:rsidRPr="00C82FFA" w:rsidR="003F1480" w:rsidP="00D04D5B" w:rsidRDefault="008E0916" w14:paraId="33B7A24F" w14:textId="77777777">
            <w:pPr>
              <w:pStyle w:val="Style"/>
              <w:tabs>
                <w:tab w:val="left" w:pos="-1440"/>
              </w:tabs>
              <w:ind w:left="0" w:firstLine="0"/>
              <w:jc w:val="center"/>
              <w:rPr>
                <w:rFonts w:ascii="Arial" w:hAnsi="Arial"/>
                <w:szCs w:val="24"/>
              </w:rPr>
            </w:pPr>
            <w:r w:rsidRPr="00C82FFA">
              <w:rPr>
                <w:rFonts w:ascii="Arial" w:hAnsi="Arial"/>
                <w:szCs w:val="24"/>
              </w:rPr>
              <w:t>188,928</w:t>
            </w:r>
          </w:p>
        </w:tc>
        <w:tc>
          <w:tcPr>
            <w:tcW w:w="1728" w:type="dxa"/>
            <w:shd w:val="clear" w:color="auto" w:fill="auto"/>
          </w:tcPr>
          <w:p w:rsidRPr="00C82FFA" w:rsidR="003F1480" w:rsidP="00831665" w:rsidRDefault="00DF1D13" w14:paraId="26DA6CDE" w14:textId="77777777">
            <w:pPr>
              <w:pStyle w:val="Style"/>
              <w:tabs>
                <w:tab w:val="left" w:pos="-1440"/>
              </w:tabs>
              <w:ind w:left="0" w:firstLine="0"/>
              <w:jc w:val="both"/>
              <w:rPr>
                <w:rFonts w:ascii="Arial" w:hAnsi="Arial"/>
                <w:szCs w:val="24"/>
              </w:rPr>
            </w:pPr>
            <w:r w:rsidRPr="00C82FFA">
              <w:rPr>
                <w:rFonts w:ascii="Arial" w:hAnsi="Arial"/>
                <w:szCs w:val="24"/>
              </w:rPr>
              <w:t xml:space="preserve">30 </w:t>
            </w:r>
            <w:r w:rsidRPr="00C82FFA" w:rsidR="003F1480">
              <w:rPr>
                <w:rFonts w:ascii="Arial" w:hAnsi="Arial"/>
                <w:szCs w:val="24"/>
              </w:rPr>
              <w:t>minutes or</w:t>
            </w:r>
          </w:p>
          <w:p w:rsidRPr="00C82FFA" w:rsidR="003F1480" w:rsidP="00831665" w:rsidRDefault="003F1480" w14:paraId="248F5505" w14:textId="0843CF91">
            <w:pPr>
              <w:pStyle w:val="Style"/>
              <w:tabs>
                <w:tab w:val="left" w:pos="-1440"/>
              </w:tabs>
              <w:ind w:left="0" w:firstLine="0"/>
              <w:jc w:val="both"/>
              <w:rPr>
                <w:rFonts w:ascii="Arial" w:hAnsi="Arial"/>
                <w:color w:val="FF0000"/>
                <w:szCs w:val="24"/>
              </w:rPr>
            </w:pPr>
            <w:r w:rsidRPr="00C82FFA">
              <w:rPr>
                <w:rFonts w:ascii="Arial" w:hAnsi="Arial"/>
                <w:szCs w:val="24"/>
              </w:rPr>
              <w:t>(</w:t>
            </w:r>
            <w:r w:rsidR="00C43E7A">
              <w:rPr>
                <w:rFonts w:ascii="Arial" w:hAnsi="Arial"/>
                <w:szCs w:val="24"/>
              </w:rPr>
              <w:t>0</w:t>
            </w:r>
            <w:r w:rsidRPr="00C82FFA">
              <w:rPr>
                <w:rFonts w:ascii="Arial" w:hAnsi="Arial"/>
                <w:szCs w:val="24"/>
              </w:rPr>
              <w:t>.</w:t>
            </w:r>
            <w:r w:rsidRPr="00C82FFA" w:rsidR="00DF1D13">
              <w:rPr>
                <w:rFonts w:ascii="Arial" w:hAnsi="Arial"/>
                <w:szCs w:val="24"/>
              </w:rPr>
              <w:t>5</w:t>
            </w:r>
            <w:r w:rsidRPr="00C82FFA">
              <w:rPr>
                <w:rFonts w:ascii="Arial" w:hAnsi="Arial"/>
                <w:szCs w:val="24"/>
              </w:rPr>
              <w:t>) hours</w:t>
            </w:r>
          </w:p>
        </w:tc>
      </w:tr>
    </w:tbl>
    <w:p w:rsidR="004D404D" w:rsidP="00B0227C" w:rsidRDefault="00CF639B" w14:paraId="625FB000" w14:textId="77777777">
      <w:pPr>
        <w:jc w:val="both"/>
        <w:rPr>
          <w:rFonts w:ascii="Arial" w:hAnsi="Arial"/>
        </w:rPr>
      </w:pPr>
      <w:r>
        <w:rPr>
          <w:rFonts w:ascii="Arial" w:hAnsi="Arial"/>
        </w:rPr>
        <w:t xml:space="preserve">    </w:t>
      </w:r>
      <w:r w:rsidR="004D404D">
        <w:rPr>
          <w:rFonts w:ascii="Arial" w:hAnsi="Arial"/>
        </w:rPr>
        <w:t xml:space="preserve">  </w:t>
      </w:r>
    </w:p>
    <w:p w:rsidR="003A354E" w:rsidP="00B0227C" w:rsidRDefault="003A354E" w14:paraId="0BEFC93E" w14:textId="77777777">
      <w:pPr>
        <w:jc w:val="both"/>
        <w:rPr>
          <w:rFonts w:ascii="Arial" w:hAnsi="Arial"/>
        </w:rPr>
      </w:pPr>
    </w:p>
    <w:p w:rsidR="001F78AB" w:rsidP="001F78AB" w:rsidRDefault="00297683" w14:paraId="09080FD1" w14:textId="77777777">
      <w:pPr>
        <w:tabs>
          <w:tab w:val="left" w:pos="-1440"/>
        </w:tabs>
        <w:ind w:left="720" w:hanging="720"/>
        <w:jc w:val="both"/>
        <w:rPr>
          <w:rFonts w:ascii="Arial" w:hAnsi="Arial"/>
          <w:b/>
          <w:bCs/>
          <w:szCs w:val="24"/>
        </w:rPr>
      </w:pPr>
      <w:r>
        <w:rPr>
          <w:rFonts w:ascii="Arial" w:hAnsi="Arial" w:cs="Arial"/>
          <w:b/>
          <w:bCs/>
          <w:color w:val="000000"/>
        </w:rPr>
        <w:tab/>
      </w:r>
      <w:r w:rsidR="001F78AB">
        <w:rPr>
          <w:rFonts w:ascii="Arial" w:hAnsi="Arial"/>
          <w:b/>
          <w:bCs/>
          <w:szCs w:val="24"/>
        </w:rPr>
        <w:t>Public Cost</w:t>
      </w:r>
    </w:p>
    <w:p w:rsidRPr="002C1C7C" w:rsidR="001F78AB" w:rsidP="001F78AB" w:rsidRDefault="001F78AB" w14:paraId="1553728F" w14:textId="77CD0DFC">
      <w:pPr>
        <w:tabs>
          <w:tab w:val="left" w:pos="-1440"/>
        </w:tabs>
        <w:ind w:left="720" w:hanging="720"/>
        <w:jc w:val="both"/>
        <w:rPr>
          <w:rFonts w:ascii="Arial" w:hAnsi="Arial"/>
          <w:b/>
          <w:bCs/>
          <w:color w:val="FF0000"/>
          <w:szCs w:val="24"/>
        </w:rPr>
      </w:pPr>
      <w:r>
        <w:rPr>
          <w:rFonts w:ascii="Arial" w:hAnsi="Arial"/>
          <w:b/>
          <w:bCs/>
          <w:szCs w:val="24"/>
        </w:rPr>
        <w:tab/>
      </w:r>
    </w:p>
    <w:p w:rsidRPr="006C2746" w:rsidR="00C82FFA" w:rsidP="00C82FFA" w:rsidRDefault="00C82FFA" w14:paraId="0474C045" w14:textId="349A09A5">
      <w:pPr>
        <w:ind w:left="720"/>
        <w:rPr>
          <w:rFonts w:ascii="Arial" w:hAnsi="Arial" w:cs="Arial"/>
          <w:szCs w:val="24"/>
          <w:vertAlign w:val="superscript"/>
        </w:rPr>
      </w:pPr>
      <w:r w:rsidRPr="006C2746">
        <w:rPr>
          <w:rFonts w:ascii="Arial" w:hAnsi="Arial" w:cs="Arial"/>
          <w:szCs w:val="24"/>
        </w:rPr>
        <w:t xml:space="preserve">The estimated cost to the respondents is </w:t>
      </w:r>
      <w:r w:rsidRPr="006C2746" w:rsidR="006C2746">
        <w:rPr>
          <w:rFonts w:ascii="Arial" w:hAnsi="Arial" w:cs="Arial"/>
          <w:szCs w:val="24"/>
        </w:rPr>
        <w:t>$4,841,280</w:t>
      </w:r>
      <w:r w:rsidRPr="006C2746">
        <w:rPr>
          <w:rFonts w:ascii="Arial" w:hAnsi="Arial" w:cs="Arial"/>
          <w:szCs w:val="24"/>
        </w:rPr>
        <w:t xml:space="preserve">.  This is based on the estimated burden hours (94,464) multiplied by the average loaded hourly wage rate for ship and boat captains and operators ($51.25).  CBP calculated this loaded wage rate by first multiplying the Bureau of Labor Statistics’ (BLS) 2019 median hourly wage rate for Ship and Boat Captains and Operators ($33.60) by the ratio of BLS’ average 2019 total compensation to wages and salaries for Transportation </w:t>
      </w:r>
      <w:r w:rsidRPr="006C2746">
        <w:rPr>
          <w:rFonts w:ascii="Arial" w:hAnsi="Arial" w:cs="Arial"/>
          <w:szCs w:val="24"/>
        </w:rPr>
        <w:lastRenderedPageBreak/>
        <w:t>and Material Moving occupations (1.5252), the assumed occupational group for ship and boat captains and operators, to account for non-salary employee benefits.</w:t>
      </w:r>
      <w:r w:rsidRPr="006C2746">
        <w:rPr>
          <w:rStyle w:val="FootnoteReference"/>
          <w:rFonts w:ascii="Arial" w:hAnsi="Arial" w:cs="Arial"/>
          <w:szCs w:val="24"/>
        </w:rPr>
        <w:footnoteReference w:id="1"/>
      </w:r>
      <w:r w:rsidRPr="006C2746">
        <w:rPr>
          <w:rFonts w:ascii="Arial" w:hAnsi="Arial" w:cs="Arial"/>
          <w:szCs w:val="24"/>
          <w:vertAlign w:val="superscript"/>
        </w:rPr>
        <w:t xml:space="preserve">  </w:t>
      </w:r>
      <w:r w:rsidRPr="006C2746">
        <w:rPr>
          <w:rFonts w:ascii="Arial" w:hAnsi="Arial" w:cs="Arial"/>
          <w:szCs w:val="24"/>
        </w:rPr>
        <w:t>This figure is in 2019 U.S. dollars and CBP assumes an annual growth rate of 0 percent; the 2019 U.S. dollar value is equal to the 2020 U.S. dollar value.</w:t>
      </w:r>
    </w:p>
    <w:p w:rsidR="003A354E" w:rsidP="00556A7B" w:rsidRDefault="003F1480" w14:paraId="72A6DD45" w14:textId="77777777">
      <w:pPr>
        <w:autoSpaceDE w:val="0"/>
        <w:autoSpaceDN w:val="0"/>
        <w:adjustRightInd w:val="0"/>
        <w:spacing w:line="240" w:lineRule="atLeast"/>
        <w:jc w:val="both"/>
        <w:rPr>
          <w:rFonts w:ascii="Arial" w:hAnsi="Arial"/>
        </w:rPr>
      </w:pPr>
      <w:r>
        <w:rPr>
          <w:rFonts w:ascii="Arial" w:hAnsi="Arial" w:cs="Arial"/>
          <w:b/>
          <w:bCs/>
          <w:color w:val="000000"/>
        </w:rPr>
        <w:tab/>
      </w:r>
    </w:p>
    <w:p w:rsidR="003F1480" w:rsidP="00556A7B" w:rsidRDefault="003F1480" w14:paraId="06839DCD" w14:textId="77777777">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r w:rsidR="005D15C4">
        <w:rPr>
          <w:rFonts w:ascii="Arial" w:hAnsi="Arial" w:cs="Arial"/>
          <w:b/>
          <w:bCs/>
        </w:rPr>
        <w:t>record-keepers</w:t>
      </w:r>
      <w:r>
        <w:rPr>
          <w:rFonts w:ascii="Arial" w:hAnsi="Arial" w:cs="Arial"/>
          <w:b/>
          <w:bCs/>
        </w:rPr>
        <w:t xml:space="preserve"> resulting from the collection of information.</w:t>
      </w:r>
      <w:r>
        <w:rPr>
          <w:rFonts w:ascii="Arial" w:hAnsi="Arial"/>
        </w:rPr>
        <w:tab/>
      </w:r>
    </w:p>
    <w:p w:rsidR="00DB37F4" w:rsidP="00B0227C" w:rsidRDefault="00DB37F4" w14:paraId="02496D29" w14:textId="77777777">
      <w:pPr>
        <w:ind w:left="720"/>
        <w:jc w:val="both"/>
        <w:rPr>
          <w:rFonts w:ascii="Arial" w:hAnsi="Arial"/>
        </w:rPr>
      </w:pPr>
    </w:p>
    <w:p w:rsidR="00DB37F4" w:rsidP="00B0227C" w:rsidRDefault="00DB37F4" w14:paraId="55ED6D66" w14:textId="77777777">
      <w:pPr>
        <w:ind w:left="720"/>
        <w:jc w:val="both"/>
        <w:rPr>
          <w:rFonts w:ascii="Arial" w:hAnsi="Arial"/>
        </w:rPr>
      </w:pPr>
      <w:r>
        <w:rPr>
          <w:rFonts w:ascii="Arial" w:hAnsi="Arial"/>
        </w:rPr>
        <w:t>There are no</w:t>
      </w:r>
      <w:r w:rsidR="001F78AB">
        <w:rPr>
          <w:rFonts w:ascii="Arial" w:hAnsi="Arial"/>
        </w:rPr>
        <w:t xml:space="preserve"> recordkeeping, </w:t>
      </w:r>
      <w:r>
        <w:rPr>
          <w:rFonts w:ascii="Arial" w:hAnsi="Arial"/>
        </w:rPr>
        <w:t>capitalization o</w:t>
      </w:r>
      <w:r w:rsidR="00A24EC7">
        <w:rPr>
          <w:rFonts w:ascii="Arial" w:hAnsi="Arial"/>
        </w:rPr>
        <w:t>r</w:t>
      </w:r>
      <w:r>
        <w:rPr>
          <w:rFonts w:ascii="Arial" w:hAnsi="Arial"/>
        </w:rPr>
        <w:t xml:space="preserve"> start-up costs associated with this collection.</w:t>
      </w:r>
    </w:p>
    <w:p w:rsidR="003A354E" w:rsidP="00E4059D" w:rsidRDefault="00B0227C" w14:paraId="108AC20B" w14:textId="77777777">
      <w:pPr>
        <w:jc w:val="both"/>
        <w:rPr>
          <w:rFonts w:ascii="Arial" w:hAnsi="Arial"/>
        </w:rPr>
      </w:pPr>
      <w:r>
        <w:rPr>
          <w:rFonts w:ascii="Arial" w:hAnsi="Arial"/>
        </w:rPr>
        <w:tab/>
      </w:r>
    </w:p>
    <w:p w:rsidR="003F1480" w:rsidP="00E4059D" w:rsidRDefault="003F1480" w14:paraId="3642DE43" w14:textId="77777777">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C3BF8" w:rsidP="00CC3BF8" w:rsidRDefault="003F1480" w14:paraId="439F1536" w14:textId="4B1EE113">
      <w:pPr>
        <w:tabs>
          <w:tab w:val="left" w:pos="-1440"/>
        </w:tabs>
        <w:jc w:val="both"/>
        <w:rPr>
          <w:rFonts w:ascii="Arial" w:hAnsi="Arial" w:cs="Arial"/>
        </w:rPr>
      </w:pPr>
      <w:r>
        <w:rPr>
          <w:rFonts w:ascii="Arial" w:hAnsi="Arial" w:cs="Arial"/>
          <w:b/>
          <w:bCs/>
        </w:rPr>
        <w:tab/>
      </w:r>
    </w:p>
    <w:p w:rsidRPr="00CC3BF8" w:rsidR="00CC3BF8" w:rsidP="00CC3BF8" w:rsidRDefault="00CC3BF8" w14:paraId="30A3FFE7" w14:textId="50A7CDEC">
      <w:pPr>
        <w:widowControl/>
        <w:tabs>
          <w:tab w:val="left" w:pos="-1440"/>
        </w:tabs>
        <w:ind w:left="720"/>
        <w:jc w:val="both"/>
        <w:rPr>
          <w:rFonts w:ascii="Arial" w:hAnsi="Arial" w:eastAsia="Calibri" w:cs="Arial"/>
          <w:snapToGrid/>
          <w:szCs w:val="24"/>
        </w:rPr>
      </w:pPr>
      <w:r w:rsidRPr="00CC3BF8">
        <w:rPr>
          <w:rFonts w:ascii="Arial" w:hAnsi="Arial" w:eastAsia="Calibri" w:cs="Arial"/>
          <w:snapToGrid/>
          <w:szCs w:val="24"/>
        </w:rPr>
        <w:t>The estimated annual cost to the Federal Government associated with the review of these records is $1,646,349. This is based on the number of responses that must be reviewed (188,928) multiplied by the time burden to review and process each response (8 minutes or 0.133 hours) = 25,127.424 hours multiplied by the average hourly loaded rate for a CBP Officer ($65.52)</w:t>
      </w:r>
      <w:r w:rsidRPr="00CC3BF8">
        <w:rPr>
          <w:rFonts w:ascii="Arial" w:hAnsi="Arial" w:eastAsia="Calibri" w:cs="Arial"/>
          <w:snapToGrid/>
          <w:szCs w:val="24"/>
          <w:vertAlign w:val="superscript"/>
        </w:rPr>
        <w:footnoteReference w:id="2"/>
      </w:r>
      <w:r w:rsidRPr="00CC3BF8">
        <w:rPr>
          <w:rFonts w:ascii="Arial" w:hAnsi="Arial" w:eastAsia="Calibri" w:cs="Arial"/>
          <w:snapToGrid/>
          <w:szCs w:val="24"/>
        </w:rPr>
        <w:t xml:space="preserve"> = $1,646,349.</w:t>
      </w:r>
    </w:p>
    <w:p w:rsidR="00722B7E" w:rsidP="00E4059D" w:rsidRDefault="00722B7E" w14:paraId="6E5A0229" w14:textId="77777777">
      <w:pPr>
        <w:autoSpaceDE w:val="0"/>
        <w:autoSpaceDN w:val="0"/>
        <w:adjustRightInd w:val="0"/>
        <w:spacing w:line="240" w:lineRule="atLeast"/>
        <w:jc w:val="both"/>
        <w:rPr>
          <w:rFonts w:ascii="Arial" w:hAnsi="Arial" w:cs="Arial"/>
        </w:rPr>
      </w:pPr>
    </w:p>
    <w:p w:rsidR="003F1480" w:rsidP="00E4059D" w:rsidRDefault="003F1480" w14:paraId="0E11C89F" w14:textId="77777777">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3F1480" w:rsidP="00E4059D" w:rsidRDefault="003F1480" w14:paraId="5B4A3AA0" w14:textId="77777777">
      <w:pPr>
        <w:tabs>
          <w:tab w:val="left" w:pos="-1440"/>
        </w:tabs>
        <w:ind w:left="720" w:hanging="720"/>
        <w:jc w:val="both"/>
        <w:rPr>
          <w:rFonts w:ascii="Arial" w:hAnsi="Arial"/>
        </w:rPr>
      </w:pPr>
    </w:p>
    <w:p w:rsidRPr="009633D8" w:rsidR="00BD5AB7" w:rsidP="00BD5AB7" w:rsidRDefault="00456BC4" w14:paraId="49B7F52D" w14:textId="77777777">
      <w:pPr>
        <w:ind w:left="720"/>
        <w:jc w:val="both"/>
        <w:rPr>
          <w:rFonts w:ascii="Arial" w:hAnsi="Arial" w:cs="Arial"/>
          <w:b/>
          <w:bCs/>
          <w:szCs w:val="24"/>
        </w:rPr>
      </w:pPr>
      <w:r>
        <w:rPr>
          <w:rFonts w:ascii="Arial" w:hAnsi="Arial" w:cs="Arial"/>
        </w:rPr>
        <w:t xml:space="preserve">There has been a </w:t>
      </w:r>
      <w:r w:rsidRPr="00220A33" w:rsidR="00BD5AB7">
        <w:rPr>
          <w:rFonts w:ascii="Arial" w:hAnsi="Arial" w:cs="Arial"/>
        </w:rPr>
        <w:t xml:space="preserve">decrease in the estimated annual burden hours previously reported for this information collection </w:t>
      </w:r>
      <w:r>
        <w:rPr>
          <w:rFonts w:ascii="Arial" w:hAnsi="Arial" w:cs="Arial"/>
        </w:rPr>
        <w:t>due to updated agency estimates. T</w:t>
      </w:r>
      <w:r w:rsidRPr="00220A33" w:rsidR="00BD5AB7">
        <w:rPr>
          <w:rFonts w:ascii="Arial" w:hAnsi="Arial" w:cs="Arial"/>
        </w:rPr>
        <w:t>here is no change to the information being collected</w:t>
      </w:r>
      <w:r w:rsidRPr="00220A33" w:rsidR="00517E1D">
        <w:rPr>
          <w:rFonts w:ascii="Arial" w:hAnsi="Arial" w:cs="Arial"/>
        </w:rPr>
        <w:t>.</w:t>
      </w:r>
    </w:p>
    <w:p w:rsidR="002F5AE1" w:rsidP="002F5AE1" w:rsidRDefault="002F5AE1" w14:paraId="31458C26" w14:textId="77777777">
      <w:pPr>
        <w:autoSpaceDE w:val="0"/>
        <w:autoSpaceDN w:val="0"/>
        <w:adjustRightInd w:val="0"/>
        <w:spacing w:line="240" w:lineRule="atLeast"/>
        <w:ind w:left="720" w:hanging="720"/>
        <w:jc w:val="both"/>
        <w:rPr>
          <w:rFonts w:ascii="Arial" w:hAnsi="Arial"/>
        </w:rPr>
      </w:pPr>
      <w:r>
        <w:rPr>
          <w:rFonts w:ascii="Arial" w:hAnsi="Arial"/>
        </w:rPr>
        <w:t xml:space="preserve"> </w:t>
      </w:r>
    </w:p>
    <w:p w:rsidR="003F1480" w:rsidP="00BD5AB7" w:rsidRDefault="003F1480" w14:paraId="541E6E9C" w14:textId="77777777">
      <w:pPr>
        <w:autoSpaceDE w:val="0"/>
        <w:autoSpaceDN w:val="0"/>
        <w:adjustRightInd w:val="0"/>
        <w:spacing w:line="240" w:lineRule="atLeast"/>
        <w:ind w:left="720" w:hanging="720"/>
        <w:jc w:val="both"/>
        <w:rPr>
          <w:rFonts w:ascii="Arial" w:hAnsi="Arial"/>
        </w:rPr>
      </w:pPr>
      <w:r>
        <w:rPr>
          <w:rFonts w:ascii="Arial" w:hAnsi="Arial"/>
          <w:color w:val="FF0000"/>
        </w:rPr>
        <w:t xml:space="preserve"> </w:t>
      </w: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3F1480" w:rsidP="00E4059D" w:rsidRDefault="003F1480" w14:paraId="2E864A96" w14:textId="77777777">
      <w:pPr>
        <w:jc w:val="both"/>
        <w:rPr>
          <w:rFonts w:ascii="Arial" w:hAnsi="Arial"/>
        </w:rPr>
      </w:pPr>
    </w:p>
    <w:p w:rsidR="003F1480" w:rsidP="00E4059D" w:rsidRDefault="003F1480" w14:paraId="70E83641" w14:textId="77777777">
      <w:pPr>
        <w:ind w:firstLine="720"/>
        <w:jc w:val="both"/>
        <w:rPr>
          <w:rFonts w:ascii="Arial" w:hAnsi="Arial"/>
        </w:rPr>
      </w:pPr>
      <w:r>
        <w:rPr>
          <w:rFonts w:ascii="Arial" w:hAnsi="Arial"/>
        </w:rPr>
        <w:t>This information collection will not be published</w:t>
      </w:r>
      <w:r w:rsidR="00493DE1">
        <w:rPr>
          <w:rFonts w:ascii="Arial" w:hAnsi="Arial"/>
        </w:rPr>
        <w:t xml:space="preserve"> for statistical purposes</w:t>
      </w:r>
      <w:r>
        <w:rPr>
          <w:rFonts w:ascii="Arial" w:hAnsi="Arial"/>
        </w:rPr>
        <w:t>.</w:t>
      </w:r>
    </w:p>
    <w:p w:rsidR="00110122" w:rsidP="00E4059D" w:rsidRDefault="00110122" w14:paraId="17764CAF" w14:textId="77777777">
      <w:pPr>
        <w:jc w:val="both"/>
        <w:rPr>
          <w:rFonts w:ascii="Arial" w:hAnsi="Arial"/>
          <w:b/>
        </w:rPr>
      </w:pPr>
    </w:p>
    <w:p w:rsidR="003F1480" w:rsidP="00E4059D" w:rsidRDefault="00AC141A" w14:paraId="30688CCC" w14:textId="77777777">
      <w:pPr>
        <w:jc w:val="both"/>
        <w:rPr>
          <w:rFonts w:ascii="Arial" w:hAnsi="Arial" w:cs="Arial"/>
          <w:b/>
          <w:bCs/>
        </w:rPr>
      </w:pPr>
      <w:r w:rsidRPr="00AC141A">
        <w:rPr>
          <w:rFonts w:ascii="Arial" w:hAnsi="Arial"/>
          <w:b/>
        </w:rPr>
        <w:lastRenderedPageBreak/>
        <w:t xml:space="preserve"> 17.</w:t>
      </w:r>
      <w:r w:rsidR="003F1480">
        <w:rPr>
          <w:rFonts w:ascii="Arial" w:hAnsi="Arial" w:cs="Arial"/>
          <w:b/>
          <w:bCs/>
        </w:rPr>
        <w:t xml:space="preserve">     If seeking approval to not display the expiration date for OMB approval of the      </w:t>
      </w:r>
      <w:r>
        <w:rPr>
          <w:rFonts w:ascii="Arial" w:hAnsi="Arial" w:cs="Arial"/>
          <w:b/>
          <w:bCs/>
        </w:rPr>
        <w:tab/>
      </w:r>
      <w:r w:rsidR="003F1480">
        <w:rPr>
          <w:rFonts w:ascii="Arial" w:hAnsi="Arial" w:cs="Arial"/>
          <w:b/>
          <w:bCs/>
        </w:rPr>
        <w:t xml:space="preserve"> information collection, explain the reasons that display would be                           </w:t>
      </w:r>
      <w:r>
        <w:rPr>
          <w:rFonts w:ascii="Arial" w:hAnsi="Arial" w:cs="Arial"/>
          <w:b/>
          <w:bCs/>
        </w:rPr>
        <w:tab/>
      </w:r>
      <w:r w:rsidR="003F1480">
        <w:rPr>
          <w:rFonts w:ascii="Arial" w:hAnsi="Arial" w:cs="Arial"/>
          <w:b/>
          <w:bCs/>
        </w:rPr>
        <w:t xml:space="preserve"> inappropriate.</w:t>
      </w:r>
    </w:p>
    <w:p w:rsidR="003F1480" w:rsidP="00E4059D" w:rsidRDefault="003F1480" w14:paraId="35EE42EE" w14:textId="77777777">
      <w:pPr>
        <w:jc w:val="both"/>
        <w:rPr>
          <w:rFonts w:ascii="Arial" w:hAnsi="Arial" w:cs="Arial"/>
          <w:b/>
          <w:bCs/>
        </w:rPr>
      </w:pPr>
    </w:p>
    <w:p w:rsidR="003F1480" w:rsidP="00E4059D" w:rsidRDefault="003F1480" w14:paraId="108A6F9E" w14:textId="77777777">
      <w:pPr>
        <w:tabs>
          <w:tab w:val="left" w:pos="-1440"/>
        </w:tabs>
        <w:ind w:left="720" w:hanging="720"/>
        <w:jc w:val="both"/>
        <w:rPr>
          <w:rFonts w:ascii="Arial" w:hAnsi="Arial"/>
        </w:rPr>
      </w:pPr>
      <w:r>
        <w:rPr>
          <w:rFonts w:ascii="Arial" w:hAnsi="Arial"/>
        </w:rPr>
        <w:tab/>
      </w:r>
      <w:r w:rsidR="003345BB">
        <w:rPr>
          <w:rFonts w:ascii="Arial" w:hAnsi="Arial" w:cs="Arial"/>
        </w:rPr>
        <w:t>CBP will display the expiration date for OMB approval of this information collection.</w:t>
      </w:r>
      <w:r>
        <w:rPr>
          <w:rFonts w:ascii="Arial" w:hAnsi="Arial"/>
        </w:rPr>
        <w:t xml:space="preserve"> </w:t>
      </w:r>
    </w:p>
    <w:p w:rsidR="003F1480" w:rsidP="00E4059D" w:rsidRDefault="003F1480" w14:paraId="29E8BAFE" w14:textId="77777777">
      <w:pPr>
        <w:tabs>
          <w:tab w:val="left" w:pos="-1440"/>
        </w:tabs>
        <w:ind w:left="720" w:hanging="720"/>
        <w:jc w:val="both"/>
        <w:rPr>
          <w:rFonts w:ascii="Arial" w:hAnsi="Arial"/>
        </w:rPr>
      </w:pPr>
      <w:r>
        <w:rPr>
          <w:rFonts w:ascii="Arial" w:hAnsi="Arial"/>
        </w:rPr>
        <w:t xml:space="preserve">                      </w:t>
      </w:r>
    </w:p>
    <w:p w:rsidR="003F1480" w:rsidP="00E4059D" w:rsidRDefault="003F1480" w14:paraId="605A7DC2" w14:textId="77777777">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19, </w:t>
      </w:r>
    </w:p>
    <w:p w:rsidR="003F1480" w:rsidP="00E4059D" w:rsidRDefault="003F1480" w14:paraId="0A97735E" w14:textId="77777777">
      <w:pPr>
        <w:ind w:left="720"/>
        <w:jc w:val="both"/>
        <w:rPr>
          <w:rFonts w:ascii="Arial" w:hAnsi="Arial" w:cs="Arial"/>
          <w:b/>
          <w:bCs/>
        </w:rPr>
      </w:pPr>
      <w:r>
        <w:rPr>
          <w:rFonts w:ascii="Arial" w:hAnsi="Arial" w:cs="Arial"/>
          <w:b/>
          <w:bCs/>
        </w:rPr>
        <w:t>“Certification for Paperwork Reduction Act Submissions”</w:t>
      </w:r>
      <w:r w:rsidR="00353339">
        <w:rPr>
          <w:rFonts w:ascii="Arial" w:hAnsi="Arial" w:cs="Arial"/>
          <w:b/>
          <w:bCs/>
        </w:rPr>
        <w:t>.</w:t>
      </w:r>
    </w:p>
    <w:p w:rsidR="003F1480" w:rsidP="00E4059D" w:rsidRDefault="003F1480" w14:paraId="6F31823C" w14:textId="77777777">
      <w:pPr>
        <w:jc w:val="both"/>
        <w:rPr>
          <w:rFonts w:ascii="Arial" w:hAnsi="Arial"/>
        </w:rPr>
      </w:pPr>
    </w:p>
    <w:p w:rsidR="003F1480" w:rsidP="00E4059D" w:rsidRDefault="009210BF" w14:paraId="595E34A0" w14:textId="77777777">
      <w:pPr>
        <w:ind w:left="720"/>
        <w:jc w:val="both"/>
        <w:rPr>
          <w:rFonts w:ascii="Arial" w:hAnsi="Arial"/>
        </w:rPr>
      </w:pPr>
      <w:r>
        <w:rPr>
          <w:rFonts w:ascii="Arial" w:hAnsi="Arial" w:cs="Arial"/>
          <w:szCs w:val="24"/>
        </w:rPr>
        <w:t>CBP does not request an exception to the certification of this information collection.</w:t>
      </w:r>
    </w:p>
    <w:p w:rsidR="003F1480" w:rsidP="00E4059D" w:rsidRDefault="003F1480" w14:paraId="0E15CFA5" w14:textId="77777777">
      <w:pPr>
        <w:jc w:val="both"/>
        <w:rPr>
          <w:rFonts w:ascii="Arial" w:hAnsi="Arial"/>
        </w:rPr>
      </w:pPr>
    </w:p>
    <w:p w:rsidR="003F1480" w:rsidP="00E4059D" w:rsidRDefault="003F1480" w14:paraId="75CBA788" w14:textId="77777777">
      <w:pPr>
        <w:pStyle w:val="Heading1"/>
        <w:numPr>
          <w:ilvl w:val="0"/>
          <w:numId w:val="9"/>
        </w:numPr>
        <w:tabs>
          <w:tab w:val="clear" w:pos="-1440"/>
        </w:tabs>
        <w:jc w:val="both"/>
      </w:pPr>
      <w:r>
        <w:t>Collection of Information Employing Statistical Methods</w:t>
      </w:r>
    </w:p>
    <w:p w:rsidR="003F1480" w:rsidP="00E4059D" w:rsidRDefault="003F1480" w14:paraId="20E70E42" w14:textId="77777777">
      <w:pPr>
        <w:jc w:val="both"/>
      </w:pPr>
    </w:p>
    <w:p w:rsidR="003F1480" w:rsidP="00E4059D" w:rsidRDefault="003F1480" w14:paraId="5B1ACB92" w14:textId="77777777">
      <w:pPr>
        <w:pStyle w:val="BodyTextIndent2"/>
        <w:jc w:val="both"/>
      </w:pPr>
      <w:r>
        <w:t>No statistical methods were employed.</w:t>
      </w:r>
    </w:p>
    <w:p w:rsidR="003F1480" w:rsidP="00E4059D" w:rsidRDefault="003F1480" w14:paraId="2E0098D3" w14:textId="77777777">
      <w:pPr>
        <w:jc w:val="both"/>
      </w:pPr>
    </w:p>
    <w:p w:rsidR="007D0361" w:rsidP="00E4059D" w:rsidRDefault="007D0361" w14:paraId="67F3A8FF" w14:textId="77777777">
      <w:pPr>
        <w:jc w:val="both"/>
        <w:rPr>
          <w:rFonts w:ascii="Arial" w:hAnsi="Arial"/>
        </w:rPr>
      </w:pPr>
    </w:p>
    <w:p w:rsidR="003F1480" w:rsidP="00E4059D" w:rsidRDefault="003F1480" w14:paraId="09A73062" w14:textId="77777777">
      <w:pPr>
        <w:jc w:val="both"/>
        <w:rPr>
          <w:rFonts w:ascii="Arial" w:hAnsi="Arial"/>
        </w:rPr>
      </w:pPr>
    </w:p>
    <w:sectPr w:rsidR="003F1480">
      <w:footerReference w:type="even" r:id="rId12"/>
      <w:footerReference w:type="default" r:id="rId13"/>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FDD4" w14:textId="77777777" w:rsidR="00E83C94" w:rsidRDefault="00E83C94">
      <w:r>
        <w:separator/>
      </w:r>
    </w:p>
  </w:endnote>
  <w:endnote w:type="continuationSeparator" w:id="0">
    <w:p w14:paraId="1226CE5D" w14:textId="77777777" w:rsidR="00E83C94" w:rsidRDefault="00E8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0BD7" w14:textId="77777777" w:rsidR="00101E1C" w:rsidRDefault="00101E1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6DF31" w14:textId="77777777" w:rsidR="00101E1C" w:rsidRDefault="0010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DD7B" w14:textId="72881988" w:rsidR="00101E1C" w:rsidRDefault="00101E1C" w:rsidP="00FC19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BF8">
      <w:rPr>
        <w:rStyle w:val="PageNumber"/>
        <w:noProof/>
      </w:rPr>
      <w:t>1</w:t>
    </w:r>
    <w:r>
      <w:rPr>
        <w:rStyle w:val="PageNumber"/>
      </w:rPr>
      <w:fldChar w:fldCharType="end"/>
    </w:r>
  </w:p>
  <w:p w14:paraId="1B2399C4" w14:textId="77777777" w:rsidR="00101E1C" w:rsidRDefault="0010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277E" w14:textId="77777777" w:rsidR="00E83C94" w:rsidRDefault="00E83C94">
      <w:r>
        <w:separator/>
      </w:r>
    </w:p>
  </w:footnote>
  <w:footnote w:type="continuationSeparator" w:id="0">
    <w:p w14:paraId="39206C74" w14:textId="77777777" w:rsidR="00E83C94" w:rsidRDefault="00E83C94">
      <w:r>
        <w:continuationSeparator/>
      </w:r>
    </w:p>
  </w:footnote>
  <w:footnote w:id="1">
    <w:p w14:paraId="0E00C2D4" w14:textId="77777777" w:rsidR="00C82FFA" w:rsidRPr="008E16AD" w:rsidRDefault="00C82FFA" w:rsidP="00C82FFA">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of median wage rate: </w:t>
      </w:r>
      <w:r w:rsidRPr="00957A0B">
        <w:rPr>
          <w:rFonts w:ascii="Times New Roman" w:hAnsi="Times New Roman"/>
          <w:lang w:val="en"/>
        </w:rPr>
        <w:t>U.S. Bureau of Labor Statistics.  Occupational Employment Statistics, “May 201</w:t>
      </w:r>
      <w:r>
        <w:rPr>
          <w:rFonts w:ascii="Times New Roman" w:hAnsi="Times New Roman"/>
          <w:lang w:val="en"/>
        </w:rPr>
        <w:t>9</w:t>
      </w:r>
      <w:r w:rsidRPr="00957A0B">
        <w:rPr>
          <w:rFonts w:ascii="Times New Roman" w:hAnsi="Times New Roman"/>
          <w:lang w:val="en"/>
        </w:rPr>
        <w:t xml:space="preserve"> National Occupational Employment and Wage Estimates United States.”  Updated </w:t>
      </w:r>
      <w:r>
        <w:rPr>
          <w:rFonts w:ascii="Times New Roman" w:hAnsi="Times New Roman"/>
          <w:lang w:val="en"/>
        </w:rPr>
        <w:t>March 31, 2020</w:t>
      </w:r>
      <w:r w:rsidRPr="00957A0B">
        <w:rPr>
          <w:rFonts w:ascii="Times New Roman" w:hAnsi="Times New Roman"/>
          <w:lang w:val="en"/>
        </w:rPr>
        <w:t>.  Available</w:t>
      </w:r>
      <w:r>
        <w:rPr>
          <w:rFonts w:ascii="Times New Roman" w:hAnsi="Times New Roman"/>
          <w:lang w:val="en"/>
        </w:rPr>
        <w:t xml:space="preserve"> at https://www.bls.gov/oes/2019</w:t>
      </w:r>
      <w:r w:rsidRPr="00957A0B">
        <w:rPr>
          <w:rFonts w:ascii="Times New Roman" w:hAnsi="Times New Roman"/>
          <w:lang w:val="en"/>
        </w:rPr>
        <w:t xml:space="preserve">/may/oes_nat.htm.  Accessed </w:t>
      </w:r>
      <w:r>
        <w:rPr>
          <w:rFonts w:ascii="Times New Roman" w:hAnsi="Times New Roman"/>
          <w:lang w:val="en"/>
        </w:rPr>
        <w:t>June 12, 2020</w:t>
      </w:r>
      <w:r w:rsidRPr="00957A0B">
        <w:rPr>
          <w:rFonts w:ascii="Times New Roman" w:hAnsi="Times New Roman"/>
          <w:lang w:val="en"/>
        </w:rPr>
        <w:t>.</w:t>
      </w:r>
      <w:r>
        <w:rPr>
          <w:rFonts w:ascii="Times New Roman" w:hAnsi="Times New Roman"/>
          <w:lang w:val="en"/>
        </w:rPr>
        <w:t xml:space="preserve">  </w:t>
      </w:r>
      <w:r w:rsidRPr="00D41379">
        <w:rPr>
          <w:rFonts w:ascii="Times New Roman" w:hAnsi="Times New Roman"/>
        </w:rPr>
        <w:t xml:space="preserve">The </w:t>
      </w:r>
      <w:r w:rsidRPr="00D41379">
        <w:rPr>
          <w:rFonts w:ascii="Times New Roman" w:hAnsi="Times New Roman"/>
          <w:lang w:val="en"/>
        </w:rPr>
        <w:t>total compensation to wages and salaries ratio is equal to th</w:t>
      </w:r>
      <w:r>
        <w:rPr>
          <w:rFonts w:ascii="Times New Roman" w:hAnsi="Times New Roman"/>
          <w:lang w:val="en"/>
        </w:rPr>
        <w:t>e calculated average of the 2019</w:t>
      </w:r>
      <w:r w:rsidRPr="0003223A">
        <w:rPr>
          <w:rFonts w:ascii="Times New Roman" w:hAnsi="Times New Roman"/>
          <w:lang w:val="en"/>
        </w:rPr>
        <w:t xml:space="preserve"> quarterly estimates (shown under Mar., June, Sep., Dec.) of the total compensation cost per hour worked for Transportation and Material Moving occupations ($30.</w:t>
      </w:r>
      <w:r>
        <w:rPr>
          <w:rFonts w:ascii="Times New Roman" w:hAnsi="Times New Roman"/>
          <w:lang w:val="en"/>
        </w:rPr>
        <w:t>3550</w:t>
      </w:r>
      <w:r w:rsidRPr="0003223A">
        <w:rPr>
          <w:rFonts w:ascii="Times New Roman" w:hAnsi="Times New Roman"/>
          <w:lang w:val="en"/>
        </w:rPr>
        <w:t>) divided by th</w:t>
      </w:r>
      <w:r>
        <w:rPr>
          <w:rFonts w:ascii="Times New Roman" w:hAnsi="Times New Roman"/>
          <w:lang w:val="en"/>
        </w:rPr>
        <w:t>e calculated average of the 2019</w:t>
      </w:r>
      <w:r w:rsidRPr="0003223A">
        <w:rPr>
          <w:rFonts w:ascii="Times New Roman" w:hAnsi="Times New Roman"/>
          <w:lang w:val="en"/>
        </w:rPr>
        <w:t xml:space="preserve"> quarterly estimates (shown under Mar., June, Sep., Dec.) of wages and salaries cost per hour worked for the sa</w:t>
      </w:r>
      <w:r>
        <w:rPr>
          <w:rFonts w:ascii="Times New Roman" w:hAnsi="Times New Roman"/>
          <w:lang w:val="en"/>
        </w:rPr>
        <w:t>me occupation category ($19.9025</w:t>
      </w:r>
      <w:r w:rsidRPr="0003223A">
        <w:rPr>
          <w:rFonts w:ascii="Times New Roman" w:hAnsi="Times New Roman"/>
          <w:lang w:val="en"/>
        </w:rPr>
        <w:t>).  Source of total compensation to wages and salaries ratio data: U.S. Bureau of Labor Statistics.  Employer Costs for Employee Compensation.  Employer Costs for Employee Compensation Historical Listing March 2004 – December 201</w:t>
      </w:r>
      <w:r>
        <w:rPr>
          <w:rFonts w:ascii="Times New Roman" w:hAnsi="Times New Roman"/>
          <w:lang w:val="en"/>
        </w:rPr>
        <w:t>9</w:t>
      </w:r>
      <w:r w:rsidRPr="0003223A">
        <w:rPr>
          <w:rFonts w:ascii="Times New Roman" w:hAnsi="Times New Roman"/>
          <w:lang w:val="en"/>
        </w:rPr>
        <w:t>, “Table 3. Civilian workers, by occupational group: employer costs per hours worked for employee compensation and costs as a percentage of total comp</w:t>
      </w:r>
      <w:r>
        <w:rPr>
          <w:rFonts w:ascii="Times New Roman" w:hAnsi="Times New Roman"/>
          <w:lang w:val="en"/>
        </w:rPr>
        <w:t>ensation, 2004-2019.”  March 2020</w:t>
      </w:r>
      <w:r w:rsidRPr="0003223A">
        <w:rPr>
          <w:rFonts w:ascii="Times New Roman" w:hAnsi="Times New Roman"/>
          <w:lang w:val="en"/>
        </w:rPr>
        <w:t xml:space="preserve">.  Available at https://www.bls.gov/web/ecec/ececqrtn.pdf.  Accessed </w:t>
      </w:r>
      <w:r>
        <w:rPr>
          <w:rFonts w:ascii="Times New Roman" w:hAnsi="Times New Roman"/>
          <w:lang w:val="en"/>
        </w:rPr>
        <w:t>June 12, 2020</w:t>
      </w:r>
      <w:r w:rsidRPr="0003223A">
        <w:rPr>
          <w:rFonts w:ascii="Times New Roman" w:hAnsi="Times New Roman"/>
          <w:lang w:val="en"/>
        </w:rPr>
        <w:t>.</w:t>
      </w:r>
      <w:r>
        <w:rPr>
          <w:rFonts w:ascii="Times New Roman" w:hAnsi="Times New Roman"/>
          <w:lang w:val="en"/>
        </w:rPr>
        <w:t xml:space="preserve"> </w:t>
      </w:r>
    </w:p>
  </w:footnote>
  <w:footnote w:id="2">
    <w:p w14:paraId="1E9D00D6" w14:textId="77777777" w:rsidR="00CC3BF8" w:rsidRPr="00D41379" w:rsidRDefault="00CC3BF8" w:rsidP="00CC3BF8">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2020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7</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July 2, 2020</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6C8"/>
    <w:multiLevelType w:val="hybridMultilevel"/>
    <w:tmpl w:val="C1FA071E"/>
    <w:lvl w:ilvl="0" w:tplc="53B0EFDE">
      <w:start w:val="1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A5252E"/>
    <w:multiLevelType w:val="hybridMultilevel"/>
    <w:tmpl w:val="C97655AA"/>
    <w:lvl w:ilvl="0" w:tplc="AC9C8FE4">
      <w:start w:val="15"/>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3" w15:restartNumberingAfterBreak="0">
    <w:nsid w:val="2C0875BF"/>
    <w:multiLevelType w:val="hybridMultilevel"/>
    <w:tmpl w:val="93000BA2"/>
    <w:lvl w:ilvl="0" w:tplc="0BE0EA14">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DE4FDA"/>
    <w:multiLevelType w:val="hybridMultilevel"/>
    <w:tmpl w:val="969EC9EC"/>
    <w:lvl w:ilvl="0" w:tplc="74D0E610">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7" w15:restartNumberingAfterBreak="0">
    <w:nsid w:val="5CC06D45"/>
    <w:multiLevelType w:val="hybridMultilevel"/>
    <w:tmpl w:val="226C0BD4"/>
    <w:lvl w:ilvl="0" w:tplc="691A9A48">
      <w:start w:val="1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6"/>
  </w:num>
  <w:num w:numId="2">
    <w:abstractNumId w:val="2"/>
  </w:num>
  <w:num w:numId="3">
    <w:abstractNumId w:val="9"/>
  </w:num>
  <w:num w:numId="4">
    <w:abstractNumId w:val="3"/>
  </w:num>
  <w:num w:numId="5">
    <w:abstractNumId w:val="7"/>
  </w:num>
  <w:num w:numId="6">
    <w:abstractNumId w:val="1"/>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80"/>
    <w:rsid w:val="00010F86"/>
    <w:rsid w:val="000114EE"/>
    <w:rsid w:val="00012D31"/>
    <w:rsid w:val="000200F8"/>
    <w:rsid w:val="000352B6"/>
    <w:rsid w:val="00041896"/>
    <w:rsid w:val="0004401C"/>
    <w:rsid w:val="00052805"/>
    <w:rsid w:val="00065723"/>
    <w:rsid w:val="000831B3"/>
    <w:rsid w:val="00085441"/>
    <w:rsid w:val="00095B12"/>
    <w:rsid w:val="000979AB"/>
    <w:rsid w:val="000B3752"/>
    <w:rsid w:val="000B5314"/>
    <w:rsid w:val="000C56C5"/>
    <w:rsid w:val="000D45F3"/>
    <w:rsid w:val="000E5F4E"/>
    <w:rsid w:val="000F472F"/>
    <w:rsid w:val="00101E1C"/>
    <w:rsid w:val="00110122"/>
    <w:rsid w:val="00123EE1"/>
    <w:rsid w:val="00125050"/>
    <w:rsid w:val="00127270"/>
    <w:rsid w:val="00144508"/>
    <w:rsid w:val="0014498A"/>
    <w:rsid w:val="00150D95"/>
    <w:rsid w:val="00151BFC"/>
    <w:rsid w:val="00151F16"/>
    <w:rsid w:val="00157B15"/>
    <w:rsid w:val="00161E77"/>
    <w:rsid w:val="001759DF"/>
    <w:rsid w:val="00181F9F"/>
    <w:rsid w:val="00191236"/>
    <w:rsid w:val="001A0C96"/>
    <w:rsid w:val="001A1BE5"/>
    <w:rsid w:val="001C51D7"/>
    <w:rsid w:val="001F6464"/>
    <w:rsid w:val="001F78AB"/>
    <w:rsid w:val="001F7C7A"/>
    <w:rsid w:val="00212544"/>
    <w:rsid w:val="00220A33"/>
    <w:rsid w:val="002258D9"/>
    <w:rsid w:val="0023085C"/>
    <w:rsid w:val="00244A50"/>
    <w:rsid w:val="00256232"/>
    <w:rsid w:val="00257C25"/>
    <w:rsid w:val="00295A7D"/>
    <w:rsid w:val="00297683"/>
    <w:rsid w:val="002A3D9C"/>
    <w:rsid w:val="002A4E94"/>
    <w:rsid w:val="002A56F4"/>
    <w:rsid w:val="002A6C9A"/>
    <w:rsid w:val="002B7E4F"/>
    <w:rsid w:val="002C1C7C"/>
    <w:rsid w:val="002D3EF1"/>
    <w:rsid w:val="002D6A52"/>
    <w:rsid w:val="002D7FE5"/>
    <w:rsid w:val="002E721A"/>
    <w:rsid w:val="002F5AE1"/>
    <w:rsid w:val="00310E37"/>
    <w:rsid w:val="00315061"/>
    <w:rsid w:val="003267D5"/>
    <w:rsid w:val="003345BB"/>
    <w:rsid w:val="00336F84"/>
    <w:rsid w:val="0035044B"/>
    <w:rsid w:val="00353339"/>
    <w:rsid w:val="00355790"/>
    <w:rsid w:val="0036777A"/>
    <w:rsid w:val="003776F2"/>
    <w:rsid w:val="00392CB3"/>
    <w:rsid w:val="00395010"/>
    <w:rsid w:val="003A354E"/>
    <w:rsid w:val="003B2670"/>
    <w:rsid w:val="003B5BC7"/>
    <w:rsid w:val="003C0446"/>
    <w:rsid w:val="003D3DE2"/>
    <w:rsid w:val="003D7AC2"/>
    <w:rsid w:val="003F1480"/>
    <w:rsid w:val="00404050"/>
    <w:rsid w:val="0041275D"/>
    <w:rsid w:val="00416670"/>
    <w:rsid w:val="004259A1"/>
    <w:rsid w:val="004276A5"/>
    <w:rsid w:val="00430B36"/>
    <w:rsid w:val="00445A1A"/>
    <w:rsid w:val="004547AD"/>
    <w:rsid w:val="00456BC4"/>
    <w:rsid w:val="00456C95"/>
    <w:rsid w:val="00467B14"/>
    <w:rsid w:val="00473688"/>
    <w:rsid w:val="0047408E"/>
    <w:rsid w:val="00485675"/>
    <w:rsid w:val="00493DE1"/>
    <w:rsid w:val="004B046F"/>
    <w:rsid w:val="004C16BB"/>
    <w:rsid w:val="004C2DC8"/>
    <w:rsid w:val="004D404D"/>
    <w:rsid w:val="004E4138"/>
    <w:rsid w:val="004E49F6"/>
    <w:rsid w:val="004E7E29"/>
    <w:rsid w:val="00514AAD"/>
    <w:rsid w:val="00514FF2"/>
    <w:rsid w:val="00517E1D"/>
    <w:rsid w:val="00523B3F"/>
    <w:rsid w:val="00526DD3"/>
    <w:rsid w:val="00535650"/>
    <w:rsid w:val="005505C0"/>
    <w:rsid w:val="00556030"/>
    <w:rsid w:val="00556A7B"/>
    <w:rsid w:val="005714E3"/>
    <w:rsid w:val="0057286A"/>
    <w:rsid w:val="005A7851"/>
    <w:rsid w:val="005B108F"/>
    <w:rsid w:val="005B331C"/>
    <w:rsid w:val="005D15C4"/>
    <w:rsid w:val="005E428B"/>
    <w:rsid w:val="00610EE7"/>
    <w:rsid w:val="00621947"/>
    <w:rsid w:val="0062641E"/>
    <w:rsid w:val="00626CD2"/>
    <w:rsid w:val="00626D47"/>
    <w:rsid w:val="00627327"/>
    <w:rsid w:val="00644D12"/>
    <w:rsid w:val="006766C4"/>
    <w:rsid w:val="00691A28"/>
    <w:rsid w:val="00691FBD"/>
    <w:rsid w:val="006940B1"/>
    <w:rsid w:val="006A167F"/>
    <w:rsid w:val="006A2276"/>
    <w:rsid w:val="006A6243"/>
    <w:rsid w:val="006B3021"/>
    <w:rsid w:val="006C2746"/>
    <w:rsid w:val="006D07C8"/>
    <w:rsid w:val="006D45C4"/>
    <w:rsid w:val="006D4F5E"/>
    <w:rsid w:val="006E44CA"/>
    <w:rsid w:val="007019A6"/>
    <w:rsid w:val="00713E94"/>
    <w:rsid w:val="0071590C"/>
    <w:rsid w:val="00720529"/>
    <w:rsid w:val="00722B7E"/>
    <w:rsid w:val="0072380F"/>
    <w:rsid w:val="0072486C"/>
    <w:rsid w:val="00735731"/>
    <w:rsid w:val="00735D59"/>
    <w:rsid w:val="00736308"/>
    <w:rsid w:val="00743BFB"/>
    <w:rsid w:val="00747611"/>
    <w:rsid w:val="00756A45"/>
    <w:rsid w:val="00765AD8"/>
    <w:rsid w:val="00767B61"/>
    <w:rsid w:val="00786FC9"/>
    <w:rsid w:val="0079364D"/>
    <w:rsid w:val="00796571"/>
    <w:rsid w:val="007A062F"/>
    <w:rsid w:val="007A3D0D"/>
    <w:rsid w:val="007B0BA3"/>
    <w:rsid w:val="007C1FE0"/>
    <w:rsid w:val="007D0361"/>
    <w:rsid w:val="007D0D88"/>
    <w:rsid w:val="00802091"/>
    <w:rsid w:val="0080576B"/>
    <w:rsid w:val="00810FE3"/>
    <w:rsid w:val="00813CE8"/>
    <w:rsid w:val="0082368A"/>
    <w:rsid w:val="00831665"/>
    <w:rsid w:val="00834BF6"/>
    <w:rsid w:val="008427A7"/>
    <w:rsid w:val="00842F61"/>
    <w:rsid w:val="00845859"/>
    <w:rsid w:val="00851666"/>
    <w:rsid w:val="0086285A"/>
    <w:rsid w:val="00871DD6"/>
    <w:rsid w:val="00895F8D"/>
    <w:rsid w:val="00896F82"/>
    <w:rsid w:val="008A2144"/>
    <w:rsid w:val="008B7196"/>
    <w:rsid w:val="008C47D3"/>
    <w:rsid w:val="008E0916"/>
    <w:rsid w:val="008E3ABD"/>
    <w:rsid w:val="008E669C"/>
    <w:rsid w:val="008F0C57"/>
    <w:rsid w:val="00902011"/>
    <w:rsid w:val="0090779A"/>
    <w:rsid w:val="00907ED4"/>
    <w:rsid w:val="009154C5"/>
    <w:rsid w:val="00915614"/>
    <w:rsid w:val="009210BF"/>
    <w:rsid w:val="0093671C"/>
    <w:rsid w:val="00952A0F"/>
    <w:rsid w:val="00955864"/>
    <w:rsid w:val="00964BEB"/>
    <w:rsid w:val="00971259"/>
    <w:rsid w:val="009778D1"/>
    <w:rsid w:val="009A133E"/>
    <w:rsid w:val="009B02A9"/>
    <w:rsid w:val="009B7974"/>
    <w:rsid w:val="009C0C55"/>
    <w:rsid w:val="009C3BC4"/>
    <w:rsid w:val="009C7910"/>
    <w:rsid w:val="009E6A98"/>
    <w:rsid w:val="00A01C8F"/>
    <w:rsid w:val="00A24EC7"/>
    <w:rsid w:val="00A4111D"/>
    <w:rsid w:val="00A52248"/>
    <w:rsid w:val="00A63C1B"/>
    <w:rsid w:val="00A869C0"/>
    <w:rsid w:val="00A87F4B"/>
    <w:rsid w:val="00A94090"/>
    <w:rsid w:val="00AA16E3"/>
    <w:rsid w:val="00AA2E48"/>
    <w:rsid w:val="00AB01D7"/>
    <w:rsid w:val="00AB027A"/>
    <w:rsid w:val="00AB6D4A"/>
    <w:rsid w:val="00AB7F51"/>
    <w:rsid w:val="00AC141A"/>
    <w:rsid w:val="00AE4703"/>
    <w:rsid w:val="00AF075C"/>
    <w:rsid w:val="00AF7943"/>
    <w:rsid w:val="00B0227C"/>
    <w:rsid w:val="00B202A9"/>
    <w:rsid w:val="00B21ADA"/>
    <w:rsid w:val="00B267EA"/>
    <w:rsid w:val="00B30E28"/>
    <w:rsid w:val="00B33C4C"/>
    <w:rsid w:val="00B5034D"/>
    <w:rsid w:val="00B514BC"/>
    <w:rsid w:val="00B51EE7"/>
    <w:rsid w:val="00B53280"/>
    <w:rsid w:val="00B53EE0"/>
    <w:rsid w:val="00B561AE"/>
    <w:rsid w:val="00B607BC"/>
    <w:rsid w:val="00B70ECF"/>
    <w:rsid w:val="00B71719"/>
    <w:rsid w:val="00B839A7"/>
    <w:rsid w:val="00B862C0"/>
    <w:rsid w:val="00B86F6E"/>
    <w:rsid w:val="00B931E3"/>
    <w:rsid w:val="00B9471C"/>
    <w:rsid w:val="00BB5284"/>
    <w:rsid w:val="00BB6C4C"/>
    <w:rsid w:val="00BD0744"/>
    <w:rsid w:val="00BD4164"/>
    <w:rsid w:val="00BD5AB7"/>
    <w:rsid w:val="00BD6D4A"/>
    <w:rsid w:val="00BE7994"/>
    <w:rsid w:val="00C16D8B"/>
    <w:rsid w:val="00C2011D"/>
    <w:rsid w:val="00C22356"/>
    <w:rsid w:val="00C32839"/>
    <w:rsid w:val="00C32B8B"/>
    <w:rsid w:val="00C43E7A"/>
    <w:rsid w:val="00C46BAD"/>
    <w:rsid w:val="00C605CF"/>
    <w:rsid w:val="00C82FFA"/>
    <w:rsid w:val="00C86545"/>
    <w:rsid w:val="00C95EC4"/>
    <w:rsid w:val="00C97A02"/>
    <w:rsid w:val="00CB39DD"/>
    <w:rsid w:val="00CC3BF8"/>
    <w:rsid w:val="00CC49B4"/>
    <w:rsid w:val="00CD5871"/>
    <w:rsid w:val="00CD5D02"/>
    <w:rsid w:val="00CE50D5"/>
    <w:rsid w:val="00CE6689"/>
    <w:rsid w:val="00CE6F8C"/>
    <w:rsid w:val="00CF2EB5"/>
    <w:rsid w:val="00CF4C3C"/>
    <w:rsid w:val="00CF639B"/>
    <w:rsid w:val="00D04D5B"/>
    <w:rsid w:val="00D177C9"/>
    <w:rsid w:val="00D177D2"/>
    <w:rsid w:val="00D17858"/>
    <w:rsid w:val="00D20365"/>
    <w:rsid w:val="00D2101E"/>
    <w:rsid w:val="00D232B9"/>
    <w:rsid w:val="00D26E25"/>
    <w:rsid w:val="00D32F47"/>
    <w:rsid w:val="00D367B2"/>
    <w:rsid w:val="00D41064"/>
    <w:rsid w:val="00D47335"/>
    <w:rsid w:val="00D559D0"/>
    <w:rsid w:val="00D57587"/>
    <w:rsid w:val="00D721D3"/>
    <w:rsid w:val="00D74DD8"/>
    <w:rsid w:val="00D825A4"/>
    <w:rsid w:val="00DB37F4"/>
    <w:rsid w:val="00DB619B"/>
    <w:rsid w:val="00DB6967"/>
    <w:rsid w:val="00DC799C"/>
    <w:rsid w:val="00DD0916"/>
    <w:rsid w:val="00DE0A49"/>
    <w:rsid w:val="00DE5BE6"/>
    <w:rsid w:val="00DF1D13"/>
    <w:rsid w:val="00DF2732"/>
    <w:rsid w:val="00E0600E"/>
    <w:rsid w:val="00E32F50"/>
    <w:rsid w:val="00E3371E"/>
    <w:rsid w:val="00E35E49"/>
    <w:rsid w:val="00E4059D"/>
    <w:rsid w:val="00E478A3"/>
    <w:rsid w:val="00E5179F"/>
    <w:rsid w:val="00E621D6"/>
    <w:rsid w:val="00E70103"/>
    <w:rsid w:val="00E73039"/>
    <w:rsid w:val="00E83C94"/>
    <w:rsid w:val="00E87256"/>
    <w:rsid w:val="00EA1CCE"/>
    <w:rsid w:val="00EA43B3"/>
    <w:rsid w:val="00EB31A5"/>
    <w:rsid w:val="00EE73C1"/>
    <w:rsid w:val="00EF5CF9"/>
    <w:rsid w:val="00F10E6E"/>
    <w:rsid w:val="00F25279"/>
    <w:rsid w:val="00F252B0"/>
    <w:rsid w:val="00F27385"/>
    <w:rsid w:val="00F34E9F"/>
    <w:rsid w:val="00F36F0A"/>
    <w:rsid w:val="00F42F37"/>
    <w:rsid w:val="00F61B07"/>
    <w:rsid w:val="00F63CF1"/>
    <w:rsid w:val="00F7309A"/>
    <w:rsid w:val="00F7336A"/>
    <w:rsid w:val="00F95A16"/>
    <w:rsid w:val="00FC1914"/>
    <w:rsid w:val="00FC3671"/>
    <w:rsid w:val="00FD62B1"/>
    <w:rsid w:val="00FE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99FB"/>
  <w15:chartTrackingRefBased/>
  <w15:docId w15:val="{EE79C6C5-5FA5-40B0-804F-9A4567DA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C7C"/>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Hyperlink">
    <w:name w:val="Hyperlink"/>
    <w:rsid w:val="00842F61"/>
    <w:rPr>
      <w:color w:val="0000FF"/>
      <w:u w:val="single"/>
    </w:rPr>
  </w:style>
  <w:style w:type="paragraph" w:customStyle="1" w:styleId="Default">
    <w:name w:val="Default"/>
    <w:rsid w:val="00D410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04D5B"/>
    <w:rPr>
      <w:sz w:val="20"/>
    </w:rPr>
  </w:style>
  <w:style w:type="character" w:customStyle="1" w:styleId="FootnoteTextChar">
    <w:name w:val="Footnote Text Char"/>
    <w:link w:val="FootnoteText"/>
    <w:rsid w:val="00D04D5B"/>
    <w:rPr>
      <w:rFonts w:ascii="Courier" w:hAnsi="Courier"/>
      <w:snapToGrid w:val="0"/>
    </w:rPr>
  </w:style>
  <w:style w:type="paragraph" w:styleId="EndnoteText">
    <w:name w:val="endnote text"/>
    <w:basedOn w:val="Normal"/>
    <w:link w:val="EndnoteTextChar"/>
    <w:rsid w:val="00C32B8B"/>
    <w:rPr>
      <w:sz w:val="20"/>
    </w:rPr>
  </w:style>
  <w:style w:type="character" w:customStyle="1" w:styleId="EndnoteTextChar">
    <w:name w:val="Endnote Text Char"/>
    <w:link w:val="EndnoteText"/>
    <w:rsid w:val="00C32B8B"/>
    <w:rPr>
      <w:rFonts w:ascii="Courier" w:hAnsi="Courier"/>
      <w:snapToGrid w:val="0"/>
    </w:rPr>
  </w:style>
  <w:style w:type="character" w:styleId="EndnoteReference">
    <w:name w:val="endnote reference"/>
    <w:rsid w:val="00C32B8B"/>
    <w:rPr>
      <w:vertAlign w:val="superscript"/>
    </w:rPr>
  </w:style>
  <w:style w:type="character" w:styleId="CommentReference">
    <w:name w:val="annotation reference"/>
    <w:rsid w:val="00813CE8"/>
    <w:rPr>
      <w:sz w:val="16"/>
      <w:szCs w:val="16"/>
    </w:rPr>
  </w:style>
  <w:style w:type="paragraph" w:styleId="CommentText">
    <w:name w:val="annotation text"/>
    <w:basedOn w:val="Normal"/>
    <w:link w:val="CommentTextChar"/>
    <w:rsid w:val="00813CE8"/>
    <w:rPr>
      <w:sz w:val="20"/>
    </w:rPr>
  </w:style>
  <w:style w:type="character" w:customStyle="1" w:styleId="CommentTextChar">
    <w:name w:val="Comment Text Char"/>
    <w:link w:val="CommentText"/>
    <w:rsid w:val="00813CE8"/>
    <w:rPr>
      <w:rFonts w:ascii="Courier" w:hAnsi="Courier"/>
      <w:snapToGrid w:val="0"/>
    </w:rPr>
  </w:style>
  <w:style w:type="paragraph" w:styleId="CommentSubject">
    <w:name w:val="annotation subject"/>
    <w:basedOn w:val="CommentText"/>
    <w:next w:val="CommentText"/>
    <w:link w:val="CommentSubjectChar"/>
    <w:rsid w:val="00813CE8"/>
    <w:rPr>
      <w:b/>
      <w:bCs/>
    </w:rPr>
  </w:style>
  <w:style w:type="character" w:customStyle="1" w:styleId="CommentSubjectChar">
    <w:name w:val="Comment Subject Char"/>
    <w:link w:val="CommentSubject"/>
    <w:rsid w:val="00813CE8"/>
    <w:rPr>
      <w:rFonts w:ascii="Courier" w:hAnsi="Courier"/>
      <w:b/>
      <w:bCs/>
      <w:snapToGrid w:val="0"/>
    </w:rPr>
  </w:style>
  <w:style w:type="paragraph" w:styleId="Revision">
    <w:name w:val="Revision"/>
    <w:hidden/>
    <w:uiPriority w:val="99"/>
    <w:semiHidden/>
    <w:rsid w:val="00157B15"/>
    <w:rPr>
      <w:rFonts w:ascii="Courier" w:hAnsi="Courier"/>
      <w:snapToGrid w:val="0"/>
      <w:sz w:val="24"/>
    </w:rPr>
  </w:style>
  <w:style w:type="character" w:styleId="FollowedHyperlink">
    <w:name w:val="FollowedHyperlink"/>
    <w:rsid w:val="00150D9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32">
      <w:bodyDiv w:val="1"/>
      <w:marLeft w:val="0"/>
      <w:marRight w:val="0"/>
      <w:marTop w:val="0"/>
      <w:marBottom w:val="0"/>
      <w:divBdr>
        <w:top w:val="none" w:sz="0" w:space="0" w:color="auto"/>
        <w:left w:val="none" w:sz="0" w:space="0" w:color="auto"/>
        <w:bottom w:val="none" w:sz="0" w:space="0" w:color="auto"/>
        <w:right w:val="none" w:sz="0" w:space="0" w:color="auto"/>
      </w:divBdr>
    </w:div>
    <w:div w:id="88745958">
      <w:bodyDiv w:val="1"/>
      <w:marLeft w:val="0"/>
      <w:marRight w:val="0"/>
      <w:marTop w:val="0"/>
      <w:marBottom w:val="0"/>
      <w:divBdr>
        <w:top w:val="none" w:sz="0" w:space="0" w:color="auto"/>
        <w:left w:val="none" w:sz="0" w:space="0" w:color="auto"/>
        <w:bottom w:val="none" w:sz="0" w:space="0" w:color="auto"/>
        <w:right w:val="none" w:sz="0" w:space="0" w:color="auto"/>
      </w:divBdr>
    </w:div>
    <w:div w:id="179200408">
      <w:bodyDiv w:val="1"/>
      <w:marLeft w:val="0"/>
      <w:marRight w:val="0"/>
      <w:marTop w:val="0"/>
      <w:marBottom w:val="0"/>
      <w:divBdr>
        <w:top w:val="none" w:sz="0" w:space="0" w:color="auto"/>
        <w:left w:val="none" w:sz="0" w:space="0" w:color="auto"/>
        <w:bottom w:val="none" w:sz="0" w:space="0" w:color="auto"/>
        <w:right w:val="none" w:sz="0" w:space="0" w:color="auto"/>
      </w:divBdr>
    </w:div>
    <w:div w:id="208732163">
      <w:bodyDiv w:val="1"/>
      <w:marLeft w:val="0"/>
      <w:marRight w:val="0"/>
      <w:marTop w:val="0"/>
      <w:marBottom w:val="0"/>
      <w:divBdr>
        <w:top w:val="none" w:sz="0" w:space="0" w:color="auto"/>
        <w:left w:val="none" w:sz="0" w:space="0" w:color="auto"/>
        <w:bottom w:val="none" w:sz="0" w:space="0" w:color="auto"/>
        <w:right w:val="none" w:sz="0" w:space="0" w:color="auto"/>
      </w:divBdr>
    </w:div>
    <w:div w:id="620840952">
      <w:bodyDiv w:val="1"/>
      <w:marLeft w:val="0"/>
      <w:marRight w:val="0"/>
      <w:marTop w:val="0"/>
      <w:marBottom w:val="0"/>
      <w:divBdr>
        <w:top w:val="none" w:sz="0" w:space="0" w:color="auto"/>
        <w:left w:val="none" w:sz="0" w:space="0" w:color="auto"/>
        <w:bottom w:val="none" w:sz="0" w:space="0" w:color="auto"/>
        <w:right w:val="none" w:sz="0" w:space="0" w:color="auto"/>
      </w:divBdr>
    </w:div>
    <w:div w:id="664675471">
      <w:bodyDiv w:val="1"/>
      <w:marLeft w:val="0"/>
      <w:marRight w:val="0"/>
      <w:marTop w:val="0"/>
      <w:marBottom w:val="0"/>
      <w:divBdr>
        <w:top w:val="none" w:sz="0" w:space="0" w:color="auto"/>
        <w:left w:val="none" w:sz="0" w:space="0" w:color="auto"/>
        <w:bottom w:val="none" w:sz="0" w:space="0" w:color="auto"/>
        <w:right w:val="none" w:sz="0" w:space="0" w:color="auto"/>
      </w:divBdr>
    </w:div>
    <w:div w:id="700982884">
      <w:bodyDiv w:val="1"/>
      <w:marLeft w:val="0"/>
      <w:marRight w:val="0"/>
      <w:marTop w:val="0"/>
      <w:marBottom w:val="0"/>
      <w:divBdr>
        <w:top w:val="none" w:sz="0" w:space="0" w:color="auto"/>
        <w:left w:val="none" w:sz="0" w:space="0" w:color="auto"/>
        <w:bottom w:val="none" w:sz="0" w:space="0" w:color="auto"/>
        <w:right w:val="none" w:sz="0" w:space="0" w:color="auto"/>
      </w:divBdr>
    </w:div>
    <w:div w:id="9506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bp.gov/newsroom/publications/forms?title=1300&amp;=Appl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41C9F007C134C9E7572E06EB1E1AA" ma:contentTypeVersion="13" ma:contentTypeDescription="Create a new document." ma:contentTypeScope="" ma:versionID="faf8cd2f2b3f6c983cbf361eadf8773a">
  <xsd:schema xmlns:xsd="http://www.w3.org/2001/XMLSchema" xmlns:xs="http://www.w3.org/2001/XMLSchema" xmlns:p="http://schemas.microsoft.com/office/2006/metadata/properties" xmlns:ns3="0a29fd92-2285-4864-a307-79ad8f2d942d" xmlns:ns4="c1d67b23-f0b0-4409-abc1-d94a24861f0f" targetNamespace="http://schemas.microsoft.com/office/2006/metadata/properties" ma:root="true" ma:fieldsID="536e5825260944d5290a229588f0e3e0" ns3:_="" ns4:_="">
    <xsd:import namespace="0a29fd92-2285-4864-a307-79ad8f2d942d"/>
    <xsd:import namespace="c1d67b23-f0b0-4409-abc1-d94a24861f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9fd92-2285-4864-a307-79ad8f2d9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67b23-f0b0-4409-abc1-d94a24861f0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18E5-D4D2-434D-B125-0D69DFAF9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9fd92-2285-4864-a307-79ad8f2d942d"/>
    <ds:schemaRef ds:uri="c1d67b23-f0b0-4409-abc1-d94a2486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8BA3E-F9C8-4AF9-BFFE-E0C8429496D0}">
  <ds:schemaRefs>
    <ds:schemaRef ds:uri="http://schemas.microsoft.com/sharepoint/v3/contenttype/forms"/>
  </ds:schemaRefs>
</ds:datastoreItem>
</file>

<file path=customXml/itemProps3.xml><?xml version="1.0" encoding="utf-8"?>
<ds:datastoreItem xmlns:ds="http://schemas.openxmlformats.org/officeDocument/2006/customXml" ds:itemID="{5E350487-37DD-4C07-A634-2B4733A99B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99E1C-DD37-4DEA-A752-F3F5CE4C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1495</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9964</CharactersWithSpaces>
  <SharedDoc>false</SharedDoc>
  <HLinks>
    <vt:vector size="6" baseType="variant">
      <vt:variant>
        <vt:i4>6094941</vt:i4>
      </vt:variant>
      <vt:variant>
        <vt:i4>0</vt:i4>
      </vt:variant>
      <vt:variant>
        <vt:i4>0</vt:i4>
      </vt:variant>
      <vt:variant>
        <vt:i4>5</vt:i4>
      </vt:variant>
      <vt:variant>
        <vt:lpwstr>http://www.cbp.gov/newsroom/publications/forms?title=1300&amp;=Apply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WILLIAMS, SHADE</cp:lastModifiedBy>
  <cp:revision>3</cp:revision>
  <cp:lastPrinted>2014-01-29T20:09:00Z</cp:lastPrinted>
  <dcterms:created xsi:type="dcterms:W3CDTF">2021-05-25T19:10:00Z</dcterms:created>
  <dcterms:modified xsi:type="dcterms:W3CDTF">2021-05-25T19:11:00Z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0x01010035741C9F007C134C9E7572E06EB1E1AA</vt:lpwstr>
  </property>
</Properties>
</file>