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B7CBC" w:rsidR="00C2153D" w:rsidP="00080A18" w:rsidRDefault="00A01190" w14:paraId="695F5401" w14:textId="77777777">
      <w:pPr>
        <w:pStyle w:val="BodyText3"/>
        <w:tabs>
          <w:tab w:val="right" w:pos="10260"/>
        </w:tabs>
        <w:spacing w:line="276" w:lineRule="auto"/>
        <w:rPr>
          <w:rFonts w:ascii="Times New Roman" w:hAnsi="Times New Roman"/>
          <w:b/>
          <w:bCs/>
          <w:szCs w:val="24"/>
        </w:rPr>
      </w:pPr>
      <w:r w:rsidRPr="002B7CBC">
        <w:rPr>
          <w:rFonts w:ascii="Times New Roman" w:hAnsi="Times New Roman"/>
          <w:b/>
          <w:bCs/>
          <w:sz w:val="32"/>
        </w:rPr>
        <w:t>Memorandum</w:t>
      </w:r>
      <w:r w:rsidRPr="002B7CBC">
        <w:rPr>
          <w:rFonts w:ascii="Times New Roman" w:hAnsi="Times New Roman"/>
          <w:b/>
          <w:bCs/>
        </w:rPr>
        <w:tab/>
      </w:r>
      <w:r w:rsidRPr="002B7CBC">
        <w:rPr>
          <w:rFonts w:ascii="Times New Roman" w:hAnsi="Times New Roman"/>
          <w:b/>
          <w:bCs/>
          <w:szCs w:val="24"/>
        </w:rPr>
        <w:t>United States Department of Education</w:t>
      </w:r>
    </w:p>
    <w:p w:rsidRPr="002B7CBC" w:rsidR="00C2153D" w:rsidP="00080A18" w:rsidRDefault="00A01190" w14:paraId="092690B8" w14:textId="77777777">
      <w:pPr>
        <w:pStyle w:val="BodyText3"/>
        <w:tabs>
          <w:tab w:val="right" w:pos="10260"/>
        </w:tabs>
        <w:spacing w:line="276" w:lineRule="auto"/>
        <w:ind w:left="3600" w:firstLine="720"/>
        <w:rPr>
          <w:rFonts w:ascii="Times New Roman" w:hAnsi="Times New Roman"/>
          <w:b/>
          <w:bCs/>
          <w:szCs w:val="24"/>
        </w:rPr>
      </w:pPr>
      <w:r w:rsidRPr="002B7CBC">
        <w:rPr>
          <w:rFonts w:ascii="Times New Roman" w:hAnsi="Times New Roman"/>
          <w:b/>
          <w:bCs/>
          <w:szCs w:val="24"/>
        </w:rPr>
        <w:tab/>
        <w:t>Institute of Education Sciences</w:t>
      </w:r>
    </w:p>
    <w:p w:rsidRPr="002B7CBC" w:rsidR="00C2153D" w:rsidP="00080A18" w:rsidRDefault="00A01190" w14:paraId="278A9AF8" w14:textId="77777777">
      <w:pPr>
        <w:pStyle w:val="Heading8"/>
        <w:pBdr>
          <w:bottom w:val="single" w:color="auto" w:sz="12" w:space="1"/>
        </w:pBdr>
        <w:tabs>
          <w:tab w:val="right" w:pos="10260"/>
        </w:tabs>
        <w:spacing w:line="276" w:lineRule="auto"/>
        <w:rPr>
          <w:sz w:val="28"/>
        </w:rPr>
      </w:pPr>
      <w:r w:rsidRPr="002B7CBC">
        <w:rPr>
          <w:sz w:val="28"/>
        </w:rPr>
        <w:tab/>
        <w:t>National Center for Education Statistics</w:t>
      </w:r>
    </w:p>
    <w:p w:rsidRPr="002B7CBC" w:rsidR="00C2153D" w:rsidP="000D740B" w:rsidRDefault="00C2153D" w14:paraId="0B67D172" w14:textId="77777777">
      <w:pPr>
        <w:spacing w:line="276" w:lineRule="auto"/>
        <w:rPr>
          <w:sz w:val="20"/>
          <w:szCs w:val="20"/>
        </w:rPr>
      </w:pPr>
    </w:p>
    <w:p w:rsidRPr="002A4229" w:rsidR="00D90962" w:rsidP="000D740B" w:rsidRDefault="00C2153D" w14:paraId="28DAC27B" w14:textId="77777777">
      <w:pPr>
        <w:spacing w:line="276" w:lineRule="auto"/>
      </w:pPr>
      <w:r w:rsidRPr="002A4229">
        <w:t>DATE:</w:t>
      </w:r>
      <w:r w:rsidRPr="002A4229">
        <w:tab/>
      </w:r>
      <w:r w:rsidRPr="002A4229" w:rsidR="00A14445">
        <w:tab/>
      </w:r>
      <w:r w:rsidR="00C80372">
        <w:t xml:space="preserve">March </w:t>
      </w:r>
      <w:r w:rsidR="001F120D">
        <w:t>12</w:t>
      </w:r>
      <w:r w:rsidRPr="002A4229" w:rsidR="00F73EED">
        <w:t>, 2021</w:t>
      </w:r>
    </w:p>
    <w:p w:rsidRPr="002A4229" w:rsidR="00C2153D" w:rsidP="009B4A44" w:rsidRDefault="00C2153D" w14:paraId="6B63A7C5" w14:textId="77777777">
      <w:pPr>
        <w:rPr>
          <w:sz w:val="20"/>
          <w:szCs w:val="20"/>
        </w:rPr>
      </w:pPr>
    </w:p>
    <w:p w:rsidRPr="002A4229" w:rsidR="00D018C6" w:rsidP="000D740B" w:rsidRDefault="00026D24" w14:paraId="69282E85" w14:textId="77777777">
      <w:pPr>
        <w:spacing w:line="276" w:lineRule="auto"/>
      </w:pPr>
      <w:r w:rsidRPr="002A4229">
        <w:t>TO:</w:t>
      </w:r>
      <w:r w:rsidRPr="002A4229">
        <w:tab/>
      </w:r>
      <w:r w:rsidRPr="002A4229">
        <w:tab/>
      </w:r>
      <w:r w:rsidRPr="002A4229" w:rsidR="00D018C6">
        <w:t>Robert Sivinski, OMB</w:t>
      </w:r>
    </w:p>
    <w:p w:rsidRPr="002A4229" w:rsidR="009B4A44" w:rsidP="009B4A44" w:rsidRDefault="009B4A44" w14:paraId="458D8B31" w14:textId="77777777">
      <w:pPr>
        <w:rPr>
          <w:sz w:val="20"/>
          <w:szCs w:val="20"/>
        </w:rPr>
      </w:pPr>
    </w:p>
    <w:p w:rsidRPr="002A4229" w:rsidR="00C2153D" w:rsidP="000D740B" w:rsidRDefault="00026D24" w14:paraId="6221BFB3" w14:textId="77777777">
      <w:pPr>
        <w:spacing w:line="276" w:lineRule="auto"/>
      </w:pPr>
      <w:r w:rsidRPr="002A4229">
        <w:t>THROUGH</w:t>
      </w:r>
      <w:r w:rsidRPr="002A4229" w:rsidR="00C2153D">
        <w:t>:</w:t>
      </w:r>
      <w:r w:rsidRPr="002A4229">
        <w:tab/>
      </w:r>
      <w:r w:rsidRPr="002A4229" w:rsidR="003541DE">
        <w:t>Carrie Clarady</w:t>
      </w:r>
      <w:r w:rsidRPr="002A4229" w:rsidR="007D64A0">
        <w:t xml:space="preserve">, OMB Liaison, </w:t>
      </w:r>
      <w:r w:rsidRPr="002A4229" w:rsidR="00C2153D">
        <w:t>NCES</w:t>
      </w:r>
    </w:p>
    <w:p w:rsidRPr="002A4229" w:rsidR="009B4A44" w:rsidP="009B4A44" w:rsidRDefault="009B4A44" w14:paraId="43C41B41" w14:textId="77777777">
      <w:pPr>
        <w:rPr>
          <w:sz w:val="20"/>
          <w:szCs w:val="20"/>
        </w:rPr>
      </w:pPr>
    </w:p>
    <w:p w:rsidRPr="002A4229" w:rsidR="00092D40" w:rsidP="007A59E3" w:rsidRDefault="00C2153D" w14:paraId="555675A9" w14:textId="77777777">
      <w:pPr>
        <w:spacing w:line="276" w:lineRule="auto"/>
        <w:ind w:left="1440" w:hanging="1440"/>
      </w:pPr>
      <w:r w:rsidRPr="002A4229">
        <w:t>FROM:</w:t>
      </w:r>
      <w:r w:rsidRPr="002A4229">
        <w:tab/>
      </w:r>
      <w:r w:rsidRPr="002A4229" w:rsidR="00E56CC2">
        <w:t>Holly Xie</w:t>
      </w:r>
      <w:r w:rsidRPr="002A4229" w:rsidR="009A3244">
        <w:t xml:space="preserve">, </w:t>
      </w:r>
      <w:r w:rsidRPr="002A4229" w:rsidR="00E56CC2">
        <w:t>Program Officer</w:t>
      </w:r>
      <w:r w:rsidRPr="002A4229" w:rsidR="00646447">
        <w:t xml:space="preserve">, </w:t>
      </w:r>
      <w:r w:rsidRPr="002A4229" w:rsidR="00E56CC2">
        <w:t>PIAAC</w:t>
      </w:r>
      <w:r w:rsidRPr="002A4229" w:rsidR="00646447">
        <w:t>, NCES</w:t>
      </w:r>
    </w:p>
    <w:p w:rsidRPr="002A4229" w:rsidR="009B4A44" w:rsidP="009B4A44" w:rsidRDefault="009B4A44" w14:paraId="70ECC78F" w14:textId="77777777">
      <w:pPr>
        <w:rPr>
          <w:sz w:val="20"/>
          <w:szCs w:val="20"/>
        </w:rPr>
      </w:pPr>
    </w:p>
    <w:p w:rsidRPr="002A4229" w:rsidR="007D6DCD" w:rsidP="008A49CC" w:rsidRDefault="00C2153D" w14:paraId="46B099C2" w14:textId="77777777">
      <w:pPr>
        <w:pStyle w:val="Cov-Title"/>
        <w:spacing w:after="240"/>
        <w:ind w:left="1440" w:hanging="1440"/>
        <w:jc w:val="left"/>
        <w:rPr>
          <w:rFonts w:ascii="Times New Roman" w:hAnsi="Times New Roman"/>
          <w:sz w:val="24"/>
          <w:szCs w:val="24"/>
        </w:rPr>
      </w:pPr>
      <w:r w:rsidRPr="002A4229">
        <w:rPr>
          <w:rFonts w:ascii="Times New Roman" w:hAnsi="Times New Roman"/>
          <w:sz w:val="24"/>
          <w:szCs w:val="24"/>
        </w:rPr>
        <w:t>SUBJECT:</w:t>
      </w:r>
      <w:r w:rsidRPr="002A4229">
        <w:rPr>
          <w:rFonts w:ascii="Times New Roman" w:hAnsi="Times New Roman"/>
          <w:sz w:val="24"/>
          <w:szCs w:val="24"/>
        </w:rPr>
        <w:tab/>
      </w:r>
      <w:r w:rsidRPr="002A4229" w:rsidR="009A0E55">
        <w:rPr>
          <w:rFonts w:ascii="Times New Roman" w:hAnsi="Times New Roman"/>
          <w:sz w:val="24"/>
          <w:szCs w:val="24"/>
        </w:rPr>
        <w:t>Program for the International Assessment of Adult Competencies (PIAAC) Cycle II</w:t>
      </w:r>
      <w:r w:rsidRPr="002A4229" w:rsidR="002E19CF">
        <w:rPr>
          <w:rFonts w:ascii="Times New Roman" w:hAnsi="Times New Roman"/>
          <w:sz w:val="24"/>
          <w:szCs w:val="24"/>
        </w:rPr>
        <w:t xml:space="preserve"> </w:t>
      </w:r>
      <w:r w:rsidR="00985AA7">
        <w:rPr>
          <w:rFonts w:ascii="Times New Roman" w:hAnsi="Times New Roman"/>
          <w:sz w:val="24"/>
          <w:szCs w:val="24"/>
        </w:rPr>
        <w:t>Operational Field Test</w:t>
      </w:r>
      <w:r w:rsidRPr="002A4229" w:rsidR="00931C9F">
        <w:rPr>
          <w:rFonts w:ascii="Times New Roman" w:hAnsi="Times New Roman"/>
          <w:sz w:val="24"/>
          <w:szCs w:val="24"/>
        </w:rPr>
        <w:t xml:space="preserve"> 30D Review</w:t>
      </w:r>
      <w:r w:rsidRPr="002A4229" w:rsidR="009A0E55">
        <w:rPr>
          <w:rFonts w:ascii="Times New Roman" w:hAnsi="Times New Roman"/>
          <w:sz w:val="24"/>
          <w:szCs w:val="24"/>
        </w:rPr>
        <w:t xml:space="preserve"> </w:t>
      </w:r>
      <w:r w:rsidRPr="002A4229" w:rsidR="00CA230D">
        <w:rPr>
          <w:rFonts w:ascii="Times New Roman" w:hAnsi="Times New Roman"/>
          <w:sz w:val="24"/>
          <w:szCs w:val="24"/>
        </w:rPr>
        <w:t>(OMB# 1850-0</w:t>
      </w:r>
      <w:r w:rsidRPr="002A4229" w:rsidR="009A0E55">
        <w:rPr>
          <w:rFonts w:ascii="Times New Roman" w:hAnsi="Times New Roman"/>
          <w:sz w:val="24"/>
          <w:szCs w:val="24"/>
        </w:rPr>
        <w:t>870</w:t>
      </w:r>
      <w:r w:rsidRPr="002A4229" w:rsidR="00E75CDC">
        <w:rPr>
          <w:rFonts w:ascii="Times New Roman" w:hAnsi="Times New Roman"/>
          <w:sz w:val="24"/>
          <w:szCs w:val="24"/>
        </w:rPr>
        <w:t xml:space="preserve"> v.</w:t>
      </w:r>
      <w:r w:rsidRPr="002A4229" w:rsidR="00621F3C">
        <w:rPr>
          <w:rFonts w:ascii="Times New Roman" w:hAnsi="Times New Roman"/>
          <w:sz w:val="24"/>
          <w:szCs w:val="24"/>
        </w:rPr>
        <w:t>10</w:t>
      </w:r>
      <w:r w:rsidRPr="002A4229" w:rsidR="00E75CDC">
        <w:rPr>
          <w:rFonts w:ascii="Times New Roman" w:hAnsi="Times New Roman"/>
          <w:sz w:val="24"/>
          <w:szCs w:val="24"/>
        </w:rPr>
        <w:t xml:space="preserve">)  </w:t>
      </w:r>
    </w:p>
    <w:p w:rsidRPr="002A4229" w:rsidR="00FB14C6" w:rsidP="009959FD" w:rsidRDefault="00F378AF" w14:paraId="00077508" w14:textId="77777777">
      <w:r w:rsidRPr="002A4229">
        <w:t xml:space="preserve">The Program for the International Assessment of Adult Competencies (PIAAC) is a cyclical, large-scale study of adult skills and life experiences focusing on education and employment. PIAAC is an international study designed to assess adults in different countries over a broad range of abilities, from simple reading to complex problem-solving skills, and to collect information on individuals’ skill use and background. PIAAC is coordinated by the Organization for Economic Cooperation and Development (OECD) and developed by participating countries with the support of the OECD. In the United States, the National Center for Education Statistics (NCES), within the U.S. Department of Education (ED) conducts PIAAC. The U.S. participated in the PIAAC Main Study data collection in 2012 and conducted national supplement data collections in 2014 and 2017. All three of these collections are part of PIAAC Cycle I. </w:t>
      </w:r>
    </w:p>
    <w:p w:rsidRPr="002A4229" w:rsidR="00FB14C6" w:rsidP="009959FD" w:rsidRDefault="00FB14C6" w14:paraId="3921674F" w14:textId="77777777"/>
    <w:p w:rsidRPr="002A4229" w:rsidR="00B45C47" w:rsidP="009959FD" w:rsidRDefault="00F378AF" w14:paraId="51850C67" w14:textId="77777777">
      <w:r w:rsidRPr="002A4229">
        <w:t>A new PIAAC cycle is to be conducted every 10 years, and PIAAC Cycle II Main Study data collection will be conducted from August 202</w:t>
      </w:r>
      <w:r w:rsidRPr="002A4229" w:rsidR="00443339">
        <w:t>2</w:t>
      </w:r>
      <w:r w:rsidRPr="002A4229">
        <w:t xml:space="preserve"> through March 202</w:t>
      </w:r>
      <w:r w:rsidRPr="002A4229" w:rsidR="00443339">
        <w:t>3</w:t>
      </w:r>
      <w:r w:rsidRPr="002A4229">
        <w:t xml:space="preserve">. In preparation for the main study collection, PIAAC Cycle II </w:t>
      </w:r>
      <w:r w:rsidR="00454F6A">
        <w:t>was due to begin</w:t>
      </w:r>
      <w:r w:rsidRPr="002A4229" w:rsidR="00443339">
        <w:t xml:space="preserve"> with a Field Test in</w:t>
      </w:r>
      <w:r w:rsidRPr="002A4229" w:rsidR="00F27B91">
        <w:t xml:space="preserve"> Spring of</w:t>
      </w:r>
      <w:r w:rsidRPr="002A4229" w:rsidR="00443339">
        <w:t xml:space="preserve"> 2021</w:t>
      </w:r>
      <w:r w:rsidR="00411547">
        <w:t>,</w:t>
      </w:r>
      <w:r w:rsidRPr="002A4229">
        <w:t xml:space="preserve"> in which </w:t>
      </w:r>
      <w:r w:rsidRPr="002A4229" w:rsidR="002E19CF">
        <w:t>33</w:t>
      </w:r>
      <w:r w:rsidRPr="002A4229">
        <w:t xml:space="preserve"> countries participate with the </w:t>
      </w:r>
      <w:r w:rsidRPr="002A4229" w:rsidR="00FB14C6">
        <w:t>goal</w:t>
      </w:r>
      <w:r w:rsidRPr="002A4229">
        <w:t xml:space="preserve"> of evaluating newly developed assessment and questionnaire items and to test the</w:t>
      </w:r>
      <w:r w:rsidRPr="002A4229" w:rsidR="002E19CF">
        <w:t xml:space="preserve"> operations for the </w:t>
      </w:r>
      <w:r w:rsidRPr="002A4229">
        <w:t>PIAAC 202</w:t>
      </w:r>
      <w:r w:rsidRPr="002A4229" w:rsidR="00F27B91">
        <w:t>3</w:t>
      </w:r>
      <w:r w:rsidRPr="002A4229">
        <w:t xml:space="preserve"> </w:t>
      </w:r>
      <w:r w:rsidRPr="002A4229" w:rsidR="002E19CF">
        <w:t>Main Study (2022-2023)</w:t>
      </w:r>
      <w:r w:rsidRPr="002A4229">
        <w:t xml:space="preserve">. PIAAC 2022 defines four core competency domains of adult cognitive skills </w:t>
      </w:r>
      <w:r w:rsidRPr="002A4229" w:rsidR="00FB14C6">
        <w:t>deemed</w:t>
      </w:r>
      <w:r w:rsidRPr="002A4229">
        <w:t xml:space="preserve"> key to facilitating the social and economic participation of adults in advanced economies: (1) literacy, (2) numeracy, (3) reading and numeracy components, and (4) adaptive problem solving. The U.S. will administer all four domains of the PIAAC 2022 assessment to a nationally representative sample of adults, along with a background questionnaire with questions about their education background, work history, the skills they use on the job and at home, their civic engagement, </w:t>
      </w:r>
      <w:r w:rsidRPr="002A4229" w:rsidR="00FB14C6">
        <w:t xml:space="preserve">financial literacy </w:t>
      </w:r>
      <w:r w:rsidRPr="002A4229">
        <w:t xml:space="preserve">and sense of their health and well-being. The results are used to compare the skills capacities of the workforce-aged adults in participating countries, and to learn more about relationships between educational background, employment, and other outcomes. </w:t>
      </w:r>
    </w:p>
    <w:p w:rsidRPr="002A4229" w:rsidR="00FB14C6" w:rsidP="009959FD" w:rsidRDefault="00FB14C6" w14:paraId="7839B690" w14:textId="77777777"/>
    <w:p w:rsidR="00E348B5" w:rsidP="00C90BE6" w:rsidRDefault="009959FD" w14:paraId="591DA8C6" w14:textId="77777777">
      <w:pPr>
        <w:pStyle w:val="Default"/>
        <w:rPr>
          <w:rFonts w:ascii="Times New Roman" w:hAnsi="Times New Roman" w:cs="Times New Roman"/>
        </w:rPr>
      </w:pPr>
      <w:r w:rsidRPr="002A4229">
        <w:rPr>
          <w:rFonts w:ascii="Times New Roman" w:hAnsi="Times New Roman" w:cs="Times New Roman"/>
        </w:rPr>
        <w:t xml:space="preserve">The request to conduct the PIAAC Cycle II Field Test in April-June 2020 was approved by OMB </w:t>
      </w:r>
      <w:r w:rsidRPr="002A4229" w:rsidR="00F378AF">
        <w:rPr>
          <w:rFonts w:ascii="Times New Roman" w:hAnsi="Times New Roman" w:cs="Times New Roman"/>
        </w:rPr>
        <w:t xml:space="preserve">in December 2019 </w:t>
      </w:r>
      <w:r w:rsidRPr="002A4229">
        <w:rPr>
          <w:rFonts w:ascii="Times New Roman" w:hAnsi="Times New Roman" w:cs="Times New Roman"/>
        </w:rPr>
        <w:t>(OMB# 1850-0870 v.7</w:t>
      </w:r>
      <w:r w:rsidRPr="002A4229" w:rsidR="003541DE">
        <w:rPr>
          <w:rFonts w:ascii="Times New Roman" w:hAnsi="Times New Roman" w:cs="Times New Roman"/>
        </w:rPr>
        <w:t>-8</w:t>
      </w:r>
      <w:r w:rsidRPr="002A4229">
        <w:rPr>
          <w:rFonts w:ascii="Times New Roman" w:hAnsi="Times New Roman" w:cs="Times New Roman"/>
        </w:rPr>
        <w:t xml:space="preserve">). </w:t>
      </w:r>
      <w:r w:rsidRPr="002A4229" w:rsidR="00931C9F">
        <w:rPr>
          <w:rFonts w:ascii="Times New Roman" w:hAnsi="Times New Roman" w:cs="Times New Roman"/>
        </w:rPr>
        <w:t>As described in the previously approved amendment in September 2020 (OMB# 1850-0870 v.9), t</w:t>
      </w:r>
      <w:r w:rsidRPr="002A4229" w:rsidR="00145386">
        <w:rPr>
          <w:rFonts w:ascii="Times New Roman" w:hAnsi="Times New Roman" w:cs="Times New Roman"/>
        </w:rPr>
        <w:t xml:space="preserve">he 2020 PIAAC Cycle II Field Test, scheduled to begin in April 2020, was postponed due to the 2020 novel coronavirus (COVID-19) global pandemic. The OECD delayed both the Field Test and Main Study </w:t>
      </w:r>
      <w:r w:rsidRPr="002A4229" w:rsidR="00443339">
        <w:rPr>
          <w:rFonts w:ascii="Times New Roman" w:hAnsi="Times New Roman" w:cs="Times New Roman"/>
        </w:rPr>
        <w:t xml:space="preserve">by </w:t>
      </w:r>
      <w:r w:rsidR="006B6439">
        <w:rPr>
          <w:rFonts w:ascii="Times New Roman" w:hAnsi="Times New Roman" w:cs="Times New Roman"/>
        </w:rPr>
        <w:t xml:space="preserve">12 </w:t>
      </w:r>
      <w:r w:rsidRPr="002A4229" w:rsidR="00145386">
        <w:rPr>
          <w:rFonts w:ascii="Times New Roman" w:hAnsi="Times New Roman" w:cs="Times New Roman"/>
        </w:rPr>
        <w:t>months</w:t>
      </w:r>
      <w:r w:rsidR="00FC28C4">
        <w:rPr>
          <w:rFonts w:ascii="Times New Roman" w:hAnsi="Times New Roman" w:cs="Times New Roman"/>
        </w:rPr>
        <w:t xml:space="preserve">, meaning that the </w:t>
      </w:r>
      <w:r w:rsidR="00E348B5">
        <w:rPr>
          <w:rFonts w:ascii="Times New Roman" w:hAnsi="Times New Roman" w:cs="Times New Roman"/>
        </w:rPr>
        <w:t xml:space="preserve">Field Test was due to be carried out in American homes beginning in April 2021. </w:t>
      </w:r>
    </w:p>
    <w:p w:rsidR="00E348B5" w:rsidP="00C90BE6" w:rsidRDefault="00E348B5" w14:paraId="61E09483" w14:textId="77777777">
      <w:pPr>
        <w:pStyle w:val="Default"/>
        <w:rPr>
          <w:rFonts w:ascii="Times New Roman" w:hAnsi="Times New Roman" w:cs="Times New Roman"/>
        </w:rPr>
      </w:pPr>
    </w:p>
    <w:p w:rsidRPr="002A4229" w:rsidR="00C90BE6" w:rsidP="00E348B5" w:rsidRDefault="000E2C3F" w14:paraId="7FAE4498" w14:textId="77777777">
      <w:r w:rsidRPr="002A4229">
        <w:t>In recognition of the continued constraints that countries face in meeting the curren</w:t>
      </w:r>
      <w:r w:rsidR="003612B0">
        <w:t>t Field Test goals and timeline during the continuing global pandemic,</w:t>
      </w:r>
      <w:r w:rsidRPr="002A4229">
        <w:t xml:space="preserve"> the OECD </w:t>
      </w:r>
      <w:r w:rsidR="006B6439">
        <w:t>has</w:t>
      </w:r>
      <w:r w:rsidRPr="002A4229">
        <w:t xml:space="preserve"> relaxed the current field test standards </w:t>
      </w:r>
      <w:r w:rsidR="003612B0">
        <w:t>to</w:t>
      </w:r>
      <w:r w:rsidR="00454F6A">
        <w:t xml:space="preserve"> allow for a smaller</w:t>
      </w:r>
      <w:r w:rsidRPr="002A4229" w:rsidR="00C90BE6">
        <w:t xml:space="preserve"> </w:t>
      </w:r>
      <w:r w:rsidR="006B6439">
        <w:t>Operational F</w:t>
      </w:r>
      <w:r w:rsidR="00454F6A">
        <w:t xml:space="preserve">ield </w:t>
      </w:r>
      <w:r w:rsidR="006B6439">
        <w:t>T</w:t>
      </w:r>
      <w:r w:rsidRPr="002A4229" w:rsidR="00C90BE6">
        <w:t>est of survey implementation</w:t>
      </w:r>
      <w:r w:rsidR="00E348B5">
        <w:t xml:space="preserve">. </w:t>
      </w:r>
      <w:r w:rsidRPr="002A4229" w:rsidR="00C90BE6">
        <w:rPr>
          <w:bCs/>
        </w:rPr>
        <w:t xml:space="preserve">To determine the safety of in-person interviewing, the NCES data collection contractor, Westat, uses </w:t>
      </w:r>
      <w:r w:rsidRPr="002A4229" w:rsidR="00C90BE6">
        <w:rPr>
          <w:color w:val="000000"/>
          <w:shd w:val="clear" w:color="auto" w:fill="FFFFFF"/>
        </w:rPr>
        <w:t xml:space="preserve">the average of new daily cases of COVID-19 </w:t>
      </w:r>
      <w:r w:rsidRPr="002A4229" w:rsidR="00C90BE6">
        <w:rPr>
          <w:color w:val="000000"/>
          <w:shd w:val="clear" w:color="auto" w:fill="FFFFFF"/>
        </w:rPr>
        <w:lastRenderedPageBreak/>
        <w:t xml:space="preserve">per 100,000 people over the last 7 days to classify counties in green (less than one case), yellow (between 1 and 9 cases), orange (between 10 and 24 cases), and red (more than 24 cases) risk levels. </w:t>
      </w:r>
      <w:proofErr w:type="spellStart"/>
      <w:r w:rsidRPr="002A4229" w:rsidR="00C90BE6">
        <w:rPr>
          <w:color w:val="000000"/>
          <w:shd w:val="clear" w:color="auto" w:fill="FFFFFF"/>
        </w:rPr>
        <w:t>Westat</w:t>
      </w:r>
      <w:proofErr w:type="spellEnd"/>
      <w:r w:rsidRPr="002A4229" w:rsidR="00C90BE6">
        <w:rPr>
          <w:color w:val="000000"/>
          <w:shd w:val="clear" w:color="auto" w:fill="FFFFFF"/>
        </w:rPr>
        <w:t xml:space="preserve"> ONLY considers counties with a green or yellow risk safe to conduct in-person interviewing. That is, counties with an average of new daily cases of COVID-19 per 100,000 less than 10. </w:t>
      </w:r>
      <w:r w:rsidRPr="002A4229" w:rsidR="00C90BE6">
        <w:t xml:space="preserve"> Currently, very few counties in the U.S. are in the green</w:t>
      </w:r>
      <w:r w:rsidR="00411547">
        <w:t xml:space="preserve"> or yellow zone and none of the 13</w:t>
      </w:r>
      <w:r w:rsidRPr="002A4229" w:rsidR="00C90BE6">
        <w:t xml:space="preserve"> PSUs in the PIAAC field test sample is considered safe for field interviewers. After </w:t>
      </w:r>
      <w:r w:rsidR="00454F6A">
        <w:t xml:space="preserve">several months of careful monitoring of new daily case rates and </w:t>
      </w:r>
      <w:r w:rsidRPr="002A4229" w:rsidR="00C90BE6">
        <w:t xml:space="preserve">considering </w:t>
      </w:r>
      <w:r w:rsidRPr="002A4229" w:rsidR="009B0F79">
        <w:t>OECD</w:t>
      </w:r>
      <w:r w:rsidR="006B6439">
        <w:t xml:space="preserve"> </w:t>
      </w:r>
      <w:r w:rsidRPr="002A4229" w:rsidR="009B0F79">
        <w:t>guidance</w:t>
      </w:r>
      <w:r w:rsidRPr="002A4229" w:rsidR="00C90BE6">
        <w:t>, NCES has elected to conduct an Operational Field Test</w:t>
      </w:r>
      <w:r w:rsidRPr="002A4229" w:rsidR="009B0F79">
        <w:t>.</w:t>
      </w:r>
    </w:p>
    <w:p w:rsidRPr="002A4229" w:rsidR="00C90BE6" w:rsidP="00F4411F" w:rsidRDefault="00C90BE6" w14:paraId="5B8A87B5" w14:textId="77777777">
      <w:pPr>
        <w:pStyle w:val="Default"/>
        <w:rPr>
          <w:rFonts w:ascii="Times New Roman" w:hAnsi="Times New Roman" w:cs="Times New Roman"/>
          <w:bCs/>
        </w:rPr>
      </w:pPr>
    </w:p>
    <w:p w:rsidRPr="002A4229" w:rsidR="00E65E7E" w:rsidP="00F4411F" w:rsidRDefault="00145386" w14:paraId="6C851AC5" w14:textId="77777777">
      <w:pPr>
        <w:pStyle w:val="Default"/>
        <w:rPr>
          <w:rFonts w:ascii="Times New Roman" w:hAnsi="Times New Roman" w:cs="Times New Roman"/>
          <w:bCs/>
        </w:rPr>
      </w:pPr>
      <w:r w:rsidRPr="002A4229">
        <w:rPr>
          <w:rFonts w:ascii="Times New Roman" w:hAnsi="Times New Roman" w:cs="Times New Roman"/>
          <w:bCs/>
        </w:rPr>
        <w:t>Therefore</w:t>
      </w:r>
      <w:r w:rsidRPr="002A4229" w:rsidR="00656F9A">
        <w:rPr>
          <w:rFonts w:ascii="Times New Roman" w:hAnsi="Times New Roman" w:cs="Times New Roman"/>
          <w:bCs/>
        </w:rPr>
        <w:t>,</w:t>
      </w:r>
      <w:r w:rsidRPr="002A4229">
        <w:rPr>
          <w:rFonts w:ascii="Times New Roman" w:hAnsi="Times New Roman" w:cs="Times New Roman"/>
          <w:bCs/>
        </w:rPr>
        <w:t xml:space="preserve"> this request updates </w:t>
      </w:r>
      <w:r w:rsidRPr="002A4229" w:rsidR="00800204">
        <w:rPr>
          <w:rFonts w:ascii="Times New Roman" w:hAnsi="Times New Roman" w:cs="Times New Roman"/>
          <w:bCs/>
        </w:rPr>
        <w:t>P</w:t>
      </w:r>
      <w:r w:rsidRPr="002A4229">
        <w:rPr>
          <w:rFonts w:ascii="Times New Roman" w:hAnsi="Times New Roman" w:cs="Times New Roman"/>
          <w:bCs/>
        </w:rPr>
        <w:t>art A and P</w:t>
      </w:r>
      <w:r w:rsidRPr="002A4229" w:rsidR="000E2C3F">
        <w:rPr>
          <w:rFonts w:ascii="Times New Roman" w:hAnsi="Times New Roman" w:cs="Times New Roman"/>
          <w:bCs/>
        </w:rPr>
        <w:t xml:space="preserve">art B of the package </w:t>
      </w:r>
      <w:r w:rsidRPr="002A4229" w:rsidR="00C90BE6">
        <w:rPr>
          <w:rFonts w:ascii="Times New Roman" w:hAnsi="Times New Roman" w:cs="Times New Roman"/>
          <w:bCs/>
        </w:rPr>
        <w:t>to reflect the change to an Operational Field Test</w:t>
      </w:r>
      <w:r w:rsidRPr="002A4229" w:rsidR="009B0F79">
        <w:rPr>
          <w:rFonts w:ascii="Times New Roman" w:hAnsi="Times New Roman" w:cs="Times New Roman"/>
          <w:bCs/>
        </w:rPr>
        <w:t xml:space="preserve"> and relevant changes to materials</w:t>
      </w:r>
      <w:r w:rsidR="006B6439">
        <w:rPr>
          <w:rFonts w:ascii="Times New Roman" w:hAnsi="Times New Roman" w:cs="Times New Roman"/>
          <w:bCs/>
        </w:rPr>
        <w:t xml:space="preserve"> and procedures</w:t>
      </w:r>
      <w:r w:rsidRPr="002A4229" w:rsidR="009B0F79">
        <w:rPr>
          <w:rFonts w:ascii="Times New Roman" w:hAnsi="Times New Roman" w:cs="Times New Roman"/>
          <w:bCs/>
        </w:rPr>
        <w:t xml:space="preserve"> resulting from </w:t>
      </w:r>
      <w:r w:rsidR="006B6439">
        <w:rPr>
          <w:rFonts w:ascii="Times New Roman" w:hAnsi="Times New Roman" w:cs="Times New Roman"/>
          <w:bCs/>
        </w:rPr>
        <w:t>this change</w:t>
      </w:r>
      <w:r w:rsidRPr="002A4229" w:rsidR="00C90BE6">
        <w:rPr>
          <w:rFonts w:ascii="Times New Roman" w:hAnsi="Times New Roman" w:cs="Times New Roman"/>
          <w:bCs/>
        </w:rPr>
        <w:t xml:space="preserve">. </w:t>
      </w:r>
      <w:r w:rsidRPr="002A4229" w:rsidR="00604EB6">
        <w:rPr>
          <w:rFonts w:ascii="Times New Roman" w:hAnsi="Times New Roman" w:cs="Times New Roman"/>
          <w:bCs/>
        </w:rPr>
        <w:t xml:space="preserve"> </w:t>
      </w:r>
      <w:r w:rsidRPr="002A4229" w:rsidR="00FB14C6">
        <w:rPr>
          <w:rFonts w:ascii="Times New Roman" w:hAnsi="Times New Roman" w:cs="Times New Roman"/>
        </w:rPr>
        <w:t xml:space="preserve">Additionally, </w:t>
      </w:r>
      <w:r w:rsidRPr="002A4229" w:rsidR="00F4411F">
        <w:rPr>
          <w:rFonts w:ascii="Times New Roman" w:hAnsi="Times New Roman" w:cs="Times New Roman"/>
        </w:rPr>
        <w:t>NCES</w:t>
      </w:r>
      <w:r w:rsidRPr="002A4229" w:rsidR="00FB14C6">
        <w:rPr>
          <w:rFonts w:ascii="Times New Roman" w:hAnsi="Times New Roman" w:cs="Times New Roman"/>
        </w:rPr>
        <w:t xml:space="preserve"> has imposed new requirements on study nomenclature that require </w:t>
      </w:r>
      <w:r w:rsidRPr="002A4229" w:rsidR="00403D92">
        <w:rPr>
          <w:rFonts w:ascii="Times New Roman" w:hAnsi="Times New Roman" w:cs="Times New Roman"/>
        </w:rPr>
        <w:t xml:space="preserve">changes to the U.S. </w:t>
      </w:r>
      <w:r w:rsidRPr="002A4229" w:rsidR="00FB14C6">
        <w:rPr>
          <w:rFonts w:ascii="Times New Roman" w:hAnsi="Times New Roman" w:cs="Times New Roman"/>
        </w:rPr>
        <w:t xml:space="preserve">outreach and recruitment materials and program nomenclature in the instruments. </w:t>
      </w:r>
      <w:r w:rsidRPr="002A4229" w:rsidR="00E65E7E">
        <w:rPr>
          <w:rFonts w:ascii="Times New Roman" w:hAnsi="Times New Roman" w:cs="Times New Roman"/>
        </w:rPr>
        <w:t>The revisions made to the last approved clearance documents are</w:t>
      </w:r>
      <w:r w:rsidRPr="002A4229">
        <w:rPr>
          <w:rFonts w:ascii="Times New Roman" w:hAnsi="Times New Roman" w:cs="Times New Roman"/>
          <w:b/>
          <w:bCs/>
        </w:rPr>
        <w:t xml:space="preserve"> </w:t>
      </w:r>
      <w:r w:rsidRPr="002A4229">
        <w:rPr>
          <w:rFonts w:ascii="Times New Roman" w:hAnsi="Times New Roman" w:cs="Times New Roman"/>
          <w:bCs/>
        </w:rPr>
        <w:t xml:space="preserve">described </w:t>
      </w:r>
      <w:r w:rsidRPr="002A4229" w:rsidR="00AC746C">
        <w:rPr>
          <w:rFonts w:ascii="Times New Roman" w:hAnsi="Times New Roman" w:cs="Times New Roman"/>
          <w:bCs/>
        </w:rPr>
        <w:t>below.</w:t>
      </w:r>
    </w:p>
    <w:p w:rsidRPr="002A4229" w:rsidR="00AC746C" w:rsidP="00F4411F" w:rsidRDefault="00AC746C" w14:paraId="4960E69C" w14:textId="77777777">
      <w:pPr>
        <w:pStyle w:val="Default"/>
        <w:rPr>
          <w:rFonts w:ascii="Times New Roman" w:hAnsi="Times New Roman" w:cs="Times New Roman"/>
          <w:bCs/>
        </w:rPr>
      </w:pPr>
    </w:p>
    <w:p w:rsidRPr="00454F6A" w:rsidR="002748CE" w:rsidP="008E2F8A" w:rsidRDefault="00656F9A" w14:paraId="257BD001" w14:textId="77777777">
      <w:pPr>
        <w:numPr>
          <w:ilvl w:val="0"/>
          <w:numId w:val="49"/>
        </w:numPr>
        <w:ind w:left="540" w:hanging="540"/>
        <w:rPr>
          <w:b/>
          <w:bCs/>
        </w:rPr>
      </w:pPr>
      <w:r w:rsidRPr="00454F6A">
        <w:rPr>
          <w:b/>
          <w:bCs/>
        </w:rPr>
        <w:t>Changes Related to COVID-19</w:t>
      </w:r>
      <w:r w:rsidRPr="00454F6A" w:rsidR="000A00AC">
        <w:rPr>
          <w:b/>
          <w:bCs/>
        </w:rPr>
        <w:t xml:space="preserve"> Delay</w:t>
      </w:r>
      <w:r w:rsidR="00FA6EF1">
        <w:rPr>
          <w:b/>
          <w:bCs/>
        </w:rPr>
        <w:t xml:space="preserve"> and shift to the Operational Field Test</w:t>
      </w:r>
    </w:p>
    <w:p w:rsidRPr="002A4229" w:rsidR="00656F9A" w:rsidP="00656F9A" w:rsidRDefault="00656F9A" w14:paraId="19E78E55" w14:textId="77777777">
      <w:pPr>
        <w:rPr>
          <w:bCs/>
        </w:rPr>
      </w:pPr>
    </w:p>
    <w:p w:rsidRPr="00D72050" w:rsidR="00D72050" w:rsidP="009B7983" w:rsidRDefault="00D72050" w14:paraId="634C0FCB" w14:textId="77777777">
      <w:pPr>
        <w:pStyle w:val="L1-FlLSp12"/>
        <w:widowControl w:val="0"/>
        <w:spacing w:after="120" w:line="23" w:lineRule="atLeast"/>
        <w:rPr>
          <w:rFonts w:ascii="Times New Roman" w:hAnsi="Times New Roman"/>
          <w:i/>
        </w:rPr>
      </w:pPr>
      <w:r w:rsidRPr="00D72050">
        <w:rPr>
          <w:rFonts w:ascii="Times New Roman" w:hAnsi="Times New Roman"/>
          <w:i/>
        </w:rPr>
        <w:t>Cycle II Field Test Design Changes</w:t>
      </w:r>
    </w:p>
    <w:p w:rsidRPr="002A4229" w:rsidR="009B7983" w:rsidP="009B7983" w:rsidRDefault="009B7983" w14:paraId="7806D26F" w14:textId="77777777">
      <w:pPr>
        <w:pStyle w:val="L1-FlLSp12"/>
        <w:widowControl w:val="0"/>
        <w:spacing w:after="120" w:line="23" w:lineRule="atLeast"/>
        <w:rPr>
          <w:rFonts w:ascii="Times New Roman" w:hAnsi="Times New Roman"/>
        </w:rPr>
      </w:pPr>
      <w:r w:rsidRPr="002A4229">
        <w:rPr>
          <w:rFonts w:ascii="Times New Roman" w:hAnsi="Times New Roman"/>
        </w:rPr>
        <w:t>Table 1 compares the main features of the operational field test to t</w:t>
      </w:r>
      <w:r w:rsidRPr="002A4229" w:rsidR="00230931">
        <w:rPr>
          <w:rFonts w:ascii="Times New Roman" w:hAnsi="Times New Roman"/>
        </w:rPr>
        <w:t>he previously approved PIAAC Cycle II Field Test (December 2019, OMB# 1850-0870 v.7-8</w:t>
      </w:r>
      <w:r w:rsidRPr="002A4229">
        <w:rPr>
          <w:rFonts w:ascii="Times New Roman" w:hAnsi="Times New Roman"/>
        </w:rPr>
        <w:t xml:space="preserve">). </w:t>
      </w:r>
      <w:r w:rsidR="003612B0">
        <w:rPr>
          <w:rFonts w:ascii="Times New Roman" w:hAnsi="Times New Roman"/>
        </w:rPr>
        <w:t xml:space="preserve">Two options are proposed to accommodate the possibility of continued concerns about in-person data collection. </w:t>
      </w:r>
      <w:r w:rsidR="00454F6A">
        <w:rPr>
          <w:rFonts w:ascii="Times New Roman" w:hAnsi="Times New Roman"/>
        </w:rPr>
        <w:t xml:space="preserve">Proposed Option A will allow NCES to deliver </w:t>
      </w:r>
      <w:r w:rsidR="005600CF">
        <w:rPr>
          <w:rFonts w:ascii="Times New Roman" w:hAnsi="Times New Roman"/>
        </w:rPr>
        <w:t xml:space="preserve">to the Consortium </w:t>
      </w:r>
      <w:r w:rsidR="00E83761">
        <w:rPr>
          <w:rFonts w:ascii="Times New Roman" w:hAnsi="Times New Roman"/>
        </w:rPr>
        <w:t xml:space="preserve">the analysis of </w:t>
      </w:r>
      <w:r w:rsidR="00454F6A">
        <w:rPr>
          <w:rFonts w:ascii="Times New Roman" w:hAnsi="Times New Roman"/>
        </w:rPr>
        <w:t xml:space="preserve">250 cases of </w:t>
      </w:r>
      <w:r w:rsidRPr="002A4229" w:rsidR="00454F6A">
        <w:rPr>
          <w:rFonts w:ascii="Times New Roman" w:hAnsi="Times New Roman"/>
        </w:rPr>
        <w:t>newly developed</w:t>
      </w:r>
      <w:r w:rsidR="00E83761">
        <w:rPr>
          <w:rFonts w:ascii="Times New Roman" w:hAnsi="Times New Roman"/>
        </w:rPr>
        <w:t xml:space="preserve"> (previously approved by OMB) </w:t>
      </w:r>
      <w:r w:rsidRPr="002A4229" w:rsidR="00454F6A">
        <w:rPr>
          <w:rFonts w:ascii="Times New Roman" w:hAnsi="Times New Roman"/>
        </w:rPr>
        <w:t>assessment and questionnaire items</w:t>
      </w:r>
      <w:r w:rsidR="00454F6A">
        <w:rPr>
          <w:rFonts w:ascii="Times New Roman" w:hAnsi="Times New Roman"/>
        </w:rPr>
        <w:t>. Westat will continue to closely monitor the average of new daily cases of COVID-19 cases in the local area. If local rates exceed the average of 10 per 100,000, the Operational Field Test will delay until August</w:t>
      </w:r>
      <w:r w:rsidR="00FA6EF1">
        <w:rPr>
          <w:rFonts w:ascii="Times New Roman" w:hAnsi="Times New Roman"/>
        </w:rPr>
        <w:t xml:space="preserve"> and NCES will submit a non-substantive change request updating the timeline for data collection</w:t>
      </w:r>
      <w:r w:rsidR="00454F6A">
        <w:rPr>
          <w:rFonts w:ascii="Times New Roman" w:hAnsi="Times New Roman"/>
        </w:rPr>
        <w:t xml:space="preserve">. </w:t>
      </w:r>
      <w:r w:rsidR="00E83761">
        <w:rPr>
          <w:rFonts w:ascii="Times New Roman" w:hAnsi="Times New Roman"/>
        </w:rPr>
        <w:t>We anticipate that a</w:t>
      </w:r>
      <w:r w:rsidR="005600CF">
        <w:rPr>
          <w:rFonts w:ascii="Times New Roman" w:hAnsi="Times New Roman"/>
        </w:rPr>
        <w:t>ll other materials will remain unchanged.</w:t>
      </w:r>
    </w:p>
    <w:p w:rsidRPr="008E2F8A" w:rsidR="008E2F8A" w:rsidP="008E2F8A" w:rsidRDefault="008E2F8A" w14:paraId="38C3D78C" w14:textId="77777777">
      <w:pPr>
        <w:pStyle w:val="L1-FlLSp12"/>
        <w:widowControl w:val="0"/>
        <w:spacing w:after="120" w:line="23" w:lineRule="atLeast"/>
        <w:ind w:firstLine="450"/>
        <w:rPr>
          <w:rFonts w:ascii="Times New Roman" w:hAnsi="Times New Roman"/>
          <w:b/>
        </w:rPr>
      </w:pPr>
      <w:r w:rsidRPr="008E2F8A">
        <w:rPr>
          <w:rFonts w:ascii="Times New Roman" w:hAnsi="Times New Roman"/>
          <w:b/>
        </w:rPr>
        <w:t>Table 1. PIAAC Cycle II Field Test Options</w:t>
      </w:r>
    </w:p>
    <w:tbl>
      <w:tblPr>
        <w:tblW w:w="9355" w:type="dxa"/>
        <w:tblInd w:w="558" w:type="dxa"/>
        <w:tblCellMar>
          <w:left w:w="0" w:type="dxa"/>
          <w:right w:w="0" w:type="dxa"/>
        </w:tblCellMar>
        <w:tblLook w:val="04A0" w:firstRow="1" w:lastRow="0" w:firstColumn="1" w:lastColumn="0" w:noHBand="0" w:noVBand="1"/>
      </w:tblPr>
      <w:tblGrid>
        <w:gridCol w:w="2155"/>
        <w:gridCol w:w="2400"/>
        <w:gridCol w:w="2400"/>
        <w:gridCol w:w="2400"/>
      </w:tblGrid>
      <w:tr w:rsidRPr="002A4229" w:rsidR="009B7983" w:rsidTr="006843EB" w14:paraId="2DFABB8D" w14:textId="77777777">
        <w:tc>
          <w:tcPr>
            <w:tcW w:w="2155" w:type="dxa"/>
            <w:tcBorders>
              <w:top w:val="single" w:color="auto" w:sz="8" w:space="0"/>
              <w:left w:val="single" w:color="auto" w:sz="8" w:space="0"/>
              <w:bottom w:val="single" w:color="auto" w:sz="8" w:space="0"/>
              <w:right w:val="single" w:color="auto" w:sz="8" w:space="0"/>
            </w:tcBorders>
            <w:shd w:val="clear" w:color="auto" w:fill="1F4E79"/>
            <w:tcMar>
              <w:top w:w="0" w:type="dxa"/>
              <w:left w:w="108" w:type="dxa"/>
              <w:bottom w:w="0" w:type="dxa"/>
              <w:right w:w="108" w:type="dxa"/>
            </w:tcMar>
            <w:hideMark/>
          </w:tcPr>
          <w:p w:rsidRPr="002A4229" w:rsidR="009B7983" w:rsidRDefault="009B7983" w14:paraId="4C30ED00" w14:textId="77777777">
            <w:pPr>
              <w:rPr>
                <w:sz w:val="22"/>
                <w:szCs w:val="22"/>
              </w:rPr>
            </w:pPr>
            <w:r w:rsidRPr="002A4229">
              <w:rPr>
                <w:b/>
                <w:bCs/>
                <w:color w:val="FFFFFF"/>
              </w:rPr>
              <w:t xml:space="preserve">Data Collection </w:t>
            </w:r>
          </w:p>
        </w:tc>
        <w:tc>
          <w:tcPr>
            <w:tcW w:w="2400" w:type="dxa"/>
            <w:tcBorders>
              <w:top w:val="single" w:color="auto" w:sz="8" w:space="0"/>
              <w:left w:val="nil"/>
              <w:bottom w:val="single" w:color="auto" w:sz="8" w:space="0"/>
              <w:right w:val="single" w:color="auto" w:sz="8" w:space="0"/>
            </w:tcBorders>
            <w:shd w:val="clear" w:color="auto" w:fill="1F4E79"/>
            <w:tcMar>
              <w:top w:w="0" w:type="dxa"/>
              <w:left w:w="108" w:type="dxa"/>
              <w:bottom w:w="0" w:type="dxa"/>
              <w:right w:w="108" w:type="dxa"/>
            </w:tcMar>
            <w:hideMark/>
          </w:tcPr>
          <w:p w:rsidRPr="002A4229" w:rsidR="009B7983" w:rsidRDefault="000A00AC" w14:paraId="0C00FC5C" w14:textId="77777777">
            <w:pPr>
              <w:jc w:val="center"/>
            </w:pPr>
            <w:r w:rsidRPr="002A4229">
              <w:rPr>
                <w:b/>
                <w:bCs/>
                <w:color w:val="FFFFFF"/>
              </w:rPr>
              <w:t>Approved PIAAC Cycle II Field Test</w:t>
            </w:r>
          </w:p>
        </w:tc>
        <w:tc>
          <w:tcPr>
            <w:tcW w:w="2400" w:type="dxa"/>
            <w:tcBorders>
              <w:top w:val="single" w:color="auto" w:sz="8" w:space="0"/>
              <w:left w:val="nil"/>
              <w:bottom w:val="single" w:color="auto" w:sz="8" w:space="0"/>
              <w:right w:val="single" w:color="auto" w:sz="8" w:space="0"/>
            </w:tcBorders>
            <w:shd w:val="clear" w:color="auto" w:fill="1F4E79"/>
            <w:tcMar>
              <w:top w:w="0" w:type="dxa"/>
              <w:left w:w="108" w:type="dxa"/>
              <w:bottom w:w="0" w:type="dxa"/>
              <w:right w:w="108" w:type="dxa"/>
            </w:tcMar>
            <w:hideMark/>
          </w:tcPr>
          <w:p w:rsidRPr="002A4229" w:rsidR="009B7983" w:rsidRDefault="000A00AC" w14:paraId="1CDE035B" w14:textId="77777777">
            <w:pPr>
              <w:jc w:val="center"/>
              <w:rPr>
                <w:b/>
                <w:bCs/>
                <w:color w:val="FFFFFF"/>
              </w:rPr>
            </w:pPr>
            <w:r w:rsidRPr="002A4229">
              <w:rPr>
                <w:b/>
                <w:bCs/>
                <w:color w:val="FFFFFF"/>
              </w:rPr>
              <w:t>Proposed Option A</w:t>
            </w:r>
          </w:p>
        </w:tc>
        <w:tc>
          <w:tcPr>
            <w:tcW w:w="2400" w:type="dxa"/>
            <w:tcBorders>
              <w:top w:val="single" w:color="auto" w:sz="8" w:space="0"/>
              <w:left w:val="nil"/>
              <w:bottom w:val="single" w:color="auto" w:sz="8" w:space="0"/>
              <w:right w:val="single" w:color="auto" w:sz="8" w:space="0"/>
            </w:tcBorders>
            <w:shd w:val="clear" w:color="auto" w:fill="1F4E79"/>
            <w:tcMar>
              <w:top w:w="0" w:type="dxa"/>
              <w:left w:w="108" w:type="dxa"/>
              <w:bottom w:w="0" w:type="dxa"/>
              <w:right w:w="108" w:type="dxa"/>
            </w:tcMar>
            <w:hideMark/>
          </w:tcPr>
          <w:p w:rsidRPr="002A4229" w:rsidR="009B7983" w:rsidRDefault="000A00AC" w14:paraId="0C337ACD" w14:textId="77777777">
            <w:pPr>
              <w:jc w:val="center"/>
            </w:pPr>
            <w:r w:rsidRPr="002A4229">
              <w:rPr>
                <w:b/>
                <w:bCs/>
                <w:color w:val="FFFFFF"/>
              </w:rPr>
              <w:t>Proposed Option B</w:t>
            </w:r>
          </w:p>
        </w:tc>
      </w:tr>
      <w:tr w:rsidRPr="002A4229" w:rsidR="009B7983" w:rsidTr="000A00AC" w14:paraId="535DE5F6" w14:textId="77777777">
        <w:tc>
          <w:tcPr>
            <w:tcW w:w="215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A4229" w:rsidR="009B7983" w:rsidRDefault="009B7983" w14:paraId="06F9E917" w14:textId="77777777">
            <w:r w:rsidRPr="002A4229">
              <w:rPr>
                <w:b/>
                <w:bCs/>
              </w:rPr>
              <w:t>Training Start Date</w:t>
            </w:r>
          </w:p>
        </w:tc>
        <w:tc>
          <w:tcPr>
            <w:tcW w:w="2400" w:type="dxa"/>
            <w:tcBorders>
              <w:top w:val="nil"/>
              <w:left w:val="nil"/>
              <w:bottom w:val="single" w:color="auto" w:sz="8" w:space="0"/>
              <w:right w:val="single" w:color="auto" w:sz="8" w:space="0"/>
            </w:tcBorders>
            <w:shd w:val="clear" w:color="auto" w:fill="D9D9D9"/>
            <w:tcMar>
              <w:top w:w="0" w:type="dxa"/>
              <w:left w:w="108" w:type="dxa"/>
              <w:bottom w:w="0" w:type="dxa"/>
              <w:right w:w="108" w:type="dxa"/>
            </w:tcMar>
            <w:hideMark/>
          </w:tcPr>
          <w:p w:rsidRPr="002A4229" w:rsidR="009B7983" w:rsidRDefault="009B7983" w14:paraId="3C6FDB2B" w14:textId="77777777">
            <w:pPr>
              <w:jc w:val="center"/>
            </w:pPr>
            <w:r w:rsidRPr="002A4229">
              <w:rPr>
                <w:color w:val="000000"/>
              </w:rPr>
              <w:t>March 15</w:t>
            </w:r>
          </w:p>
        </w:tc>
        <w:tc>
          <w:tcPr>
            <w:tcW w:w="2400"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2A4229" w:rsidR="009B7983" w:rsidRDefault="009B7983" w14:paraId="2A37C2DC" w14:textId="77777777">
            <w:pPr>
              <w:jc w:val="center"/>
            </w:pPr>
            <w:r w:rsidRPr="002A4229">
              <w:rPr>
                <w:color w:val="000000"/>
              </w:rPr>
              <w:t>June 14</w:t>
            </w:r>
          </w:p>
        </w:tc>
        <w:tc>
          <w:tcPr>
            <w:tcW w:w="2400" w:type="dxa"/>
            <w:tcBorders>
              <w:top w:val="nil"/>
              <w:left w:val="nil"/>
              <w:bottom w:val="single" w:color="auto" w:sz="8" w:space="0"/>
              <w:right w:val="single" w:color="auto" w:sz="8" w:space="0"/>
            </w:tcBorders>
            <w:tcMar>
              <w:top w:w="0" w:type="dxa"/>
              <w:left w:w="108" w:type="dxa"/>
              <w:bottom w:w="0" w:type="dxa"/>
              <w:right w:w="108" w:type="dxa"/>
            </w:tcMar>
            <w:hideMark/>
          </w:tcPr>
          <w:p w:rsidRPr="002A4229" w:rsidR="009B7983" w:rsidRDefault="009B7983" w14:paraId="383B3B47" w14:textId="77777777">
            <w:pPr>
              <w:jc w:val="center"/>
            </w:pPr>
            <w:r w:rsidRPr="002A4229">
              <w:t>August 16</w:t>
            </w:r>
          </w:p>
        </w:tc>
      </w:tr>
      <w:tr w:rsidRPr="002A4229" w:rsidR="009B7983" w:rsidTr="000A00AC" w14:paraId="51A5D34F" w14:textId="77777777">
        <w:tc>
          <w:tcPr>
            <w:tcW w:w="215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A4229" w:rsidR="009B7983" w:rsidRDefault="009B7983" w14:paraId="544C0008" w14:textId="77777777">
            <w:r w:rsidRPr="002A4229">
              <w:rPr>
                <w:b/>
                <w:bCs/>
              </w:rPr>
              <w:t>Field Period</w:t>
            </w:r>
          </w:p>
        </w:tc>
        <w:tc>
          <w:tcPr>
            <w:tcW w:w="2400" w:type="dxa"/>
            <w:tcBorders>
              <w:top w:val="nil"/>
              <w:left w:val="nil"/>
              <w:bottom w:val="single" w:color="auto" w:sz="8" w:space="0"/>
              <w:right w:val="single" w:color="auto" w:sz="8" w:space="0"/>
            </w:tcBorders>
            <w:shd w:val="clear" w:color="auto" w:fill="D9D9D9"/>
            <w:tcMar>
              <w:top w:w="0" w:type="dxa"/>
              <w:left w:w="108" w:type="dxa"/>
              <w:bottom w:w="0" w:type="dxa"/>
              <w:right w:w="108" w:type="dxa"/>
            </w:tcMar>
            <w:hideMark/>
          </w:tcPr>
          <w:p w:rsidRPr="002A4229" w:rsidR="009B7983" w:rsidRDefault="009B7983" w14:paraId="02AA21CE" w14:textId="77777777">
            <w:pPr>
              <w:jc w:val="center"/>
            </w:pPr>
            <w:r w:rsidRPr="002A4229">
              <w:rPr>
                <w:color w:val="000000"/>
              </w:rPr>
              <w:t>April 1-June 30</w:t>
            </w:r>
          </w:p>
        </w:tc>
        <w:tc>
          <w:tcPr>
            <w:tcW w:w="2400"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2A4229" w:rsidR="009B7983" w:rsidRDefault="009B7983" w14:paraId="53DF88B8" w14:textId="77777777">
            <w:pPr>
              <w:jc w:val="center"/>
            </w:pPr>
            <w:r w:rsidRPr="002A4229">
              <w:rPr>
                <w:color w:val="000000"/>
              </w:rPr>
              <w:t>June 28-August 7</w:t>
            </w:r>
          </w:p>
        </w:tc>
        <w:tc>
          <w:tcPr>
            <w:tcW w:w="2400" w:type="dxa"/>
            <w:tcBorders>
              <w:top w:val="nil"/>
              <w:left w:val="nil"/>
              <w:bottom w:val="single" w:color="auto" w:sz="8" w:space="0"/>
              <w:right w:val="single" w:color="auto" w:sz="8" w:space="0"/>
            </w:tcBorders>
            <w:tcMar>
              <w:top w:w="0" w:type="dxa"/>
              <w:left w:w="108" w:type="dxa"/>
              <w:bottom w:w="0" w:type="dxa"/>
              <w:right w:w="108" w:type="dxa"/>
            </w:tcMar>
            <w:hideMark/>
          </w:tcPr>
          <w:p w:rsidRPr="002A4229" w:rsidR="009B7983" w:rsidRDefault="009B7983" w14:paraId="418CCD1E" w14:textId="77777777">
            <w:pPr>
              <w:jc w:val="center"/>
            </w:pPr>
            <w:r w:rsidRPr="002A4229">
              <w:t>August 30-Sept. 30</w:t>
            </w:r>
          </w:p>
        </w:tc>
      </w:tr>
      <w:tr w:rsidRPr="002A4229" w:rsidR="009B7983" w:rsidTr="000A00AC" w14:paraId="7D9EFE0A" w14:textId="77777777">
        <w:tc>
          <w:tcPr>
            <w:tcW w:w="215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A4229" w:rsidR="009B7983" w:rsidRDefault="009B7983" w14:paraId="61A86E9D" w14:textId="77777777">
            <w:r w:rsidRPr="002A4229">
              <w:rPr>
                <w:b/>
                <w:bCs/>
              </w:rPr>
              <w:t>Data Delivery</w:t>
            </w:r>
          </w:p>
        </w:tc>
        <w:tc>
          <w:tcPr>
            <w:tcW w:w="2400" w:type="dxa"/>
            <w:tcBorders>
              <w:top w:val="nil"/>
              <w:left w:val="nil"/>
              <w:bottom w:val="single" w:color="auto" w:sz="8" w:space="0"/>
              <w:right w:val="single" w:color="auto" w:sz="8" w:space="0"/>
            </w:tcBorders>
            <w:shd w:val="clear" w:color="auto" w:fill="D9D9D9"/>
            <w:tcMar>
              <w:top w:w="0" w:type="dxa"/>
              <w:left w:w="108" w:type="dxa"/>
              <w:bottom w:w="0" w:type="dxa"/>
              <w:right w:w="108" w:type="dxa"/>
            </w:tcMar>
            <w:hideMark/>
          </w:tcPr>
          <w:p w:rsidRPr="002A4229" w:rsidR="009B7983" w:rsidRDefault="009B7983" w14:paraId="15A872FA" w14:textId="77777777">
            <w:pPr>
              <w:jc w:val="center"/>
            </w:pPr>
            <w:r w:rsidRPr="002A4229">
              <w:rPr>
                <w:color w:val="000000"/>
              </w:rPr>
              <w:t>Consortium Batch 1</w:t>
            </w:r>
          </w:p>
          <w:p w:rsidRPr="002A4229" w:rsidR="009B7983" w:rsidRDefault="009B7983" w14:paraId="7A4F908C" w14:textId="77777777">
            <w:pPr>
              <w:jc w:val="center"/>
            </w:pPr>
            <w:r w:rsidRPr="002A4229">
              <w:rPr>
                <w:color w:val="000000"/>
              </w:rPr>
              <w:t>August 15</w:t>
            </w:r>
          </w:p>
        </w:tc>
        <w:tc>
          <w:tcPr>
            <w:tcW w:w="2400"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2A4229" w:rsidR="009B7983" w:rsidRDefault="009B7983" w14:paraId="59693FBF" w14:textId="77777777">
            <w:pPr>
              <w:jc w:val="center"/>
            </w:pPr>
            <w:r w:rsidRPr="002A4229">
              <w:rPr>
                <w:color w:val="000000"/>
              </w:rPr>
              <w:t>Consortium Batch 1</w:t>
            </w:r>
          </w:p>
          <w:p w:rsidRPr="002A4229" w:rsidR="009B7983" w:rsidRDefault="009B7983" w14:paraId="35BF6A03" w14:textId="77777777">
            <w:pPr>
              <w:jc w:val="center"/>
            </w:pPr>
            <w:r w:rsidRPr="002A4229">
              <w:rPr>
                <w:color w:val="000000"/>
              </w:rPr>
              <w:t>August 16-30</w:t>
            </w:r>
          </w:p>
        </w:tc>
        <w:tc>
          <w:tcPr>
            <w:tcW w:w="2400" w:type="dxa"/>
            <w:tcBorders>
              <w:top w:val="nil"/>
              <w:left w:val="nil"/>
              <w:bottom w:val="single" w:color="auto" w:sz="8" w:space="0"/>
              <w:right w:val="single" w:color="auto" w:sz="8" w:space="0"/>
            </w:tcBorders>
            <w:tcMar>
              <w:top w:w="0" w:type="dxa"/>
              <w:left w:w="108" w:type="dxa"/>
              <w:bottom w:w="0" w:type="dxa"/>
              <w:right w:w="108" w:type="dxa"/>
            </w:tcMar>
            <w:hideMark/>
          </w:tcPr>
          <w:p w:rsidRPr="002A4229" w:rsidR="009B7983" w:rsidRDefault="009B7983" w14:paraId="0B52D6F3" w14:textId="77777777">
            <w:pPr>
              <w:jc w:val="center"/>
            </w:pPr>
            <w:r w:rsidRPr="002A4229">
              <w:t>Consortium Batch 2</w:t>
            </w:r>
          </w:p>
          <w:p w:rsidRPr="002A4229" w:rsidR="009B7983" w:rsidRDefault="009B7983" w14:paraId="040CE44D" w14:textId="77777777">
            <w:pPr>
              <w:jc w:val="center"/>
            </w:pPr>
            <w:r w:rsidRPr="002A4229">
              <w:t>October 29</w:t>
            </w:r>
          </w:p>
        </w:tc>
      </w:tr>
      <w:tr w:rsidRPr="002A4229" w:rsidR="009B7983" w:rsidTr="000A00AC" w14:paraId="4D702FFB" w14:textId="77777777">
        <w:tc>
          <w:tcPr>
            <w:tcW w:w="215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A4229" w:rsidR="009B7983" w:rsidRDefault="009B7983" w14:paraId="5784BBF2" w14:textId="77777777">
            <w:r w:rsidRPr="002A4229">
              <w:rPr>
                <w:b/>
                <w:bCs/>
              </w:rPr>
              <w:t>Completed Cases (BQ &amp; Assessment)</w:t>
            </w:r>
          </w:p>
        </w:tc>
        <w:tc>
          <w:tcPr>
            <w:tcW w:w="2400" w:type="dxa"/>
            <w:tcBorders>
              <w:top w:val="nil"/>
              <w:left w:val="nil"/>
              <w:bottom w:val="single" w:color="auto" w:sz="8" w:space="0"/>
              <w:right w:val="single" w:color="auto" w:sz="8" w:space="0"/>
            </w:tcBorders>
            <w:shd w:val="clear" w:color="auto" w:fill="D9D9D9"/>
            <w:tcMar>
              <w:top w:w="0" w:type="dxa"/>
              <w:left w:w="108" w:type="dxa"/>
              <w:bottom w:w="0" w:type="dxa"/>
              <w:right w:w="108" w:type="dxa"/>
            </w:tcMar>
            <w:hideMark/>
          </w:tcPr>
          <w:p w:rsidRPr="002A4229" w:rsidR="009B7983" w:rsidRDefault="009B7983" w14:paraId="1A2B0590" w14:textId="77777777">
            <w:pPr>
              <w:jc w:val="center"/>
            </w:pPr>
            <w:r w:rsidRPr="002A4229">
              <w:rPr>
                <w:color w:val="000000"/>
              </w:rPr>
              <w:t>1500</w:t>
            </w:r>
          </w:p>
        </w:tc>
        <w:tc>
          <w:tcPr>
            <w:tcW w:w="2400"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2A4229" w:rsidR="009B7983" w:rsidRDefault="009B7983" w14:paraId="7F812632" w14:textId="77777777">
            <w:pPr>
              <w:jc w:val="center"/>
            </w:pPr>
            <w:r w:rsidRPr="002A4229">
              <w:rPr>
                <w:color w:val="000000"/>
              </w:rPr>
              <w:t>250</w:t>
            </w:r>
          </w:p>
        </w:tc>
        <w:tc>
          <w:tcPr>
            <w:tcW w:w="2400" w:type="dxa"/>
            <w:tcBorders>
              <w:top w:val="nil"/>
              <w:left w:val="nil"/>
              <w:bottom w:val="single" w:color="auto" w:sz="8" w:space="0"/>
              <w:right w:val="single" w:color="auto" w:sz="8" w:space="0"/>
            </w:tcBorders>
            <w:tcMar>
              <w:top w:w="0" w:type="dxa"/>
              <w:left w:w="108" w:type="dxa"/>
              <w:bottom w:w="0" w:type="dxa"/>
              <w:right w:w="108" w:type="dxa"/>
            </w:tcMar>
            <w:hideMark/>
          </w:tcPr>
          <w:p w:rsidRPr="002A4229" w:rsidR="009B7983" w:rsidRDefault="009B7983" w14:paraId="18A357E8" w14:textId="77777777">
            <w:pPr>
              <w:jc w:val="center"/>
            </w:pPr>
            <w:r w:rsidRPr="002A4229">
              <w:t>250</w:t>
            </w:r>
          </w:p>
        </w:tc>
      </w:tr>
      <w:tr w:rsidRPr="002A4229" w:rsidR="009B7983" w:rsidTr="000A00AC" w14:paraId="2989B832" w14:textId="77777777">
        <w:tc>
          <w:tcPr>
            <w:tcW w:w="215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A4229" w:rsidR="009B7983" w:rsidRDefault="009B7983" w14:paraId="63ED7BB6" w14:textId="77777777">
            <w:r w:rsidRPr="002A4229">
              <w:rPr>
                <w:b/>
                <w:bCs/>
              </w:rPr>
              <w:t>Sample Design</w:t>
            </w:r>
          </w:p>
        </w:tc>
        <w:tc>
          <w:tcPr>
            <w:tcW w:w="2400" w:type="dxa"/>
            <w:tcBorders>
              <w:top w:val="nil"/>
              <w:left w:val="nil"/>
              <w:bottom w:val="single" w:color="auto" w:sz="8" w:space="0"/>
              <w:right w:val="single" w:color="auto" w:sz="8" w:space="0"/>
            </w:tcBorders>
            <w:shd w:val="clear" w:color="auto" w:fill="D9D9D9"/>
            <w:tcMar>
              <w:top w:w="0" w:type="dxa"/>
              <w:left w:w="108" w:type="dxa"/>
              <w:bottom w:w="0" w:type="dxa"/>
              <w:right w:w="108" w:type="dxa"/>
            </w:tcMar>
            <w:hideMark/>
          </w:tcPr>
          <w:p w:rsidRPr="002A4229" w:rsidR="009B7983" w:rsidRDefault="009B7983" w14:paraId="28AFD28E" w14:textId="77777777">
            <w:pPr>
              <w:jc w:val="center"/>
            </w:pPr>
            <w:r w:rsidRPr="002A4229">
              <w:rPr>
                <w:color w:val="000000"/>
              </w:rPr>
              <w:t>Household nonprobability sample</w:t>
            </w:r>
          </w:p>
        </w:tc>
        <w:tc>
          <w:tcPr>
            <w:tcW w:w="2400"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2A4229" w:rsidR="009B7983" w:rsidRDefault="009B7983" w14:paraId="7C2D5877" w14:textId="77777777">
            <w:pPr>
              <w:jc w:val="center"/>
            </w:pPr>
            <w:r w:rsidRPr="002A4229">
              <w:rPr>
                <w:color w:val="000000"/>
              </w:rPr>
              <w:t>Convenience sample, recruited volunteers</w:t>
            </w:r>
          </w:p>
        </w:tc>
        <w:tc>
          <w:tcPr>
            <w:tcW w:w="2400" w:type="dxa"/>
            <w:tcBorders>
              <w:top w:val="nil"/>
              <w:left w:val="nil"/>
              <w:bottom w:val="single" w:color="auto" w:sz="8" w:space="0"/>
              <w:right w:val="single" w:color="auto" w:sz="8" w:space="0"/>
            </w:tcBorders>
            <w:tcMar>
              <w:top w:w="0" w:type="dxa"/>
              <w:left w:w="108" w:type="dxa"/>
              <w:bottom w:w="0" w:type="dxa"/>
              <w:right w:w="108" w:type="dxa"/>
            </w:tcMar>
            <w:hideMark/>
          </w:tcPr>
          <w:p w:rsidRPr="002A4229" w:rsidR="009B7983" w:rsidRDefault="009B7983" w14:paraId="72A7C6FC" w14:textId="77777777">
            <w:pPr>
              <w:jc w:val="center"/>
            </w:pPr>
            <w:r w:rsidRPr="002A4229">
              <w:t>Convenience sample, recruited volunteers</w:t>
            </w:r>
          </w:p>
        </w:tc>
      </w:tr>
      <w:tr w:rsidRPr="002A4229" w:rsidR="009B7983" w:rsidTr="000A00AC" w14:paraId="59D9D514" w14:textId="77777777">
        <w:tc>
          <w:tcPr>
            <w:tcW w:w="215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A4229" w:rsidR="009B7983" w:rsidRDefault="009B7983" w14:paraId="236C1960" w14:textId="77777777">
            <w:r w:rsidRPr="002A4229">
              <w:rPr>
                <w:b/>
                <w:bCs/>
              </w:rPr>
              <w:t>Sample Source</w:t>
            </w:r>
          </w:p>
        </w:tc>
        <w:tc>
          <w:tcPr>
            <w:tcW w:w="2400" w:type="dxa"/>
            <w:tcBorders>
              <w:top w:val="nil"/>
              <w:left w:val="nil"/>
              <w:bottom w:val="single" w:color="auto" w:sz="8" w:space="0"/>
              <w:right w:val="single" w:color="auto" w:sz="8" w:space="0"/>
            </w:tcBorders>
            <w:shd w:val="clear" w:color="auto" w:fill="D9D9D9"/>
            <w:tcMar>
              <w:top w:w="0" w:type="dxa"/>
              <w:left w:w="108" w:type="dxa"/>
              <w:bottom w:w="0" w:type="dxa"/>
              <w:right w:w="108" w:type="dxa"/>
            </w:tcMar>
            <w:hideMark/>
          </w:tcPr>
          <w:p w:rsidRPr="002A4229" w:rsidR="009B7983" w:rsidRDefault="009B7983" w14:paraId="05164F18" w14:textId="77777777">
            <w:pPr>
              <w:jc w:val="center"/>
            </w:pPr>
            <w:r w:rsidRPr="002A4229">
              <w:rPr>
                <w:color w:val="000000"/>
              </w:rPr>
              <w:t>Electronic Address List, Cycle 1 PIAAC</w:t>
            </w:r>
          </w:p>
        </w:tc>
        <w:tc>
          <w:tcPr>
            <w:tcW w:w="2400"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2A4229" w:rsidR="009B7983" w:rsidRDefault="009B7983" w14:paraId="43E50FAE" w14:textId="77777777">
            <w:pPr>
              <w:jc w:val="center"/>
            </w:pPr>
            <w:r w:rsidRPr="002A4229">
              <w:rPr>
                <w:color w:val="000000"/>
              </w:rPr>
              <w:t>Local, volunteer recruitment</w:t>
            </w:r>
          </w:p>
        </w:tc>
        <w:tc>
          <w:tcPr>
            <w:tcW w:w="2400" w:type="dxa"/>
            <w:tcBorders>
              <w:top w:val="nil"/>
              <w:left w:val="nil"/>
              <w:bottom w:val="single" w:color="auto" w:sz="8" w:space="0"/>
              <w:right w:val="single" w:color="auto" w:sz="8" w:space="0"/>
            </w:tcBorders>
            <w:tcMar>
              <w:top w:w="0" w:type="dxa"/>
              <w:left w:w="108" w:type="dxa"/>
              <w:bottom w:w="0" w:type="dxa"/>
              <w:right w:w="108" w:type="dxa"/>
            </w:tcMar>
            <w:hideMark/>
          </w:tcPr>
          <w:p w:rsidRPr="002A4229" w:rsidR="009B7983" w:rsidRDefault="009B7983" w14:paraId="45975662" w14:textId="77777777">
            <w:pPr>
              <w:jc w:val="center"/>
            </w:pPr>
            <w:r w:rsidRPr="002A4229">
              <w:t>Local, volunteer recruitment</w:t>
            </w:r>
          </w:p>
        </w:tc>
      </w:tr>
      <w:tr w:rsidRPr="002A4229" w:rsidR="009B7983" w:rsidTr="000A00AC" w14:paraId="32F22597" w14:textId="77777777">
        <w:tc>
          <w:tcPr>
            <w:tcW w:w="215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A4229" w:rsidR="009B7983" w:rsidRDefault="009B7983" w14:paraId="14D03430" w14:textId="77777777">
            <w:r w:rsidRPr="002A4229">
              <w:rPr>
                <w:b/>
                <w:bCs/>
              </w:rPr>
              <w:t>Response Rate Estimate</w:t>
            </w:r>
          </w:p>
        </w:tc>
        <w:tc>
          <w:tcPr>
            <w:tcW w:w="2400" w:type="dxa"/>
            <w:tcBorders>
              <w:top w:val="nil"/>
              <w:left w:val="nil"/>
              <w:bottom w:val="single" w:color="auto" w:sz="8" w:space="0"/>
              <w:right w:val="single" w:color="auto" w:sz="8" w:space="0"/>
            </w:tcBorders>
            <w:shd w:val="clear" w:color="auto" w:fill="D9D9D9"/>
            <w:tcMar>
              <w:top w:w="0" w:type="dxa"/>
              <w:left w:w="108" w:type="dxa"/>
              <w:bottom w:w="0" w:type="dxa"/>
              <w:right w:w="108" w:type="dxa"/>
            </w:tcMar>
            <w:hideMark/>
          </w:tcPr>
          <w:p w:rsidRPr="002A4229" w:rsidR="009B7983" w:rsidRDefault="009B7983" w14:paraId="126ED9B3" w14:textId="77777777">
            <w:pPr>
              <w:jc w:val="center"/>
            </w:pPr>
            <w:r w:rsidRPr="002A4229">
              <w:rPr>
                <w:color w:val="000000"/>
              </w:rPr>
              <w:t>50%</w:t>
            </w:r>
          </w:p>
        </w:tc>
        <w:tc>
          <w:tcPr>
            <w:tcW w:w="2400"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2A4229" w:rsidR="009B7983" w:rsidRDefault="009B7983" w14:paraId="41A26DB6" w14:textId="77777777">
            <w:pPr>
              <w:jc w:val="center"/>
            </w:pPr>
            <w:r w:rsidRPr="002A4229">
              <w:rPr>
                <w:color w:val="000000"/>
              </w:rPr>
              <w:t>n/a</w:t>
            </w:r>
          </w:p>
        </w:tc>
        <w:tc>
          <w:tcPr>
            <w:tcW w:w="2400" w:type="dxa"/>
            <w:tcBorders>
              <w:top w:val="nil"/>
              <w:left w:val="nil"/>
              <w:bottom w:val="single" w:color="auto" w:sz="8" w:space="0"/>
              <w:right w:val="single" w:color="auto" w:sz="8" w:space="0"/>
            </w:tcBorders>
            <w:tcMar>
              <w:top w:w="0" w:type="dxa"/>
              <w:left w:w="108" w:type="dxa"/>
              <w:bottom w:w="0" w:type="dxa"/>
              <w:right w:w="108" w:type="dxa"/>
            </w:tcMar>
            <w:hideMark/>
          </w:tcPr>
          <w:p w:rsidRPr="002A4229" w:rsidR="009B7983" w:rsidRDefault="009B7983" w14:paraId="0F57B61D" w14:textId="77777777">
            <w:pPr>
              <w:jc w:val="center"/>
            </w:pPr>
            <w:r w:rsidRPr="002A4229">
              <w:t>n/a</w:t>
            </w:r>
          </w:p>
        </w:tc>
      </w:tr>
    </w:tbl>
    <w:p w:rsidRPr="002A4229" w:rsidR="00656F9A" w:rsidP="00656F9A" w:rsidRDefault="00656F9A" w14:paraId="0E98EE65" w14:textId="77777777">
      <w:pPr>
        <w:rPr>
          <w:bCs/>
          <w:color w:val="0070C0"/>
        </w:rPr>
      </w:pPr>
    </w:p>
    <w:p w:rsidR="00354151" w:rsidP="00F37B2C" w:rsidRDefault="000A00AC" w14:paraId="1BFE58AF" w14:textId="77777777">
      <w:r w:rsidRPr="002A4229">
        <w:t xml:space="preserve">The Approved Cycle II Field test </w:t>
      </w:r>
      <w:r w:rsidRPr="002A4229" w:rsidR="009B7983">
        <w:rPr>
          <w:bCs/>
        </w:rPr>
        <w:t xml:space="preserve">featured </w:t>
      </w:r>
      <w:r w:rsidRPr="002A4229">
        <w:t xml:space="preserve">a stratified purposive subsample of 13 PSUs selected from the PIAAC Cycle I 2017 sample of 80 PSUs. </w:t>
      </w:r>
      <w:r w:rsidRPr="002A4229">
        <w:rPr>
          <w:bCs/>
          <w:color w:val="0070C0"/>
        </w:rPr>
        <w:t xml:space="preserve"> </w:t>
      </w:r>
      <w:r w:rsidRPr="002A4229">
        <w:t xml:space="preserve">The expected sample size of 1500 was required to estimate item parameters for all newly developed Assessment items and to test the stability of the trend item parameters for each tested language in a participating country. </w:t>
      </w:r>
      <w:r w:rsidRPr="002A4229">
        <w:rPr>
          <w:bCs/>
        </w:rPr>
        <w:t>T</w:t>
      </w:r>
      <w:r w:rsidR="006B6439">
        <w:rPr>
          <w:bCs/>
        </w:rPr>
        <w:t>he Operational F</w:t>
      </w:r>
      <w:r w:rsidRPr="002A4229">
        <w:rPr>
          <w:bCs/>
        </w:rPr>
        <w:t xml:space="preserve">ield </w:t>
      </w:r>
      <w:r w:rsidR="006B6439">
        <w:rPr>
          <w:bCs/>
        </w:rPr>
        <w:t>T</w:t>
      </w:r>
      <w:r w:rsidR="003612B0">
        <w:rPr>
          <w:bCs/>
        </w:rPr>
        <w:t xml:space="preserve">est </w:t>
      </w:r>
      <w:r w:rsidR="008E2F8A">
        <w:rPr>
          <w:bCs/>
        </w:rPr>
        <w:t>will</w:t>
      </w:r>
      <w:r w:rsidRPr="002A4229">
        <w:rPr>
          <w:bCs/>
        </w:rPr>
        <w:t xml:space="preserve"> </w:t>
      </w:r>
      <w:r w:rsidR="006B6439">
        <w:rPr>
          <w:bCs/>
        </w:rPr>
        <w:t xml:space="preserve">include tests of </w:t>
      </w:r>
      <w:r w:rsidRPr="002A4229">
        <w:rPr>
          <w:bCs/>
        </w:rPr>
        <w:t>survey implementation</w:t>
      </w:r>
      <w:r w:rsidRPr="002A4229">
        <w:rPr>
          <w:bCs/>
          <w:color w:val="0070C0"/>
        </w:rPr>
        <w:t xml:space="preserve"> </w:t>
      </w:r>
      <w:r w:rsidRPr="002A4229">
        <w:t xml:space="preserve">as well as the functionalities of the tablet device and ease of use of the device and interface for adults with low levels of familiarity with ICT devices. </w:t>
      </w:r>
      <w:r w:rsidR="0012594E">
        <w:t>The field test will use a</w:t>
      </w:r>
      <w:r w:rsidRPr="002A4229" w:rsidR="002A4229">
        <w:t xml:space="preserve"> convenience sample of </w:t>
      </w:r>
      <w:r w:rsidRPr="002A4229" w:rsidR="002A4229">
        <w:lastRenderedPageBreak/>
        <w:t xml:space="preserve">volunteers </w:t>
      </w:r>
      <w:r w:rsidR="003612B0">
        <w:t>in the gre</w:t>
      </w:r>
      <w:r w:rsidR="00E06B35">
        <w:t xml:space="preserve">ater Washington DC metropolitan area for </w:t>
      </w:r>
      <w:r w:rsidR="00FA6EF1">
        <w:t xml:space="preserve">a </w:t>
      </w:r>
      <w:r w:rsidRPr="002A4229" w:rsidR="002A4229">
        <w:t>total of 250 completed cases.</w:t>
      </w:r>
      <w:r w:rsidR="008E2F8A">
        <w:t xml:space="preserve"> Volunteers </w:t>
      </w:r>
      <w:r w:rsidR="002A4229">
        <w:t xml:space="preserve">will be screened on </w:t>
      </w:r>
      <w:r w:rsidR="008E2F8A">
        <w:t xml:space="preserve">relevant demographic characteristics and quotas will be set to achieve a diverse set of study participants. Screening </w:t>
      </w:r>
      <w:r w:rsidR="002A4229">
        <w:t>characteristics</w:t>
      </w:r>
      <w:r w:rsidR="008E2F8A">
        <w:t xml:space="preserve"> </w:t>
      </w:r>
      <w:proofErr w:type="gramStart"/>
      <w:r w:rsidR="008E2F8A">
        <w:t>include</w:t>
      </w:r>
      <w:r w:rsidR="002A4229">
        <w:t>:</w:t>
      </w:r>
      <w:proofErr w:type="gramEnd"/>
      <w:r w:rsidR="002A4229">
        <w:t xml:space="preserve"> age, gender, level of education, English language proficiency and </w:t>
      </w:r>
      <w:r w:rsidR="008E2F8A">
        <w:t>computer/tablet familiarity.</w:t>
      </w:r>
      <w:r w:rsidR="002A4229">
        <w:t xml:space="preserve">  </w:t>
      </w:r>
      <w:r w:rsidR="00F37B2C">
        <w:t xml:space="preserve">Quotas will be set in each category, </w:t>
      </w:r>
      <w:r w:rsidR="00667BA1">
        <w:t xml:space="preserve">and once filled, </w:t>
      </w:r>
      <w:r w:rsidR="00F37B2C">
        <w:t>volunteers</w:t>
      </w:r>
      <w:r w:rsidR="00667BA1">
        <w:t xml:space="preserve"> with those characteristics</w:t>
      </w:r>
      <w:r w:rsidR="00F37B2C">
        <w:t xml:space="preserve"> will no longer be eligible to participate.</w:t>
      </w:r>
      <w:r w:rsidR="00FA6EF1">
        <w:t xml:space="preserve">  </w:t>
      </w:r>
      <w:r w:rsidRPr="0022422E" w:rsidR="00F37B2C">
        <w:t xml:space="preserve">Under this data collection, interviews will be conducted in a location with established </w:t>
      </w:r>
      <w:r w:rsidR="00F37B2C">
        <w:t>COVID mitigation procedures.</w:t>
      </w:r>
      <w:r w:rsidR="00354151">
        <w:t xml:space="preserve"> </w:t>
      </w:r>
    </w:p>
    <w:p w:rsidR="00354151" w:rsidP="00F37B2C" w:rsidRDefault="00354151" w14:paraId="079CE9B3" w14:textId="77777777"/>
    <w:p w:rsidR="00DA6A45" w:rsidP="0070427C" w:rsidRDefault="00DA6A45" w14:paraId="29BE2D61" w14:textId="77777777">
      <w:r w:rsidRPr="0070427C">
        <w:rPr>
          <w:b/>
          <w:bCs/>
          <w:u w:val="single"/>
        </w:rPr>
        <w:t>Part A:</w:t>
      </w:r>
      <w:r w:rsidRPr="0070427C">
        <w:t xml:space="preserve"> </w:t>
      </w:r>
      <w:r w:rsidRPr="0070427C" w:rsidR="0070427C">
        <w:t>In addition to the changes described above and throughout this memo, specific changes to</w:t>
      </w:r>
      <w:r w:rsidR="005600CF">
        <w:t xml:space="preserve"> </w:t>
      </w:r>
      <w:r w:rsidRPr="0070427C" w:rsidR="0070427C">
        <w:t>burden,</w:t>
      </w:r>
      <w:r w:rsidR="0070427C">
        <w:t xml:space="preserve"> cost to the government, and the schedule of the project are detailed below.</w:t>
      </w:r>
    </w:p>
    <w:p w:rsidR="0029074E" w:rsidP="00DA6A45" w:rsidRDefault="0029074E" w14:paraId="7FDFA24C" w14:textId="77777777"/>
    <w:p w:rsidRPr="0070427C" w:rsidR="0070427C" w:rsidP="0070427C" w:rsidRDefault="0070427C" w14:paraId="4162496D" w14:textId="77777777">
      <w:pPr>
        <w:pStyle w:val="Heading1"/>
        <w:widowControl w:val="0"/>
        <w:spacing w:after="120" w:line="23" w:lineRule="atLeast"/>
      </w:pPr>
      <w:r>
        <w:t>A.12</w:t>
      </w:r>
      <w:r>
        <w:tab/>
        <w:t>Estimates Burden</w:t>
      </w:r>
    </w:p>
    <w:p w:rsidR="00690AED" w:rsidP="00690AED" w:rsidRDefault="00690AED" w14:paraId="72A7B256" w14:textId="77777777">
      <w:pPr>
        <w:pStyle w:val="L1-FlLSp12"/>
        <w:widowControl w:val="0"/>
        <w:spacing w:before="240" w:after="60" w:line="240" w:lineRule="auto"/>
        <w:rPr>
          <w:b/>
          <w:szCs w:val="24"/>
        </w:rPr>
      </w:pPr>
      <w:r w:rsidRPr="00196C97">
        <w:rPr>
          <w:b/>
          <w:szCs w:val="24"/>
        </w:rPr>
        <w:t>Table 2. Estimates of burden for PIAAC Cycle II Field Test</w:t>
      </w:r>
    </w:p>
    <w:tbl>
      <w:tblPr>
        <w:tblW w:w="9687" w:type="dxa"/>
        <w:tblLook w:val="04A0" w:firstRow="1" w:lastRow="0" w:firstColumn="1" w:lastColumn="0" w:noHBand="0" w:noVBand="1"/>
      </w:tblPr>
      <w:tblGrid>
        <w:gridCol w:w="2054"/>
        <w:gridCol w:w="1208"/>
        <w:gridCol w:w="1198"/>
        <w:gridCol w:w="1457"/>
        <w:gridCol w:w="1353"/>
        <w:gridCol w:w="1392"/>
        <w:gridCol w:w="1025"/>
      </w:tblGrid>
      <w:tr w:rsidRPr="0070427C" w:rsidR="00690AED" w:rsidTr="00541692" w14:paraId="2DF3CB92" w14:textId="77777777">
        <w:trPr>
          <w:trHeight w:val="1170"/>
        </w:trPr>
        <w:tc>
          <w:tcPr>
            <w:tcW w:w="2073" w:type="dxa"/>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70427C" w:rsidR="00690AED" w:rsidP="00541692" w:rsidRDefault="00690AED" w14:paraId="267181FB" w14:textId="77777777">
            <w:pPr>
              <w:rPr>
                <w:b/>
                <w:bCs/>
                <w:color w:val="000000"/>
              </w:rPr>
            </w:pPr>
            <w:r w:rsidRPr="0070427C">
              <w:rPr>
                <w:b/>
                <w:bCs/>
                <w:color w:val="000000"/>
              </w:rPr>
              <w:t>Data collection instrument</w:t>
            </w:r>
          </w:p>
        </w:tc>
        <w:tc>
          <w:tcPr>
            <w:tcW w:w="1218" w:type="dxa"/>
            <w:tcBorders>
              <w:top w:val="single" w:color="000000" w:sz="8" w:space="0"/>
              <w:left w:val="nil"/>
              <w:bottom w:val="single" w:color="000000" w:sz="8" w:space="0"/>
              <w:right w:val="single" w:color="000000" w:sz="8" w:space="0"/>
            </w:tcBorders>
            <w:shd w:val="clear" w:color="auto" w:fill="auto"/>
            <w:vAlign w:val="center"/>
            <w:hideMark/>
          </w:tcPr>
          <w:p w:rsidRPr="0070427C" w:rsidR="00690AED" w:rsidP="00541692" w:rsidRDefault="00690AED" w14:paraId="6B945405" w14:textId="77777777">
            <w:pPr>
              <w:jc w:val="center"/>
              <w:rPr>
                <w:b/>
                <w:bCs/>
                <w:color w:val="000000"/>
              </w:rPr>
            </w:pPr>
            <w:r w:rsidRPr="0070427C">
              <w:rPr>
                <w:b/>
                <w:bCs/>
                <w:color w:val="000000"/>
              </w:rPr>
              <w:t>Sample size</w:t>
            </w:r>
          </w:p>
        </w:tc>
        <w:tc>
          <w:tcPr>
            <w:tcW w:w="1199" w:type="dxa"/>
            <w:tcBorders>
              <w:top w:val="single" w:color="000000" w:sz="8" w:space="0"/>
              <w:left w:val="nil"/>
              <w:bottom w:val="single" w:color="000000" w:sz="8" w:space="0"/>
              <w:right w:val="single" w:color="000000" w:sz="8" w:space="0"/>
            </w:tcBorders>
            <w:shd w:val="clear" w:color="auto" w:fill="auto"/>
            <w:vAlign w:val="center"/>
            <w:hideMark/>
          </w:tcPr>
          <w:p w:rsidRPr="0070427C" w:rsidR="00690AED" w:rsidP="00541692" w:rsidRDefault="00690AED" w14:paraId="34683BDA" w14:textId="77777777">
            <w:pPr>
              <w:jc w:val="center"/>
              <w:rPr>
                <w:b/>
                <w:bCs/>
                <w:color w:val="000000"/>
              </w:rPr>
            </w:pPr>
            <w:r w:rsidRPr="0070427C">
              <w:rPr>
                <w:b/>
                <w:bCs/>
                <w:color w:val="000000"/>
              </w:rPr>
              <w:t>Expected response rate</w:t>
            </w:r>
          </w:p>
        </w:tc>
        <w:tc>
          <w:tcPr>
            <w:tcW w:w="1417" w:type="dxa"/>
            <w:tcBorders>
              <w:top w:val="single" w:color="000000" w:sz="8" w:space="0"/>
              <w:left w:val="nil"/>
              <w:bottom w:val="single" w:color="000000" w:sz="8" w:space="0"/>
              <w:right w:val="single" w:color="000000" w:sz="8" w:space="0"/>
            </w:tcBorders>
            <w:shd w:val="clear" w:color="auto" w:fill="auto"/>
            <w:vAlign w:val="center"/>
            <w:hideMark/>
          </w:tcPr>
          <w:p w:rsidRPr="0070427C" w:rsidR="00690AED" w:rsidP="00541692" w:rsidRDefault="00690AED" w14:paraId="1DCCF3BD" w14:textId="77777777">
            <w:pPr>
              <w:jc w:val="center"/>
              <w:rPr>
                <w:b/>
                <w:bCs/>
                <w:color w:val="000000"/>
              </w:rPr>
            </w:pPr>
            <w:r w:rsidRPr="0070427C">
              <w:rPr>
                <w:b/>
                <w:bCs/>
                <w:color w:val="000000"/>
              </w:rPr>
              <w:t>Number of respondents</w:t>
            </w:r>
          </w:p>
        </w:tc>
        <w:tc>
          <w:tcPr>
            <w:tcW w:w="1359" w:type="dxa"/>
            <w:tcBorders>
              <w:top w:val="single" w:color="000000" w:sz="8" w:space="0"/>
              <w:left w:val="nil"/>
              <w:bottom w:val="single" w:color="000000" w:sz="8" w:space="0"/>
              <w:right w:val="single" w:color="000000" w:sz="8" w:space="0"/>
            </w:tcBorders>
            <w:shd w:val="clear" w:color="auto" w:fill="auto"/>
            <w:vAlign w:val="center"/>
            <w:hideMark/>
          </w:tcPr>
          <w:p w:rsidRPr="0070427C" w:rsidR="00690AED" w:rsidP="00541692" w:rsidRDefault="00690AED" w14:paraId="5AAF4F75" w14:textId="77777777">
            <w:pPr>
              <w:jc w:val="center"/>
              <w:rPr>
                <w:b/>
                <w:bCs/>
                <w:color w:val="000000"/>
              </w:rPr>
            </w:pPr>
            <w:r w:rsidRPr="0070427C">
              <w:rPr>
                <w:b/>
                <w:bCs/>
                <w:color w:val="000000"/>
              </w:rPr>
              <w:t>Number of responses</w:t>
            </w:r>
          </w:p>
        </w:tc>
        <w:tc>
          <w:tcPr>
            <w:tcW w:w="1393" w:type="dxa"/>
            <w:tcBorders>
              <w:top w:val="single" w:color="000000" w:sz="8" w:space="0"/>
              <w:left w:val="nil"/>
              <w:bottom w:val="single" w:color="000000" w:sz="8" w:space="0"/>
              <w:right w:val="single" w:color="000000" w:sz="8" w:space="0"/>
            </w:tcBorders>
            <w:shd w:val="clear" w:color="auto" w:fill="auto"/>
            <w:vAlign w:val="center"/>
            <w:hideMark/>
          </w:tcPr>
          <w:p w:rsidRPr="0070427C" w:rsidR="00690AED" w:rsidP="00541692" w:rsidRDefault="00690AED" w14:paraId="12882561" w14:textId="77777777">
            <w:pPr>
              <w:jc w:val="center"/>
              <w:rPr>
                <w:b/>
                <w:bCs/>
                <w:color w:val="000000"/>
              </w:rPr>
            </w:pPr>
            <w:r w:rsidRPr="0070427C">
              <w:rPr>
                <w:b/>
                <w:bCs/>
                <w:color w:val="000000"/>
              </w:rPr>
              <w:t>Burden per respondent (minutes)</w:t>
            </w:r>
          </w:p>
        </w:tc>
        <w:tc>
          <w:tcPr>
            <w:tcW w:w="1028" w:type="dxa"/>
            <w:tcBorders>
              <w:top w:val="single" w:color="000000" w:sz="8" w:space="0"/>
              <w:left w:val="nil"/>
              <w:bottom w:val="single" w:color="000000" w:sz="8" w:space="0"/>
              <w:right w:val="single" w:color="000000" w:sz="8" w:space="0"/>
            </w:tcBorders>
            <w:shd w:val="clear" w:color="auto" w:fill="auto"/>
            <w:vAlign w:val="center"/>
            <w:hideMark/>
          </w:tcPr>
          <w:p w:rsidRPr="0070427C" w:rsidR="00690AED" w:rsidP="00541692" w:rsidRDefault="00690AED" w14:paraId="0C0EC6F8" w14:textId="77777777">
            <w:pPr>
              <w:jc w:val="center"/>
              <w:rPr>
                <w:b/>
                <w:bCs/>
                <w:color w:val="000000"/>
              </w:rPr>
            </w:pPr>
            <w:r w:rsidRPr="0070427C">
              <w:rPr>
                <w:b/>
                <w:bCs/>
                <w:color w:val="000000"/>
              </w:rPr>
              <w:t>Total burden hours</w:t>
            </w:r>
          </w:p>
        </w:tc>
      </w:tr>
      <w:tr w:rsidRPr="0070427C" w:rsidR="00E52D00" w:rsidTr="00541692" w14:paraId="48E22B1E" w14:textId="77777777">
        <w:trPr>
          <w:trHeight w:val="376"/>
        </w:trPr>
        <w:tc>
          <w:tcPr>
            <w:tcW w:w="2073" w:type="dxa"/>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70427C" w:rsidR="00E52D00" w:rsidP="00541692" w:rsidRDefault="00E52D00" w14:paraId="7CD571B5" w14:textId="77777777">
            <w:pPr>
              <w:rPr>
                <w:strike/>
                <w:color w:val="FF0000"/>
              </w:rPr>
            </w:pPr>
            <w:r w:rsidRPr="0070427C">
              <w:rPr>
                <w:strike/>
                <w:color w:val="FF0000"/>
              </w:rPr>
              <w:t>Households</w:t>
            </w:r>
          </w:p>
          <w:p w:rsidRPr="0070427C" w:rsidR="00690AED" w:rsidP="00541692" w:rsidRDefault="00690AED" w14:paraId="23782C82" w14:textId="77777777">
            <w:pPr>
              <w:rPr>
                <w:color w:val="FF0000"/>
              </w:rPr>
            </w:pPr>
            <w:r w:rsidRPr="0070427C">
              <w:rPr>
                <w:color w:val="FF0000"/>
              </w:rPr>
              <w:t>Volunteers</w:t>
            </w:r>
          </w:p>
        </w:tc>
        <w:tc>
          <w:tcPr>
            <w:tcW w:w="1218" w:type="dxa"/>
            <w:tcBorders>
              <w:top w:val="single" w:color="000000" w:sz="8" w:space="0"/>
              <w:left w:val="nil"/>
              <w:bottom w:val="single" w:color="000000" w:sz="8" w:space="0"/>
              <w:right w:val="single" w:color="000000" w:sz="8" w:space="0"/>
            </w:tcBorders>
            <w:shd w:val="clear" w:color="auto" w:fill="auto"/>
            <w:vAlign w:val="center"/>
            <w:hideMark/>
          </w:tcPr>
          <w:p w:rsidRPr="0070427C" w:rsidR="00690AED" w:rsidP="00541692" w:rsidRDefault="00690AED" w14:paraId="54504587" w14:textId="77777777">
            <w:pPr>
              <w:jc w:val="center"/>
              <w:rPr>
                <w:color w:val="FF0000"/>
              </w:rPr>
            </w:pPr>
            <w:r w:rsidRPr="0070427C">
              <w:rPr>
                <w:color w:val="FF0000"/>
              </w:rPr>
              <w:t> </w:t>
            </w:r>
          </w:p>
        </w:tc>
        <w:tc>
          <w:tcPr>
            <w:tcW w:w="1199" w:type="dxa"/>
            <w:tcBorders>
              <w:top w:val="single" w:color="000000" w:sz="8" w:space="0"/>
              <w:left w:val="nil"/>
              <w:bottom w:val="single" w:color="000000" w:sz="8" w:space="0"/>
              <w:right w:val="single" w:color="000000" w:sz="8" w:space="0"/>
            </w:tcBorders>
            <w:shd w:val="clear" w:color="auto" w:fill="auto"/>
            <w:vAlign w:val="center"/>
            <w:hideMark/>
          </w:tcPr>
          <w:p w:rsidRPr="0070427C" w:rsidR="00690AED" w:rsidP="00541692" w:rsidRDefault="00690AED" w14:paraId="26881EC4" w14:textId="77777777">
            <w:pPr>
              <w:jc w:val="center"/>
              <w:rPr>
                <w:color w:val="FF0000"/>
              </w:rPr>
            </w:pPr>
            <w:r w:rsidRPr="0070427C">
              <w:rPr>
                <w:color w:val="FF0000"/>
              </w:rPr>
              <w:t> </w:t>
            </w:r>
          </w:p>
        </w:tc>
        <w:tc>
          <w:tcPr>
            <w:tcW w:w="1417" w:type="dxa"/>
            <w:tcBorders>
              <w:top w:val="single" w:color="000000" w:sz="8" w:space="0"/>
              <w:left w:val="nil"/>
              <w:bottom w:val="single" w:color="000000" w:sz="8" w:space="0"/>
              <w:right w:val="single" w:color="000000" w:sz="8" w:space="0"/>
            </w:tcBorders>
            <w:shd w:val="clear" w:color="auto" w:fill="auto"/>
            <w:vAlign w:val="center"/>
            <w:hideMark/>
          </w:tcPr>
          <w:p w:rsidRPr="0070427C" w:rsidR="00690AED" w:rsidP="00541692" w:rsidRDefault="00690AED" w14:paraId="4F110D0F" w14:textId="77777777">
            <w:pPr>
              <w:jc w:val="center"/>
              <w:rPr>
                <w:color w:val="FF0000"/>
              </w:rPr>
            </w:pPr>
            <w:r w:rsidRPr="0070427C">
              <w:rPr>
                <w:color w:val="FF0000"/>
              </w:rPr>
              <w:t> </w:t>
            </w:r>
          </w:p>
        </w:tc>
        <w:tc>
          <w:tcPr>
            <w:tcW w:w="1359" w:type="dxa"/>
            <w:tcBorders>
              <w:top w:val="single" w:color="000000" w:sz="8" w:space="0"/>
              <w:left w:val="nil"/>
              <w:bottom w:val="single" w:color="000000" w:sz="8" w:space="0"/>
              <w:right w:val="single" w:color="000000" w:sz="8" w:space="0"/>
            </w:tcBorders>
            <w:shd w:val="clear" w:color="auto" w:fill="auto"/>
            <w:vAlign w:val="center"/>
            <w:hideMark/>
          </w:tcPr>
          <w:p w:rsidRPr="0070427C" w:rsidR="00690AED" w:rsidP="00541692" w:rsidRDefault="00690AED" w14:paraId="5C2ED9B4" w14:textId="77777777">
            <w:pPr>
              <w:jc w:val="center"/>
              <w:rPr>
                <w:color w:val="FF0000"/>
              </w:rPr>
            </w:pPr>
            <w:r w:rsidRPr="0070427C">
              <w:rPr>
                <w:color w:val="FF0000"/>
              </w:rPr>
              <w:t> </w:t>
            </w:r>
          </w:p>
        </w:tc>
        <w:tc>
          <w:tcPr>
            <w:tcW w:w="1393" w:type="dxa"/>
            <w:tcBorders>
              <w:top w:val="single" w:color="000000" w:sz="8" w:space="0"/>
              <w:left w:val="nil"/>
              <w:bottom w:val="single" w:color="000000" w:sz="8" w:space="0"/>
              <w:right w:val="single" w:color="000000" w:sz="8" w:space="0"/>
            </w:tcBorders>
            <w:shd w:val="clear" w:color="auto" w:fill="auto"/>
            <w:vAlign w:val="center"/>
            <w:hideMark/>
          </w:tcPr>
          <w:p w:rsidRPr="0070427C" w:rsidR="00690AED" w:rsidP="00541692" w:rsidRDefault="00690AED" w14:paraId="0C62C5C1" w14:textId="77777777">
            <w:pPr>
              <w:jc w:val="center"/>
              <w:rPr>
                <w:color w:val="FF0000"/>
              </w:rPr>
            </w:pPr>
            <w:r w:rsidRPr="0070427C">
              <w:rPr>
                <w:color w:val="FF0000"/>
              </w:rPr>
              <w:t> </w:t>
            </w:r>
          </w:p>
        </w:tc>
        <w:tc>
          <w:tcPr>
            <w:tcW w:w="1028" w:type="dxa"/>
            <w:tcBorders>
              <w:top w:val="single" w:color="000000" w:sz="8" w:space="0"/>
              <w:left w:val="nil"/>
              <w:bottom w:val="single" w:color="000000" w:sz="8" w:space="0"/>
              <w:right w:val="single" w:color="000000" w:sz="8" w:space="0"/>
            </w:tcBorders>
            <w:shd w:val="clear" w:color="auto" w:fill="auto"/>
            <w:vAlign w:val="center"/>
            <w:hideMark/>
          </w:tcPr>
          <w:p w:rsidRPr="0070427C" w:rsidR="00690AED" w:rsidP="00541692" w:rsidRDefault="00690AED" w14:paraId="44493E27" w14:textId="77777777">
            <w:pPr>
              <w:jc w:val="center"/>
              <w:rPr>
                <w:color w:val="FF0000"/>
              </w:rPr>
            </w:pPr>
            <w:r w:rsidRPr="0070427C">
              <w:rPr>
                <w:color w:val="FF0000"/>
              </w:rPr>
              <w:t> </w:t>
            </w:r>
          </w:p>
        </w:tc>
      </w:tr>
      <w:tr w:rsidRPr="0070427C" w:rsidR="00E52D00" w:rsidTr="00541692" w14:paraId="6511EABB" w14:textId="77777777">
        <w:trPr>
          <w:trHeight w:val="601"/>
        </w:trPr>
        <w:tc>
          <w:tcPr>
            <w:tcW w:w="2073" w:type="dxa"/>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70427C" w:rsidR="00690AED" w:rsidP="00541692" w:rsidRDefault="00E52D00" w14:paraId="279D0CA5" w14:textId="77777777">
            <w:pPr>
              <w:rPr>
                <w:color w:val="FF0000"/>
              </w:rPr>
            </w:pPr>
            <w:r w:rsidRPr="0070427C">
              <w:rPr>
                <w:strike/>
                <w:color w:val="FF0000"/>
              </w:rPr>
              <w:t>PIAAC</w:t>
            </w:r>
            <w:r w:rsidRPr="0070427C">
              <w:rPr>
                <w:color w:val="FF0000"/>
              </w:rPr>
              <w:t xml:space="preserve"> </w:t>
            </w:r>
            <w:r w:rsidRPr="0070427C" w:rsidR="00690AED">
              <w:rPr>
                <w:color w:val="FF0000"/>
              </w:rPr>
              <w:t xml:space="preserve">Volunteer Recruitment </w:t>
            </w:r>
            <w:r w:rsidRPr="0070427C" w:rsidR="00690AED">
              <w:t>Screener</w:t>
            </w:r>
          </w:p>
        </w:tc>
        <w:tc>
          <w:tcPr>
            <w:tcW w:w="1218"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E52D00" w:rsidRDefault="00E52D00" w14:paraId="4EFADB40" w14:textId="77777777">
            <w:pPr>
              <w:jc w:val="center"/>
              <w:rPr>
                <w:strike/>
                <w:color w:val="FF0000"/>
              </w:rPr>
            </w:pPr>
            <w:r w:rsidRPr="0070427C">
              <w:rPr>
                <w:strike/>
                <w:color w:val="FF0000"/>
              </w:rPr>
              <w:t>3,433</w:t>
            </w:r>
          </w:p>
          <w:p w:rsidRPr="0070427C" w:rsidR="00690AED" w:rsidP="00E52D00" w:rsidRDefault="00E52D00" w14:paraId="08BA00C4" w14:textId="77777777">
            <w:pPr>
              <w:jc w:val="center"/>
              <w:rPr>
                <w:color w:val="FF0000"/>
              </w:rPr>
            </w:pPr>
            <w:r w:rsidRPr="0070427C">
              <w:rPr>
                <w:color w:val="FF0000"/>
              </w:rPr>
              <w:t>500</w:t>
            </w:r>
          </w:p>
        </w:tc>
        <w:tc>
          <w:tcPr>
            <w:tcW w:w="1199"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E52D00" w:rsidRDefault="00E52D00" w14:paraId="62BC22DD" w14:textId="77777777">
            <w:pPr>
              <w:jc w:val="center"/>
              <w:rPr>
                <w:strike/>
                <w:color w:val="FF0000"/>
              </w:rPr>
            </w:pPr>
            <w:r w:rsidRPr="0070427C">
              <w:rPr>
                <w:strike/>
                <w:color w:val="FF0000"/>
              </w:rPr>
              <w:t>71.4%</w:t>
            </w:r>
          </w:p>
          <w:p w:rsidRPr="0070427C" w:rsidR="00690AED" w:rsidP="00E52D00" w:rsidRDefault="00690AED" w14:paraId="669252F2" w14:textId="77777777">
            <w:pPr>
              <w:jc w:val="center"/>
              <w:rPr>
                <w:color w:val="FF0000"/>
              </w:rPr>
            </w:pPr>
            <w:r w:rsidRPr="0070427C">
              <w:rPr>
                <w:color w:val="FF0000"/>
              </w:rPr>
              <w:t>100%</w:t>
            </w:r>
          </w:p>
        </w:tc>
        <w:tc>
          <w:tcPr>
            <w:tcW w:w="1417"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E52D00" w:rsidRDefault="00E52D00" w14:paraId="168505E1" w14:textId="77777777">
            <w:pPr>
              <w:jc w:val="center"/>
              <w:rPr>
                <w:strike/>
                <w:color w:val="FF0000"/>
              </w:rPr>
            </w:pPr>
            <w:r w:rsidRPr="0070427C">
              <w:rPr>
                <w:strike/>
                <w:color w:val="FF0000"/>
              </w:rPr>
              <w:t>2,451</w:t>
            </w:r>
          </w:p>
          <w:p w:rsidRPr="0070427C" w:rsidR="00690AED" w:rsidP="00E52D00" w:rsidRDefault="00E52D00" w14:paraId="083F34CD" w14:textId="77777777">
            <w:pPr>
              <w:jc w:val="center"/>
              <w:rPr>
                <w:color w:val="FF0000"/>
              </w:rPr>
            </w:pPr>
            <w:r w:rsidRPr="0070427C">
              <w:rPr>
                <w:color w:val="FF0000"/>
              </w:rPr>
              <w:t>500</w:t>
            </w:r>
          </w:p>
        </w:tc>
        <w:tc>
          <w:tcPr>
            <w:tcW w:w="1359"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541692" w:rsidRDefault="00E52D00" w14:paraId="7BD94874" w14:textId="77777777">
            <w:pPr>
              <w:jc w:val="center"/>
              <w:rPr>
                <w:strike/>
                <w:color w:val="FF0000"/>
              </w:rPr>
            </w:pPr>
            <w:r w:rsidRPr="0070427C">
              <w:rPr>
                <w:strike/>
                <w:color w:val="FF0000"/>
              </w:rPr>
              <w:t>2,451</w:t>
            </w:r>
          </w:p>
          <w:p w:rsidRPr="0070427C" w:rsidR="00690AED" w:rsidP="00541692" w:rsidRDefault="00690AED" w14:paraId="59BD7BE1" w14:textId="77777777">
            <w:pPr>
              <w:jc w:val="center"/>
              <w:rPr>
                <w:color w:val="FF0000"/>
              </w:rPr>
            </w:pPr>
            <w:r w:rsidRPr="0070427C">
              <w:rPr>
                <w:color w:val="FF0000"/>
              </w:rPr>
              <w:t>500</w:t>
            </w:r>
          </w:p>
        </w:tc>
        <w:tc>
          <w:tcPr>
            <w:tcW w:w="1393" w:type="dxa"/>
            <w:tcBorders>
              <w:top w:val="single" w:color="000000" w:sz="8" w:space="0"/>
              <w:left w:val="nil"/>
              <w:bottom w:val="single" w:color="000000" w:sz="8" w:space="0"/>
              <w:right w:val="single" w:color="000000" w:sz="8" w:space="0"/>
            </w:tcBorders>
            <w:shd w:val="clear" w:color="auto" w:fill="auto"/>
            <w:vAlign w:val="center"/>
            <w:hideMark/>
          </w:tcPr>
          <w:p w:rsidRPr="0070427C" w:rsidR="00690AED" w:rsidP="00541692" w:rsidRDefault="00690AED" w14:paraId="55465CC0" w14:textId="77777777">
            <w:pPr>
              <w:jc w:val="center"/>
            </w:pPr>
            <w:r w:rsidRPr="0070427C">
              <w:t>5</w:t>
            </w:r>
          </w:p>
        </w:tc>
        <w:tc>
          <w:tcPr>
            <w:tcW w:w="1028"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541692" w:rsidRDefault="00E52D00" w14:paraId="07610ED1" w14:textId="77777777">
            <w:pPr>
              <w:jc w:val="center"/>
              <w:rPr>
                <w:strike/>
                <w:color w:val="FF0000"/>
              </w:rPr>
            </w:pPr>
            <w:r w:rsidRPr="0070427C">
              <w:rPr>
                <w:strike/>
                <w:color w:val="FF0000"/>
              </w:rPr>
              <w:t>205</w:t>
            </w:r>
          </w:p>
          <w:p w:rsidRPr="0070427C" w:rsidR="00690AED" w:rsidP="00541692" w:rsidRDefault="00690AED" w14:paraId="31820BF8" w14:textId="77777777">
            <w:pPr>
              <w:jc w:val="center"/>
              <w:rPr>
                <w:color w:val="FF0000"/>
              </w:rPr>
            </w:pPr>
            <w:r w:rsidRPr="0070427C">
              <w:rPr>
                <w:color w:val="FF0000"/>
              </w:rPr>
              <w:t>42</w:t>
            </w:r>
          </w:p>
        </w:tc>
      </w:tr>
      <w:tr w:rsidRPr="0070427C" w:rsidR="00690AED" w:rsidTr="00E52D00" w14:paraId="7A85D9D8" w14:textId="77777777">
        <w:trPr>
          <w:trHeight w:val="547"/>
        </w:trPr>
        <w:tc>
          <w:tcPr>
            <w:tcW w:w="2073" w:type="dxa"/>
            <w:tcBorders>
              <w:top w:val="single" w:color="000000" w:sz="8" w:space="0"/>
              <w:left w:val="single" w:color="000000" w:sz="8" w:space="0"/>
              <w:bottom w:val="single" w:color="000000" w:sz="8" w:space="0"/>
              <w:right w:val="single" w:color="000000" w:sz="8" w:space="0"/>
            </w:tcBorders>
            <w:shd w:val="clear" w:color="auto" w:fill="auto"/>
            <w:vAlign w:val="center"/>
          </w:tcPr>
          <w:p w:rsidRPr="0070427C" w:rsidR="00690AED" w:rsidP="00541692" w:rsidRDefault="00690AED" w14:paraId="7B66E644" w14:textId="77777777">
            <w:pPr>
              <w:rPr>
                <w:color w:val="FF0000"/>
              </w:rPr>
            </w:pPr>
            <w:r w:rsidRPr="0070427C">
              <w:rPr>
                <w:color w:val="FF0000"/>
              </w:rPr>
              <w:t>PIAAC Screener</w:t>
            </w:r>
          </w:p>
        </w:tc>
        <w:tc>
          <w:tcPr>
            <w:tcW w:w="1218" w:type="dxa"/>
            <w:tcBorders>
              <w:top w:val="single" w:color="000000" w:sz="8" w:space="0"/>
              <w:left w:val="nil"/>
              <w:bottom w:val="single" w:color="000000" w:sz="8" w:space="0"/>
              <w:right w:val="single" w:color="000000" w:sz="8" w:space="0"/>
            </w:tcBorders>
            <w:shd w:val="clear" w:color="auto" w:fill="auto"/>
            <w:vAlign w:val="center"/>
          </w:tcPr>
          <w:p w:rsidRPr="0070427C" w:rsidR="00690AED" w:rsidP="00541692" w:rsidRDefault="00690AED" w14:paraId="359CB2D8" w14:textId="77777777">
            <w:pPr>
              <w:jc w:val="center"/>
              <w:rPr>
                <w:color w:val="FF0000"/>
              </w:rPr>
            </w:pPr>
            <w:r w:rsidRPr="0070427C">
              <w:rPr>
                <w:color w:val="FF0000"/>
              </w:rPr>
              <w:t>250</w:t>
            </w:r>
          </w:p>
        </w:tc>
        <w:tc>
          <w:tcPr>
            <w:tcW w:w="1199" w:type="dxa"/>
            <w:tcBorders>
              <w:top w:val="single" w:color="000000" w:sz="8" w:space="0"/>
              <w:left w:val="nil"/>
              <w:bottom w:val="single" w:color="000000" w:sz="8" w:space="0"/>
              <w:right w:val="single" w:color="000000" w:sz="8" w:space="0"/>
            </w:tcBorders>
            <w:shd w:val="clear" w:color="auto" w:fill="auto"/>
            <w:vAlign w:val="center"/>
          </w:tcPr>
          <w:p w:rsidRPr="0070427C" w:rsidR="00690AED" w:rsidP="00541692" w:rsidRDefault="00690AED" w14:paraId="5785D0EC" w14:textId="77777777">
            <w:pPr>
              <w:jc w:val="center"/>
              <w:rPr>
                <w:color w:val="FF0000"/>
              </w:rPr>
            </w:pPr>
            <w:r w:rsidRPr="0070427C">
              <w:rPr>
                <w:color w:val="FF0000"/>
              </w:rPr>
              <w:t>100%</w:t>
            </w:r>
          </w:p>
        </w:tc>
        <w:tc>
          <w:tcPr>
            <w:tcW w:w="1417" w:type="dxa"/>
            <w:tcBorders>
              <w:top w:val="single" w:color="000000" w:sz="8" w:space="0"/>
              <w:left w:val="nil"/>
              <w:bottom w:val="single" w:color="000000" w:sz="8" w:space="0"/>
              <w:right w:val="single" w:color="000000" w:sz="8" w:space="0"/>
            </w:tcBorders>
            <w:shd w:val="clear" w:color="auto" w:fill="auto"/>
            <w:vAlign w:val="center"/>
          </w:tcPr>
          <w:p w:rsidRPr="0070427C" w:rsidR="00690AED" w:rsidP="00541692" w:rsidRDefault="00690AED" w14:paraId="43ACE060" w14:textId="77777777">
            <w:pPr>
              <w:jc w:val="center"/>
              <w:rPr>
                <w:color w:val="FF0000"/>
              </w:rPr>
            </w:pPr>
            <w:r w:rsidRPr="0070427C">
              <w:rPr>
                <w:color w:val="FF0000"/>
              </w:rPr>
              <w:t>250</w:t>
            </w:r>
          </w:p>
        </w:tc>
        <w:tc>
          <w:tcPr>
            <w:tcW w:w="1359" w:type="dxa"/>
            <w:tcBorders>
              <w:top w:val="single" w:color="000000" w:sz="8" w:space="0"/>
              <w:left w:val="nil"/>
              <w:bottom w:val="single" w:color="000000" w:sz="8" w:space="0"/>
              <w:right w:val="single" w:color="000000" w:sz="8" w:space="0"/>
            </w:tcBorders>
            <w:shd w:val="clear" w:color="auto" w:fill="auto"/>
            <w:vAlign w:val="center"/>
          </w:tcPr>
          <w:p w:rsidRPr="0070427C" w:rsidR="00690AED" w:rsidP="00E52D00" w:rsidRDefault="00E52D00" w14:paraId="5A289944" w14:textId="77777777">
            <w:pPr>
              <w:jc w:val="center"/>
              <w:rPr>
                <w:color w:val="FF0000"/>
              </w:rPr>
            </w:pPr>
            <w:r w:rsidRPr="0070427C">
              <w:rPr>
                <w:strike/>
                <w:color w:val="FF0000"/>
              </w:rPr>
              <w:t>250</w:t>
            </w:r>
          </w:p>
        </w:tc>
        <w:tc>
          <w:tcPr>
            <w:tcW w:w="1393" w:type="dxa"/>
            <w:tcBorders>
              <w:top w:val="single" w:color="000000" w:sz="8" w:space="0"/>
              <w:left w:val="nil"/>
              <w:bottom w:val="single" w:color="000000" w:sz="8" w:space="0"/>
              <w:right w:val="single" w:color="000000" w:sz="8" w:space="0"/>
            </w:tcBorders>
            <w:shd w:val="clear" w:color="auto" w:fill="auto"/>
            <w:vAlign w:val="center"/>
          </w:tcPr>
          <w:p w:rsidRPr="0070427C" w:rsidR="00690AED" w:rsidP="00541692" w:rsidRDefault="00690AED" w14:paraId="628CB019" w14:textId="77777777">
            <w:pPr>
              <w:jc w:val="center"/>
              <w:rPr>
                <w:color w:val="FF0000"/>
              </w:rPr>
            </w:pPr>
            <w:r w:rsidRPr="0070427C">
              <w:rPr>
                <w:color w:val="FF0000"/>
              </w:rPr>
              <w:t>5</w:t>
            </w:r>
          </w:p>
        </w:tc>
        <w:tc>
          <w:tcPr>
            <w:tcW w:w="1028" w:type="dxa"/>
            <w:tcBorders>
              <w:top w:val="single" w:color="000000" w:sz="8" w:space="0"/>
              <w:left w:val="nil"/>
              <w:bottom w:val="single" w:color="000000" w:sz="8" w:space="0"/>
              <w:right w:val="single" w:color="000000" w:sz="8" w:space="0"/>
            </w:tcBorders>
            <w:shd w:val="clear" w:color="auto" w:fill="auto"/>
            <w:vAlign w:val="center"/>
          </w:tcPr>
          <w:p w:rsidRPr="0070427C" w:rsidR="00690AED" w:rsidP="00541692" w:rsidRDefault="00690AED" w14:paraId="4A4CAC96" w14:textId="77777777">
            <w:pPr>
              <w:jc w:val="center"/>
              <w:rPr>
                <w:color w:val="FF0000"/>
              </w:rPr>
            </w:pPr>
            <w:r w:rsidRPr="0070427C">
              <w:rPr>
                <w:color w:val="FF0000"/>
              </w:rPr>
              <w:t>21</w:t>
            </w:r>
          </w:p>
        </w:tc>
      </w:tr>
      <w:tr w:rsidRPr="0070427C" w:rsidR="00690AED" w:rsidTr="00541692" w14:paraId="72E216EF" w14:textId="77777777">
        <w:trPr>
          <w:trHeight w:val="799"/>
        </w:trPr>
        <w:tc>
          <w:tcPr>
            <w:tcW w:w="2073" w:type="dxa"/>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70427C" w:rsidR="00690AED" w:rsidP="00541692" w:rsidRDefault="00690AED" w14:paraId="7C032E1F" w14:textId="77777777">
            <w:pPr>
              <w:rPr>
                <w:color w:val="000000"/>
              </w:rPr>
            </w:pPr>
            <w:r w:rsidRPr="0070427C">
              <w:rPr>
                <w:color w:val="000000"/>
              </w:rPr>
              <w:t>Background Questionnaire</w:t>
            </w:r>
          </w:p>
        </w:tc>
        <w:tc>
          <w:tcPr>
            <w:tcW w:w="1218"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541692" w:rsidRDefault="00E52D00" w14:paraId="210D68CE" w14:textId="77777777">
            <w:pPr>
              <w:jc w:val="center"/>
              <w:rPr>
                <w:strike/>
                <w:color w:val="FF0000"/>
              </w:rPr>
            </w:pPr>
            <w:r w:rsidRPr="0070427C">
              <w:rPr>
                <w:strike/>
                <w:color w:val="FF0000"/>
              </w:rPr>
              <w:t>2,213</w:t>
            </w:r>
          </w:p>
          <w:p w:rsidRPr="0070427C" w:rsidR="00690AED" w:rsidP="00541692" w:rsidRDefault="00690AED" w14:paraId="1A7A5EF6" w14:textId="77777777">
            <w:pPr>
              <w:jc w:val="center"/>
              <w:rPr>
                <w:color w:val="FF0000"/>
              </w:rPr>
            </w:pPr>
            <w:r w:rsidRPr="0070427C">
              <w:rPr>
                <w:color w:val="FF0000"/>
              </w:rPr>
              <w:t>250</w:t>
            </w:r>
          </w:p>
        </w:tc>
        <w:tc>
          <w:tcPr>
            <w:tcW w:w="1199"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E52D00" w:rsidRDefault="00E52D00" w14:paraId="6399B8B7" w14:textId="77777777">
            <w:pPr>
              <w:jc w:val="center"/>
              <w:rPr>
                <w:strike/>
                <w:color w:val="FF0000"/>
              </w:rPr>
            </w:pPr>
            <w:r w:rsidRPr="0070427C">
              <w:rPr>
                <w:strike/>
                <w:color w:val="FF0000"/>
              </w:rPr>
              <w:t>71.4%</w:t>
            </w:r>
          </w:p>
          <w:p w:rsidRPr="0070427C" w:rsidR="00690AED" w:rsidP="00E52D00" w:rsidRDefault="00E52D00" w14:paraId="1B502AE9" w14:textId="77777777">
            <w:pPr>
              <w:jc w:val="center"/>
              <w:rPr>
                <w:color w:val="FF0000"/>
              </w:rPr>
            </w:pPr>
            <w:r w:rsidRPr="0070427C">
              <w:rPr>
                <w:color w:val="FF0000"/>
              </w:rPr>
              <w:t>100%</w:t>
            </w:r>
          </w:p>
        </w:tc>
        <w:tc>
          <w:tcPr>
            <w:tcW w:w="1417"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E52D00" w:rsidRDefault="00E52D00" w14:paraId="6D8AEBBB" w14:textId="77777777">
            <w:pPr>
              <w:jc w:val="center"/>
              <w:rPr>
                <w:strike/>
                <w:color w:val="FF0000"/>
              </w:rPr>
            </w:pPr>
            <w:r w:rsidRPr="0070427C">
              <w:rPr>
                <w:strike/>
                <w:color w:val="FF0000"/>
              </w:rPr>
              <w:t>1,580*</w:t>
            </w:r>
          </w:p>
          <w:p w:rsidRPr="0070427C" w:rsidR="00690AED" w:rsidP="00E52D00" w:rsidRDefault="00E52D00" w14:paraId="058262E4" w14:textId="77777777">
            <w:pPr>
              <w:jc w:val="center"/>
              <w:rPr>
                <w:color w:val="FF0000"/>
              </w:rPr>
            </w:pPr>
            <w:r w:rsidRPr="0070427C">
              <w:rPr>
                <w:color w:val="FF0000"/>
              </w:rPr>
              <w:t>250</w:t>
            </w:r>
          </w:p>
        </w:tc>
        <w:tc>
          <w:tcPr>
            <w:tcW w:w="1359"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E52D00" w:rsidRDefault="00E52D00" w14:paraId="76188557" w14:textId="77777777">
            <w:pPr>
              <w:jc w:val="center"/>
              <w:rPr>
                <w:strike/>
                <w:color w:val="FF0000"/>
              </w:rPr>
            </w:pPr>
            <w:r w:rsidRPr="0070427C">
              <w:rPr>
                <w:strike/>
                <w:color w:val="FF0000"/>
              </w:rPr>
              <w:t>1,580</w:t>
            </w:r>
          </w:p>
          <w:p w:rsidRPr="0070427C" w:rsidR="00690AED" w:rsidP="00E52D00" w:rsidRDefault="00E52D00" w14:paraId="25C04382" w14:textId="77777777">
            <w:pPr>
              <w:jc w:val="center"/>
              <w:rPr>
                <w:color w:val="FF0000"/>
              </w:rPr>
            </w:pPr>
            <w:r w:rsidRPr="0070427C">
              <w:rPr>
                <w:color w:val="FF0000"/>
              </w:rPr>
              <w:t>250</w:t>
            </w:r>
          </w:p>
        </w:tc>
        <w:tc>
          <w:tcPr>
            <w:tcW w:w="1393" w:type="dxa"/>
            <w:tcBorders>
              <w:top w:val="single" w:color="000000" w:sz="8" w:space="0"/>
              <w:left w:val="nil"/>
              <w:bottom w:val="single" w:color="000000" w:sz="8" w:space="0"/>
              <w:right w:val="single" w:color="000000" w:sz="8" w:space="0"/>
            </w:tcBorders>
            <w:shd w:val="clear" w:color="auto" w:fill="auto"/>
            <w:vAlign w:val="center"/>
            <w:hideMark/>
          </w:tcPr>
          <w:p w:rsidRPr="0070427C" w:rsidR="00690AED" w:rsidP="00541692" w:rsidRDefault="00690AED" w14:paraId="5BEA9117" w14:textId="77777777">
            <w:pPr>
              <w:jc w:val="center"/>
              <w:rPr>
                <w:color w:val="FF0000"/>
              </w:rPr>
            </w:pPr>
            <w:r w:rsidRPr="0070427C">
              <w:rPr>
                <w:color w:val="FF0000"/>
              </w:rPr>
              <w:t>45</w:t>
            </w:r>
          </w:p>
        </w:tc>
        <w:tc>
          <w:tcPr>
            <w:tcW w:w="1028"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E52D00" w:rsidRDefault="00E52D00" w14:paraId="50CD0867" w14:textId="77777777">
            <w:pPr>
              <w:jc w:val="center"/>
              <w:rPr>
                <w:strike/>
                <w:color w:val="FF0000"/>
              </w:rPr>
            </w:pPr>
            <w:r w:rsidRPr="0070427C">
              <w:rPr>
                <w:strike/>
                <w:color w:val="FF0000"/>
              </w:rPr>
              <w:t>790</w:t>
            </w:r>
          </w:p>
          <w:p w:rsidRPr="0070427C" w:rsidR="00690AED" w:rsidP="00E52D00" w:rsidRDefault="00E52D00" w14:paraId="64C84A95" w14:textId="77777777">
            <w:pPr>
              <w:jc w:val="center"/>
              <w:rPr>
                <w:color w:val="FF0000"/>
              </w:rPr>
            </w:pPr>
            <w:r w:rsidRPr="0070427C">
              <w:rPr>
                <w:color w:val="FF0000"/>
              </w:rPr>
              <w:t>188</w:t>
            </w:r>
          </w:p>
        </w:tc>
      </w:tr>
      <w:tr w:rsidRPr="0070427C" w:rsidR="00E52D00" w:rsidTr="00541692" w14:paraId="7DD41555" w14:textId="77777777">
        <w:trPr>
          <w:trHeight w:val="691"/>
        </w:trPr>
        <w:tc>
          <w:tcPr>
            <w:tcW w:w="2073" w:type="dxa"/>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70427C" w:rsidR="00E52D00" w:rsidP="00E52D00" w:rsidRDefault="00E52D00" w14:paraId="6696C2BC" w14:textId="77777777">
            <w:pPr>
              <w:rPr>
                <w:color w:val="000000"/>
              </w:rPr>
            </w:pPr>
            <w:r w:rsidRPr="0070427C">
              <w:rPr>
                <w:color w:val="000000"/>
              </w:rPr>
              <w:t>Locator and Orientation Module</w:t>
            </w:r>
          </w:p>
        </w:tc>
        <w:tc>
          <w:tcPr>
            <w:tcW w:w="1218"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E52D00" w:rsidRDefault="00E52D00" w14:paraId="40B9A680" w14:textId="77777777">
            <w:pPr>
              <w:jc w:val="center"/>
              <w:rPr>
                <w:strike/>
                <w:color w:val="FF0000"/>
              </w:rPr>
            </w:pPr>
            <w:r w:rsidRPr="0070427C">
              <w:rPr>
                <w:strike/>
                <w:color w:val="FF0000"/>
              </w:rPr>
              <w:t>1,580</w:t>
            </w:r>
          </w:p>
          <w:p w:rsidRPr="0070427C" w:rsidR="00E52D00" w:rsidP="00E52D00" w:rsidRDefault="00E52D00" w14:paraId="2D354E2C" w14:textId="77777777">
            <w:pPr>
              <w:jc w:val="center"/>
              <w:rPr>
                <w:color w:val="FF0000"/>
              </w:rPr>
            </w:pPr>
            <w:r w:rsidRPr="0070427C">
              <w:rPr>
                <w:color w:val="FF0000"/>
              </w:rPr>
              <w:t>250</w:t>
            </w:r>
          </w:p>
        </w:tc>
        <w:tc>
          <w:tcPr>
            <w:tcW w:w="1199"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E52D00" w:rsidRDefault="00E52D00" w14:paraId="7104C75F" w14:textId="77777777">
            <w:pPr>
              <w:jc w:val="center"/>
            </w:pPr>
            <w:r w:rsidRPr="0070427C">
              <w:t>100.00%</w:t>
            </w:r>
          </w:p>
        </w:tc>
        <w:tc>
          <w:tcPr>
            <w:tcW w:w="1417"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E52D00" w:rsidRDefault="00E52D00" w14:paraId="5F617C19" w14:textId="77777777">
            <w:pPr>
              <w:jc w:val="center"/>
              <w:rPr>
                <w:strike/>
                <w:color w:val="FF0000"/>
              </w:rPr>
            </w:pPr>
            <w:r w:rsidRPr="0070427C">
              <w:rPr>
                <w:strike/>
                <w:color w:val="FF0000"/>
              </w:rPr>
              <w:t>1,580*</w:t>
            </w:r>
          </w:p>
          <w:p w:rsidRPr="0070427C" w:rsidR="00E52D00" w:rsidP="00E52D00" w:rsidRDefault="00E52D00" w14:paraId="39E2BD33" w14:textId="77777777">
            <w:pPr>
              <w:jc w:val="center"/>
              <w:rPr>
                <w:color w:val="FF0000"/>
              </w:rPr>
            </w:pPr>
            <w:r w:rsidRPr="0070427C">
              <w:rPr>
                <w:color w:val="FF0000"/>
              </w:rPr>
              <w:t>250</w:t>
            </w:r>
          </w:p>
        </w:tc>
        <w:tc>
          <w:tcPr>
            <w:tcW w:w="1359"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E52D00" w:rsidRDefault="00E52D00" w14:paraId="4A811981" w14:textId="77777777">
            <w:pPr>
              <w:jc w:val="center"/>
              <w:rPr>
                <w:strike/>
                <w:color w:val="FF0000"/>
              </w:rPr>
            </w:pPr>
            <w:r w:rsidRPr="0070427C">
              <w:rPr>
                <w:strike/>
                <w:color w:val="FF0000"/>
              </w:rPr>
              <w:t>1,580</w:t>
            </w:r>
          </w:p>
          <w:p w:rsidRPr="0070427C" w:rsidR="00E52D00" w:rsidP="00E52D00" w:rsidRDefault="00E52D00" w14:paraId="55BC4ABF" w14:textId="77777777">
            <w:pPr>
              <w:jc w:val="center"/>
              <w:rPr>
                <w:color w:val="FF0000"/>
              </w:rPr>
            </w:pPr>
            <w:r w:rsidRPr="0070427C">
              <w:rPr>
                <w:color w:val="FF0000"/>
              </w:rPr>
              <w:t>250</w:t>
            </w:r>
          </w:p>
        </w:tc>
        <w:tc>
          <w:tcPr>
            <w:tcW w:w="1393"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E52D00" w:rsidRDefault="00E52D00" w14:paraId="338C55E8" w14:textId="77777777">
            <w:pPr>
              <w:jc w:val="center"/>
              <w:rPr>
                <w:color w:val="000000"/>
              </w:rPr>
            </w:pPr>
            <w:r w:rsidRPr="0070427C">
              <w:rPr>
                <w:color w:val="000000"/>
              </w:rPr>
              <w:t>10</w:t>
            </w:r>
          </w:p>
        </w:tc>
        <w:tc>
          <w:tcPr>
            <w:tcW w:w="1028"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E52D00" w:rsidRDefault="00E52D00" w14:paraId="29C87AED" w14:textId="77777777">
            <w:pPr>
              <w:jc w:val="center"/>
              <w:rPr>
                <w:strike/>
                <w:color w:val="FF0000"/>
              </w:rPr>
            </w:pPr>
            <w:r w:rsidRPr="0070427C">
              <w:rPr>
                <w:strike/>
                <w:color w:val="FF0000"/>
              </w:rPr>
              <w:t>263</w:t>
            </w:r>
          </w:p>
          <w:p w:rsidRPr="0070427C" w:rsidR="00E52D00" w:rsidP="00E52D00" w:rsidRDefault="00E52D00" w14:paraId="0B20A12E" w14:textId="77777777">
            <w:pPr>
              <w:jc w:val="center"/>
              <w:rPr>
                <w:color w:val="FF0000"/>
              </w:rPr>
            </w:pPr>
            <w:r w:rsidRPr="0070427C">
              <w:rPr>
                <w:color w:val="FF0000"/>
              </w:rPr>
              <w:t>42</w:t>
            </w:r>
          </w:p>
        </w:tc>
      </w:tr>
      <w:tr w:rsidRPr="0070427C" w:rsidR="00E52D00" w:rsidTr="00541692" w14:paraId="171E5FC2" w14:textId="77777777">
        <w:trPr>
          <w:trHeight w:val="619"/>
        </w:trPr>
        <w:tc>
          <w:tcPr>
            <w:tcW w:w="2073" w:type="dxa"/>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70427C" w:rsidR="00E52D00" w:rsidP="00E52D00" w:rsidRDefault="00E52D00" w14:paraId="4C4363DA" w14:textId="77777777">
            <w:pPr>
              <w:rPr>
                <w:color w:val="000000"/>
              </w:rPr>
            </w:pPr>
            <w:r w:rsidRPr="0070427C">
              <w:rPr>
                <w:color w:val="000000"/>
              </w:rPr>
              <w:t>Assessment**</w:t>
            </w:r>
          </w:p>
        </w:tc>
        <w:tc>
          <w:tcPr>
            <w:tcW w:w="1218"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E52D00" w:rsidRDefault="00E52D00" w14:paraId="505A7358" w14:textId="77777777">
            <w:pPr>
              <w:jc w:val="center"/>
              <w:rPr>
                <w:strike/>
                <w:color w:val="FF0000"/>
              </w:rPr>
            </w:pPr>
            <w:r w:rsidRPr="0070427C">
              <w:rPr>
                <w:strike/>
                <w:color w:val="FF0000"/>
              </w:rPr>
              <w:t>1,580</w:t>
            </w:r>
          </w:p>
          <w:p w:rsidRPr="0070427C" w:rsidR="00E52D00" w:rsidP="00E52D00" w:rsidRDefault="00E52D00" w14:paraId="3907C5F2" w14:textId="77777777">
            <w:pPr>
              <w:jc w:val="center"/>
              <w:rPr>
                <w:color w:val="FF0000"/>
              </w:rPr>
            </w:pPr>
            <w:r w:rsidRPr="0070427C">
              <w:rPr>
                <w:color w:val="FF0000"/>
              </w:rPr>
              <w:t>250</w:t>
            </w:r>
          </w:p>
        </w:tc>
        <w:tc>
          <w:tcPr>
            <w:tcW w:w="1199"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E52D00" w:rsidRDefault="00E52D00" w14:paraId="7A41999F" w14:textId="77777777">
            <w:pPr>
              <w:jc w:val="center"/>
            </w:pPr>
            <w:r w:rsidRPr="0070427C">
              <w:t>98.10%</w:t>
            </w:r>
          </w:p>
        </w:tc>
        <w:tc>
          <w:tcPr>
            <w:tcW w:w="1417"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E52D00" w:rsidRDefault="00E52D00" w14:paraId="41AF5841" w14:textId="77777777">
            <w:pPr>
              <w:jc w:val="center"/>
              <w:rPr>
                <w:strike/>
                <w:color w:val="FF0000"/>
              </w:rPr>
            </w:pPr>
            <w:r w:rsidRPr="0070427C">
              <w:rPr>
                <w:strike/>
                <w:color w:val="FF0000"/>
              </w:rPr>
              <w:t>1,550*</w:t>
            </w:r>
          </w:p>
          <w:p w:rsidRPr="0070427C" w:rsidR="00E52D00" w:rsidP="00E52D00" w:rsidRDefault="00E52D00" w14:paraId="7ED99A3D" w14:textId="77777777">
            <w:pPr>
              <w:jc w:val="center"/>
              <w:rPr>
                <w:color w:val="FF0000"/>
              </w:rPr>
            </w:pPr>
            <w:r w:rsidRPr="0070427C">
              <w:rPr>
                <w:color w:val="FF0000"/>
              </w:rPr>
              <w:t>245</w:t>
            </w:r>
          </w:p>
        </w:tc>
        <w:tc>
          <w:tcPr>
            <w:tcW w:w="1359"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E52D00" w:rsidRDefault="00E52D00" w14:paraId="7CFF1430" w14:textId="77777777">
            <w:pPr>
              <w:jc w:val="center"/>
              <w:rPr>
                <w:strike/>
                <w:color w:val="FF0000"/>
              </w:rPr>
            </w:pPr>
            <w:r w:rsidRPr="0070427C">
              <w:rPr>
                <w:strike/>
                <w:color w:val="FF0000"/>
              </w:rPr>
              <w:t>1,550</w:t>
            </w:r>
          </w:p>
          <w:p w:rsidRPr="0070427C" w:rsidR="00E52D00" w:rsidP="00E52D00" w:rsidRDefault="00E52D00" w14:paraId="60B6635B" w14:textId="77777777">
            <w:pPr>
              <w:jc w:val="center"/>
              <w:rPr>
                <w:color w:val="FF0000"/>
              </w:rPr>
            </w:pPr>
            <w:r w:rsidRPr="0070427C">
              <w:rPr>
                <w:color w:val="FF0000"/>
              </w:rPr>
              <w:t>245</w:t>
            </w:r>
          </w:p>
        </w:tc>
        <w:tc>
          <w:tcPr>
            <w:tcW w:w="1393"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E52D00" w:rsidRDefault="00E52D00" w14:paraId="500E85E1" w14:textId="77777777">
            <w:pPr>
              <w:jc w:val="center"/>
              <w:rPr>
                <w:color w:val="000000"/>
              </w:rPr>
            </w:pPr>
            <w:r w:rsidRPr="0070427C">
              <w:rPr>
                <w:color w:val="000000"/>
              </w:rPr>
              <w:t>60</w:t>
            </w:r>
          </w:p>
        </w:tc>
        <w:tc>
          <w:tcPr>
            <w:tcW w:w="1028"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E52D00" w:rsidRDefault="00E52D00" w14:paraId="5832F130" w14:textId="77777777">
            <w:pPr>
              <w:jc w:val="center"/>
              <w:rPr>
                <w:strike/>
                <w:color w:val="FF0000"/>
              </w:rPr>
            </w:pPr>
            <w:r w:rsidRPr="0070427C">
              <w:rPr>
                <w:strike/>
                <w:color w:val="FF0000"/>
              </w:rPr>
              <w:t>1,550</w:t>
            </w:r>
          </w:p>
          <w:p w:rsidRPr="0070427C" w:rsidR="00E52D00" w:rsidP="00E52D00" w:rsidRDefault="00E52D00" w14:paraId="355BA038" w14:textId="77777777">
            <w:pPr>
              <w:jc w:val="center"/>
              <w:rPr>
                <w:color w:val="FF0000"/>
              </w:rPr>
            </w:pPr>
            <w:r w:rsidRPr="0070427C">
              <w:rPr>
                <w:color w:val="FF0000"/>
              </w:rPr>
              <w:t>245</w:t>
            </w:r>
          </w:p>
        </w:tc>
      </w:tr>
      <w:tr w:rsidRPr="0070427C" w:rsidR="00690AED" w:rsidTr="00541692" w14:paraId="1143FF71" w14:textId="77777777">
        <w:trPr>
          <w:trHeight w:val="691"/>
        </w:trPr>
        <w:tc>
          <w:tcPr>
            <w:tcW w:w="2073" w:type="dxa"/>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70427C" w:rsidR="00690AED" w:rsidP="00541692" w:rsidRDefault="00690AED" w14:paraId="034C6009" w14:textId="77777777">
            <w:pPr>
              <w:rPr>
                <w:color w:val="000000"/>
              </w:rPr>
            </w:pPr>
            <w:r w:rsidRPr="0070427C">
              <w:rPr>
                <w:color w:val="000000"/>
              </w:rPr>
              <w:t>Total</w:t>
            </w:r>
          </w:p>
        </w:tc>
        <w:tc>
          <w:tcPr>
            <w:tcW w:w="1218" w:type="dxa"/>
            <w:tcBorders>
              <w:top w:val="single" w:color="000000" w:sz="8" w:space="0"/>
              <w:left w:val="nil"/>
              <w:bottom w:val="single" w:color="000000" w:sz="8" w:space="0"/>
              <w:right w:val="single" w:color="000000" w:sz="8" w:space="0"/>
            </w:tcBorders>
            <w:shd w:val="clear" w:color="auto" w:fill="auto"/>
            <w:vAlign w:val="center"/>
            <w:hideMark/>
          </w:tcPr>
          <w:p w:rsidRPr="0070427C" w:rsidR="00690AED" w:rsidP="00541692" w:rsidRDefault="00690AED" w14:paraId="240CE27B" w14:textId="77777777">
            <w:pPr>
              <w:jc w:val="center"/>
              <w:rPr>
                <w:color w:val="000000"/>
              </w:rPr>
            </w:pPr>
            <w:r w:rsidRPr="0070427C">
              <w:rPr>
                <w:color w:val="000000"/>
              </w:rPr>
              <w:t>NA</w:t>
            </w:r>
          </w:p>
        </w:tc>
        <w:tc>
          <w:tcPr>
            <w:tcW w:w="1199" w:type="dxa"/>
            <w:tcBorders>
              <w:top w:val="single" w:color="000000" w:sz="8" w:space="0"/>
              <w:left w:val="nil"/>
              <w:bottom w:val="single" w:color="000000" w:sz="8" w:space="0"/>
              <w:right w:val="single" w:color="000000" w:sz="8" w:space="0"/>
            </w:tcBorders>
            <w:shd w:val="clear" w:color="auto" w:fill="auto"/>
            <w:vAlign w:val="center"/>
            <w:hideMark/>
          </w:tcPr>
          <w:p w:rsidRPr="0070427C" w:rsidR="00690AED" w:rsidP="00541692" w:rsidRDefault="00690AED" w14:paraId="1D595EC8" w14:textId="77777777">
            <w:pPr>
              <w:jc w:val="center"/>
              <w:rPr>
                <w:color w:val="000000"/>
              </w:rPr>
            </w:pPr>
            <w:r w:rsidRPr="0070427C">
              <w:rPr>
                <w:color w:val="000000"/>
              </w:rPr>
              <w:t>NA</w:t>
            </w:r>
          </w:p>
        </w:tc>
        <w:tc>
          <w:tcPr>
            <w:tcW w:w="1417"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E52D00" w:rsidRDefault="00E52D00" w14:paraId="0895DDD3" w14:textId="77777777">
            <w:pPr>
              <w:jc w:val="center"/>
              <w:rPr>
                <w:strike/>
                <w:color w:val="FF0000"/>
              </w:rPr>
            </w:pPr>
            <w:r w:rsidRPr="0070427C">
              <w:rPr>
                <w:strike/>
                <w:color w:val="FF0000"/>
              </w:rPr>
              <w:t>2,451</w:t>
            </w:r>
          </w:p>
          <w:p w:rsidRPr="0070427C" w:rsidR="00690AED" w:rsidP="00541692" w:rsidRDefault="00690AED" w14:paraId="786B9FD8" w14:textId="77777777">
            <w:pPr>
              <w:jc w:val="center"/>
              <w:rPr>
                <w:color w:val="FF0000"/>
              </w:rPr>
            </w:pPr>
            <w:r w:rsidRPr="0070427C">
              <w:rPr>
                <w:color w:val="FF0000"/>
              </w:rPr>
              <w:t>500*</w:t>
            </w:r>
          </w:p>
        </w:tc>
        <w:tc>
          <w:tcPr>
            <w:tcW w:w="1359"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E52D00" w:rsidRDefault="00E52D00" w14:paraId="53E02A83" w14:textId="77777777">
            <w:pPr>
              <w:jc w:val="center"/>
              <w:rPr>
                <w:strike/>
                <w:color w:val="FF0000"/>
              </w:rPr>
            </w:pPr>
            <w:r w:rsidRPr="0070427C">
              <w:rPr>
                <w:strike/>
                <w:color w:val="FF0000"/>
              </w:rPr>
              <w:t>5,611</w:t>
            </w:r>
          </w:p>
          <w:p w:rsidRPr="0070427C" w:rsidR="00690AED" w:rsidP="00E52D00" w:rsidRDefault="00E52D00" w14:paraId="59CBC5F8" w14:textId="77777777">
            <w:pPr>
              <w:jc w:val="center"/>
              <w:rPr>
                <w:color w:val="FF0000"/>
              </w:rPr>
            </w:pPr>
            <w:r w:rsidRPr="0070427C">
              <w:rPr>
                <w:color w:val="FF0000"/>
              </w:rPr>
              <w:t>1250</w:t>
            </w:r>
          </w:p>
        </w:tc>
        <w:tc>
          <w:tcPr>
            <w:tcW w:w="1393" w:type="dxa"/>
            <w:tcBorders>
              <w:top w:val="single" w:color="000000" w:sz="8" w:space="0"/>
              <w:left w:val="nil"/>
              <w:bottom w:val="single" w:color="000000" w:sz="8" w:space="0"/>
              <w:right w:val="single" w:color="000000" w:sz="8" w:space="0"/>
            </w:tcBorders>
            <w:shd w:val="clear" w:color="auto" w:fill="auto"/>
            <w:vAlign w:val="center"/>
            <w:hideMark/>
          </w:tcPr>
          <w:p w:rsidRPr="0070427C" w:rsidR="00690AED" w:rsidP="00541692" w:rsidRDefault="00690AED" w14:paraId="7976A7E3" w14:textId="77777777">
            <w:pPr>
              <w:jc w:val="center"/>
              <w:rPr>
                <w:color w:val="000000"/>
              </w:rPr>
            </w:pPr>
            <w:r w:rsidRPr="0070427C">
              <w:rPr>
                <w:color w:val="000000"/>
              </w:rPr>
              <w:t>NA</w:t>
            </w:r>
          </w:p>
        </w:tc>
        <w:tc>
          <w:tcPr>
            <w:tcW w:w="1028" w:type="dxa"/>
            <w:tcBorders>
              <w:top w:val="single" w:color="000000" w:sz="8" w:space="0"/>
              <w:left w:val="nil"/>
              <w:bottom w:val="single" w:color="000000" w:sz="8" w:space="0"/>
              <w:right w:val="single" w:color="000000" w:sz="8" w:space="0"/>
            </w:tcBorders>
            <w:shd w:val="clear" w:color="auto" w:fill="auto"/>
            <w:vAlign w:val="center"/>
            <w:hideMark/>
          </w:tcPr>
          <w:p w:rsidRPr="0070427C" w:rsidR="00E52D00" w:rsidP="00E52D00" w:rsidRDefault="00E52D00" w14:paraId="5813A5C7" w14:textId="77777777">
            <w:pPr>
              <w:jc w:val="center"/>
              <w:rPr>
                <w:strike/>
                <w:color w:val="FF0000"/>
              </w:rPr>
            </w:pPr>
            <w:r w:rsidRPr="0070427C">
              <w:rPr>
                <w:strike/>
                <w:color w:val="FF0000"/>
              </w:rPr>
              <w:t>1,258</w:t>
            </w:r>
          </w:p>
          <w:p w:rsidRPr="0070427C" w:rsidR="00690AED" w:rsidP="00E52D00" w:rsidRDefault="00E52D00" w14:paraId="04CB95F1" w14:textId="77777777">
            <w:pPr>
              <w:jc w:val="center"/>
              <w:rPr>
                <w:color w:val="FF0000"/>
              </w:rPr>
            </w:pPr>
            <w:r w:rsidRPr="0070427C">
              <w:rPr>
                <w:color w:val="FF0000"/>
              </w:rPr>
              <w:t>293</w:t>
            </w:r>
          </w:p>
        </w:tc>
      </w:tr>
    </w:tbl>
    <w:p w:rsidRPr="001126D8" w:rsidR="00690AED" w:rsidP="00690AED" w:rsidRDefault="00690AED" w14:paraId="78AB5110" w14:textId="77777777">
      <w:pPr>
        <w:widowControl w:val="0"/>
        <w:tabs>
          <w:tab w:val="left" w:pos="270"/>
        </w:tabs>
        <w:rPr>
          <w:sz w:val="20"/>
        </w:rPr>
      </w:pPr>
      <w:r w:rsidRPr="001126D8">
        <w:rPr>
          <w:sz w:val="20"/>
        </w:rPr>
        <w:t>*</w:t>
      </w:r>
      <w:r w:rsidRPr="001126D8">
        <w:rPr>
          <w:sz w:val="20"/>
        </w:rPr>
        <w:tab/>
        <w:t>Duplicate counts of individuals are not included in the total number of respondents estimate.</w:t>
      </w:r>
    </w:p>
    <w:p w:rsidR="00690AED" w:rsidP="00690AED" w:rsidRDefault="00690AED" w14:paraId="5F51C9CC" w14:textId="77777777">
      <w:pPr>
        <w:widowControl w:val="0"/>
        <w:tabs>
          <w:tab w:val="left" w:pos="270"/>
        </w:tabs>
        <w:rPr>
          <w:sz w:val="20"/>
        </w:rPr>
      </w:pPr>
      <w:r w:rsidRPr="001126D8">
        <w:rPr>
          <w:sz w:val="20"/>
        </w:rPr>
        <w:t>**</w:t>
      </w:r>
      <w:r w:rsidRPr="001126D8">
        <w:rPr>
          <w:sz w:val="20"/>
        </w:rPr>
        <w:tab/>
        <w:t>Assessments are exempt from Paperwork Reduction Act reporting and thus are not included in the burden total.</w:t>
      </w:r>
    </w:p>
    <w:p w:rsidR="0029074E" w:rsidP="00DA6A45" w:rsidRDefault="0029074E" w14:paraId="5FB78208" w14:textId="77777777"/>
    <w:p w:rsidRPr="0070427C" w:rsidR="00E52D00" w:rsidP="00E52D00" w:rsidRDefault="00E52D00" w14:paraId="1E044E77" w14:textId="77777777">
      <w:pPr>
        <w:pStyle w:val="BodyText"/>
        <w:widowControl w:val="0"/>
        <w:spacing w:after="120" w:line="23" w:lineRule="atLeast"/>
        <w:rPr>
          <w:rFonts w:ascii="Garamond" w:hAnsi="Garamond"/>
          <w:b w:val="0"/>
          <w:bCs w:val="0"/>
          <w:iCs/>
        </w:rPr>
      </w:pPr>
      <w:r w:rsidRPr="0070427C">
        <w:rPr>
          <w:rFonts w:ascii="Garamond" w:hAnsi="Garamond"/>
          <w:b w:val="0"/>
          <w:bCs w:val="0"/>
          <w:iCs/>
        </w:rPr>
        <w:t>Assuming an average hourly cost of $</w:t>
      </w:r>
      <w:r w:rsidRPr="0070427C">
        <w:rPr>
          <w:rFonts w:ascii="Garamond" w:hAnsi="Garamond"/>
          <w:b w:val="0"/>
          <w:bCs w:val="0"/>
          <w:iCs/>
          <w:strike/>
          <w:color w:val="FF0000"/>
        </w:rPr>
        <w:t>24.98</w:t>
      </w:r>
      <w:r w:rsidRPr="0070427C">
        <w:rPr>
          <w:rFonts w:ascii="Garamond" w:hAnsi="Garamond"/>
          <w:b w:val="0"/>
          <w:bCs w:val="0"/>
          <w:iCs/>
          <w:color w:val="FF0000"/>
        </w:rPr>
        <w:t xml:space="preserve"> 25.72</w:t>
      </w:r>
      <w:r w:rsidRPr="0070427C">
        <w:rPr>
          <w:rStyle w:val="FootnoteReference"/>
          <w:rFonts w:ascii="Garamond" w:hAnsi="Garamond"/>
          <w:b w:val="0"/>
          <w:bCs w:val="0"/>
          <w:iCs/>
        </w:rPr>
        <w:footnoteReference w:id="2"/>
      </w:r>
      <w:r w:rsidRPr="0070427C">
        <w:rPr>
          <w:rFonts w:ascii="Garamond" w:hAnsi="Garamond"/>
          <w:b w:val="0"/>
          <w:bCs w:val="0"/>
          <w:iCs/>
        </w:rPr>
        <w:t xml:space="preserve"> for respondents, the</w:t>
      </w:r>
      <w:r w:rsidR="0070427C">
        <w:rPr>
          <w:rFonts w:ascii="Garamond" w:hAnsi="Garamond"/>
          <w:b w:val="0"/>
          <w:bCs w:val="0"/>
          <w:iCs/>
        </w:rPr>
        <w:t xml:space="preserve"> </w:t>
      </w:r>
      <w:r w:rsidRPr="0070427C">
        <w:rPr>
          <w:rFonts w:ascii="Garamond" w:hAnsi="Garamond"/>
          <w:b w:val="0"/>
          <w:bCs w:val="0"/>
          <w:iCs/>
          <w:strike/>
          <w:color w:val="FF0000"/>
        </w:rPr>
        <w:t>1,258</w:t>
      </w:r>
      <w:r w:rsidRPr="0070427C" w:rsidR="0070427C">
        <w:rPr>
          <w:rFonts w:ascii="Garamond" w:hAnsi="Garamond"/>
          <w:b w:val="0"/>
          <w:bCs w:val="0"/>
          <w:iCs/>
          <w:strike/>
          <w:color w:val="FF0000"/>
        </w:rPr>
        <w:t xml:space="preserve"> </w:t>
      </w:r>
      <w:r w:rsidRPr="0070427C">
        <w:rPr>
          <w:rFonts w:ascii="Garamond" w:hAnsi="Garamond"/>
          <w:b w:val="0"/>
          <w:bCs w:val="0"/>
          <w:iCs/>
          <w:color w:val="FF0000"/>
        </w:rPr>
        <w:t>293</w:t>
      </w:r>
      <w:r w:rsidRPr="0070427C">
        <w:rPr>
          <w:rFonts w:ascii="Garamond" w:hAnsi="Garamond"/>
          <w:b w:val="0"/>
          <w:bCs w:val="0"/>
          <w:iCs/>
        </w:rPr>
        <w:t xml:space="preserve"> total burden hours are estimated to translate to $</w:t>
      </w:r>
      <w:r w:rsidRPr="0070427C">
        <w:rPr>
          <w:rFonts w:ascii="Garamond" w:hAnsi="Garamond"/>
          <w:b w:val="0"/>
          <w:bCs w:val="0"/>
          <w:iCs/>
          <w:strike/>
          <w:color w:val="FF0000"/>
        </w:rPr>
        <w:t>31,425</w:t>
      </w:r>
      <w:r w:rsidRPr="0070427C" w:rsidR="0070427C">
        <w:rPr>
          <w:rFonts w:ascii="Garamond" w:hAnsi="Garamond"/>
          <w:b w:val="0"/>
          <w:bCs w:val="0"/>
          <w:iCs/>
          <w:color w:val="FF0000"/>
        </w:rPr>
        <w:t xml:space="preserve"> </w:t>
      </w:r>
      <w:r w:rsidRPr="0070427C">
        <w:rPr>
          <w:rFonts w:ascii="Garamond" w:hAnsi="Garamond"/>
          <w:b w:val="0"/>
          <w:bCs w:val="0"/>
          <w:iCs/>
          <w:color w:val="FF0000"/>
        </w:rPr>
        <w:t>7,536</w:t>
      </w:r>
      <w:r w:rsidRPr="0070427C">
        <w:rPr>
          <w:rFonts w:ascii="Garamond" w:hAnsi="Garamond"/>
          <w:b w:val="0"/>
          <w:bCs w:val="0"/>
          <w:iCs/>
        </w:rPr>
        <w:t xml:space="preserve"> total burden time cost to PIAAC Cycle II Field Test respondents.</w:t>
      </w:r>
    </w:p>
    <w:p w:rsidR="00E52D00" w:rsidP="00E52D00" w:rsidRDefault="00E52D00" w14:paraId="2642F1BD" w14:textId="77777777">
      <w:pPr>
        <w:pStyle w:val="Heading1"/>
        <w:widowControl w:val="0"/>
        <w:spacing w:after="120" w:line="23" w:lineRule="atLeast"/>
      </w:pPr>
      <w:bookmarkStart w:name="_Toc115416917" w:id="0"/>
      <w:bookmarkStart w:name="_Toc115417062" w:id="1"/>
      <w:bookmarkStart w:name="_Toc115417229" w:id="2"/>
      <w:bookmarkStart w:name="_Toc14260046" w:id="3"/>
      <w:bookmarkStart w:name="_Toc65743289" w:id="4"/>
      <w:bookmarkStart w:name="_Toc16761985" w:id="5"/>
      <w:r>
        <w:t>A.14</w:t>
      </w:r>
      <w:r>
        <w:tab/>
        <w:t>Annualized Cost to Federal Government</w:t>
      </w:r>
      <w:bookmarkEnd w:id="0"/>
      <w:bookmarkEnd w:id="1"/>
      <w:bookmarkEnd w:id="2"/>
      <w:bookmarkEnd w:id="3"/>
      <w:bookmarkEnd w:id="4"/>
      <w:bookmarkEnd w:id="5"/>
    </w:p>
    <w:p w:rsidR="00E52D00" w:rsidP="00E52D00" w:rsidRDefault="00E52D00" w14:paraId="7140B693" w14:textId="77777777">
      <w:pPr>
        <w:widowControl w:val="0"/>
        <w:spacing w:after="120"/>
      </w:pPr>
      <w:r w:rsidRPr="0064261F">
        <w:t>The</w:t>
      </w:r>
      <w:r>
        <w:t xml:space="preserve"> </w:t>
      </w:r>
      <w:r w:rsidRPr="0064261F">
        <w:t>total</w:t>
      </w:r>
      <w:r>
        <w:t xml:space="preserve"> </w:t>
      </w:r>
      <w:r w:rsidRPr="0064261F">
        <w:t>cost</w:t>
      </w:r>
      <w:r>
        <w:t xml:space="preserve"> </w:t>
      </w:r>
      <w:r w:rsidRPr="0064261F">
        <w:t>to</w:t>
      </w:r>
      <w:r>
        <w:t xml:space="preserve"> </w:t>
      </w:r>
      <w:r w:rsidRPr="0064261F">
        <w:t>the</w:t>
      </w:r>
      <w:r>
        <w:t xml:space="preserve"> </w:t>
      </w:r>
      <w:r w:rsidRPr="0064261F">
        <w:t>federal</w:t>
      </w:r>
      <w:r>
        <w:t xml:space="preserve"> </w:t>
      </w:r>
      <w:r w:rsidRPr="0064261F">
        <w:t>government,</w:t>
      </w:r>
      <w:r>
        <w:t xml:space="preserve"> </w:t>
      </w:r>
      <w:r w:rsidRPr="0064261F">
        <w:t>including</w:t>
      </w:r>
      <w:r>
        <w:t xml:space="preserve"> </w:t>
      </w:r>
      <w:r w:rsidRPr="0064261F">
        <w:t>all</w:t>
      </w:r>
      <w:r>
        <w:t xml:space="preserve"> </w:t>
      </w:r>
      <w:r w:rsidRPr="0064261F">
        <w:t>direct</w:t>
      </w:r>
      <w:r>
        <w:t xml:space="preserve"> </w:t>
      </w:r>
      <w:r w:rsidRPr="0064261F">
        <w:t>and</w:t>
      </w:r>
      <w:r>
        <w:t xml:space="preserve"> </w:t>
      </w:r>
      <w:r w:rsidRPr="0064261F">
        <w:t>indirect</w:t>
      </w:r>
      <w:r>
        <w:t xml:space="preserve"> </w:t>
      </w:r>
      <w:r w:rsidRPr="0064261F">
        <w:t>costs</w:t>
      </w:r>
      <w:r>
        <w:t xml:space="preserve"> </w:t>
      </w:r>
      <w:r w:rsidRPr="0064261F">
        <w:t>of</w:t>
      </w:r>
      <w:r>
        <w:t xml:space="preserve"> </w:t>
      </w:r>
      <w:r w:rsidRPr="0064261F">
        <w:t>preparing</w:t>
      </w:r>
      <w:r>
        <w:t xml:space="preserve"> </w:t>
      </w:r>
      <w:r w:rsidRPr="0064261F">
        <w:t>for</w:t>
      </w:r>
      <w:r>
        <w:t xml:space="preserve"> </w:t>
      </w:r>
      <w:r w:rsidRPr="0064261F">
        <w:t>and</w:t>
      </w:r>
      <w:r>
        <w:t xml:space="preserve"> </w:t>
      </w:r>
      <w:r w:rsidRPr="0064261F">
        <w:t>conducting</w:t>
      </w:r>
      <w:r>
        <w:t xml:space="preserve"> </w:t>
      </w:r>
      <w:r w:rsidRPr="0064261F">
        <w:t>the</w:t>
      </w:r>
      <w:r>
        <w:t xml:space="preserve"> PIAAC Cycle II Field Test is </w:t>
      </w:r>
      <w:r w:rsidRPr="00E52D00">
        <w:t>estimated to be $</w:t>
      </w:r>
      <w:r w:rsidRPr="00E52D00">
        <w:rPr>
          <w:rFonts w:cs="Calibri"/>
          <w:strike/>
          <w:color w:val="FF0000"/>
        </w:rPr>
        <w:t>3,113,759</w:t>
      </w:r>
      <w:r w:rsidRPr="00E52D00">
        <w:rPr>
          <w:rFonts w:cs="Calibri"/>
          <w:color w:val="FF0000"/>
        </w:rPr>
        <w:t xml:space="preserve"> </w:t>
      </w:r>
      <w:r w:rsidRPr="00E52D00">
        <w:rPr>
          <w:color w:val="FF0000"/>
        </w:rPr>
        <w:t>2,648,499</w:t>
      </w:r>
      <w:r w:rsidRPr="003C0820">
        <w:rPr>
          <w:rFonts w:ascii="Calibri" w:hAnsi="Calibri"/>
          <w:sz w:val="22"/>
        </w:rPr>
        <w:t xml:space="preserve"> </w:t>
      </w:r>
      <w:r>
        <w:t>(see Table 3 for cost detail)</w:t>
      </w:r>
      <w:r w:rsidRPr="0064261F">
        <w:t>.</w:t>
      </w:r>
    </w:p>
    <w:p w:rsidR="00E52D00" w:rsidP="0070427C" w:rsidRDefault="00E52D00" w14:paraId="5AA91A37" w14:textId="77777777">
      <w:pPr>
        <w:pStyle w:val="L1-FlLSp12"/>
        <w:keepNext/>
        <w:widowControl w:val="0"/>
        <w:spacing w:line="240" w:lineRule="auto"/>
        <w:rPr>
          <w:b/>
          <w:szCs w:val="24"/>
        </w:rPr>
      </w:pPr>
      <w:bookmarkStart w:name="_Toc452625696" w:id="6"/>
      <w:bookmarkStart w:name="_Toc452625868" w:id="7"/>
      <w:bookmarkStart w:name="_Toc452965049" w:id="8"/>
      <w:bookmarkStart w:name="_Toc452967974" w:id="9"/>
      <w:bookmarkStart w:name="_Toc14260047" w:id="10"/>
      <w:r w:rsidRPr="00C15C3C">
        <w:rPr>
          <w:b/>
          <w:szCs w:val="24"/>
        </w:rPr>
        <w:lastRenderedPageBreak/>
        <w:t>Table</w:t>
      </w:r>
      <w:r>
        <w:rPr>
          <w:b/>
          <w:szCs w:val="24"/>
        </w:rPr>
        <w:t xml:space="preserve"> 3</w:t>
      </w:r>
      <w:r w:rsidRPr="00C15C3C">
        <w:rPr>
          <w:b/>
          <w:szCs w:val="24"/>
        </w:rPr>
        <w:t>.</w:t>
      </w:r>
      <w:r>
        <w:rPr>
          <w:b/>
          <w:szCs w:val="24"/>
        </w:rPr>
        <w:t xml:space="preserve"> </w:t>
      </w:r>
      <w:r w:rsidRPr="00C15C3C">
        <w:rPr>
          <w:b/>
          <w:szCs w:val="24"/>
        </w:rPr>
        <w:t>Cost</w:t>
      </w:r>
      <w:r>
        <w:rPr>
          <w:b/>
          <w:szCs w:val="24"/>
        </w:rPr>
        <w:t xml:space="preserve"> </w:t>
      </w:r>
      <w:r w:rsidRPr="00C15C3C">
        <w:rPr>
          <w:b/>
          <w:szCs w:val="24"/>
        </w:rPr>
        <w:t>for</w:t>
      </w:r>
      <w:r>
        <w:rPr>
          <w:b/>
          <w:szCs w:val="24"/>
        </w:rPr>
        <w:t xml:space="preserve"> </w:t>
      </w:r>
      <w:r w:rsidRPr="00C15C3C">
        <w:rPr>
          <w:b/>
          <w:szCs w:val="24"/>
        </w:rPr>
        <w:t>conducting</w:t>
      </w:r>
      <w:r>
        <w:rPr>
          <w:b/>
          <w:szCs w:val="24"/>
        </w:rPr>
        <w:t xml:space="preserve"> </w:t>
      </w:r>
      <w:r w:rsidRPr="00C15C3C">
        <w:rPr>
          <w:b/>
          <w:szCs w:val="24"/>
        </w:rPr>
        <w:t>the</w:t>
      </w:r>
      <w:r>
        <w:rPr>
          <w:b/>
          <w:szCs w:val="24"/>
        </w:rPr>
        <w:t xml:space="preserve"> </w:t>
      </w:r>
      <w:bookmarkEnd w:id="6"/>
      <w:bookmarkEnd w:id="7"/>
      <w:bookmarkEnd w:id="8"/>
      <w:bookmarkEnd w:id="9"/>
      <w:r>
        <w:rPr>
          <w:b/>
          <w:szCs w:val="24"/>
        </w:rPr>
        <w:t>PIAAC Cycle II Field Test</w:t>
      </w:r>
      <w:bookmarkEnd w:id="10"/>
    </w:p>
    <w:tbl>
      <w:tblPr>
        <w:tblW w:w="481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26"/>
        <w:gridCol w:w="2371"/>
        <w:gridCol w:w="730"/>
      </w:tblGrid>
      <w:tr w:rsidRPr="00C15C3C" w:rsidR="00E52D00" w:rsidTr="0070427C" w14:paraId="7C93DAB2" w14:textId="77777777">
        <w:trPr>
          <w:trHeight w:val="144"/>
        </w:trPr>
        <w:tc>
          <w:tcPr>
            <w:tcW w:w="3632" w:type="pct"/>
            <w:shd w:val="clear" w:color="auto" w:fill="auto"/>
            <w:noWrap/>
            <w:vAlign w:val="center"/>
          </w:tcPr>
          <w:p w:rsidRPr="00C15C3C" w:rsidR="00E52D00" w:rsidP="00541692" w:rsidRDefault="00E52D00" w14:paraId="245F90B7" w14:textId="77777777">
            <w:pPr>
              <w:keepNext/>
              <w:widowControl w:val="0"/>
              <w:jc w:val="center"/>
              <w:rPr>
                <w:b/>
                <w:sz w:val="22"/>
                <w:szCs w:val="22"/>
              </w:rPr>
            </w:pPr>
            <w:r w:rsidRPr="00C15C3C">
              <w:rPr>
                <w:b/>
                <w:sz w:val="22"/>
                <w:szCs w:val="22"/>
              </w:rPr>
              <w:t>Item</w:t>
            </w:r>
          </w:p>
        </w:tc>
        <w:tc>
          <w:tcPr>
            <w:tcW w:w="1368" w:type="pct"/>
            <w:gridSpan w:val="2"/>
            <w:shd w:val="clear" w:color="auto" w:fill="auto"/>
            <w:noWrap/>
            <w:vAlign w:val="center"/>
          </w:tcPr>
          <w:p w:rsidRPr="00C15C3C" w:rsidR="00E52D00" w:rsidP="00541692" w:rsidRDefault="00E52D00" w14:paraId="013F8311" w14:textId="77777777">
            <w:pPr>
              <w:keepNext/>
              <w:widowControl w:val="0"/>
              <w:jc w:val="center"/>
              <w:rPr>
                <w:b/>
                <w:bCs/>
                <w:sz w:val="22"/>
                <w:szCs w:val="22"/>
              </w:rPr>
            </w:pPr>
            <w:r w:rsidRPr="00C15C3C">
              <w:rPr>
                <w:b/>
                <w:bCs/>
                <w:sz w:val="22"/>
                <w:szCs w:val="22"/>
              </w:rPr>
              <w:t>Cost</w:t>
            </w:r>
          </w:p>
        </w:tc>
      </w:tr>
      <w:tr w:rsidRPr="00C15C3C" w:rsidR="00E52D00" w:rsidTr="0070427C" w14:paraId="5D0CDF20" w14:textId="77777777">
        <w:trPr>
          <w:trHeight w:val="144"/>
        </w:trPr>
        <w:tc>
          <w:tcPr>
            <w:tcW w:w="3632" w:type="pct"/>
            <w:shd w:val="clear" w:color="auto" w:fill="auto"/>
            <w:noWrap/>
            <w:vAlign w:val="center"/>
          </w:tcPr>
          <w:p w:rsidRPr="00C15C3C" w:rsidR="00E52D00" w:rsidP="00541692" w:rsidRDefault="00E52D00" w14:paraId="4F39CF5B" w14:textId="77777777">
            <w:pPr>
              <w:keepNext/>
              <w:widowControl w:val="0"/>
              <w:rPr>
                <w:bCs/>
                <w:sz w:val="22"/>
                <w:szCs w:val="22"/>
              </w:rPr>
            </w:pPr>
            <w:r w:rsidRPr="0070427C">
              <w:rPr>
                <w:color w:val="000000"/>
                <w:sz w:val="22"/>
              </w:rPr>
              <w:t>Labor</w:t>
            </w:r>
          </w:p>
        </w:tc>
        <w:tc>
          <w:tcPr>
            <w:tcW w:w="881" w:type="pct"/>
            <w:tcBorders>
              <w:right w:val="nil"/>
            </w:tcBorders>
            <w:shd w:val="clear" w:color="auto" w:fill="auto"/>
            <w:noWrap/>
          </w:tcPr>
          <w:p w:rsidRPr="0070427C" w:rsidR="00E52D00" w:rsidP="00541692" w:rsidRDefault="00E52D00" w14:paraId="77D4C2A0" w14:textId="77777777">
            <w:pPr>
              <w:keepNext/>
              <w:widowControl w:val="0"/>
              <w:ind w:right="-65"/>
              <w:jc w:val="right"/>
              <w:rPr>
                <w:color w:val="FF0000"/>
              </w:rPr>
            </w:pPr>
            <w:r w:rsidRPr="0070427C">
              <w:rPr>
                <w:strike/>
                <w:color w:val="FF0000"/>
              </w:rPr>
              <w:t>1,102,506</w:t>
            </w:r>
            <w:r w:rsidRPr="0070427C">
              <w:rPr>
                <w:color w:val="FF0000"/>
              </w:rPr>
              <w:t xml:space="preserve"> 665,810 </w:t>
            </w:r>
          </w:p>
        </w:tc>
        <w:tc>
          <w:tcPr>
            <w:tcW w:w="487" w:type="pct"/>
            <w:tcBorders>
              <w:left w:val="nil"/>
            </w:tcBorders>
            <w:shd w:val="clear" w:color="auto" w:fill="auto"/>
          </w:tcPr>
          <w:p w:rsidRPr="0070427C" w:rsidR="00E52D00" w:rsidP="00541692" w:rsidRDefault="00E52D00" w14:paraId="383B7BE5" w14:textId="77777777">
            <w:pPr>
              <w:keepNext/>
              <w:widowControl w:val="0"/>
              <w:ind w:right="954"/>
              <w:jc w:val="right"/>
              <w:rPr>
                <w:color w:val="FF0000"/>
              </w:rPr>
            </w:pPr>
          </w:p>
        </w:tc>
      </w:tr>
      <w:tr w:rsidRPr="00C15C3C" w:rsidR="00E52D00" w:rsidTr="0070427C" w14:paraId="0B44BC53" w14:textId="77777777">
        <w:trPr>
          <w:trHeight w:val="144"/>
        </w:trPr>
        <w:tc>
          <w:tcPr>
            <w:tcW w:w="3632" w:type="pct"/>
            <w:shd w:val="clear" w:color="auto" w:fill="auto"/>
            <w:noWrap/>
            <w:vAlign w:val="center"/>
          </w:tcPr>
          <w:p w:rsidRPr="00C15C3C" w:rsidR="00E52D00" w:rsidP="00541692" w:rsidRDefault="00E52D00" w14:paraId="51D8ADC8" w14:textId="77777777">
            <w:pPr>
              <w:keepNext/>
              <w:widowControl w:val="0"/>
              <w:rPr>
                <w:bCs/>
                <w:sz w:val="22"/>
                <w:szCs w:val="22"/>
              </w:rPr>
            </w:pPr>
            <w:r w:rsidRPr="0070427C">
              <w:rPr>
                <w:color w:val="000000"/>
                <w:sz w:val="22"/>
              </w:rPr>
              <w:t>Other Direct Costs</w:t>
            </w:r>
          </w:p>
        </w:tc>
        <w:tc>
          <w:tcPr>
            <w:tcW w:w="881" w:type="pct"/>
            <w:tcBorders>
              <w:right w:val="nil"/>
            </w:tcBorders>
            <w:shd w:val="clear" w:color="auto" w:fill="auto"/>
            <w:noWrap/>
            <w:vAlign w:val="center"/>
          </w:tcPr>
          <w:p w:rsidRPr="0070427C" w:rsidR="00E52D00" w:rsidP="00541692" w:rsidRDefault="00E52D00" w14:paraId="008FC5B9" w14:textId="77777777">
            <w:pPr>
              <w:keepNext/>
              <w:widowControl w:val="0"/>
              <w:ind w:right="-65"/>
              <w:jc w:val="right"/>
            </w:pPr>
            <w:r w:rsidRPr="0070427C">
              <w:rPr>
                <w:color w:val="000000"/>
              </w:rPr>
              <w:t>489,252</w:t>
            </w:r>
          </w:p>
        </w:tc>
        <w:tc>
          <w:tcPr>
            <w:tcW w:w="487" w:type="pct"/>
            <w:tcBorders>
              <w:left w:val="nil"/>
            </w:tcBorders>
            <w:shd w:val="clear" w:color="auto" w:fill="auto"/>
            <w:vAlign w:val="center"/>
          </w:tcPr>
          <w:p w:rsidRPr="0070427C" w:rsidR="00E52D00" w:rsidP="00541692" w:rsidRDefault="00E52D00" w14:paraId="26A10B8C" w14:textId="77777777">
            <w:pPr>
              <w:widowControl w:val="0"/>
              <w:jc w:val="center"/>
            </w:pPr>
          </w:p>
        </w:tc>
      </w:tr>
      <w:tr w:rsidRPr="00C15C3C" w:rsidR="00E52D00" w:rsidTr="0070427C" w14:paraId="42CF34C5" w14:textId="77777777">
        <w:trPr>
          <w:trHeight w:val="144"/>
        </w:trPr>
        <w:tc>
          <w:tcPr>
            <w:tcW w:w="3632" w:type="pct"/>
            <w:shd w:val="clear" w:color="auto" w:fill="auto"/>
            <w:noWrap/>
            <w:vAlign w:val="center"/>
          </w:tcPr>
          <w:p w:rsidRPr="00C15C3C" w:rsidR="00E52D00" w:rsidP="00541692" w:rsidRDefault="00E52D00" w14:paraId="66F97F8C" w14:textId="77777777">
            <w:pPr>
              <w:keepNext/>
              <w:widowControl w:val="0"/>
              <w:rPr>
                <w:bCs/>
                <w:sz w:val="22"/>
                <w:szCs w:val="22"/>
              </w:rPr>
            </w:pPr>
            <w:r w:rsidRPr="0070427C">
              <w:rPr>
                <w:color w:val="000000"/>
                <w:sz w:val="22"/>
              </w:rPr>
              <w:t>Respondent Incentives</w:t>
            </w:r>
          </w:p>
        </w:tc>
        <w:tc>
          <w:tcPr>
            <w:tcW w:w="881" w:type="pct"/>
            <w:tcBorders>
              <w:right w:val="nil"/>
            </w:tcBorders>
            <w:shd w:val="clear" w:color="auto" w:fill="auto"/>
            <w:noWrap/>
            <w:vAlign w:val="center"/>
          </w:tcPr>
          <w:p w:rsidRPr="0070427C" w:rsidR="00E52D00" w:rsidP="00541692" w:rsidRDefault="00E52D00" w14:paraId="0C9F19AF" w14:textId="77777777">
            <w:pPr>
              <w:widowControl w:val="0"/>
              <w:ind w:right="-65"/>
              <w:jc w:val="right"/>
              <w:rPr>
                <w:color w:val="FF0000"/>
              </w:rPr>
            </w:pPr>
            <w:r w:rsidRPr="0070427C">
              <w:rPr>
                <w:strike/>
                <w:color w:val="FF0000"/>
              </w:rPr>
              <w:t>113,124</w:t>
            </w:r>
            <w:r w:rsidRPr="0070427C" w:rsidR="0070427C">
              <w:rPr>
                <w:color w:val="FF0000"/>
              </w:rPr>
              <w:t xml:space="preserve"> 84,560</w:t>
            </w:r>
          </w:p>
        </w:tc>
        <w:tc>
          <w:tcPr>
            <w:tcW w:w="487" w:type="pct"/>
            <w:tcBorders>
              <w:left w:val="nil"/>
            </w:tcBorders>
            <w:shd w:val="clear" w:color="auto" w:fill="auto"/>
            <w:vAlign w:val="center"/>
          </w:tcPr>
          <w:p w:rsidRPr="0070427C" w:rsidR="00E52D00" w:rsidP="00541692" w:rsidRDefault="00E52D00" w14:paraId="4EA8F516" w14:textId="77777777">
            <w:pPr>
              <w:widowControl w:val="0"/>
              <w:jc w:val="center"/>
              <w:rPr>
                <w:color w:val="FF0000"/>
              </w:rPr>
            </w:pPr>
          </w:p>
        </w:tc>
      </w:tr>
      <w:tr w:rsidRPr="00C15C3C" w:rsidR="00E52D00" w:rsidTr="0070427C" w14:paraId="120F3061" w14:textId="77777777">
        <w:trPr>
          <w:trHeight w:val="144"/>
        </w:trPr>
        <w:tc>
          <w:tcPr>
            <w:tcW w:w="3632" w:type="pct"/>
            <w:shd w:val="clear" w:color="auto" w:fill="auto"/>
            <w:noWrap/>
            <w:vAlign w:val="center"/>
          </w:tcPr>
          <w:p w:rsidRPr="00C15C3C" w:rsidR="00E52D00" w:rsidP="00541692" w:rsidRDefault="00E52D00" w14:paraId="22283300" w14:textId="77777777">
            <w:pPr>
              <w:keepNext/>
              <w:widowControl w:val="0"/>
              <w:rPr>
                <w:bCs/>
                <w:sz w:val="22"/>
                <w:szCs w:val="22"/>
              </w:rPr>
            </w:pPr>
            <w:r w:rsidRPr="0070427C">
              <w:rPr>
                <w:color w:val="000000"/>
                <w:sz w:val="22"/>
              </w:rPr>
              <w:t>Overhead, G&amp;A, and Fee</w:t>
            </w:r>
          </w:p>
        </w:tc>
        <w:tc>
          <w:tcPr>
            <w:tcW w:w="881" w:type="pct"/>
            <w:tcBorders>
              <w:right w:val="nil"/>
            </w:tcBorders>
            <w:shd w:val="clear" w:color="auto" w:fill="auto"/>
            <w:noWrap/>
            <w:vAlign w:val="center"/>
          </w:tcPr>
          <w:p w:rsidRPr="0070427C" w:rsidR="00E52D00" w:rsidP="00541692" w:rsidRDefault="00E52D00" w14:paraId="7B393AC6" w14:textId="77777777">
            <w:pPr>
              <w:keepNext/>
              <w:widowControl w:val="0"/>
              <w:tabs>
                <w:tab w:val="left" w:pos="0"/>
              </w:tabs>
              <w:ind w:right="-65"/>
              <w:jc w:val="right"/>
            </w:pPr>
            <w:r w:rsidRPr="0070427C">
              <w:rPr>
                <w:color w:val="000000"/>
              </w:rPr>
              <w:t>1,273,577</w:t>
            </w:r>
          </w:p>
        </w:tc>
        <w:tc>
          <w:tcPr>
            <w:tcW w:w="487" w:type="pct"/>
            <w:tcBorders>
              <w:left w:val="nil"/>
            </w:tcBorders>
            <w:shd w:val="clear" w:color="auto" w:fill="auto"/>
            <w:vAlign w:val="center"/>
          </w:tcPr>
          <w:p w:rsidRPr="0070427C" w:rsidR="00E52D00" w:rsidP="00541692" w:rsidRDefault="00E52D00" w14:paraId="5D90AB79" w14:textId="77777777">
            <w:pPr>
              <w:widowControl w:val="0"/>
              <w:jc w:val="center"/>
            </w:pPr>
          </w:p>
        </w:tc>
      </w:tr>
      <w:tr w:rsidRPr="00C15C3C" w:rsidR="00E52D00" w:rsidTr="0070427C" w14:paraId="46E66D63" w14:textId="77777777">
        <w:trPr>
          <w:trHeight w:val="144"/>
        </w:trPr>
        <w:tc>
          <w:tcPr>
            <w:tcW w:w="3632" w:type="pct"/>
            <w:shd w:val="clear" w:color="auto" w:fill="auto"/>
            <w:noWrap/>
            <w:vAlign w:val="center"/>
          </w:tcPr>
          <w:p w:rsidRPr="00C15C3C" w:rsidR="00E52D00" w:rsidP="00541692" w:rsidRDefault="00E52D00" w14:paraId="6BBFB088" w14:textId="77777777">
            <w:pPr>
              <w:keepNext/>
              <w:widowControl w:val="0"/>
              <w:rPr>
                <w:bCs/>
                <w:sz w:val="22"/>
                <w:szCs w:val="22"/>
              </w:rPr>
            </w:pPr>
            <w:r w:rsidRPr="0070427C">
              <w:rPr>
                <w:color w:val="000000"/>
                <w:sz w:val="22"/>
              </w:rPr>
              <w:t>Salaries of Federal Employees</w:t>
            </w:r>
          </w:p>
        </w:tc>
        <w:tc>
          <w:tcPr>
            <w:tcW w:w="881" w:type="pct"/>
            <w:tcBorders>
              <w:right w:val="nil"/>
            </w:tcBorders>
            <w:shd w:val="clear" w:color="auto" w:fill="auto"/>
            <w:noWrap/>
            <w:vAlign w:val="center"/>
          </w:tcPr>
          <w:p w:rsidRPr="0070427C" w:rsidR="00E52D00" w:rsidP="00541692" w:rsidRDefault="00E52D00" w14:paraId="33E4538F" w14:textId="77777777">
            <w:pPr>
              <w:keepNext/>
              <w:widowControl w:val="0"/>
              <w:ind w:right="-65"/>
              <w:jc w:val="right"/>
            </w:pPr>
            <w:r w:rsidRPr="0070427C">
              <w:rPr>
                <w:color w:val="000000"/>
              </w:rPr>
              <w:t>135,300</w:t>
            </w:r>
          </w:p>
        </w:tc>
        <w:tc>
          <w:tcPr>
            <w:tcW w:w="487" w:type="pct"/>
            <w:tcBorders>
              <w:left w:val="nil"/>
            </w:tcBorders>
            <w:shd w:val="clear" w:color="auto" w:fill="auto"/>
            <w:vAlign w:val="center"/>
          </w:tcPr>
          <w:p w:rsidRPr="0070427C" w:rsidR="00E52D00" w:rsidP="00541692" w:rsidRDefault="00E52D00" w14:paraId="59665C0E" w14:textId="77777777">
            <w:pPr>
              <w:widowControl w:val="0"/>
              <w:jc w:val="center"/>
            </w:pPr>
          </w:p>
        </w:tc>
      </w:tr>
      <w:tr w:rsidRPr="00C15C3C" w:rsidR="00E52D00" w:rsidTr="0070427C" w14:paraId="3DFB8767" w14:textId="77777777">
        <w:trPr>
          <w:trHeight w:val="144"/>
        </w:trPr>
        <w:tc>
          <w:tcPr>
            <w:tcW w:w="3632" w:type="pct"/>
            <w:shd w:val="clear" w:color="auto" w:fill="auto"/>
            <w:noWrap/>
            <w:vAlign w:val="center"/>
          </w:tcPr>
          <w:p w:rsidRPr="00C15C3C" w:rsidR="00E52D00" w:rsidP="00541692" w:rsidRDefault="00E52D00" w14:paraId="10FF42D0" w14:textId="77777777">
            <w:pPr>
              <w:widowControl w:val="0"/>
              <w:rPr>
                <w:b/>
                <w:bCs/>
                <w:sz w:val="22"/>
                <w:szCs w:val="22"/>
              </w:rPr>
            </w:pPr>
            <w:r w:rsidRPr="0070427C">
              <w:rPr>
                <w:b/>
                <w:color w:val="000000"/>
                <w:sz w:val="22"/>
              </w:rPr>
              <w:t>TOTAL PRICE</w:t>
            </w:r>
          </w:p>
        </w:tc>
        <w:tc>
          <w:tcPr>
            <w:tcW w:w="881" w:type="pct"/>
            <w:tcBorders>
              <w:right w:val="nil"/>
            </w:tcBorders>
            <w:shd w:val="clear" w:color="auto" w:fill="auto"/>
            <w:noWrap/>
            <w:vAlign w:val="center"/>
          </w:tcPr>
          <w:p w:rsidRPr="0070427C" w:rsidR="00E52D00" w:rsidP="00541692" w:rsidRDefault="0070427C" w14:paraId="2BB2E2DB" w14:textId="77777777">
            <w:pPr>
              <w:widowControl w:val="0"/>
              <w:ind w:right="-65"/>
              <w:jc w:val="right"/>
              <w:rPr>
                <w:b/>
                <w:color w:val="FF0000"/>
              </w:rPr>
            </w:pPr>
            <w:r w:rsidRPr="0070427C">
              <w:rPr>
                <w:b/>
                <w:strike/>
                <w:color w:val="FF0000"/>
              </w:rPr>
              <w:t>$</w:t>
            </w:r>
            <w:r w:rsidRPr="0070427C" w:rsidR="00E52D00">
              <w:rPr>
                <w:b/>
                <w:strike/>
                <w:color w:val="FF0000"/>
              </w:rPr>
              <w:t>3,</w:t>
            </w:r>
            <w:r w:rsidRPr="0070427C" w:rsidR="00E52D00">
              <w:rPr>
                <w:rFonts w:cs="Calibri"/>
                <w:b/>
                <w:strike/>
                <w:color w:val="FF0000"/>
              </w:rPr>
              <w:t>113,759</w:t>
            </w:r>
            <w:r w:rsidRPr="0070427C">
              <w:rPr>
                <w:rFonts w:cs="Calibri"/>
                <w:b/>
                <w:color w:val="FF0000"/>
              </w:rPr>
              <w:t xml:space="preserve"> </w:t>
            </w:r>
            <w:r w:rsidRPr="0070427C" w:rsidR="00E52D00">
              <w:rPr>
                <w:rFonts w:cs="Calibri"/>
                <w:b/>
                <w:bCs/>
                <w:color w:val="FF0000"/>
              </w:rPr>
              <w:t>$2,648,499</w:t>
            </w:r>
          </w:p>
        </w:tc>
        <w:tc>
          <w:tcPr>
            <w:tcW w:w="487" w:type="pct"/>
            <w:tcBorders>
              <w:left w:val="nil"/>
            </w:tcBorders>
            <w:shd w:val="clear" w:color="auto" w:fill="auto"/>
            <w:vAlign w:val="center"/>
          </w:tcPr>
          <w:p w:rsidRPr="0070427C" w:rsidR="00E52D00" w:rsidP="00541692" w:rsidRDefault="00E52D00" w14:paraId="08B5B55E" w14:textId="77777777">
            <w:pPr>
              <w:widowControl w:val="0"/>
              <w:jc w:val="center"/>
              <w:rPr>
                <w:b/>
                <w:color w:val="FF0000"/>
              </w:rPr>
            </w:pPr>
          </w:p>
        </w:tc>
      </w:tr>
    </w:tbl>
    <w:p w:rsidR="00DA6A45" w:rsidP="00415AE3" w:rsidRDefault="00DA6A45" w14:paraId="7586535B" w14:textId="77777777"/>
    <w:p w:rsidR="0070427C" w:rsidP="0070427C" w:rsidRDefault="0070427C" w14:paraId="3D38BB33" w14:textId="77777777">
      <w:pPr>
        <w:pStyle w:val="Heading1"/>
        <w:widowControl w:val="0"/>
        <w:spacing w:after="120" w:line="23" w:lineRule="atLeast"/>
      </w:pPr>
      <w:bookmarkStart w:name="_Toc115416919" w:id="11"/>
      <w:bookmarkStart w:name="_Toc115417064" w:id="12"/>
      <w:bookmarkStart w:name="_Toc115417231" w:id="13"/>
      <w:bookmarkStart w:name="_Toc14260049" w:id="14"/>
      <w:bookmarkStart w:name="_Toc65743291" w:id="15"/>
      <w:bookmarkStart w:name="_Toc16761987" w:id="16"/>
      <w:r>
        <w:t>A.16</w:t>
      </w:r>
      <w:r>
        <w:tab/>
        <w:t>Plans for Tabulation and Publication</w:t>
      </w:r>
      <w:bookmarkEnd w:id="11"/>
      <w:bookmarkEnd w:id="12"/>
      <w:bookmarkEnd w:id="13"/>
      <w:bookmarkEnd w:id="14"/>
      <w:bookmarkEnd w:id="15"/>
      <w:bookmarkEnd w:id="16"/>
    </w:p>
    <w:p w:rsidRPr="00B25BD0" w:rsidR="0070427C" w:rsidP="0070427C" w:rsidRDefault="0070427C" w14:paraId="44727828" w14:textId="77777777">
      <w:pPr>
        <w:pStyle w:val="BodyText1"/>
        <w:widowControl w:val="0"/>
        <w:spacing w:line="23" w:lineRule="atLeast"/>
        <w:ind w:firstLine="0"/>
      </w:pPr>
      <w:r w:rsidRPr="00B25BD0">
        <w:t xml:space="preserve">Because the Field Test is intended for testing </w:t>
      </w:r>
      <w:r w:rsidRPr="00B25BD0">
        <w:rPr>
          <w:strike/>
          <w:color w:val="FF0000"/>
        </w:rPr>
        <w:t>sampling and</w:t>
      </w:r>
      <w:r w:rsidRPr="00B25BD0">
        <w:t xml:space="preserve"> operational procedures in the field only, the data from the PIAAC Cycle II Field Test will not be used to produce national estimates.</w:t>
      </w:r>
    </w:p>
    <w:p w:rsidRPr="00B25BD0" w:rsidR="0070427C" w:rsidP="0070427C" w:rsidRDefault="0070427C" w14:paraId="76786E32" w14:textId="77777777">
      <w:pPr>
        <w:pStyle w:val="L1-FlLSp12"/>
        <w:widowControl w:val="0"/>
        <w:spacing w:after="120" w:line="23" w:lineRule="atLeast"/>
        <w:rPr>
          <w:rFonts w:ascii="Times New Roman" w:hAnsi="Times New Roman"/>
          <w:b/>
          <w:i/>
        </w:rPr>
      </w:pPr>
      <w:r w:rsidRPr="00B25BD0">
        <w:rPr>
          <w:rFonts w:ascii="Times New Roman" w:hAnsi="Times New Roman"/>
          <w:b/>
          <w:i/>
        </w:rPr>
        <w:t>Technical Report</w:t>
      </w:r>
    </w:p>
    <w:p w:rsidRPr="00B25BD0" w:rsidR="0070427C" w:rsidP="0070427C" w:rsidRDefault="0070427C" w14:paraId="052861F0" w14:textId="77777777">
      <w:pPr>
        <w:pStyle w:val="L1-FlLSp12"/>
        <w:widowControl w:val="0"/>
        <w:spacing w:after="120" w:line="23" w:lineRule="atLeast"/>
        <w:rPr>
          <w:rFonts w:ascii="Times New Roman" w:hAnsi="Times New Roman"/>
        </w:rPr>
      </w:pPr>
      <w:r w:rsidRPr="00B25BD0">
        <w:rPr>
          <w:rFonts w:ascii="Times New Roman" w:hAnsi="Times New Roman"/>
          <w:color w:val="000000"/>
        </w:rPr>
        <w:t xml:space="preserve">NCES will not produce a report for the Field Test and there are currently no plans to conduct statistical analyses of the Field Test dataset. </w:t>
      </w:r>
      <w:r w:rsidRPr="00B25BD0">
        <w:rPr>
          <w:rFonts w:ascii="Times New Roman" w:hAnsi="Times New Roman"/>
          <w:color w:val="FF0000"/>
        </w:rPr>
        <w:t xml:space="preserve">The schedule reflects estimates of the ability to safely conduct face-to-face interviewing </w:t>
      </w:r>
      <w:proofErr w:type="gramStart"/>
      <w:r w:rsidRPr="00B25BD0">
        <w:rPr>
          <w:rFonts w:ascii="Times New Roman" w:hAnsi="Times New Roman"/>
          <w:color w:val="FF0000"/>
        </w:rPr>
        <w:t>in light of</w:t>
      </w:r>
      <w:proofErr w:type="gramEnd"/>
      <w:r w:rsidRPr="00B25BD0">
        <w:rPr>
          <w:rFonts w:ascii="Times New Roman" w:hAnsi="Times New Roman"/>
          <w:color w:val="FF0000"/>
        </w:rPr>
        <w:t xml:space="preserve"> the novel coronavirus (COVID-19). We will continue to closely monitor the average of new daily cases of COVID-19 cases in the local area. If local rates exceed the average of 10 per 100,000, the Operational Field Test will delay start until August 2021.</w:t>
      </w:r>
      <w:r w:rsidRPr="00B25BD0">
        <w:rPr>
          <w:rFonts w:ascii="Times New Roman" w:hAnsi="Times New Roman"/>
        </w:rPr>
        <w:t xml:space="preserve">  </w:t>
      </w:r>
    </w:p>
    <w:p w:rsidRPr="00B25BD0" w:rsidR="0070427C" w:rsidP="0070427C" w:rsidRDefault="0070427C" w14:paraId="7941EBB5" w14:textId="77777777">
      <w:pPr>
        <w:pStyle w:val="L1-FlLSp12"/>
        <w:widowControl w:val="0"/>
        <w:spacing w:before="240" w:after="60" w:line="240" w:lineRule="auto"/>
        <w:rPr>
          <w:rFonts w:ascii="Times New Roman" w:hAnsi="Times New Roman"/>
          <w:b/>
          <w:szCs w:val="24"/>
        </w:rPr>
      </w:pPr>
      <w:r w:rsidRPr="00B25BD0">
        <w:rPr>
          <w:rFonts w:ascii="Times New Roman" w:hAnsi="Times New Roman"/>
          <w:b/>
          <w:szCs w:val="24"/>
        </w:rPr>
        <w:t>Table 4. PIAAC 2022 Cycle II Schedule</w:t>
      </w:r>
    </w:p>
    <w:tbl>
      <w:tblPr>
        <w:tblW w:w="5000" w:type="pct"/>
        <w:tblCellMar>
          <w:left w:w="0" w:type="dxa"/>
          <w:right w:w="0" w:type="dxa"/>
        </w:tblCellMar>
        <w:tblLook w:val="04A0" w:firstRow="1" w:lastRow="0" w:firstColumn="1" w:lastColumn="0" w:noHBand="0" w:noVBand="1"/>
      </w:tblPr>
      <w:tblGrid>
        <w:gridCol w:w="3068"/>
        <w:gridCol w:w="7660"/>
      </w:tblGrid>
      <w:tr w:rsidR="0070427C" w:rsidTr="00541692" w14:paraId="4CAA7CF2" w14:textId="77777777">
        <w:trPr>
          <w:tblHeader/>
        </w:trPr>
        <w:tc>
          <w:tcPr>
            <w:tcW w:w="143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0427C" w:rsidR="0070427C" w:rsidP="00541692" w:rsidRDefault="0070427C" w14:paraId="70FC6F72" w14:textId="77777777">
            <w:pPr>
              <w:pStyle w:val="P1-StandPara"/>
              <w:keepNext/>
              <w:widowControl w:val="0"/>
              <w:spacing w:line="240" w:lineRule="auto"/>
              <w:ind w:firstLine="0"/>
              <w:rPr>
                <w:b/>
                <w:sz w:val="20"/>
              </w:rPr>
            </w:pPr>
            <w:r w:rsidRPr="0070427C">
              <w:rPr>
                <w:b/>
                <w:sz w:val="20"/>
              </w:rPr>
              <w:t>Dates</w:t>
            </w:r>
          </w:p>
        </w:tc>
        <w:tc>
          <w:tcPr>
            <w:tcW w:w="357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70427C" w:rsidR="0070427C" w:rsidP="00541692" w:rsidRDefault="0070427C" w14:paraId="1F4C4973" w14:textId="77777777">
            <w:pPr>
              <w:pStyle w:val="P1-StandPara"/>
              <w:keepNext/>
              <w:widowControl w:val="0"/>
              <w:spacing w:line="240" w:lineRule="auto"/>
              <w:ind w:firstLine="0"/>
              <w:rPr>
                <w:b/>
                <w:sz w:val="20"/>
              </w:rPr>
            </w:pPr>
            <w:r w:rsidRPr="0070427C">
              <w:rPr>
                <w:b/>
                <w:sz w:val="20"/>
              </w:rPr>
              <w:t>Activity</w:t>
            </w:r>
          </w:p>
        </w:tc>
      </w:tr>
      <w:tr w:rsidR="0070427C" w:rsidTr="00541692" w14:paraId="5C7BA064" w14:textId="77777777">
        <w:trPr>
          <w:trHeight w:val="296"/>
        </w:trPr>
        <w:tc>
          <w:tcPr>
            <w:tcW w:w="143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0427C" w:rsidR="0070427C" w:rsidP="00541692" w:rsidRDefault="0070427C" w14:paraId="43882449" w14:textId="77777777">
            <w:pPr>
              <w:pStyle w:val="P1-StandPara"/>
              <w:widowControl w:val="0"/>
              <w:spacing w:line="240" w:lineRule="auto"/>
              <w:ind w:firstLine="0"/>
              <w:rPr>
                <w:rFonts w:ascii="Times New Roman" w:hAnsi="Times New Roman"/>
                <w:color w:val="FF0000"/>
                <w:szCs w:val="24"/>
              </w:rPr>
            </w:pPr>
            <w:r w:rsidRPr="0070427C">
              <w:rPr>
                <w:rFonts w:ascii="Times New Roman" w:hAnsi="Times New Roman"/>
                <w:strike/>
                <w:color w:val="FF0000"/>
                <w:szCs w:val="24"/>
              </w:rPr>
              <w:t>November 2019—February 2020</w:t>
            </w:r>
            <w:r w:rsidRPr="0070427C">
              <w:rPr>
                <w:rFonts w:ascii="Times New Roman" w:hAnsi="Times New Roman"/>
                <w:color w:val="FF0000"/>
                <w:szCs w:val="24"/>
              </w:rPr>
              <w:t xml:space="preserve"> May-August 2021</w:t>
            </w:r>
          </w:p>
        </w:tc>
        <w:tc>
          <w:tcPr>
            <w:tcW w:w="357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0427C" w:rsidR="0070427C" w:rsidP="00541692" w:rsidRDefault="0070427C" w14:paraId="58E4CC3A" w14:textId="77777777">
            <w:pPr>
              <w:pStyle w:val="P1-StandPara"/>
              <w:widowControl w:val="0"/>
              <w:spacing w:line="240" w:lineRule="auto"/>
              <w:ind w:firstLine="0"/>
              <w:rPr>
                <w:rFonts w:ascii="Times New Roman" w:hAnsi="Times New Roman"/>
                <w:szCs w:val="24"/>
              </w:rPr>
            </w:pPr>
            <w:r w:rsidRPr="0070427C">
              <w:rPr>
                <w:rFonts w:ascii="Times New Roman" w:hAnsi="Times New Roman"/>
                <w:strike/>
                <w:color w:val="FF0000"/>
                <w:szCs w:val="24"/>
              </w:rPr>
              <w:t>Select sample</w:t>
            </w:r>
            <w:r w:rsidRPr="0070427C">
              <w:rPr>
                <w:rFonts w:ascii="Times New Roman" w:hAnsi="Times New Roman"/>
                <w:color w:val="FF0000"/>
                <w:szCs w:val="24"/>
              </w:rPr>
              <w:t xml:space="preserve"> Recruit volunteers</w:t>
            </w:r>
            <w:r w:rsidRPr="0070427C">
              <w:rPr>
                <w:rFonts w:ascii="Times New Roman" w:hAnsi="Times New Roman"/>
                <w:szCs w:val="24"/>
              </w:rPr>
              <w:t xml:space="preserve"> for </w:t>
            </w:r>
            <w:r w:rsidRPr="0070427C">
              <w:rPr>
                <w:rFonts w:ascii="Times New Roman" w:hAnsi="Times New Roman"/>
                <w:strike/>
                <w:color w:val="FF0000"/>
                <w:szCs w:val="24"/>
              </w:rPr>
              <w:t>field test</w:t>
            </w:r>
            <w:r w:rsidRPr="0070427C">
              <w:rPr>
                <w:rFonts w:ascii="Times New Roman" w:hAnsi="Times New Roman"/>
                <w:color w:val="FF0000"/>
                <w:szCs w:val="24"/>
              </w:rPr>
              <w:t xml:space="preserve"> the Field Test</w:t>
            </w:r>
          </w:p>
        </w:tc>
      </w:tr>
      <w:tr w:rsidR="0070427C" w:rsidTr="00541692" w14:paraId="1E194483" w14:textId="77777777">
        <w:tc>
          <w:tcPr>
            <w:tcW w:w="143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0427C" w:rsidR="0070427C" w:rsidP="00541692" w:rsidRDefault="0070427C" w14:paraId="0DC4F592" w14:textId="77777777">
            <w:pPr>
              <w:pStyle w:val="P1-StandPara"/>
              <w:keepNext/>
              <w:widowControl w:val="0"/>
              <w:spacing w:line="240" w:lineRule="auto"/>
              <w:ind w:firstLine="0"/>
              <w:rPr>
                <w:rFonts w:ascii="Times New Roman" w:hAnsi="Times New Roman"/>
                <w:szCs w:val="24"/>
              </w:rPr>
            </w:pPr>
            <w:r w:rsidRPr="0070427C">
              <w:rPr>
                <w:rFonts w:ascii="Times New Roman" w:hAnsi="Times New Roman"/>
                <w:szCs w:val="24"/>
              </w:rPr>
              <w:t xml:space="preserve">September </w:t>
            </w:r>
            <w:r w:rsidRPr="0070427C">
              <w:rPr>
                <w:rFonts w:ascii="Times New Roman" w:hAnsi="Times New Roman"/>
                <w:strike/>
                <w:color w:val="FF0000"/>
                <w:szCs w:val="24"/>
              </w:rPr>
              <w:t>2019—March</w:t>
            </w:r>
            <w:r w:rsidRPr="0070427C">
              <w:rPr>
                <w:rFonts w:ascii="Times New Roman" w:hAnsi="Times New Roman"/>
                <w:szCs w:val="24"/>
              </w:rPr>
              <w:t xml:space="preserve"> 2020—</w:t>
            </w:r>
            <w:r w:rsidRPr="0070427C">
              <w:rPr>
                <w:rFonts w:ascii="Times New Roman" w:hAnsi="Times New Roman"/>
                <w:color w:val="FF0000"/>
                <w:szCs w:val="24"/>
              </w:rPr>
              <w:t>May 2021</w:t>
            </w:r>
          </w:p>
        </w:tc>
        <w:tc>
          <w:tcPr>
            <w:tcW w:w="357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0427C" w:rsidR="0070427C" w:rsidP="00541692" w:rsidRDefault="0070427C" w14:paraId="580DA254" w14:textId="77777777">
            <w:pPr>
              <w:pStyle w:val="P1-StandPara"/>
              <w:keepNext/>
              <w:widowControl w:val="0"/>
              <w:spacing w:line="240" w:lineRule="auto"/>
              <w:ind w:firstLine="0"/>
              <w:rPr>
                <w:rFonts w:ascii="Times New Roman" w:hAnsi="Times New Roman"/>
                <w:szCs w:val="24"/>
              </w:rPr>
            </w:pPr>
            <w:r w:rsidRPr="0070427C">
              <w:rPr>
                <w:rFonts w:ascii="Times New Roman" w:hAnsi="Times New Roman"/>
                <w:szCs w:val="24"/>
              </w:rPr>
              <w:t>Prepare field test data collection manuals, forms, training materials, assessment materials, questionnaires, and train data collection staff</w:t>
            </w:r>
          </w:p>
        </w:tc>
      </w:tr>
      <w:tr w:rsidR="0070427C" w:rsidTr="00541692" w14:paraId="3A835790" w14:textId="77777777">
        <w:trPr>
          <w:trHeight w:val="323"/>
        </w:trPr>
        <w:tc>
          <w:tcPr>
            <w:tcW w:w="143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0427C" w:rsidR="0070427C" w:rsidP="00541692" w:rsidRDefault="0070427C" w14:paraId="4A6620D1" w14:textId="77777777">
            <w:pPr>
              <w:pStyle w:val="P1-StandPara"/>
              <w:widowControl w:val="0"/>
              <w:spacing w:line="240" w:lineRule="auto"/>
              <w:ind w:firstLine="0"/>
              <w:rPr>
                <w:rFonts w:ascii="Times New Roman" w:hAnsi="Times New Roman"/>
                <w:color w:val="FF0000"/>
                <w:szCs w:val="24"/>
              </w:rPr>
            </w:pPr>
            <w:r w:rsidRPr="0070427C">
              <w:rPr>
                <w:rFonts w:ascii="Times New Roman" w:hAnsi="Times New Roman"/>
                <w:strike/>
                <w:color w:val="FF0000"/>
                <w:szCs w:val="24"/>
              </w:rPr>
              <w:t>April -</w:t>
            </w:r>
            <w:r w:rsidRPr="0070427C">
              <w:rPr>
                <w:rFonts w:ascii="Times New Roman" w:hAnsi="Times New Roman"/>
                <w:color w:val="FF0000"/>
                <w:szCs w:val="24"/>
              </w:rPr>
              <w:t xml:space="preserve"> June</w:t>
            </w:r>
            <w:r w:rsidRPr="0070427C">
              <w:rPr>
                <w:rFonts w:ascii="Times New Roman" w:hAnsi="Times New Roman"/>
                <w:szCs w:val="24"/>
              </w:rPr>
              <w:t xml:space="preserve"> </w:t>
            </w:r>
            <w:proofErr w:type="gramStart"/>
            <w:r w:rsidRPr="0070427C">
              <w:rPr>
                <w:rFonts w:ascii="Times New Roman" w:hAnsi="Times New Roman"/>
                <w:strike/>
                <w:color w:val="FF0000"/>
                <w:szCs w:val="24"/>
              </w:rPr>
              <w:t>2020</w:t>
            </w:r>
            <w:proofErr w:type="gramEnd"/>
            <w:r w:rsidRPr="0070427C">
              <w:rPr>
                <w:rFonts w:ascii="Times New Roman" w:hAnsi="Times New Roman"/>
                <w:strike/>
                <w:color w:val="FF0000"/>
                <w:szCs w:val="24"/>
              </w:rPr>
              <w:t xml:space="preserve"> </w:t>
            </w:r>
            <w:r w:rsidRPr="0070427C">
              <w:rPr>
                <w:rFonts w:ascii="Times New Roman" w:hAnsi="Times New Roman"/>
                <w:color w:val="FF0000"/>
                <w:szCs w:val="24"/>
              </w:rPr>
              <w:t>2021-August 2021*</w:t>
            </w:r>
          </w:p>
        </w:tc>
        <w:tc>
          <w:tcPr>
            <w:tcW w:w="357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0427C" w:rsidR="0070427C" w:rsidP="00541692" w:rsidRDefault="0070427C" w14:paraId="4B05D9DA" w14:textId="77777777">
            <w:pPr>
              <w:pStyle w:val="P1-StandPara"/>
              <w:widowControl w:val="0"/>
              <w:spacing w:line="240" w:lineRule="auto"/>
              <w:ind w:firstLine="0"/>
              <w:rPr>
                <w:rFonts w:ascii="Times New Roman" w:hAnsi="Times New Roman"/>
                <w:szCs w:val="24"/>
              </w:rPr>
            </w:pPr>
            <w:r w:rsidRPr="0070427C">
              <w:rPr>
                <w:rFonts w:ascii="Times New Roman" w:hAnsi="Times New Roman"/>
                <w:szCs w:val="24"/>
              </w:rPr>
              <w:t>Collect field test data – includes recruitment and assessment activities</w:t>
            </w:r>
          </w:p>
        </w:tc>
      </w:tr>
      <w:tr w:rsidR="0070427C" w:rsidTr="00541692" w14:paraId="01AEABDF" w14:textId="77777777">
        <w:trPr>
          <w:trHeight w:val="350"/>
        </w:trPr>
        <w:tc>
          <w:tcPr>
            <w:tcW w:w="143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0427C" w:rsidR="0070427C" w:rsidP="00541692" w:rsidRDefault="0070427C" w14:paraId="5BC30135" w14:textId="77777777">
            <w:pPr>
              <w:pStyle w:val="P1-StandPara"/>
              <w:widowControl w:val="0"/>
              <w:spacing w:line="240" w:lineRule="auto"/>
              <w:ind w:firstLine="0"/>
              <w:rPr>
                <w:rFonts w:ascii="Times New Roman" w:hAnsi="Times New Roman"/>
                <w:strike/>
                <w:color w:val="FF0000"/>
                <w:szCs w:val="24"/>
              </w:rPr>
            </w:pPr>
            <w:r w:rsidRPr="0070427C">
              <w:rPr>
                <w:rFonts w:ascii="Times New Roman" w:hAnsi="Times New Roman"/>
                <w:strike/>
                <w:color w:val="FF0000"/>
                <w:szCs w:val="24"/>
              </w:rPr>
              <w:t>August 2020</w:t>
            </w:r>
          </w:p>
          <w:p w:rsidRPr="0070427C" w:rsidR="0070427C" w:rsidP="00541692" w:rsidRDefault="0070427C" w14:paraId="63123C8C" w14:textId="77777777">
            <w:pPr>
              <w:pStyle w:val="P1-StandPara"/>
              <w:widowControl w:val="0"/>
              <w:spacing w:line="240" w:lineRule="auto"/>
              <w:ind w:firstLine="0"/>
              <w:rPr>
                <w:rFonts w:ascii="Times New Roman" w:hAnsi="Times New Roman"/>
                <w:szCs w:val="24"/>
              </w:rPr>
            </w:pPr>
            <w:r w:rsidRPr="0070427C">
              <w:rPr>
                <w:rFonts w:ascii="Times New Roman" w:hAnsi="Times New Roman"/>
                <w:color w:val="FF0000"/>
                <w:szCs w:val="24"/>
              </w:rPr>
              <w:t>September 2021*</w:t>
            </w:r>
          </w:p>
        </w:tc>
        <w:tc>
          <w:tcPr>
            <w:tcW w:w="357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0427C" w:rsidR="0070427C" w:rsidP="00541692" w:rsidRDefault="0070427C" w14:paraId="4DA9AF16" w14:textId="77777777">
            <w:pPr>
              <w:pStyle w:val="P1-StandPara"/>
              <w:widowControl w:val="0"/>
              <w:spacing w:line="240" w:lineRule="auto"/>
              <w:ind w:firstLine="0"/>
              <w:rPr>
                <w:rFonts w:ascii="Times New Roman" w:hAnsi="Times New Roman"/>
                <w:szCs w:val="24"/>
              </w:rPr>
            </w:pPr>
            <w:r w:rsidRPr="0070427C">
              <w:rPr>
                <w:rFonts w:ascii="Times New Roman" w:hAnsi="Times New Roman"/>
                <w:szCs w:val="24"/>
              </w:rPr>
              <w:t xml:space="preserve">Deliver field test </w:t>
            </w:r>
            <w:r w:rsidRPr="0070427C">
              <w:rPr>
                <w:rFonts w:ascii="Times New Roman" w:hAnsi="Times New Roman"/>
                <w:strike/>
                <w:color w:val="FF0000"/>
                <w:szCs w:val="24"/>
              </w:rPr>
              <w:t>raw data</w:t>
            </w:r>
            <w:r w:rsidRPr="0070427C">
              <w:rPr>
                <w:rFonts w:ascii="Times New Roman" w:hAnsi="Times New Roman"/>
                <w:color w:val="FF0000"/>
                <w:szCs w:val="24"/>
              </w:rPr>
              <w:t xml:space="preserve"> results</w:t>
            </w:r>
            <w:r w:rsidRPr="0070427C">
              <w:rPr>
                <w:rFonts w:ascii="Times New Roman" w:hAnsi="Times New Roman"/>
                <w:szCs w:val="24"/>
              </w:rPr>
              <w:t xml:space="preserve"> to international consortium</w:t>
            </w:r>
          </w:p>
        </w:tc>
      </w:tr>
      <w:tr w:rsidR="0070427C" w:rsidTr="00541692" w14:paraId="77FA23AE" w14:textId="77777777">
        <w:trPr>
          <w:trHeight w:val="359"/>
        </w:trPr>
        <w:tc>
          <w:tcPr>
            <w:tcW w:w="143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0427C" w:rsidR="0070427C" w:rsidP="00541692" w:rsidRDefault="0070427C" w14:paraId="25044B6D" w14:textId="77777777">
            <w:pPr>
              <w:pStyle w:val="P1-StandPara"/>
              <w:widowControl w:val="0"/>
              <w:spacing w:line="240" w:lineRule="auto"/>
              <w:ind w:firstLine="0"/>
              <w:rPr>
                <w:rFonts w:ascii="Times New Roman" w:hAnsi="Times New Roman"/>
                <w:szCs w:val="24"/>
              </w:rPr>
            </w:pPr>
            <w:r w:rsidRPr="0070427C">
              <w:rPr>
                <w:rFonts w:ascii="Times New Roman" w:hAnsi="Times New Roman"/>
                <w:szCs w:val="24"/>
              </w:rPr>
              <w:t xml:space="preserve">January—June </w:t>
            </w:r>
            <w:r w:rsidRPr="0070427C">
              <w:rPr>
                <w:rFonts w:ascii="Times New Roman" w:hAnsi="Times New Roman"/>
                <w:strike/>
                <w:color w:val="FF0000"/>
                <w:szCs w:val="24"/>
              </w:rPr>
              <w:t>2021</w:t>
            </w:r>
            <w:r w:rsidRPr="0070427C">
              <w:rPr>
                <w:rFonts w:ascii="Times New Roman" w:hAnsi="Times New Roman"/>
                <w:szCs w:val="24"/>
              </w:rPr>
              <w:t xml:space="preserve"> </w:t>
            </w:r>
            <w:r w:rsidRPr="0070427C">
              <w:rPr>
                <w:rFonts w:ascii="Times New Roman" w:hAnsi="Times New Roman"/>
                <w:color w:val="FF0000"/>
                <w:szCs w:val="24"/>
              </w:rPr>
              <w:t>2022</w:t>
            </w:r>
          </w:p>
        </w:tc>
        <w:tc>
          <w:tcPr>
            <w:tcW w:w="357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0427C" w:rsidR="0070427C" w:rsidP="00541692" w:rsidRDefault="0070427C" w14:paraId="30CE5E08" w14:textId="77777777">
            <w:pPr>
              <w:pStyle w:val="P1-StandPara"/>
              <w:widowControl w:val="0"/>
              <w:spacing w:line="240" w:lineRule="auto"/>
              <w:ind w:firstLine="0"/>
              <w:rPr>
                <w:rFonts w:ascii="Times New Roman" w:hAnsi="Times New Roman"/>
                <w:szCs w:val="24"/>
              </w:rPr>
            </w:pPr>
            <w:r w:rsidRPr="0070427C">
              <w:rPr>
                <w:rFonts w:ascii="Times New Roman" w:hAnsi="Times New Roman"/>
                <w:szCs w:val="24"/>
              </w:rPr>
              <w:t>Select sample for main study</w:t>
            </w:r>
          </w:p>
        </w:tc>
      </w:tr>
      <w:tr w:rsidR="0070427C" w:rsidTr="00541692" w14:paraId="563A5872" w14:textId="77777777">
        <w:tc>
          <w:tcPr>
            <w:tcW w:w="143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0427C" w:rsidR="0070427C" w:rsidP="00541692" w:rsidRDefault="0070427C" w14:paraId="5237D50D" w14:textId="77777777">
            <w:pPr>
              <w:pStyle w:val="P1-StandPara"/>
              <w:widowControl w:val="0"/>
              <w:spacing w:line="240" w:lineRule="auto"/>
              <w:ind w:firstLine="0"/>
              <w:rPr>
                <w:rFonts w:ascii="Times New Roman" w:hAnsi="Times New Roman"/>
                <w:szCs w:val="24"/>
              </w:rPr>
            </w:pPr>
            <w:r w:rsidRPr="0070427C">
              <w:rPr>
                <w:rFonts w:ascii="Times New Roman" w:hAnsi="Times New Roman"/>
                <w:szCs w:val="24"/>
              </w:rPr>
              <w:t xml:space="preserve">August </w:t>
            </w:r>
            <w:proofErr w:type="gramStart"/>
            <w:r w:rsidRPr="0070427C">
              <w:rPr>
                <w:rFonts w:ascii="Times New Roman" w:hAnsi="Times New Roman"/>
                <w:strike/>
                <w:color w:val="FF0000"/>
                <w:szCs w:val="24"/>
              </w:rPr>
              <w:t>2020</w:t>
            </w:r>
            <w:proofErr w:type="gramEnd"/>
            <w:r w:rsidRPr="0070427C">
              <w:rPr>
                <w:rFonts w:ascii="Times New Roman" w:hAnsi="Times New Roman"/>
                <w:color w:val="FF0000"/>
                <w:szCs w:val="24"/>
              </w:rPr>
              <w:t xml:space="preserve"> 2021</w:t>
            </w:r>
            <w:r w:rsidRPr="0070427C">
              <w:rPr>
                <w:rFonts w:ascii="Times New Roman" w:hAnsi="Times New Roman"/>
                <w:szCs w:val="24"/>
              </w:rPr>
              <w:t xml:space="preserve">—July </w:t>
            </w:r>
            <w:r w:rsidRPr="0070427C">
              <w:rPr>
                <w:rFonts w:ascii="Times New Roman" w:hAnsi="Times New Roman"/>
                <w:strike/>
                <w:color w:val="FF0000"/>
                <w:szCs w:val="24"/>
              </w:rPr>
              <w:t>2021</w:t>
            </w:r>
            <w:r w:rsidRPr="0070427C">
              <w:rPr>
                <w:rFonts w:ascii="Times New Roman" w:hAnsi="Times New Roman"/>
                <w:color w:val="FF0000"/>
                <w:szCs w:val="24"/>
              </w:rPr>
              <w:t xml:space="preserve"> 2022</w:t>
            </w:r>
          </w:p>
        </w:tc>
        <w:tc>
          <w:tcPr>
            <w:tcW w:w="357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0427C" w:rsidR="0070427C" w:rsidP="00541692" w:rsidRDefault="0070427C" w14:paraId="42F543E4" w14:textId="77777777">
            <w:pPr>
              <w:pStyle w:val="P1-StandPara"/>
              <w:widowControl w:val="0"/>
              <w:spacing w:line="240" w:lineRule="auto"/>
              <w:ind w:firstLine="0"/>
              <w:rPr>
                <w:rFonts w:ascii="Times New Roman" w:hAnsi="Times New Roman"/>
                <w:szCs w:val="24"/>
              </w:rPr>
            </w:pPr>
            <w:r w:rsidRPr="0070427C">
              <w:rPr>
                <w:rFonts w:ascii="Times New Roman" w:hAnsi="Times New Roman"/>
                <w:szCs w:val="24"/>
              </w:rPr>
              <w:t>Prepare main study data collection manuals, training materials, forms, assessment materials, questionnaires, and train data collection staff</w:t>
            </w:r>
          </w:p>
        </w:tc>
      </w:tr>
      <w:tr w:rsidR="0070427C" w:rsidTr="00541692" w14:paraId="210E2539" w14:textId="77777777">
        <w:trPr>
          <w:trHeight w:val="332"/>
        </w:trPr>
        <w:tc>
          <w:tcPr>
            <w:tcW w:w="143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0427C" w:rsidR="0070427C" w:rsidP="00541692" w:rsidRDefault="0070427C" w14:paraId="175FE65B" w14:textId="77777777">
            <w:pPr>
              <w:pStyle w:val="P1-StandPara"/>
              <w:widowControl w:val="0"/>
              <w:spacing w:line="240" w:lineRule="auto"/>
              <w:ind w:firstLine="0"/>
              <w:rPr>
                <w:rFonts w:ascii="Times New Roman" w:hAnsi="Times New Roman"/>
                <w:szCs w:val="24"/>
              </w:rPr>
            </w:pPr>
            <w:r w:rsidRPr="0070427C">
              <w:rPr>
                <w:rFonts w:ascii="Times New Roman" w:hAnsi="Times New Roman"/>
                <w:szCs w:val="24"/>
              </w:rPr>
              <w:t xml:space="preserve">August </w:t>
            </w:r>
            <w:proofErr w:type="gramStart"/>
            <w:r w:rsidRPr="0070427C">
              <w:rPr>
                <w:rFonts w:ascii="Times New Roman" w:hAnsi="Times New Roman"/>
                <w:strike/>
                <w:color w:val="FF0000"/>
                <w:szCs w:val="24"/>
              </w:rPr>
              <w:t>2021</w:t>
            </w:r>
            <w:proofErr w:type="gramEnd"/>
            <w:r w:rsidRPr="0070427C">
              <w:rPr>
                <w:rFonts w:ascii="Times New Roman" w:hAnsi="Times New Roman"/>
                <w:color w:val="FF0000"/>
                <w:szCs w:val="24"/>
              </w:rPr>
              <w:t xml:space="preserve"> 2022</w:t>
            </w:r>
            <w:r w:rsidRPr="0070427C">
              <w:rPr>
                <w:rFonts w:ascii="Times New Roman" w:hAnsi="Times New Roman"/>
                <w:szCs w:val="24"/>
              </w:rPr>
              <w:t xml:space="preserve">—March </w:t>
            </w:r>
            <w:r w:rsidRPr="0070427C">
              <w:rPr>
                <w:rFonts w:ascii="Times New Roman" w:hAnsi="Times New Roman"/>
                <w:strike/>
                <w:color w:val="FF0000"/>
                <w:szCs w:val="24"/>
              </w:rPr>
              <w:t>202</w:t>
            </w:r>
            <w:r>
              <w:rPr>
                <w:rFonts w:ascii="Times New Roman" w:hAnsi="Times New Roman"/>
                <w:strike/>
                <w:color w:val="FF0000"/>
                <w:szCs w:val="24"/>
              </w:rPr>
              <w:t>2</w:t>
            </w:r>
            <w:r w:rsidRPr="0070427C">
              <w:rPr>
                <w:rFonts w:ascii="Times New Roman" w:hAnsi="Times New Roman"/>
                <w:color w:val="FF0000"/>
                <w:szCs w:val="24"/>
              </w:rPr>
              <w:t xml:space="preserve"> 202</w:t>
            </w:r>
            <w:r>
              <w:rPr>
                <w:rFonts w:ascii="Times New Roman" w:hAnsi="Times New Roman"/>
                <w:color w:val="FF0000"/>
                <w:szCs w:val="24"/>
              </w:rPr>
              <w:t>3</w:t>
            </w:r>
          </w:p>
        </w:tc>
        <w:tc>
          <w:tcPr>
            <w:tcW w:w="357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0427C" w:rsidR="0070427C" w:rsidP="00541692" w:rsidRDefault="0070427C" w14:paraId="5514FBD6" w14:textId="77777777">
            <w:pPr>
              <w:pStyle w:val="P1-StandPara"/>
              <w:widowControl w:val="0"/>
              <w:spacing w:line="240" w:lineRule="auto"/>
              <w:ind w:firstLine="0"/>
              <w:rPr>
                <w:rFonts w:ascii="Times New Roman" w:hAnsi="Times New Roman"/>
                <w:szCs w:val="24"/>
              </w:rPr>
            </w:pPr>
            <w:r w:rsidRPr="0070427C">
              <w:rPr>
                <w:rFonts w:ascii="Times New Roman" w:hAnsi="Times New Roman"/>
                <w:szCs w:val="24"/>
              </w:rPr>
              <w:t>Collect main study data – includes recruitment and assessment activities</w:t>
            </w:r>
          </w:p>
        </w:tc>
      </w:tr>
      <w:tr w:rsidR="0070427C" w:rsidTr="00541692" w14:paraId="395BA54E" w14:textId="77777777">
        <w:trPr>
          <w:trHeight w:val="260"/>
        </w:trPr>
        <w:tc>
          <w:tcPr>
            <w:tcW w:w="143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0427C" w:rsidR="0070427C" w:rsidP="00541692" w:rsidRDefault="0070427C" w14:paraId="36B6C570" w14:textId="77777777">
            <w:pPr>
              <w:pStyle w:val="P1-StandPara"/>
              <w:widowControl w:val="0"/>
              <w:spacing w:line="240" w:lineRule="auto"/>
              <w:ind w:firstLine="0"/>
              <w:rPr>
                <w:rFonts w:ascii="Times New Roman" w:hAnsi="Times New Roman"/>
                <w:szCs w:val="24"/>
              </w:rPr>
            </w:pPr>
            <w:r w:rsidRPr="0070427C">
              <w:rPr>
                <w:rFonts w:ascii="Times New Roman" w:hAnsi="Times New Roman"/>
                <w:szCs w:val="24"/>
              </w:rPr>
              <w:t xml:space="preserve">May </w:t>
            </w:r>
            <w:r w:rsidRPr="0070427C">
              <w:rPr>
                <w:rFonts w:ascii="Times New Roman" w:hAnsi="Times New Roman"/>
                <w:strike/>
                <w:color w:val="FF0000"/>
                <w:szCs w:val="24"/>
              </w:rPr>
              <w:t>202</w:t>
            </w:r>
            <w:r>
              <w:rPr>
                <w:rFonts w:ascii="Times New Roman" w:hAnsi="Times New Roman"/>
                <w:strike/>
                <w:color w:val="FF0000"/>
                <w:szCs w:val="24"/>
              </w:rPr>
              <w:t>2</w:t>
            </w:r>
            <w:r w:rsidRPr="0070427C">
              <w:rPr>
                <w:rFonts w:ascii="Times New Roman" w:hAnsi="Times New Roman"/>
                <w:color w:val="FF0000"/>
                <w:szCs w:val="24"/>
              </w:rPr>
              <w:t xml:space="preserve"> 202</w:t>
            </w:r>
            <w:r>
              <w:rPr>
                <w:rFonts w:ascii="Times New Roman" w:hAnsi="Times New Roman"/>
                <w:color w:val="FF0000"/>
                <w:szCs w:val="24"/>
              </w:rPr>
              <w:t>3</w:t>
            </w:r>
          </w:p>
        </w:tc>
        <w:tc>
          <w:tcPr>
            <w:tcW w:w="357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0427C" w:rsidR="0070427C" w:rsidP="00541692" w:rsidRDefault="0070427C" w14:paraId="1CC12957" w14:textId="77777777">
            <w:pPr>
              <w:pStyle w:val="P1-StandPara"/>
              <w:widowControl w:val="0"/>
              <w:spacing w:line="240" w:lineRule="auto"/>
              <w:ind w:firstLine="0"/>
              <w:rPr>
                <w:rFonts w:ascii="Times New Roman" w:hAnsi="Times New Roman"/>
                <w:szCs w:val="24"/>
              </w:rPr>
            </w:pPr>
            <w:r w:rsidRPr="0070427C">
              <w:rPr>
                <w:rFonts w:ascii="Times New Roman" w:hAnsi="Times New Roman"/>
                <w:szCs w:val="24"/>
              </w:rPr>
              <w:t>Deliver main study raw data to international consortium</w:t>
            </w:r>
          </w:p>
        </w:tc>
      </w:tr>
      <w:tr w:rsidR="0070427C" w:rsidTr="00541692" w14:paraId="2CB846BB" w14:textId="77777777">
        <w:trPr>
          <w:trHeight w:val="287"/>
        </w:trPr>
        <w:tc>
          <w:tcPr>
            <w:tcW w:w="143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0427C" w:rsidR="0070427C" w:rsidP="00541692" w:rsidRDefault="0070427C" w14:paraId="0BE16BBE" w14:textId="77777777">
            <w:pPr>
              <w:pStyle w:val="P1-StandPara"/>
              <w:widowControl w:val="0"/>
              <w:spacing w:line="240" w:lineRule="auto"/>
              <w:ind w:firstLine="0"/>
              <w:rPr>
                <w:rFonts w:ascii="Times New Roman" w:hAnsi="Times New Roman"/>
                <w:szCs w:val="24"/>
              </w:rPr>
            </w:pPr>
            <w:r w:rsidRPr="0070427C">
              <w:rPr>
                <w:rFonts w:ascii="Times New Roman" w:hAnsi="Times New Roman"/>
                <w:szCs w:val="24"/>
              </w:rPr>
              <w:t>January</w:t>
            </w:r>
            <w:r>
              <w:rPr>
                <w:rFonts w:ascii="Times New Roman" w:hAnsi="Times New Roman"/>
                <w:szCs w:val="24"/>
              </w:rPr>
              <w:t xml:space="preserve"> </w:t>
            </w:r>
            <w:r w:rsidRPr="0070427C">
              <w:rPr>
                <w:rFonts w:ascii="Times New Roman" w:hAnsi="Times New Roman"/>
                <w:strike/>
                <w:color w:val="FF0000"/>
                <w:szCs w:val="24"/>
              </w:rPr>
              <w:t>202</w:t>
            </w:r>
            <w:r>
              <w:rPr>
                <w:rFonts w:ascii="Times New Roman" w:hAnsi="Times New Roman"/>
                <w:strike/>
                <w:color w:val="FF0000"/>
                <w:szCs w:val="24"/>
              </w:rPr>
              <w:t>3</w:t>
            </w:r>
            <w:r w:rsidRPr="0070427C">
              <w:rPr>
                <w:rFonts w:ascii="Times New Roman" w:hAnsi="Times New Roman"/>
                <w:color w:val="FF0000"/>
                <w:szCs w:val="24"/>
              </w:rPr>
              <w:t xml:space="preserve"> 202</w:t>
            </w:r>
            <w:r>
              <w:rPr>
                <w:rFonts w:ascii="Times New Roman" w:hAnsi="Times New Roman"/>
                <w:color w:val="FF0000"/>
                <w:szCs w:val="24"/>
              </w:rPr>
              <w:t>4</w:t>
            </w:r>
          </w:p>
        </w:tc>
        <w:tc>
          <w:tcPr>
            <w:tcW w:w="357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0427C" w:rsidR="0070427C" w:rsidP="00541692" w:rsidRDefault="0070427C" w14:paraId="61EF19A9" w14:textId="77777777">
            <w:pPr>
              <w:pStyle w:val="P1-StandPara"/>
              <w:widowControl w:val="0"/>
              <w:spacing w:line="240" w:lineRule="auto"/>
              <w:ind w:firstLine="0"/>
              <w:rPr>
                <w:rFonts w:ascii="Times New Roman" w:hAnsi="Times New Roman"/>
                <w:szCs w:val="24"/>
              </w:rPr>
            </w:pPr>
            <w:r w:rsidRPr="0070427C">
              <w:rPr>
                <w:rFonts w:ascii="Times New Roman" w:hAnsi="Times New Roman"/>
                <w:szCs w:val="24"/>
              </w:rPr>
              <w:t>Receive data files from international consortium</w:t>
            </w:r>
          </w:p>
        </w:tc>
      </w:tr>
      <w:tr w:rsidR="0070427C" w:rsidTr="00541692" w14:paraId="56DC32F0" w14:textId="77777777">
        <w:trPr>
          <w:trHeight w:val="314"/>
        </w:trPr>
        <w:tc>
          <w:tcPr>
            <w:tcW w:w="143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0427C" w:rsidR="0070427C" w:rsidP="00541692" w:rsidRDefault="0070427C" w14:paraId="347E41B6" w14:textId="77777777">
            <w:pPr>
              <w:pStyle w:val="P1-StandPara"/>
              <w:widowControl w:val="0"/>
              <w:spacing w:line="240" w:lineRule="auto"/>
              <w:ind w:firstLine="0"/>
              <w:rPr>
                <w:rFonts w:ascii="Times New Roman" w:hAnsi="Times New Roman"/>
                <w:szCs w:val="24"/>
              </w:rPr>
            </w:pPr>
            <w:r w:rsidRPr="0070427C">
              <w:rPr>
                <w:rFonts w:ascii="Times New Roman" w:hAnsi="Times New Roman"/>
                <w:szCs w:val="24"/>
              </w:rPr>
              <w:t xml:space="preserve">January </w:t>
            </w:r>
            <w:proofErr w:type="gramStart"/>
            <w:r w:rsidRPr="0070427C">
              <w:rPr>
                <w:rFonts w:ascii="Times New Roman" w:hAnsi="Times New Roman"/>
                <w:strike/>
                <w:color w:val="FF0000"/>
                <w:szCs w:val="24"/>
              </w:rPr>
              <w:t>202</w:t>
            </w:r>
            <w:r>
              <w:rPr>
                <w:rFonts w:ascii="Times New Roman" w:hAnsi="Times New Roman"/>
                <w:strike/>
                <w:color w:val="FF0000"/>
                <w:szCs w:val="24"/>
              </w:rPr>
              <w:t>3</w:t>
            </w:r>
            <w:proofErr w:type="gramEnd"/>
            <w:r w:rsidRPr="0070427C">
              <w:rPr>
                <w:rFonts w:ascii="Times New Roman" w:hAnsi="Times New Roman"/>
                <w:color w:val="FF0000"/>
                <w:szCs w:val="24"/>
              </w:rPr>
              <w:t xml:space="preserve"> 202</w:t>
            </w:r>
            <w:r>
              <w:rPr>
                <w:rFonts w:ascii="Times New Roman" w:hAnsi="Times New Roman"/>
                <w:color w:val="FF0000"/>
                <w:szCs w:val="24"/>
              </w:rPr>
              <w:t>4</w:t>
            </w:r>
            <w:r w:rsidRPr="0070427C">
              <w:rPr>
                <w:rFonts w:ascii="Times New Roman" w:hAnsi="Times New Roman"/>
                <w:szCs w:val="24"/>
              </w:rPr>
              <w:t xml:space="preserve"> —August </w:t>
            </w:r>
            <w:r w:rsidRPr="0070427C">
              <w:rPr>
                <w:rFonts w:ascii="Times New Roman" w:hAnsi="Times New Roman"/>
                <w:strike/>
                <w:color w:val="FF0000"/>
                <w:szCs w:val="24"/>
              </w:rPr>
              <w:t>202</w:t>
            </w:r>
            <w:r>
              <w:rPr>
                <w:rFonts w:ascii="Times New Roman" w:hAnsi="Times New Roman"/>
                <w:strike/>
                <w:color w:val="FF0000"/>
                <w:szCs w:val="24"/>
              </w:rPr>
              <w:t>3</w:t>
            </w:r>
            <w:r w:rsidRPr="0070427C">
              <w:rPr>
                <w:rFonts w:ascii="Times New Roman" w:hAnsi="Times New Roman"/>
                <w:color w:val="FF0000"/>
                <w:szCs w:val="24"/>
              </w:rPr>
              <w:t xml:space="preserve"> 202</w:t>
            </w:r>
            <w:r>
              <w:rPr>
                <w:rFonts w:ascii="Times New Roman" w:hAnsi="Times New Roman"/>
                <w:color w:val="FF0000"/>
                <w:szCs w:val="24"/>
              </w:rPr>
              <w:t>4</w:t>
            </w:r>
          </w:p>
        </w:tc>
        <w:tc>
          <w:tcPr>
            <w:tcW w:w="357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0427C" w:rsidR="0070427C" w:rsidP="00541692" w:rsidRDefault="0070427C" w14:paraId="6AABAB6C" w14:textId="77777777">
            <w:pPr>
              <w:pStyle w:val="P1-StandPara"/>
              <w:widowControl w:val="0"/>
              <w:spacing w:line="240" w:lineRule="auto"/>
              <w:ind w:firstLine="0"/>
              <w:rPr>
                <w:rFonts w:ascii="Times New Roman" w:hAnsi="Times New Roman"/>
                <w:szCs w:val="24"/>
              </w:rPr>
            </w:pPr>
            <w:r w:rsidRPr="0070427C">
              <w:rPr>
                <w:rFonts w:ascii="Times New Roman" w:hAnsi="Times New Roman"/>
                <w:szCs w:val="24"/>
              </w:rPr>
              <w:t>Produce reports</w:t>
            </w:r>
          </w:p>
        </w:tc>
      </w:tr>
    </w:tbl>
    <w:p w:rsidRPr="0070427C" w:rsidR="0070427C" w:rsidP="0070427C" w:rsidRDefault="0070427C" w14:paraId="589AFFD2" w14:textId="77777777">
      <w:pPr>
        <w:pStyle w:val="L1-FlLSp12"/>
        <w:widowControl w:val="0"/>
        <w:spacing w:after="120" w:line="23" w:lineRule="atLeast"/>
        <w:rPr>
          <w:color w:val="FF0000"/>
          <w:sz w:val="20"/>
        </w:rPr>
      </w:pPr>
      <w:r w:rsidRPr="0070427C">
        <w:rPr>
          <w:color w:val="FF0000"/>
          <w:sz w:val="20"/>
        </w:rPr>
        <w:t>* Assumes an average of new daily cases of COVID-19 per 100,000 less than 10 in the greater Washington DC metropolitan area.</w:t>
      </w:r>
      <w:r w:rsidR="00A93FAB">
        <w:rPr>
          <w:color w:val="FF0000"/>
          <w:sz w:val="20"/>
        </w:rPr>
        <w:t xml:space="preserve"> </w:t>
      </w:r>
    </w:p>
    <w:p w:rsidR="0070427C" w:rsidP="00DA6A45" w:rsidRDefault="0070427C" w14:paraId="4D5504F0" w14:textId="77777777">
      <w:pPr>
        <w:rPr>
          <w:b/>
          <w:bCs/>
          <w:u w:val="single"/>
        </w:rPr>
      </w:pPr>
    </w:p>
    <w:p w:rsidR="00DA6A45" w:rsidP="00DA6A45" w:rsidRDefault="00DA6A45" w14:paraId="51AB495F" w14:textId="77777777">
      <w:r w:rsidRPr="00DA6A45">
        <w:rPr>
          <w:b/>
          <w:bCs/>
          <w:u w:val="single"/>
        </w:rPr>
        <w:t>Part B:</w:t>
      </w:r>
      <w:r>
        <w:t xml:space="preserve"> The </w:t>
      </w:r>
      <w:r w:rsidR="00E06B35">
        <w:t xml:space="preserve">field test no longer employs statistical methods for </w:t>
      </w:r>
      <w:proofErr w:type="gramStart"/>
      <w:r w:rsidR="00E06B35">
        <w:t>sampling,</w:t>
      </w:r>
      <w:proofErr w:type="gramEnd"/>
      <w:r w:rsidR="00E06B35">
        <w:t xml:space="preserve"> therefore Part B has been updated significantly and provides a description of the volunteer recruitment and screening approach. </w:t>
      </w:r>
      <w:r>
        <w:t>The population will consist of 250 volunteers, aged 16-65 years. Since o</w:t>
      </w:r>
      <w:r w:rsidRPr="002A4229">
        <w:t xml:space="preserve">lder Adults are at increased risk of serious illness if they become infected with the coronavirus (CDC, 2020 </w:t>
      </w:r>
      <w:hyperlink w:history="1" r:id="rId11">
        <w:r w:rsidRPr="002A4229">
          <w:rPr>
            <w:rStyle w:val="Hyperlink"/>
          </w:rPr>
          <w:t>Older Adults and COVID-19 | CDC</w:t>
        </w:r>
      </w:hyperlink>
      <w:r>
        <w:t xml:space="preserve">), </w:t>
      </w:r>
      <w:r w:rsidRPr="002A4229">
        <w:t xml:space="preserve">persons age 66 and older will not be selected to participate in the 2021 Operational Field Test. </w:t>
      </w:r>
      <w:r w:rsidRPr="00DA6A45">
        <w:t>To achieve a diverse sample, volunteers will be screened on age, gender, education, and race/ethnicity. Ensuring variation in education, English language proficiency and computer/tablet skills will help test functionality across volunteers with varying skill and education levels.</w:t>
      </w:r>
    </w:p>
    <w:p w:rsidR="0029074E" w:rsidP="00DA6A45" w:rsidRDefault="0029074E" w14:paraId="332AA7B7" w14:textId="77777777"/>
    <w:p w:rsidR="0029074E" w:rsidP="00DA6A45" w:rsidRDefault="0029074E" w14:paraId="0670E808" w14:textId="77777777">
      <w:r>
        <w:t xml:space="preserve">In addition, an experiment with incentives for completing the Screener was originally planned for completion during the Field Test. Due to the changes in the structure of the PIAAC Cycle II Field Test, that experiment has been cancelled. </w:t>
      </w:r>
    </w:p>
    <w:p w:rsidR="00DA6A45" w:rsidP="00415AE3" w:rsidRDefault="00DA6A45" w14:paraId="34823880" w14:textId="77777777"/>
    <w:p w:rsidR="003612B0" w:rsidP="008E2F8A" w:rsidRDefault="003612B0" w14:paraId="02BE45D2" w14:textId="77777777">
      <w:r w:rsidRPr="003612B0">
        <w:rPr>
          <w:i/>
        </w:rPr>
        <w:t xml:space="preserve">Other </w:t>
      </w:r>
      <w:r>
        <w:rPr>
          <w:i/>
        </w:rPr>
        <w:t xml:space="preserve">Relevant </w:t>
      </w:r>
      <w:r w:rsidRPr="003612B0">
        <w:rPr>
          <w:i/>
        </w:rPr>
        <w:t>Changes</w:t>
      </w:r>
      <w:r>
        <w:t xml:space="preserve"> </w:t>
      </w:r>
    </w:p>
    <w:p w:rsidR="003612B0" w:rsidP="008E2F8A" w:rsidRDefault="003612B0" w14:paraId="5889290F" w14:textId="77777777"/>
    <w:p w:rsidR="003612B0" w:rsidP="008E2F8A" w:rsidRDefault="003612B0" w14:paraId="20F8FEE4" w14:textId="77777777">
      <w:r>
        <w:t>This update also includes the following updates:</w:t>
      </w:r>
    </w:p>
    <w:p w:rsidR="003612B0" w:rsidP="008E2F8A" w:rsidRDefault="003612B0" w14:paraId="0B574487" w14:textId="77777777"/>
    <w:p w:rsidRPr="002A4229" w:rsidR="00DF74DA" w:rsidP="00E83761" w:rsidRDefault="003612B0" w14:paraId="2DEC9E66" w14:textId="77777777">
      <w:pPr>
        <w:numPr>
          <w:ilvl w:val="0"/>
          <w:numId w:val="50"/>
        </w:numPr>
        <w:spacing w:after="120"/>
      </w:pPr>
      <w:r w:rsidRPr="003612B0">
        <w:rPr>
          <w:i/>
        </w:rPr>
        <w:t>Date References</w:t>
      </w:r>
      <w:r>
        <w:t xml:space="preserve"> </w:t>
      </w:r>
      <w:r w:rsidRPr="002A4229" w:rsidR="00DF74DA">
        <w:t xml:space="preserve">All date references in the submission have been advanced </w:t>
      </w:r>
      <w:r w:rsidR="006B6439">
        <w:t>one year</w:t>
      </w:r>
      <w:r w:rsidR="008E2F8A">
        <w:t xml:space="preserve"> and can be found in the study descriptions (Part </w:t>
      </w:r>
      <w:r w:rsidR="00CA29ED">
        <w:t>A</w:t>
      </w:r>
      <w:r w:rsidR="008E2F8A">
        <w:t xml:space="preserve">, Part B). Also, data collection instruments are updated to reflect the revised date-related edits required </w:t>
      </w:r>
      <w:r w:rsidR="006B6439">
        <w:t>from this</w:t>
      </w:r>
      <w:r w:rsidR="008E2F8A">
        <w:t xml:space="preserve"> delay. </w:t>
      </w:r>
    </w:p>
    <w:p w:rsidRPr="00DA6A45" w:rsidR="00E83761" w:rsidP="00E83761" w:rsidRDefault="00E83761" w14:paraId="69858119" w14:textId="77777777">
      <w:pPr>
        <w:numPr>
          <w:ilvl w:val="0"/>
          <w:numId w:val="50"/>
        </w:numPr>
        <w:spacing w:after="120"/>
      </w:pPr>
      <w:r w:rsidRPr="005600CF">
        <w:rPr>
          <w:i/>
          <w:iCs/>
        </w:rPr>
        <w:t>Changes to Respondent Incentives.</w:t>
      </w:r>
      <w:r>
        <w:t xml:space="preserve"> The original approved design featured field workers visiting sampled respondents’ households and collecting data in their homes. The revised design requires respondents to volunteer for inclusion, and then travel to another site to participate in the 2-hour data collection. Because we need to incentivize respondents to contact us to participate, and because the data collection will now be done outside the home, we have changed the promise incentive amount from $50 to $100. </w:t>
      </w:r>
    </w:p>
    <w:p w:rsidR="000B6FB3" w:rsidP="00DA6A45" w:rsidRDefault="000B6FB3" w14:paraId="41B69850" w14:textId="77777777">
      <w:pPr>
        <w:numPr>
          <w:ilvl w:val="0"/>
          <w:numId w:val="50"/>
        </w:numPr>
      </w:pPr>
      <w:r w:rsidRPr="002A4229">
        <w:rPr>
          <w:i/>
        </w:rPr>
        <w:t>Additional Materials.</w:t>
      </w:r>
      <w:r w:rsidRPr="002A4229">
        <w:t xml:space="preserve"> </w:t>
      </w:r>
      <w:r w:rsidR="00DA6A45">
        <w:t xml:space="preserve">Volunteer recruitment materials appear in Appendix A1, as does an interview introduction guide for the Operational Field Test and some respondent communication materials from the Main Study that will be used in the Operational Field Test. Appendices A2-D are the PIAAC instruments, unchanged since previous submissions. </w:t>
      </w:r>
      <w:r w:rsidRPr="00DA6A45">
        <w:rPr>
          <w:iCs/>
        </w:rPr>
        <w:t xml:space="preserve">Appendix </w:t>
      </w:r>
      <w:r w:rsidRPr="00DA6A45" w:rsidR="00FA6EF1">
        <w:rPr>
          <w:iCs/>
        </w:rPr>
        <w:t>E</w:t>
      </w:r>
      <w:r w:rsidRPr="00DA6A45">
        <w:rPr>
          <w:iCs/>
        </w:rPr>
        <w:t xml:space="preserve"> describes detailed COVID mitigation strategies that Westat management and field staff must follow. This document also provides a description of the </w:t>
      </w:r>
      <w:r w:rsidRPr="00DA6A45">
        <w:t>criteria Westat follows to determine when field deployment is allowable within a specific PSU.</w:t>
      </w:r>
    </w:p>
    <w:p w:rsidRPr="002A4229" w:rsidR="001A4F40" w:rsidP="003848DB" w:rsidRDefault="001A4F40" w14:paraId="14FE150C" w14:textId="77777777"/>
    <w:p w:rsidRPr="002A4229" w:rsidR="00403D92" w:rsidP="00F73EED" w:rsidRDefault="00403D92" w14:paraId="727A3AFB" w14:textId="77777777">
      <w:pPr>
        <w:rPr>
          <w:b/>
        </w:rPr>
      </w:pPr>
      <w:r w:rsidRPr="002A4229">
        <w:rPr>
          <w:b/>
        </w:rPr>
        <w:t xml:space="preserve">II. PIAAC Study Name and Branding Revisions </w:t>
      </w:r>
    </w:p>
    <w:p w:rsidRPr="002A4229" w:rsidR="00403D92" w:rsidP="00AE69C4" w:rsidRDefault="00403D92" w14:paraId="5635B647" w14:textId="77777777"/>
    <w:p w:rsidRPr="002A4229" w:rsidR="00192719" w:rsidP="00192719" w:rsidRDefault="00403D92" w14:paraId="659EAED0" w14:textId="77777777">
      <w:pPr>
        <w:rPr>
          <w:color w:val="FF0000"/>
        </w:rPr>
      </w:pPr>
      <w:r w:rsidRPr="002A4229">
        <w:t xml:space="preserve">In </w:t>
      </w:r>
      <w:r w:rsidRPr="002A4229" w:rsidR="00FB14C6">
        <w:t xml:space="preserve">Cycle I, a user-friendly name for PIAAC Cycle II was created – the International Study of Adult Skills and Learning (ISASL) – to represent the program to the public and for use on all public-facing materials and reports.  </w:t>
      </w:r>
      <w:r w:rsidRPr="002A4229" w:rsidR="0067417C">
        <w:t xml:space="preserve">In the initial submissions for Cycle II (OMB# 1850-0870 v.7-9), this U.S.-specific user-friendly branding was carried forward. </w:t>
      </w:r>
      <w:r w:rsidRPr="002A4229" w:rsidR="00FB14C6">
        <w:t>The International Consortium has since prohibited country-specific logos or branding. In this submission</w:t>
      </w:r>
      <w:r w:rsidRPr="002A4229" w:rsidR="00177E40">
        <w:t>,</w:t>
      </w:r>
      <w:r w:rsidRPr="002A4229" w:rsidR="00FB14C6">
        <w:t xml:space="preserve"> all recruitment and communication materials have been updated to refer to the study as PIAAC. </w:t>
      </w:r>
      <w:r w:rsidRPr="002A4229" w:rsidR="00AE69C4">
        <w:rPr>
          <w:color w:val="FF0000"/>
        </w:rPr>
        <w:t xml:space="preserve"> </w:t>
      </w:r>
      <w:r w:rsidRPr="002A4229" w:rsidR="002748CE">
        <w:t>Version 7 of this submission called attention to the ISASL study name in the public facing materials. All references to ISASL have been removed from Part A and Part B</w:t>
      </w:r>
      <w:r w:rsidRPr="002A4229" w:rsidR="002748CE">
        <w:rPr>
          <w:color w:val="FF0000"/>
        </w:rPr>
        <w:t xml:space="preserve">. </w:t>
      </w:r>
      <w:r w:rsidRPr="002A4229" w:rsidR="002748CE">
        <w:t>Public</w:t>
      </w:r>
      <w:r w:rsidRPr="002A4229" w:rsidR="00B0308E">
        <w:t>-</w:t>
      </w:r>
      <w:r w:rsidRPr="002A4229" w:rsidR="002748CE">
        <w:t xml:space="preserve">facing documents with PIAAC study name logos and branding appear within </w:t>
      </w:r>
      <w:r w:rsidRPr="002A4229" w:rsidR="00951179">
        <w:t xml:space="preserve">Appendix </w:t>
      </w:r>
      <w:r w:rsidR="005D37E4">
        <w:t>E.</w:t>
      </w:r>
    </w:p>
    <w:sectPr w:rsidRPr="002A4229" w:rsidR="00192719" w:rsidSect="00604EB6">
      <w:headerReference w:type="even" r:id="rId12"/>
      <w:footerReference w:type="default" r:id="rId13"/>
      <w:pgSz w:w="12240" w:h="15840" w:code="1"/>
      <w:pgMar w:top="864" w:right="864" w:bottom="720" w:left="864" w:header="432"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C9BBF" w14:textId="77777777" w:rsidR="00633C90" w:rsidRDefault="00633C90">
      <w:r>
        <w:separator/>
      </w:r>
    </w:p>
  </w:endnote>
  <w:endnote w:type="continuationSeparator" w:id="0">
    <w:p w14:paraId="56D95CB4" w14:textId="77777777" w:rsidR="00633C90" w:rsidRDefault="00633C90">
      <w:r>
        <w:continuationSeparator/>
      </w:r>
    </w:p>
  </w:endnote>
  <w:endnote w:type="continuationNotice" w:id="1">
    <w:p w14:paraId="311B1919" w14:textId="77777777" w:rsidR="00633C90" w:rsidRDefault="00633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28E13" w14:textId="77777777" w:rsidR="00B20BD3" w:rsidRDefault="00B20BD3">
    <w:pPr>
      <w:pStyle w:val="Footer"/>
      <w:jc w:val="center"/>
    </w:pPr>
    <w:r>
      <w:fldChar w:fldCharType="begin"/>
    </w:r>
    <w:r>
      <w:instrText xml:space="preserve"> PAGE   \* MERGEFORMAT </w:instrText>
    </w:r>
    <w:r>
      <w:fldChar w:fldCharType="separate"/>
    </w:r>
    <w:r w:rsidR="00E43853">
      <w:rPr>
        <w:noProof/>
      </w:rPr>
      <w:t>3</w:t>
    </w:r>
    <w:r>
      <w:rPr>
        <w:noProof/>
      </w:rPr>
      <w:fldChar w:fldCharType="end"/>
    </w:r>
  </w:p>
  <w:p w14:paraId="56C15315" w14:textId="77777777" w:rsidR="00B20BD3" w:rsidRDefault="00B20BD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5466B" w14:textId="77777777" w:rsidR="00633C90" w:rsidRDefault="00633C90">
      <w:r>
        <w:separator/>
      </w:r>
    </w:p>
  </w:footnote>
  <w:footnote w:type="continuationSeparator" w:id="0">
    <w:p w14:paraId="66B309AC" w14:textId="77777777" w:rsidR="00633C90" w:rsidRDefault="00633C90">
      <w:r>
        <w:continuationSeparator/>
      </w:r>
    </w:p>
  </w:footnote>
  <w:footnote w:type="continuationNotice" w:id="1">
    <w:p w14:paraId="3BDBEA08" w14:textId="77777777" w:rsidR="00633C90" w:rsidRDefault="00633C90"/>
  </w:footnote>
  <w:footnote w:id="2">
    <w:p w14:paraId="2C85534B" w14:textId="77777777" w:rsidR="00E52D00" w:rsidRPr="00EF2426" w:rsidRDefault="00E52D00" w:rsidP="00E52D00">
      <w:pPr>
        <w:pStyle w:val="L1-FlLSp12"/>
        <w:widowControl w:val="0"/>
        <w:spacing w:line="240" w:lineRule="auto"/>
        <w:rPr>
          <w:sz w:val="20"/>
        </w:rPr>
      </w:pPr>
      <w:r w:rsidRPr="00A51E4B">
        <w:rPr>
          <w:rStyle w:val="FootnoteReference"/>
          <w:sz w:val="20"/>
        </w:rPr>
        <w:footnoteRef/>
      </w:r>
      <w:r w:rsidRPr="00A51E4B">
        <w:rPr>
          <w:sz w:val="20"/>
        </w:rPr>
        <w:t xml:space="preserve"> The average hourly earnings of adults derived from May </w:t>
      </w:r>
      <w:r w:rsidRPr="00E52D00">
        <w:rPr>
          <w:strike/>
          <w:color w:val="FF0000"/>
          <w:sz w:val="20"/>
        </w:rPr>
        <w:t>2018</w:t>
      </w:r>
      <w:r w:rsidRPr="00E52D00">
        <w:rPr>
          <w:color w:val="FF0000"/>
          <w:sz w:val="20"/>
        </w:rPr>
        <w:t xml:space="preserve"> 2019</w:t>
      </w:r>
      <w:r w:rsidRPr="00A51E4B">
        <w:rPr>
          <w:sz w:val="20"/>
        </w:rPr>
        <w:t xml:space="preserve"> Bureau of Labor Statistics (BLS) Occupation Employment Statistics is $</w:t>
      </w:r>
      <w:r w:rsidRPr="00E52D00">
        <w:rPr>
          <w:strike/>
          <w:color w:val="FF0000"/>
          <w:sz w:val="20"/>
        </w:rPr>
        <w:t>24.98</w:t>
      </w:r>
      <w:r w:rsidRPr="00E52D00">
        <w:rPr>
          <w:color w:val="FF0000"/>
          <w:sz w:val="20"/>
        </w:rPr>
        <w:t xml:space="preserve"> 25.72</w:t>
      </w:r>
      <w:r w:rsidRPr="00A51E4B">
        <w:rPr>
          <w:sz w:val="20"/>
        </w:rPr>
        <w:t xml:space="preserve">. If mean hourly wage was not provided, it was computed assuming 2,080 hours per year. Source: BLS Occupation Employment Statistics, </w:t>
      </w:r>
      <w:hyperlink r:id="rId1" w:history="1">
        <w:r w:rsidRPr="00A51E4B">
          <w:rPr>
            <w:rStyle w:val="Hyperlink"/>
            <w:sz w:val="20"/>
          </w:rPr>
          <w:t>http://data.bls.gov/oes/</w:t>
        </w:r>
      </w:hyperlink>
      <w:r w:rsidRPr="00A51E4B">
        <w:rPr>
          <w:sz w:val="20"/>
        </w:rPr>
        <w:t xml:space="preserve"> datatype: Occupation code: All employees (00-0000); accessed on </w:t>
      </w:r>
      <w:r w:rsidRPr="0070427C">
        <w:rPr>
          <w:strike/>
          <w:color w:val="FF0000"/>
          <w:sz w:val="20"/>
        </w:rPr>
        <w:t>August 30, 2019</w:t>
      </w:r>
      <w:r w:rsidRPr="0070427C">
        <w:rPr>
          <w:color w:val="FF0000"/>
          <w:sz w:val="20"/>
        </w:rPr>
        <w:t xml:space="preserve"> December 10, 2020</w:t>
      </w:r>
      <w:r w:rsidRPr="00A51E4B">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87D6F" w14:textId="77777777" w:rsidR="00B20BD3" w:rsidRDefault="00B20BD3">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759E"/>
    <w:multiLevelType w:val="multilevel"/>
    <w:tmpl w:val="E4C6345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AC7107"/>
    <w:multiLevelType w:val="hybridMultilevel"/>
    <w:tmpl w:val="C76AD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E07B31"/>
    <w:multiLevelType w:val="hybridMultilevel"/>
    <w:tmpl w:val="385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2106F"/>
    <w:multiLevelType w:val="hybridMultilevel"/>
    <w:tmpl w:val="F76EB858"/>
    <w:lvl w:ilvl="0" w:tplc="DA56BA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D73ED6"/>
    <w:multiLevelType w:val="hybridMultilevel"/>
    <w:tmpl w:val="3FB8D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F43DCF"/>
    <w:multiLevelType w:val="multilevel"/>
    <w:tmpl w:val="926E08E8"/>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E300E1"/>
    <w:multiLevelType w:val="hybridMultilevel"/>
    <w:tmpl w:val="EAE6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14097"/>
    <w:multiLevelType w:val="hybridMultilevel"/>
    <w:tmpl w:val="5FF4AB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43193D"/>
    <w:multiLevelType w:val="hybridMultilevel"/>
    <w:tmpl w:val="1C182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720A0"/>
    <w:multiLevelType w:val="hybridMultilevel"/>
    <w:tmpl w:val="5008D676"/>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25D81353"/>
    <w:multiLevelType w:val="hybridMultilevel"/>
    <w:tmpl w:val="2C06655A"/>
    <w:lvl w:ilvl="0" w:tplc="0F18508E">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88660C5"/>
    <w:multiLevelType w:val="hybridMultilevel"/>
    <w:tmpl w:val="561E20A4"/>
    <w:lvl w:ilvl="0" w:tplc="8F9CE946">
      <w:start w:val="1"/>
      <w:numFmt w:val="bullet"/>
      <w:lvlText w:val=""/>
      <w:lvlJc w:val="left"/>
      <w:pPr>
        <w:tabs>
          <w:tab w:val="num" w:pos="1080"/>
        </w:tabs>
        <w:ind w:left="1080" w:hanging="360"/>
      </w:pPr>
      <w:rPr>
        <w:rFonts w:ascii="Symbol" w:hAnsi="Symbol" w:hint="default"/>
        <w:sz w:val="24"/>
        <w:szCs w:val="24"/>
      </w:rPr>
    </w:lvl>
    <w:lvl w:ilvl="1" w:tplc="FED6E7D8">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7C35C0"/>
    <w:multiLevelType w:val="hybridMultilevel"/>
    <w:tmpl w:val="B0288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326B69"/>
    <w:multiLevelType w:val="hybridMultilevel"/>
    <w:tmpl w:val="622A4530"/>
    <w:lvl w:ilvl="0" w:tplc="AF32C62C">
      <w:start w:val="1"/>
      <w:numFmt w:val="decimal"/>
      <w:lvlText w:val="%1."/>
      <w:lvlJc w:val="left"/>
      <w:pPr>
        <w:ind w:left="1080" w:hanging="360"/>
      </w:pPr>
      <w:rPr>
        <w:b w:val="0"/>
        <w:bCs/>
      </w:rPr>
    </w:lvl>
    <w:lvl w:ilvl="1" w:tplc="8E1C6708">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4B219E"/>
    <w:multiLevelType w:val="hybridMultilevel"/>
    <w:tmpl w:val="233C30C6"/>
    <w:lvl w:ilvl="0" w:tplc="F0162B0E">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E6F019B"/>
    <w:multiLevelType w:val="multilevel"/>
    <w:tmpl w:val="ACEC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A073B0"/>
    <w:multiLevelType w:val="hybridMultilevel"/>
    <w:tmpl w:val="0C86B9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2FC72D26"/>
    <w:multiLevelType w:val="hybridMultilevel"/>
    <w:tmpl w:val="7D0E193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305B5013"/>
    <w:multiLevelType w:val="hybridMultilevel"/>
    <w:tmpl w:val="61125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0654FED"/>
    <w:multiLevelType w:val="hybridMultilevel"/>
    <w:tmpl w:val="F8AA45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0EC7E44"/>
    <w:multiLevelType w:val="hybridMultilevel"/>
    <w:tmpl w:val="8D4C3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E952CF9"/>
    <w:multiLevelType w:val="hybridMultilevel"/>
    <w:tmpl w:val="75165DAE"/>
    <w:lvl w:ilvl="0" w:tplc="4D8A1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DD7132"/>
    <w:multiLevelType w:val="multilevel"/>
    <w:tmpl w:val="CCD8366C"/>
    <w:lvl w:ilvl="0">
      <w:start w:val="1"/>
      <w:numFmt w:val="bullet"/>
      <w:lvlText w:val="o"/>
      <w:lvlJc w:val="left"/>
      <w:pPr>
        <w:tabs>
          <w:tab w:val="num" w:pos="2520"/>
        </w:tabs>
        <w:ind w:left="2520" w:hanging="360"/>
      </w:pPr>
      <w:rPr>
        <w:rFonts w:ascii="Courier New" w:hAnsi="Courier New" w:hint="default"/>
        <w:sz w:val="20"/>
      </w:rPr>
    </w:lvl>
    <w:lvl w:ilvl="1">
      <w:start w:val="1"/>
      <w:numFmt w:val="bullet"/>
      <w:lvlText w:val=""/>
      <w:lvlJc w:val="left"/>
      <w:pPr>
        <w:tabs>
          <w:tab w:val="num" w:pos="3240"/>
        </w:tabs>
        <w:ind w:left="3240" w:hanging="360"/>
      </w:pPr>
      <w:rPr>
        <w:rFonts w:ascii="Symbol" w:hAnsi="Symbol" w:hint="default"/>
        <w:sz w:val="20"/>
      </w:rPr>
    </w:lvl>
    <w:lvl w:ilvl="2" w:tentative="1">
      <w:start w:val="1"/>
      <w:numFmt w:val="bullet"/>
      <w:lvlText w:val="o"/>
      <w:lvlJc w:val="left"/>
      <w:pPr>
        <w:tabs>
          <w:tab w:val="num" w:pos="3960"/>
        </w:tabs>
        <w:ind w:left="3960" w:hanging="360"/>
      </w:pPr>
      <w:rPr>
        <w:rFonts w:ascii="Courier New" w:hAnsi="Courier New" w:hint="default"/>
        <w:sz w:val="20"/>
      </w:rPr>
    </w:lvl>
    <w:lvl w:ilvl="3" w:tentative="1">
      <w:start w:val="1"/>
      <w:numFmt w:val="bullet"/>
      <w:lvlText w:val="o"/>
      <w:lvlJc w:val="left"/>
      <w:pPr>
        <w:tabs>
          <w:tab w:val="num" w:pos="4680"/>
        </w:tabs>
        <w:ind w:left="4680" w:hanging="360"/>
      </w:pPr>
      <w:rPr>
        <w:rFonts w:ascii="Courier New" w:hAnsi="Courier New" w:hint="default"/>
        <w:sz w:val="20"/>
      </w:rPr>
    </w:lvl>
    <w:lvl w:ilvl="4" w:tentative="1">
      <w:start w:val="1"/>
      <w:numFmt w:val="bullet"/>
      <w:lvlText w:val="o"/>
      <w:lvlJc w:val="left"/>
      <w:pPr>
        <w:tabs>
          <w:tab w:val="num" w:pos="5400"/>
        </w:tabs>
        <w:ind w:left="5400" w:hanging="360"/>
      </w:pPr>
      <w:rPr>
        <w:rFonts w:ascii="Courier New" w:hAnsi="Courier New" w:hint="default"/>
        <w:sz w:val="20"/>
      </w:rPr>
    </w:lvl>
    <w:lvl w:ilvl="5" w:tentative="1">
      <w:start w:val="1"/>
      <w:numFmt w:val="bullet"/>
      <w:lvlText w:val="o"/>
      <w:lvlJc w:val="left"/>
      <w:pPr>
        <w:tabs>
          <w:tab w:val="num" w:pos="6120"/>
        </w:tabs>
        <w:ind w:left="6120" w:hanging="360"/>
      </w:pPr>
      <w:rPr>
        <w:rFonts w:ascii="Courier New" w:hAnsi="Courier New" w:hint="default"/>
        <w:sz w:val="20"/>
      </w:rPr>
    </w:lvl>
    <w:lvl w:ilvl="6" w:tentative="1">
      <w:start w:val="1"/>
      <w:numFmt w:val="bullet"/>
      <w:lvlText w:val="o"/>
      <w:lvlJc w:val="left"/>
      <w:pPr>
        <w:tabs>
          <w:tab w:val="num" w:pos="6840"/>
        </w:tabs>
        <w:ind w:left="6840" w:hanging="360"/>
      </w:pPr>
      <w:rPr>
        <w:rFonts w:ascii="Courier New" w:hAnsi="Courier New" w:hint="default"/>
        <w:sz w:val="20"/>
      </w:rPr>
    </w:lvl>
    <w:lvl w:ilvl="7" w:tentative="1">
      <w:start w:val="1"/>
      <w:numFmt w:val="bullet"/>
      <w:lvlText w:val="o"/>
      <w:lvlJc w:val="left"/>
      <w:pPr>
        <w:tabs>
          <w:tab w:val="num" w:pos="7560"/>
        </w:tabs>
        <w:ind w:left="7560" w:hanging="360"/>
      </w:pPr>
      <w:rPr>
        <w:rFonts w:ascii="Courier New" w:hAnsi="Courier New" w:hint="default"/>
        <w:sz w:val="20"/>
      </w:rPr>
    </w:lvl>
    <w:lvl w:ilvl="8" w:tentative="1">
      <w:start w:val="1"/>
      <w:numFmt w:val="bullet"/>
      <w:lvlText w:val="o"/>
      <w:lvlJc w:val="left"/>
      <w:pPr>
        <w:tabs>
          <w:tab w:val="num" w:pos="8280"/>
        </w:tabs>
        <w:ind w:left="8280" w:hanging="360"/>
      </w:pPr>
      <w:rPr>
        <w:rFonts w:ascii="Courier New" w:hAnsi="Courier New" w:hint="default"/>
        <w:sz w:val="20"/>
      </w:rPr>
    </w:lvl>
  </w:abstractNum>
  <w:abstractNum w:abstractNumId="28" w15:restartNumberingAfterBreak="0">
    <w:nsid w:val="4094286A"/>
    <w:multiLevelType w:val="hybridMultilevel"/>
    <w:tmpl w:val="4F48D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CC12CD"/>
    <w:multiLevelType w:val="hybridMultilevel"/>
    <w:tmpl w:val="5B36B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CC0037"/>
    <w:multiLevelType w:val="hybridMultilevel"/>
    <w:tmpl w:val="8AFC5AAE"/>
    <w:lvl w:ilvl="0" w:tplc="62E6A3E4">
      <w:start w:val="1"/>
      <w:numFmt w:val="bullet"/>
      <w:lvlText w:val=""/>
      <w:lvlJc w:val="left"/>
      <w:pPr>
        <w:tabs>
          <w:tab w:val="num" w:pos="360"/>
        </w:tabs>
        <w:ind w:left="360" w:hanging="360"/>
      </w:pPr>
      <w:rPr>
        <w:rFonts w:ascii="Symbol" w:hAnsi="Symbol" w:hint="default"/>
        <w:sz w:val="24"/>
      </w:rPr>
    </w:lvl>
    <w:lvl w:ilvl="1" w:tplc="E500C300">
      <w:start w:val="1"/>
      <w:numFmt w:val="bullet"/>
      <w:lvlText w:val=""/>
      <w:lvlJc w:val="left"/>
      <w:pPr>
        <w:tabs>
          <w:tab w:val="num" w:pos="720"/>
        </w:tabs>
        <w:ind w:left="720" w:hanging="360"/>
      </w:pPr>
      <w:rPr>
        <w:rFonts w:ascii="Symbol" w:hAnsi="Symbol" w:hint="default"/>
        <w:sz w:val="24"/>
      </w:rPr>
    </w:lvl>
    <w:lvl w:ilvl="2" w:tplc="4CA0E354">
      <w:start w:val="1"/>
      <w:numFmt w:val="bullet"/>
      <w:lvlText w:val=""/>
      <w:lvlJc w:val="left"/>
      <w:pPr>
        <w:tabs>
          <w:tab w:val="num" w:pos="1440"/>
        </w:tabs>
        <w:ind w:left="1440" w:hanging="360"/>
      </w:pPr>
      <w:rPr>
        <w:rFonts w:ascii="Wingdings" w:hAnsi="Wingdings" w:hint="default"/>
      </w:rPr>
    </w:lvl>
    <w:lvl w:ilvl="3" w:tplc="B89E221E">
      <w:start w:val="1"/>
      <w:numFmt w:val="bullet"/>
      <w:lvlText w:val=""/>
      <w:lvlJc w:val="left"/>
      <w:pPr>
        <w:tabs>
          <w:tab w:val="num" w:pos="2160"/>
        </w:tabs>
        <w:ind w:left="2160" w:hanging="360"/>
      </w:pPr>
      <w:rPr>
        <w:rFonts w:ascii="Symbol" w:hAnsi="Symbol" w:hint="default"/>
      </w:rPr>
    </w:lvl>
    <w:lvl w:ilvl="4" w:tplc="5F769654">
      <w:start w:val="1"/>
      <w:numFmt w:val="bullet"/>
      <w:lvlText w:val="o"/>
      <w:lvlJc w:val="left"/>
      <w:pPr>
        <w:tabs>
          <w:tab w:val="num" w:pos="2880"/>
        </w:tabs>
        <w:ind w:left="2880" w:hanging="360"/>
      </w:pPr>
      <w:rPr>
        <w:rFonts w:ascii="Courier New" w:hAnsi="Courier New" w:hint="default"/>
      </w:rPr>
    </w:lvl>
    <w:lvl w:ilvl="5" w:tplc="91201F88">
      <w:start w:val="1"/>
      <w:numFmt w:val="bullet"/>
      <w:lvlText w:val=""/>
      <w:lvlJc w:val="left"/>
      <w:pPr>
        <w:tabs>
          <w:tab w:val="num" w:pos="3600"/>
        </w:tabs>
        <w:ind w:left="3600" w:hanging="360"/>
      </w:pPr>
      <w:rPr>
        <w:rFonts w:ascii="Wingdings" w:hAnsi="Wingdings" w:hint="default"/>
      </w:rPr>
    </w:lvl>
    <w:lvl w:ilvl="6" w:tplc="2E524F4A">
      <w:start w:val="1"/>
      <w:numFmt w:val="bullet"/>
      <w:lvlText w:val=""/>
      <w:lvlJc w:val="left"/>
      <w:pPr>
        <w:tabs>
          <w:tab w:val="num" w:pos="4320"/>
        </w:tabs>
        <w:ind w:left="4320" w:hanging="360"/>
      </w:pPr>
      <w:rPr>
        <w:rFonts w:ascii="Symbol" w:hAnsi="Symbol" w:hint="default"/>
      </w:rPr>
    </w:lvl>
    <w:lvl w:ilvl="7" w:tplc="21A4F826">
      <w:start w:val="1"/>
      <w:numFmt w:val="bullet"/>
      <w:lvlText w:val="o"/>
      <w:lvlJc w:val="left"/>
      <w:pPr>
        <w:tabs>
          <w:tab w:val="num" w:pos="5040"/>
        </w:tabs>
        <w:ind w:left="5040" w:hanging="360"/>
      </w:pPr>
      <w:rPr>
        <w:rFonts w:ascii="Courier New" w:hAnsi="Courier New" w:hint="default"/>
      </w:rPr>
    </w:lvl>
    <w:lvl w:ilvl="8" w:tplc="75D4B268">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42B1483D"/>
    <w:multiLevelType w:val="hybridMultilevel"/>
    <w:tmpl w:val="05E0D7C2"/>
    <w:lvl w:ilvl="0" w:tplc="0F18508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3EB4F32"/>
    <w:multiLevelType w:val="hybridMultilevel"/>
    <w:tmpl w:val="0D9427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7905D5"/>
    <w:multiLevelType w:val="hybridMultilevel"/>
    <w:tmpl w:val="BFEC52BC"/>
    <w:lvl w:ilvl="0" w:tplc="04090001">
      <w:start w:val="1"/>
      <w:numFmt w:val="bullet"/>
      <w:lvlText w:val=""/>
      <w:lvlJc w:val="left"/>
      <w:pPr>
        <w:ind w:left="415" w:hanging="360"/>
      </w:pPr>
      <w:rPr>
        <w:rFonts w:ascii="Symbol" w:hAnsi="Symbol"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34" w15:restartNumberingAfterBreak="0">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496A20BE"/>
    <w:multiLevelType w:val="hybridMultilevel"/>
    <w:tmpl w:val="0EF667CE"/>
    <w:lvl w:ilvl="0" w:tplc="E22A0990">
      <w:start w:val="2004"/>
      <w:numFmt w:val="bullet"/>
      <w:lvlText w:val=""/>
      <w:lvlJc w:val="left"/>
      <w:pPr>
        <w:tabs>
          <w:tab w:val="num" w:pos="900"/>
        </w:tabs>
        <w:ind w:left="900" w:hanging="360"/>
      </w:pPr>
      <w:rPr>
        <w:rFonts w:ascii="Symbol" w:eastAsia="Times New Roman" w:hAnsi="Symbol" w:cs="Arial" w:hint="default"/>
      </w:rPr>
    </w:lvl>
    <w:lvl w:ilvl="1" w:tplc="0409000F">
      <w:start w:val="1"/>
      <w:numFmt w:val="decimal"/>
      <w:lvlText w:val="%2."/>
      <w:lvlJc w:val="left"/>
      <w:pPr>
        <w:tabs>
          <w:tab w:val="num" w:pos="1620"/>
        </w:tabs>
        <w:ind w:left="1620" w:hanging="360"/>
      </w:pPr>
      <w:rPr>
        <w:rFont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535A615C"/>
    <w:multiLevelType w:val="hybridMultilevel"/>
    <w:tmpl w:val="90BAC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D3006B"/>
    <w:multiLevelType w:val="hybridMultilevel"/>
    <w:tmpl w:val="F65A81D6"/>
    <w:lvl w:ilvl="0" w:tplc="90F80A0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4C12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5A7208E0"/>
    <w:multiLevelType w:val="hybridMultilevel"/>
    <w:tmpl w:val="623620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2F92433"/>
    <w:multiLevelType w:val="multilevel"/>
    <w:tmpl w:val="E4C6345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6522D4B"/>
    <w:multiLevelType w:val="hybridMultilevel"/>
    <w:tmpl w:val="B030B4C8"/>
    <w:lvl w:ilvl="0" w:tplc="750A6D1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414183"/>
    <w:multiLevelType w:val="hybridMultilevel"/>
    <w:tmpl w:val="EDFA1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CD06B2"/>
    <w:multiLevelType w:val="hybridMultilevel"/>
    <w:tmpl w:val="2E8C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D83A27"/>
    <w:multiLevelType w:val="hybridMultilevel"/>
    <w:tmpl w:val="A266CF5C"/>
    <w:lvl w:ilvl="0" w:tplc="6EF2C2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2B709C"/>
    <w:multiLevelType w:val="hybridMultilevel"/>
    <w:tmpl w:val="CA022F7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8" w15:restartNumberingAfterBreak="0">
    <w:nsid w:val="7C6F0EDE"/>
    <w:multiLevelType w:val="hybridMultilevel"/>
    <w:tmpl w:val="30524528"/>
    <w:lvl w:ilvl="0" w:tplc="333878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0D12CA"/>
    <w:multiLevelType w:val="hybridMultilevel"/>
    <w:tmpl w:val="4D504C80"/>
    <w:lvl w:ilvl="0" w:tplc="29367F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4"/>
  </w:num>
  <w:num w:numId="3">
    <w:abstractNumId w:val="7"/>
  </w:num>
  <w:num w:numId="4">
    <w:abstractNumId w:val="44"/>
  </w:num>
  <w:num w:numId="5">
    <w:abstractNumId w:val="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num>
  <w:num w:numId="8">
    <w:abstractNumId w:val="11"/>
  </w:num>
  <w:num w:numId="9">
    <w:abstractNumId w:val="17"/>
  </w:num>
  <w:num w:numId="10">
    <w:abstractNumId w:val="23"/>
  </w:num>
  <w:num w:numId="11">
    <w:abstractNumId w:val="20"/>
  </w:num>
  <w:num w:numId="12">
    <w:abstractNumId w:val="14"/>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num>
  <w:num w:numId="16">
    <w:abstractNumId w:val="24"/>
  </w:num>
  <w:num w:numId="17">
    <w:abstractNumId w:val="4"/>
  </w:num>
  <w:num w:numId="18">
    <w:abstractNumId w:val="1"/>
  </w:num>
  <w:num w:numId="19">
    <w:abstractNumId w:val="18"/>
  </w:num>
  <w:num w:numId="20">
    <w:abstractNumId w:val="30"/>
  </w:num>
  <w:num w:numId="21">
    <w:abstractNumId w:val="36"/>
  </w:num>
  <w:num w:numId="22">
    <w:abstractNumId w:val="33"/>
  </w:num>
  <w:num w:numId="23">
    <w:abstractNumId w:val="0"/>
  </w:num>
  <w:num w:numId="24">
    <w:abstractNumId w:val="27"/>
  </w:num>
  <w:num w:numId="25">
    <w:abstractNumId w:val="19"/>
  </w:num>
  <w:num w:numId="26">
    <w:abstractNumId w:val="12"/>
  </w:num>
  <w:num w:numId="27">
    <w:abstractNumId w:val="41"/>
  </w:num>
  <w:num w:numId="28">
    <w:abstractNumId w:val="6"/>
  </w:num>
  <w:num w:numId="29">
    <w:abstractNumId w:val="40"/>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45"/>
  </w:num>
  <w:num w:numId="32">
    <w:abstractNumId w:val="35"/>
  </w:num>
  <w:num w:numId="33">
    <w:abstractNumId w:val="43"/>
  </w:num>
  <w:num w:numId="34">
    <w:abstractNumId w:val="15"/>
  </w:num>
  <w:num w:numId="35">
    <w:abstractNumId w:val="26"/>
  </w:num>
  <w:num w:numId="36">
    <w:abstractNumId w:val="21"/>
  </w:num>
  <w:num w:numId="37">
    <w:abstractNumId w:val="38"/>
  </w:num>
  <w:num w:numId="38">
    <w:abstractNumId w:val="25"/>
  </w:num>
  <w:num w:numId="39">
    <w:abstractNumId w:val="32"/>
  </w:num>
  <w:num w:numId="40">
    <w:abstractNumId w:val="39"/>
  </w:num>
  <w:num w:numId="41">
    <w:abstractNumId w:val="29"/>
  </w:num>
  <w:num w:numId="42">
    <w:abstractNumId w:val="47"/>
  </w:num>
  <w:num w:numId="43">
    <w:abstractNumId w:val="22"/>
  </w:num>
  <w:num w:numId="44">
    <w:abstractNumId w:val="28"/>
  </w:num>
  <w:num w:numId="45">
    <w:abstractNumId w:val="46"/>
  </w:num>
  <w:num w:numId="46">
    <w:abstractNumId w:val="3"/>
  </w:num>
  <w:num w:numId="47">
    <w:abstractNumId w:val="16"/>
  </w:num>
  <w:num w:numId="48">
    <w:abstractNumId w:val="42"/>
  </w:num>
  <w:num w:numId="49">
    <w:abstractNumId w:val="48"/>
  </w:num>
  <w:num w:numId="5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4030"/>
    <w:rsid w:val="000003C4"/>
    <w:rsid w:val="00002263"/>
    <w:rsid w:val="00002559"/>
    <w:rsid w:val="000028D2"/>
    <w:rsid w:val="00003171"/>
    <w:rsid w:val="00004942"/>
    <w:rsid w:val="000148E5"/>
    <w:rsid w:val="00015F74"/>
    <w:rsid w:val="00016E97"/>
    <w:rsid w:val="00016F48"/>
    <w:rsid w:val="00021520"/>
    <w:rsid w:val="000227D8"/>
    <w:rsid w:val="000237B6"/>
    <w:rsid w:val="00026D24"/>
    <w:rsid w:val="00034778"/>
    <w:rsid w:val="00034BCE"/>
    <w:rsid w:val="000360AA"/>
    <w:rsid w:val="00037B40"/>
    <w:rsid w:val="00040175"/>
    <w:rsid w:val="00040975"/>
    <w:rsid w:val="000409A3"/>
    <w:rsid w:val="00040BC2"/>
    <w:rsid w:val="00043BAF"/>
    <w:rsid w:val="0004519B"/>
    <w:rsid w:val="000520EB"/>
    <w:rsid w:val="0005249A"/>
    <w:rsid w:val="00052FD5"/>
    <w:rsid w:val="000537AA"/>
    <w:rsid w:val="000542D5"/>
    <w:rsid w:val="00054505"/>
    <w:rsid w:val="0005595A"/>
    <w:rsid w:val="0005668B"/>
    <w:rsid w:val="000623E3"/>
    <w:rsid w:val="000642A2"/>
    <w:rsid w:val="000650B2"/>
    <w:rsid w:val="00071633"/>
    <w:rsid w:val="0007293E"/>
    <w:rsid w:val="00073EA3"/>
    <w:rsid w:val="000754A3"/>
    <w:rsid w:val="00075654"/>
    <w:rsid w:val="0007600F"/>
    <w:rsid w:val="00080A18"/>
    <w:rsid w:val="0008164A"/>
    <w:rsid w:val="00081989"/>
    <w:rsid w:val="00081A1A"/>
    <w:rsid w:val="00084F1D"/>
    <w:rsid w:val="0008530A"/>
    <w:rsid w:val="00085D18"/>
    <w:rsid w:val="00086C1B"/>
    <w:rsid w:val="00087175"/>
    <w:rsid w:val="000910F8"/>
    <w:rsid w:val="00092983"/>
    <w:rsid w:val="00092D40"/>
    <w:rsid w:val="000935F8"/>
    <w:rsid w:val="0009624B"/>
    <w:rsid w:val="00097642"/>
    <w:rsid w:val="000A00AC"/>
    <w:rsid w:val="000A2BC2"/>
    <w:rsid w:val="000A2EB9"/>
    <w:rsid w:val="000A361F"/>
    <w:rsid w:val="000A3E8C"/>
    <w:rsid w:val="000A64CB"/>
    <w:rsid w:val="000A65A0"/>
    <w:rsid w:val="000B16EB"/>
    <w:rsid w:val="000B559B"/>
    <w:rsid w:val="000B6FB3"/>
    <w:rsid w:val="000B6FFB"/>
    <w:rsid w:val="000C14F8"/>
    <w:rsid w:val="000C6B30"/>
    <w:rsid w:val="000C6FF1"/>
    <w:rsid w:val="000C7907"/>
    <w:rsid w:val="000D00E3"/>
    <w:rsid w:val="000D2D03"/>
    <w:rsid w:val="000D6816"/>
    <w:rsid w:val="000D740B"/>
    <w:rsid w:val="000E20DB"/>
    <w:rsid w:val="000E2C3F"/>
    <w:rsid w:val="000E3482"/>
    <w:rsid w:val="000E3EE7"/>
    <w:rsid w:val="000E4457"/>
    <w:rsid w:val="000E462B"/>
    <w:rsid w:val="000E6B74"/>
    <w:rsid w:val="000F0F6C"/>
    <w:rsid w:val="000F1D53"/>
    <w:rsid w:val="00100049"/>
    <w:rsid w:val="001022E0"/>
    <w:rsid w:val="001035AF"/>
    <w:rsid w:val="0011040D"/>
    <w:rsid w:val="001104B5"/>
    <w:rsid w:val="001106E4"/>
    <w:rsid w:val="001107AC"/>
    <w:rsid w:val="001155FD"/>
    <w:rsid w:val="00116F6A"/>
    <w:rsid w:val="00120855"/>
    <w:rsid w:val="00121388"/>
    <w:rsid w:val="0012594E"/>
    <w:rsid w:val="00127010"/>
    <w:rsid w:val="0013234E"/>
    <w:rsid w:val="001325AB"/>
    <w:rsid w:val="001347BD"/>
    <w:rsid w:val="00134806"/>
    <w:rsid w:val="00137A37"/>
    <w:rsid w:val="00141449"/>
    <w:rsid w:val="00141485"/>
    <w:rsid w:val="00141602"/>
    <w:rsid w:val="00142213"/>
    <w:rsid w:val="001423D7"/>
    <w:rsid w:val="00142F21"/>
    <w:rsid w:val="00143831"/>
    <w:rsid w:val="00143CCC"/>
    <w:rsid w:val="00145386"/>
    <w:rsid w:val="00146450"/>
    <w:rsid w:val="00146B69"/>
    <w:rsid w:val="001502A3"/>
    <w:rsid w:val="00150A36"/>
    <w:rsid w:val="00156F2C"/>
    <w:rsid w:val="00161954"/>
    <w:rsid w:val="0016211D"/>
    <w:rsid w:val="00164B62"/>
    <w:rsid w:val="001666EC"/>
    <w:rsid w:val="0017043C"/>
    <w:rsid w:val="00171FFF"/>
    <w:rsid w:val="00172488"/>
    <w:rsid w:val="00174377"/>
    <w:rsid w:val="00174A49"/>
    <w:rsid w:val="0017703F"/>
    <w:rsid w:val="00177485"/>
    <w:rsid w:val="00177D06"/>
    <w:rsid w:val="00177E40"/>
    <w:rsid w:val="0018287C"/>
    <w:rsid w:val="00183FB9"/>
    <w:rsid w:val="001843AE"/>
    <w:rsid w:val="00184DF3"/>
    <w:rsid w:val="00184FED"/>
    <w:rsid w:val="00185E89"/>
    <w:rsid w:val="001869AE"/>
    <w:rsid w:val="0019187E"/>
    <w:rsid w:val="001918D8"/>
    <w:rsid w:val="00192719"/>
    <w:rsid w:val="00194453"/>
    <w:rsid w:val="0019469C"/>
    <w:rsid w:val="00194F9A"/>
    <w:rsid w:val="001A0238"/>
    <w:rsid w:val="001A269D"/>
    <w:rsid w:val="001A2725"/>
    <w:rsid w:val="001A43B8"/>
    <w:rsid w:val="001A4F40"/>
    <w:rsid w:val="001A60C7"/>
    <w:rsid w:val="001A7109"/>
    <w:rsid w:val="001A7C89"/>
    <w:rsid w:val="001B15CB"/>
    <w:rsid w:val="001B27F4"/>
    <w:rsid w:val="001B51CF"/>
    <w:rsid w:val="001B5B26"/>
    <w:rsid w:val="001B62D8"/>
    <w:rsid w:val="001B6BD2"/>
    <w:rsid w:val="001B7ECC"/>
    <w:rsid w:val="001C4368"/>
    <w:rsid w:val="001C443B"/>
    <w:rsid w:val="001C4665"/>
    <w:rsid w:val="001C4FA2"/>
    <w:rsid w:val="001D0FAD"/>
    <w:rsid w:val="001D1B75"/>
    <w:rsid w:val="001D1E49"/>
    <w:rsid w:val="001D32C2"/>
    <w:rsid w:val="001D48CF"/>
    <w:rsid w:val="001D5696"/>
    <w:rsid w:val="001E3C6D"/>
    <w:rsid w:val="001E453A"/>
    <w:rsid w:val="001E475E"/>
    <w:rsid w:val="001E6D7A"/>
    <w:rsid w:val="001F120D"/>
    <w:rsid w:val="001F3C39"/>
    <w:rsid w:val="001F4030"/>
    <w:rsid w:val="001F5652"/>
    <w:rsid w:val="002008EF"/>
    <w:rsid w:val="00200D05"/>
    <w:rsid w:val="00201B4E"/>
    <w:rsid w:val="00202382"/>
    <w:rsid w:val="002029FE"/>
    <w:rsid w:val="00204DC8"/>
    <w:rsid w:val="00204EC3"/>
    <w:rsid w:val="00207E42"/>
    <w:rsid w:val="00210577"/>
    <w:rsid w:val="002145B9"/>
    <w:rsid w:val="0021494B"/>
    <w:rsid w:val="002151DA"/>
    <w:rsid w:val="00215C30"/>
    <w:rsid w:val="0022151E"/>
    <w:rsid w:val="00226AEE"/>
    <w:rsid w:val="002305F8"/>
    <w:rsid w:val="00230931"/>
    <w:rsid w:val="00232B17"/>
    <w:rsid w:val="00237A0E"/>
    <w:rsid w:val="00241713"/>
    <w:rsid w:val="002451CB"/>
    <w:rsid w:val="00246DD3"/>
    <w:rsid w:val="0025009B"/>
    <w:rsid w:val="002509CA"/>
    <w:rsid w:val="002526C7"/>
    <w:rsid w:val="002559BF"/>
    <w:rsid w:val="00257429"/>
    <w:rsid w:val="00263D7E"/>
    <w:rsid w:val="00263F83"/>
    <w:rsid w:val="00267F0C"/>
    <w:rsid w:val="0027051E"/>
    <w:rsid w:val="002717E7"/>
    <w:rsid w:val="0027358C"/>
    <w:rsid w:val="002748CE"/>
    <w:rsid w:val="00276F00"/>
    <w:rsid w:val="00277797"/>
    <w:rsid w:val="00281686"/>
    <w:rsid w:val="002835AD"/>
    <w:rsid w:val="00283FD8"/>
    <w:rsid w:val="002855DA"/>
    <w:rsid w:val="00286C7E"/>
    <w:rsid w:val="002872FD"/>
    <w:rsid w:val="0029074E"/>
    <w:rsid w:val="0029166E"/>
    <w:rsid w:val="002954B4"/>
    <w:rsid w:val="00296BF9"/>
    <w:rsid w:val="002A0094"/>
    <w:rsid w:val="002A3E8E"/>
    <w:rsid w:val="002A4229"/>
    <w:rsid w:val="002A5B7E"/>
    <w:rsid w:val="002A7553"/>
    <w:rsid w:val="002B3840"/>
    <w:rsid w:val="002B4BD2"/>
    <w:rsid w:val="002B557E"/>
    <w:rsid w:val="002B642E"/>
    <w:rsid w:val="002B665B"/>
    <w:rsid w:val="002B6DE5"/>
    <w:rsid w:val="002B7142"/>
    <w:rsid w:val="002B7CBC"/>
    <w:rsid w:val="002C18AE"/>
    <w:rsid w:val="002C32A6"/>
    <w:rsid w:val="002C3312"/>
    <w:rsid w:val="002C43B0"/>
    <w:rsid w:val="002C750F"/>
    <w:rsid w:val="002D01E2"/>
    <w:rsid w:val="002D34C1"/>
    <w:rsid w:val="002D7224"/>
    <w:rsid w:val="002E0CB1"/>
    <w:rsid w:val="002E19CF"/>
    <w:rsid w:val="002E34EA"/>
    <w:rsid w:val="002E5E18"/>
    <w:rsid w:val="002E6593"/>
    <w:rsid w:val="002F00C7"/>
    <w:rsid w:val="002F059C"/>
    <w:rsid w:val="002F3ACB"/>
    <w:rsid w:val="002F4659"/>
    <w:rsid w:val="002F522B"/>
    <w:rsid w:val="003009C4"/>
    <w:rsid w:val="003029B7"/>
    <w:rsid w:val="00302A69"/>
    <w:rsid w:val="0030586F"/>
    <w:rsid w:val="003103BD"/>
    <w:rsid w:val="003200C7"/>
    <w:rsid w:val="00326551"/>
    <w:rsid w:val="003308B7"/>
    <w:rsid w:val="00330CD4"/>
    <w:rsid w:val="00330DF3"/>
    <w:rsid w:val="00332A11"/>
    <w:rsid w:val="00332E69"/>
    <w:rsid w:val="0033332C"/>
    <w:rsid w:val="003345F0"/>
    <w:rsid w:val="00335504"/>
    <w:rsid w:val="00336449"/>
    <w:rsid w:val="003479C8"/>
    <w:rsid w:val="0035035A"/>
    <w:rsid w:val="003510C4"/>
    <w:rsid w:val="00352E80"/>
    <w:rsid w:val="00352F35"/>
    <w:rsid w:val="003530FD"/>
    <w:rsid w:val="0035369E"/>
    <w:rsid w:val="00354151"/>
    <w:rsid w:val="003541DE"/>
    <w:rsid w:val="003547E7"/>
    <w:rsid w:val="00354B78"/>
    <w:rsid w:val="00355A38"/>
    <w:rsid w:val="00355F38"/>
    <w:rsid w:val="00357279"/>
    <w:rsid w:val="00360B25"/>
    <w:rsid w:val="003612B0"/>
    <w:rsid w:val="0036195F"/>
    <w:rsid w:val="00363842"/>
    <w:rsid w:val="00365405"/>
    <w:rsid w:val="00366AC3"/>
    <w:rsid w:val="00367DE5"/>
    <w:rsid w:val="00370848"/>
    <w:rsid w:val="00373C8B"/>
    <w:rsid w:val="00376124"/>
    <w:rsid w:val="0037710B"/>
    <w:rsid w:val="003804A2"/>
    <w:rsid w:val="003805AC"/>
    <w:rsid w:val="003805C1"/>
    <w:rsid w:val="00381B73"/>
    <w:rsid w:val="00383320"/>
    <w:rsid w:val="00384346"/>
    <w:rsid w:val="003848DB"/>
    <w:rsid w:val="00385062"/>
    <w:rsid w:val="003855C2"/>
    <w:rsid w:val="00385C6C"/>
    <w:rsid w:val="0038665B"/>
    <w:rsid w:val="00394461"/>
    <w:rsid w:val="00394569"/>
    <w:rsid w:val="003965C4"/>
    <w:rsid w:val="00396ED0"/>
    <w:rsid w:val="003A1B30"/>
    <w:rsid w:val="003A2D62"/>
    <w:rsid w:val="003A3CC2"/>
    <w:rsid w:val="003A797A"/>
    <w:rsid w:val="003B29BE"/>
    <w:rsid w:val="003B36CE"/>
    <w:rsid w:val="003C11F8"/>
    <w:rsid w:val="003C3A66"/>
    <w:rsid w:val="003C6577"/>
    <w:rsid w:val="003C6D20"/>
    <w:rsid w:val="003D0ECC"/>
    <w:rsid w:val="003D0EE1"/>
    <w:rsid w:val="003D4730"/>
    <w:rsid w:val="003D5346"/>
    <w:rsid w:val="003D5E60"/>
    <w:rsid w:val="003D737C"/>
    <w:rsid w:val="003D7C27"/>
    <w:rsid w:val="003F1DD9"/>
    <w:rsid w:val="003F22CC"/>
    <w:rsid w:val="003F2EB5"/>
    <w:rsid w:val="003F4077"/>
    <w:rsid w:val="003F4DB8"/>
    <w:rsid w:val="003F4FC2"/>
    <w:rsid w:val="003F6EF4"/>
    <w:rsid w:val="00403D92"/>
    <w:rsid w:val="00403FCD"/>
    <w:rsid w:val="00404267"/>
    <w:rsid w:val="00405343"/>
    <w:rsid w:val="00406CDE"/>
    <w:rsid w:val="00407BE1"/>
    <w:rsid w:val="00410094"/>
    <w:rsid w:val="00410846"/>
    <w:rsid w:val="00411547"/>
    <w:rsid w:val="00415AE3"/>
    <w:rsid w:val="00416CCB"/>
    <w:rsid w:val="00421D9B"/>
    <w:rsid w:val="00423961"/>
    <w:rsid w:val="00423DAD"/>
    <w:rsid w:val="0042614E"/>
    <w:rsid w:val="004268C9"/>
    <w:rsid w:val="00426EBB"/>
    <w:rsid w:val="00435C15"/>
    <w:rsid w:val="00436125"/>
    <w:rsid w:val="004367C0"/>
    <w:rsid w:val="00443339"/>
    <w:rsid w:val="00444FF8"/>
    <w:rsid w:val="00450CC6"/>
    <w:rsid w:val="00452B5B"/>
    <w:rsid w:val="00454F6A"/>
    <w:rsid w:val="0045544D"/>
    <w:rsid w:val="00463D67"/>
    <w:rsid w:val="00463F87"/>
    <w:rsid w:val="00464456"/>
    <w:rsid w:val="004647B2"/>
    <w:rsid w:val="004702E9"/>
    <w:rsid w:val="0047088D"/>
    <w:rsid w:val="00473DB3"/>
    <w:rsid w:val="00474972"/>
    <w:rsid w:val="00476902"/>
    <w:rsid w:val="004770ED"/>
    <w:rsid w:val="00481ECD"/>
    <w:rsid w:val="00482476"/>
    <w:rsid w:val="004862BB"/>
    <w:rsid w:val="00486BE0"/>
    <w:rsid w:val="0048758A"/>
    <w:rsid w:val="00487CED"/>
    <w:rsid w:val="00490E2F"/>
    <w:rsid w:val="004961A0"/>
    <w:rsid w:val="0049674A"/>
    <w:rsid w:val="004974C5"/>
    <w:rsid w:val="004A2226"/>
    <w:rsid w:val="004A25B4"/>
    <w:rsid w:val="004A2C63"/>
    <w:rsid w:val="004A2F36"/>
    <w:rsid w:val="004A5664"/>
    <w:rsid w:val="004A61D9"/>
    <w:rsid w:val="004B17CC"/>
    <w:rsid w:val="004B2ACB"/>
    <w:rsid w:val="004B37FE"/>
    <w:rsid w:val="004B5457"/>
    <w:rsid w:val="004C0DA7"/>
    <w:rsid w:val="004C1457"/>
    <w:rsid w:val="004C4221"/>
    <w:rsid w:val="004C4362"/>
    <w:rsid w:val="004C4CBD"/>
    <w:rsid w:val="004C730D"/>
    <w:rsid w:val="004D099B"/>
    <w:rsid w:val="004D1504"/>
    <w:rsid w:val="004D25EC"/>
    <w:rsid w:val="004D2FA4"/>
    <w:rsid w:val="004D4CA9"/>
    <w:rsid w:val="004E0012"/>
    <w:rsid w:val="004E1509"/>
    <w:rsid w:val="004E1ACC"/>
    <w:rsid w:val="004E366D"/>
    <w:rsid w:val="004E4A35"/>
    <w:rsid w:val="004E5378"/>
    <w:rsid w:val="004E607B"/>
    <w:rsid w:val="004E6EF6"/>
    <w:rsid w:val="004F3308"/>
    <w:rsid w:val="004F373B"/>
    <w:rsid w:val="004F524C"/>
    <w:rsid w:val="004F59D8"/>
    <w:rsid w:val="004F6A0B"/>
    <w:rsid w:val="004F7B62"/>
    <w:rsid w:val="00502DE8"/>
    <w:rsid w:val="005041F1"/>
    <w:rsid w:val="0050477F"/>
    <w:rsid w:val="00507C55"/>
    <w:rsid w:val="00510396"/>
    <w:rsid w:val="00510645"/>
    <w:rsid w:val="0051724F"/>
    <w:rsid w:val="00524385"/>
    <w:rsid w:val="00526400"/>
    <w:rsid w:val="00532758"/>
    <w:rsid w:val="00532CDB"/>
    <w:rsid w:val="00534E7B"/>
    <w:rsid w:val="0053516E"/>
    <w:rsid w:val="005351A2"/>
    <w:rsid w:val="00536DEA"/>
    <w:rsid w:val="00540294"/>
    <w:rsid w:val="00541650"/>
    <w:rsid w:val="00541692"/>
    <w:rsid w:val="00541F6D"/>
    <w:rsid w:val="00545AB3"/>
    <w:rsid w:val="00546076"/>
    <w:rsid w:val="005472FC"/>
    <w:rsid w:val="00553539"/>
    <w:rsid w:val="00554030"/>
    <w:rsid w:val="005600CF"/>
    <w:rsid w:val="00562224"/>
    <w:rsid w:val="005623CA"/>
    <w:rsid w:val="0056247C"/>
    <w:rsid w:val="00562722"/>
    <w:rsid w:val="0056575E"/>
    <w:rsid w:val="00566E00"/>
    <w:rsid w:val="00567BA2"/>
    <w:rsid w:val="005703D8"/>
    <w:rsid w:val="00573FEB"/>
    <w:rsid w:val="005742B4"/>
    <w:rsid w:val="00575382"/>
    <w:rsid w:val="0057666B"/>
    <w:rsid w:val="00576E30"/>
    <w:rsid w:val="0057771D"/>
    <w:rsid w:val="005818C0"/>
    <w:rsid w:val="0058291B"/>
    <w:rsid w:val="00584B04"/>
    <w:rsid w:val="005861C9"/>
    <w:rsid w:val="0058773C"/>
    <w:rsid w:val="00591368"/>
    <w:rsid w:val="00592C94"/>
    <w:rsid w:val="005966E0"/>
    <w:rsid w:val="0059785A"/>
    <w:rsid w:val="005A04EC"/>
    <w:rsid w:val="005A10C0"/>
    <w:rsid w:val="005A13AF"/>
    <w:rsid w:val="005A2EFA"/>
    <w:rsid w:val="005A387F"/>
    <w:rsid w:val="005A5D25"/>
    <w:rsid w:val="005B0D6F"/>
    <w:rsid w:val="005B414E"/>
    <w:rsid w:val="005B629E"/>
    <w:rsid w:val="005C040C"/>
    <w:rsid w:val="005C0793"/>
    <w:rsid w:val="005C2B90"/>
    <w:rsid w:val="005C2E26"/>
    <w:rsid w:val="005C3D92"/>
    <w:rsid w:val="005C4BA2"/>
    <w:rsid w:val="005C4D06"/>
    <w:rsid w:val="005C5977"/>
    <w:rsid w:val="005C5E41"/>
    <w:rsid w:val="005D1877"/>
    <w:rsid w:val="005D37E4"/>
    <w:rsid w:val="005D43CF"/>
    <w:rsid w:val="005D5721"/>
    <w:rsid w:val="005D629C"/>
    <w:rsid w:val="005F269B"/>
    <w:rsid w:val="005F47C2"/>
    <w:rsid w:val="005F499A"/>
    <w:rsid w:val="005F693A"/>
    <w:rsid w:val="005F7402"/>
    <w:rsid w:val="00602A8A"/>
    <w:rsid w:val="00602EA4"/>
    <w:rsid w:val="00603F16"/>
    <w:rsid w:val="00604525"/>
    <w:rsid w:val="0060478B"/>
    <w:rsid w:val="00604EB6"/>
    <w:rsid w:val="006056BC"/>
    <w:rsid w:val="00606621"/>
    <w:rsid w:val="00606EDA"/>
    <w:rsid w:val="00611991"/>
    <w:rsid w:val="00614A17"/>
    <w:rsid w:val="00615383"/>
    <w:rsid w:val="00615A8F"/>
    <w:rsid w:val="00616847"/>
    <w:rsid w:val="00621251"/>
    <w:rsid w:val="006219D2"/>
    <w:rsid w:val="00621F3C"/>
    <w:rsid w:val="00622B19"/>
    <w:rsid w:val="00622C16"/>
    <w:rsid w:val="0062442A"/>
    <w:rsid w:val="006255EC"/>
    <w:rsid w:val="006255FC"/>
    <w:rsid w:val="0062790F"/>
    <w:rsid w:val="00627E50"/>
    <w:rsid w:val="00633C76"/>
    <w:rsid w:val="00633C90"/>
    <w:rsid w:val="00635BDC"/>
    <w:rsid w:val="0063684A"/>
    <w:rsid w:val="00642580"/>
    <w:rsid w:val="00646447"/>
    <w:rsid w:val="00650BA4"/>
    <w:rsid w:val="00650EE9"/>
    <w:rsid w:val="00651278"/>
    <w:rsid w:val="00651AFE"/>
    <w:rsid w:val="00652926"/>
    <w:rsid w:val="00652BD3"/>
    <w:rsid w:val="0065349B"/>
    <w:rsid w:val="006541F5"/>
    <w:rsid w:val="006544CC"/>
    <w:rsid w:val="0065590F"/>
    <w:rsid w:val="00656B8E"/>
    <w:rsid w:val="00656F9A"/>
    <w:rsid w:val="006608A5"/>
    <w:rsid w:val="00662230"/>
    <w:rsid w:val="00666402"/>
    <w:rsid w:val="00667BA1"/>
    <w:rsid w:val="00671343"/>
    <w:rsid w:val="00671E14"/>
    <w:rsid w:val="00671FAE"/>
    <w:rsid w:val="00673253"/>
    <w:rsid w:val="006736E8"/>
    <w:rsid w:val="0067417C"/>
    <w:rsid w:val="006764DB"/>
    <w:rsid w:val="006843EB"/>
    <w:rsid w:val="006852AD"/>
    <w:rsid w:val="00687548"/>
    <w:rsid w:val="006908B5"/>
    <w:rsid w:val="00690AED"/>
    <w:rsid w:val="006A3425"/>
    <w:rsid w:val="006A39E4"/>
    <w:rsid w:val="006A460B"/>
    <w:rsid w:val="006A7AA8"/>
    <w:rsid w:val="006B1269"/>
    <w:rsid w:val="006B1E9E"/>
    <w:rsid w:val="006B23A5"/>
    <w:rsid w:val="006B6166"/>
    <w:rsid w:val="006B6439"/>
    <w:rsid w:val="006B787D"/>
    <w:rsid w:val="006B7A17"/>
    <w:rsid w:val="006C09A8"/>
    <w:rsid w:val="006C0B93"/>
    <w:rsid w:val="006C2611"/>
    <w:rsid w:val="006C45CE"/>
    <w:rsid w:val="006C4830"/>
    <w:rsid w:val="006C4B87"/>
    <w:rsid w:val="006C6733"/>
    <w:rsid w:val="006D11C4"/>
    <w:rsid w:val="006D14EA"/>
    <w:rsid w:val="006D2A7B"/>
    <w:rsid w:val="006D347D"/>
    <w:rsid w:val="006D499B"/>
    <w:rsid w:val="006D6478"/>
    <w:rsid w:val="006E02B4"/>
    <w:rsid w:val="006E0A9E"/>
    <w:rsid w:val="006E1CC4"/>
    <w:rsid w:val="006E292A"/>
    <w:rsid w:val="006E678D"/>
    <w:rsid w:val="006F0BAD"/>
    <w:rsid w:val="006F2603"/>
    <w:rsid w:val="006F26A1"/>
    <w:rsid w:val="006F2AA5"/>
    <w:rsid w:val="006F47B7"/>
    <w:rsid w:val="006F605E"/>
    <w:rsid w:val="0070427C"/>
    <w:rsid w:val="007054CC"/>
    <w:rsid w:val="00706349"/>
    <w:rsid w:val="00710BD0"/>
    <w:rsid w:val="00711D1A"/>
    <w:rsid w:val="00713704"/>
    <w:rsid w:val="007150F3"/>
    <w:rsid w:val="00715D8F"/>
    <w:rsid w:val="00717268"/>
    <w:rsid w:val="00717CB9"/>
    <w:rsid w:val="00721553"/>
    <w:rsid w:val="00722ACA"/>
    <w:rsid w:val="00724ADF"/>
    <w:rsid w:val="00726185"/>
    <w:rsid w:val="00734943"/>
    <w:rsid w:val="00735F3E"/>
    <w:rsid w:val="007360FB"/>
    <w:rsid w:val="007368E5"/>
    <w:rsid w:val="00737E25"/>
    <w:rsid w:val="00743E8B"/>
    <w:rsid w:val="0074519C"/>
    <w:rsid w:val="007451A6"/>
    <w:rsid w:val="00747554"/>
    <w:rsid w:val="0075066E"/>
    <w:rsid w:val="007517A3"/>
    <w:rsid w:val="007526AB"/>
    <w:rsid w:val="0075702D"/>
    <w:rsid w:val="00757764"/>
    <w:rsid w:val="00757D83"/>
    <w:rsid w:val="007604AE"/>
    <w:rsid w:val="00760990"/>
    <w:rsid w:val="00760CD9"/>
    <w:rsid w:val="0076259A"/>
    <w:rsid w:val="00763E2A"/>
    <w:rsid w:val="0076593C"/>
    <w:rsid w:val="0076645B"/>
    <w:rsid w:val="007664E6"/>
    <w:rsid w:val="007675DA"/>
    <w:rsid w:val="00770A91"/>
    <w:rsid w:val="00772FE7"/>
    <w:rsid w:val="0077427A"/>
    <w:rsid w:val="007749D9"/>
    <w:rsid w:val="007770C9"/>
    <w:rsid w:val="00780C57"/>
    <w:rsid w:val="00781B23"/>
    <w:rsid w:val="00783191"/>
    <w:rsid w:val="00783A1B"/>
    <w:rsid w:val="00787137"/>
    <w:rsid w:val="007878D5"/>
    <w:rsid w:val="007978E6"/>
    <w:rsid w:val="007A035A"/>
    <w:rsid w:val="007A0D38"/>
    <w:rsid w:val="007A10B5"/>
    <w:rsid w:val="007A11E1"/>
    <w:rsid w:val="007A2F9B"/>
    <w:rsid w:val="007A4929"/>
    <w:rsid w:val="007A4C3B"/>
    <w:rsid w:val="007A59E3"/>
    <w:rsid w:val="007B218F"/>
    <w:rsid w:val="007B22AF"/>
    <w:rsid w:val="007B4B91"/>
    <w:rsid w:val="007B5390"/>
    <w:rsid w:val="007B7257"/>
    <w:rsid w:val="007C0B82"/>
    <w:rsid w:val="007C12E9"/>
    <w:rsid w:val="007C4E0F"/>
    <w:rsid w:val="007C5BC1"/>
    <w:rsid w:val="007C61B7"/>
    <w:rsid w:val="007C6FC7"/>
    <w:rsid w:val="007C73ED"/>
    <w:rsid w:val="007D1A90"/>
    <w:rsid w:val="007D2586"/>
    <w:rsid w:val="007D4252"/>
    <w:rsid w:val="007D637B"/>
    <w:rsid w:val="007D64A0"/>
    <w:rsid w:val="007D6DCD"/>
    <w:rsid w:val="007D78BA"/>
    <w:rsid w:val="007D7D03"/>
    <w:rsid w:val="007E02D8"/>
    <w:rsid w:val="007E27E4"/>
    <w:rsid w:val="007E5CFA"/>
    <w:rsid w:val="007E6AC1"/>
    <w:rsid w:val="007F064E"/>
    <w:rsid w:val="007F3139"/>
    <w:rsid w:val="007F569D"/>
    <w:rsid w:val="00800204"/>
    <w:rsid w:val="0080101E"/>
    <w:rsid w:val="008027A9"/>
    <w:rsid w:val="00805799"/>
    <w:rsid w:val="008111EC"/>
    <w:rsid w:val="00811649"/>
    <w:rsid w:val="00812778"/>
    <w:rsid w:val="00814A62"/>
    <w:rsid w:val="0081647D"/>
    <w:rsid w:val="00820A26"/>
    <w:rsid w:val="008210EE"/>
    <w:rsid w:val="00824320"/>
    <w:rsid w:val="008251CC"/>
    <w:rsid w:val="00827359"/>
    <w:rsid w:val="0083232D"/>
    <w:rsid w:val="00833193"/>
    <w:rsid w:val="008342DA"/>
    <w:rsid w:val="00837248"/>
    <w:rsid w:val="0084075E"/>
    <w:rsid w:val="008412D6"/>
    <w:rsid w:val="00841D7F"/>
    <w:rsid w:val="0084372C"/>
    <w:rsid w:val="00850AAE"/>
    <w:rsid w:val="00851228"/>
    <w:rsid w:val="008524D1"/>
    <w:rsid w:val="008539BA"/>
    <w:rsid w:val="00860449"/>
    <w:rsid w:val="00860AC2"/>
    <w:rsid w:val="00860F0F"/>
    <w:rsid w:val="00861350"/>
    <w:rsid w:val="00865AF4"/>
    <w:rsid w:val="0087130D"/>
    <w:rsid w:val="00871F13"/>
    <w:rsid w:val="008739DA"/>
    <w:rsid w:val="00876579"/>
    <w:rsid w:val="008778BA"/>
    <w:rsid w:val="00880C4C"/>
    <w:rsid w:val="00881396"/>
    <w:rsid w:val="00883F68"/>
    <w:rsid w:val="0088526F"/>
    <w:rsid w:val="00890574"/>
    <w:rsid w:val="0089271A"/>
    <w:rsid w:val="008951A9"/>
    <w:rsid w:val="00897DF7"/>
    <w:rsid w:val="008A023A"/>
    <w:rsid w:val="008A0968"/>
    <w:rsid w:val="008A339A"/>
    <w:rsid w:val="008A49CC"/>
    <w:rsid w:val="008A6626"/>
    <w:rsid w:val="008A7CE5"/>
    <w:rsid w:val="008A7F2A"/>
    <w:rsid w:val="008B0EA2"/>
    <w:rsid w:val="008B4772"/>
    <w:rsid w:val="008B51E9"/>
    <w:rsid w:val="008B6705"/>
    <w:rsid w:val="008B70F5"/>
    <w:rsid w:val="008C04B1"/>
    <w:rsid w:val="008C52C8"/>
    <w:rsid w:val="008C54CD"/>
    <w:rsid w:val="008C558E"/>
    <w:rsid w:val="008C6967"/>
    <w:rsid w:val="008C6C47"/>
    <w:rsid w:val="008D171B"/>
    <w:rsid w:val="008D1E7F"/>
    <w:rsid w:val="008D6E37"/>
    <w:rsid w:val="008E0603"/>
    <w:rsid w:val="008E2F8A"/>
    <w:rsid w:val="008E34D2"/>
    <w:rsid w:val="008E6643"/>
    <w:rsid w:val="008F0C81"/>
    <w:rsid w:val="008F12AA"/>
    <w:rsid w:val="008F13A1"/>
    <w:rsid w:val="008F3E6E"/>
    <w:rsid w:val="008F6F3D"/>
    <w:rsid w:val="008F77D6"/>
    <w:rsid w:val="00900196"/>
    <w:rsid w:val="00900919"/>
    <w:rsid w:val="00904576"/>
    <w:rsid w:val="009051BA"/>
    <w:rsid w:val="00905A84"/>
    <w:rsid w:val="0090692C"/>
    <w:rsid w:val="00907AED"/>
    <w:rsid w:val="009104AD"/>
    <w:rsid w:val="0091161A"/>
    <w:rsid w:val="0091581B"/>
    <w:rsid w:val="0091702B"/>
    <w:rsid w:val="00920369"/>
    <w:rsid w:val="00921113"/>
    <w:rsid w:val="00925899"/>
    <w:rsid w:val="00926A83"/>
    <w:rsid w:val="00926FD3"/>
    <w:rsid w:val="009303DF"/>
    <w:rsid w:val="00931C9F"/>
    <w:rsid w:val="009329EC"/>
    <w:rsid w:val="00934379"/>
    <w:rsid w:val="00935494"/>
    <w:rsid w:val="009379EC"/>
    <w:rsid w:val="00937C48"/>
    <w:rsid w:val="0094072D"/>
    <w:rsid w:val="00945738"/>
    <w:rsid w:val="009471E7"/>
    <w:rsid w:val="009474BF"/>
    <w:rsid w:val="00950005"/>
    <w:rsid w:val="00951179"/>
    <w:rsid w:val="00952971"/>
    <w:rsid w:val="00954A86"/>
    <w:rsid w:val="00955759"/>
    <w:rsid w:val="009558B7"/>
    <w:rsid w:val="009607DE"/>
    <w:rsid w:val="0096145D"/>
    <w:rsid w:val="00961E2D"/>
    <w:rsid w:val="00962329"/>
    <w:rsid w:val="0096524E"/>
    <w:rsid w:val="009668A2"/>
    <w:rsid w:val="00970A9E"/>
    <w:rsid w:val="00970D11"/>
    <w:rsid w:val="00973AEC"/>
    <w:rsid w:val="00976243"/>
    <w:rsid w:val="0098515B"/>
    <w:rsid w:val="00985AA7"/>
    <w:rsid w:val="009861E6"/>
    <w:rsid w:val="00986827"/>
    <w:rsid w:val="00990758"/>
    <w:rsid w:val="00992BDD"/>
    <w:rsid w:val="00992BEE"/>
    <w:rsid w:val="00994A12"/>
    <w:rsid w:val="009959FD"/>
    <w:rsid w:val="00996D30"/>
    <w:rsid w:val="009A0E55"/>
    <w:rsid w:val="009A1FEF"/>
    <w:rsid w:val="009A27E3"/>
    <w:rsid w:val="009A3244"/>
    <w:rsid w:val="009A5A10"/>
    <w:rsid w:val="009A6F75"/>
    <w:rsid w:val="009B0AEC"/>
    <w:rsid w:val="009B0F79"/>
    <w:rsid w:val="009B4A44"/>
    <w:rsid w:val="009B4C60"/>
    <w:rsid w:val="009B7983"/>
    <w:rsid w:val="009C0894"/>
    <w:rsid w:val="009C4893"/>
    <w:rsid w:val="009C7455"/>
    <w:rsid w:val="009D129A"/>
    <w:rsid w:val="009D23A9"/>
    <w:rsid w:val="009D3170"/>
    <w:rsid w:val="009D5B14"/>
    <w:rsid w:val="009E06C0"/>
    <w:rsid w:val="009E1A10"/>
    <w:rsid w:val="009E6456"/>
    <w:rsid w:val="009E7A7F"/>
    <w:rsid w:val="009E7F49"/>
    <w:rsid w:val="009F2BA8"/>
    <w:rsid w:val="009F3477"/>
    <w:rsid w:val="009F4CB3"/>
    <w:rsid w:val="009F6D3C"/>
    <w:rsid w:val="009F7218"/>
    <w:rsid w:val="00A002FC"/>
    <w:rsid w:val="00A01190"/>
    <w:rsid w:val="00A03127"/>
    <w:rsid w:val="00A0487C"/>
    <w:rsid w:val="00A04CC6"/>
    <w:rsid w:val="00A104D5"/>
    <w:rsid w:val="00A14445"/>
    <w:rsid w:val="00A14E21"/>
    <w:rsid w:val="00A14F97"/>
    <w:rsid w:val="00A15E94"/>
    <w:rsid w:val="00A20F68"/>
    <w:rsid w:val="00A241E0"/>
    <w:rsid w:val="00A24A66"/>
    <w:rsid w:val="00A25B58"/>
    <w:rsid w:val="00A27030"/>
    <w:rsid w:val="00A306F7"/>
    <w:rsid w:val="00A30DB4"/>
    <w:rsid w:val="00A31D6A"/>
    <w:rsid w:val="00A35944"/>
    <w:rsid w:val="00A3655C"/>
    <w:rsid w:val="00A41648"/>
    <w:rsid w:val="00A475A4"/>
    <w:rsid w:val="00A47692"/>
    <w:rsid w:val="00A47FD7"/>
    <w:rsid w:val="00A50423"/>
    <w:rsid w:val="00A5214F"/>
    <w:rsid w:val="00A53C95"/>
    <w:rsid w:val="00A54EBE"/>
    <w:rsid w:val="00A5639F"/>
    <w:rsid w:val="00A60A00"/>
    <w:rsid w:val="00A64C18"/>
    <w:rsid w:val="00A65AE1"/>
    <w:rsid w:val="00A678A4"/>
    <w:rsid w:val="00A702FA"/>
    <w:rsid w:val="00A714D3"/>
    <w:rsid w:val="00A72E9B"/>
    <w:rsid w:val="00A75303"/>
    <w:rsid w:val="00A770D6"/>
    <w:rsid w:val="00A7716F"/>
    <w:rsid w:val="00A77AFB"/>
    <w:rsid w:val="00A8097E"/>
    <w:rsid w:val="00A84E3D"/>
    <w:rsid w:val="00A857B6"/>
    <w:rsid w:val="00A85F82"/>
    <w:rsid w:val="00A93FAB"/>
    <w:rsid w:val="00A963BC"/>
    <w:rsid w:val="00A9728B"/>
    <w:rsid w:val="00A977A7"/>
    <w:rsid w:val="00AA0E80"/>
    <w:rsid w:val="00AA1FB7"/>
    <w:rsid w:val="00AA2076"/>
    <w:rsid w:val="00AB165B"/>
    <w:rsid w:val="00AB3D09"/>
    <w:rsid w:val="00AB72F9"/>
    <w:rsid w:val="00AC1706"/>
    <w:rsid w:val="00AC2A59"/>
    <w:rsid w:val="00AC42BD"/>
    <w:rsid w:val="00AC55CD"/>
    <w:rsid w:val="00AC746C"/>
    <w:rsid w:val="00AD19B4"/>
    <w:rsid w:val="00AD43BB"/>
    <w:rsid w:val="00AD6427"/>
    <w:rsid w:val="00AD65AE"/>
    <w:rsid w:val="00AD721D"/>
    <w:rsid w:val="00AD785A"/>
    <w:rsid w:val="00AE20C8"/>
    <w:rsid w:val="00AE36AA"/>
    <w:rsid w:val="00AE36FC"/>
    <w:rsid w:val="00AE49EF"/>
    <w:rsid w:val="00AE65F0"/>
    <w:rsid w:val="00AE69C4"/>
    <w:rsid w:val="00AE7E1E"/>
    <w:rsid w:val="00AF4736"/>
    <w:rsid w:val="00AF4A73"/>
    <w:rsid w:val="00AF5F3A"/>
    <w:rsid w:val="00AF63CB"/>
    <w:rsid w:val="00AF7EB7"/>
    <w:rsid w:val="00B0308E"/>
    <w:rsid w:val="00B034B6"/>
    <w:rsid w:val="00B0482C"/>
    <w:rsid w:val="00B11DB3"/>
    <w:rsid w:val="00B13A59"/>
    <w:rsid w:val="00B14EFA"/>
    <w:rsid w:val="00B17878"/>
    <w:rsid w:val="00B20BD3"/>
    <w:rsid w:val="00B23522"/>
    <w:rsid w:val="00B25BD0"/>
    <w:rsid w:val="00B2664A"/>
    <w:rsid w:val="00B26977"/>
    <w:rsid w:val="00B34094"/>
    <w:rsid w:val="00B34C76"/>
    <w:rsid w:val="00B4143D"/>
    <w:rsid w:val="00B42518"/>
    <w:rsid w:val="00B43076"/>
    <w:rsid w:val="00B44534"/>
    <w:rsid w:val="00B452EF"/>
    <w:rsid w:val="00B4554C"/>
    <w:rsid w:val="00B459D6"/>
    <w:rsid w:val="00B45C47"/>
    <w:rsid w:val="00B472C5"/>
    <w:rsid w:val="00B52FB6"/>
    <w:rsid w:val="00B544CE"/>
    <w:rsid w:val="00B56552"/>
    <w:rsid w:val="00B57161"/>
    <w:rsid w:val="00B60B80"/>
    <w:rsid w:val="00B6159B"/>
    <w:rsid w:val="00B6188B"/>
    <w:rsid w:val="00B64CF2"/>
    <w:rsid w:val="00B656B3"/>
    <w:rsid w:val="00B668AD"/>
    <w:rsid w:val="00B70610"/>
    <w:rsid w:val="00B732F7"/>
    <w:rsid w:val="00B73BD6"/>
    <w:rsid w:val="00B73DE3"/>
    <w:rsid w:val="00B7413D"/>
    <w:rsid w:val="00B74C6C"/>
    <w:rsid w:val="00B76D7D"/>
    <w:rsid w:val="00B80B1B"/>
    <w:rsid w:val="00B81E14"/>
    <w:rsid w:val="00B8272A"/>
    <w:rsid w:val="00B84EA7"/>
    <w:rsid w:val="00B85952"/>
    <w:rsid w:val="00B86364"/>
    <w:rsid w:val="00B9258B"/>
    <w:rsid w:val="00B93AB5"/>
    <w:rsid w:val="00B95A8E"/>
    <w:rsid w:val="00B9753D"/>
    <w:rsid w:val="00BA06DC"/>
    <w:rsid w:val="00BA19F4"/>
    <w:rsid w:val="00BA21ED"/>
    <w:rsid w:val="00BA3A9D"/>
    <w:rsid w:val="00BB0185"/>
    <w:rsid w:val="00BB2467"/>
    <w:rsid w:val="00BB2548"/>
    <w:rsid w:val="00BB4885"/>
    <w:rsid w:val="00BB5D88"/>
    <w:rsid w:val="00BB6BB6"/>
    <w:rsid w:val="00BC1855"/>
    <w:rsid w:val="00BC3A00"/>
    <w:rsid w:val="00BC3B5D"/>
    <w:rsid w:val="00BC662C"/>
    <w:rsid w:val="00BD2A45"/>
    <w:rsid w:val="00BD714E"/>
    <w:rsid w:val="00BD769D"/>
    <w:rsid w:val="00BD76EC"/>
    <w:rsid w:val="00BD7A89"/>
    <w:rsid w:val="00BE11F5"/>
    <w:rsid w:val="00BE14C6"/>
    <w:rsid w:val="00BE3AD8"/>
    <w:rsid w:val="00BE438C"/>
    <w:rsid w:val="00BE44DC"/>
    <w:rsid w:val="00BE526A"/>
    <w:rsid w:val="00BE52C9"/>
    <w:rsid w:val="00BE6816"/>
    <w:rsid w:val="00BF2D14"/>
    <w:rsid w:val="00BF354A"/>
    <w:rsid w:val="00C0296D"/>
    <w:rsid w:val="00C037FF"/>
    <w:rsid w:val="00C04248"/>
    <w:rsid w:val="00C07116"/>
    <w:rsid w:val="00C1044C"/>
    <w:rsid w:val="00C12C5B"/>
    <w:rsid w:val="00C13380"/>
    <w:rsid w:val="00C2010F"/>
    <w:rsid w:val="00C2153D"/>
    <w:rsid w:val="00C259A9"/>
    <w:rsid w:val="00C311CF"/>
    <w:rsid w:val="00C32AF0"/>
    <w:rsid w:val="00C34B70"/>
    <w:rsid w:val="00C36045"/>
    <w:rsid w:val="00C36A1E"/>
    <w:rsid w:val="00C37357"/>
    <w:rsid w:val="00C40B43"/>
    <w:rsid w:val="00C4167F"/>
    <w:rsid w:val="00C436F5"/>
    <w:rsid w:val="00C46BC0"/>
    <w:rsid w:val="00C5098B"/>
    <w:rsid w:val="00C510F6"/>
    <w:rsid w:val="00C52138"/>
    <w:rsid w:val="00C53049"/>
    <w:rsid w:val="00C56A4A"/>
    <w:rsid w:val="00C63418"/>
    <w:rsid w:val="00C64734"/>
    <w:rsid w:val="00C65ED9"/>
    <w:rsid w:val="00C66CBD"/>
    <w:rsid w:val="00C707D1"/>
    <w:rsid w:val="00C729FA"/>
    <w:rsid w:val="00C738AE"/>
    <w:rsid w:val="00C749F7"/>
    <w:rsid w:val="00C7501B"/>
    <w:rsid w:val="00C76848"/>
    <w:rsid w:val="00C77691"/>
    <w:rsid w:val="00C77D05"/>
    <w:rsid w:val="00C80372"/>
    <w:rsid w:val="00C80884"/>
    <w:rsid w:val="00C8430A"/>
    <w:rsid w:val="00C85251"/>
    <w:rsid w:val="00C853E5"/>
    <w:rsid w:val="00C869A9"/>
    <w:rsid w:val="00C90BE6"/>
    <w:rsid w:val="00CA190D"/>
    <w:rsid w:val="00CA230D"/>
    <w:rsid w:val="00CA29ED"/>
    <w:rsid w:val="00CA754B"/>
    <w:rsid w:val="00CA7BD4"/>
    <w:rsid w:val="00CA7D9A"/>
    <w:rsid w:val="00CB2054"/>
    <w:rsid w:val="00CB49F3"/>
    <w:rsid w:val="00CB4EF6"/>
    <w:rsid w:val="00CC03A4"/>
    <w:rsid w:val="00CC0A6C"/>
    <w:rsid w:val="00CC0EE1"/>
    <w:rsid w:val="00CC1FC0"/>
    <w:rsid w:val="00CC2936"/>
    <w:rsid w:val="00CC5C68"/>
    <w:rsid w:val="00CC62B5"/>
    <w:rsid w:val="00CC65CB"/>
    <w:rsid w:val="00CC6E01"/>
    <w:rsid w:val="00CD147C"/>
    <w:rsid w:val="00CD3411"/>
    <w:rsid w:val="00CD4E94"/>
    <w:rsid w:val="00CD513B"/>
    <w:rsid w:val="00CE19E9"/>
    <w:rsid w:val="00CE3349"/>
    <w:rsid w:val="00CE5228"/>
    <w:rsid w:val="00CE76B5"/>
    <w:rsid w:val="00CE7988"/>
    <w:rsid w:val="00CF0129"/>
    <w:rsid w:val="00CF0A2D"/>
    <w:rsid w:val="00CF0C19"/>
    <w:rsid w:val="00CF140A"/>
    <w:rsid w:val="00CF418E"/>
    <w:rsid w:val="00CF7CCF"/>
    <w:rsid w:val="00D00EB4"/>
    <w:rsid w:val="00D011E4"/>
    <w:rsid w:val="00D018C6"/>
    <w:rsid w:val="00D0456E"/>
    <w:rsid w:val="00D0621E"/>
    <w:rsid w:val="00D07FA6"/>
    <w:rsid w:val="00D10131"/>
    <w:rsid w:val="00D1192E"/>
    <w:rsid w:val="00D124E3"/>
    <w:rsid w:val="00D13067"/>
    <w:rsid w:val="00D165D7"/>
    <w:rsid w:val="00D24D0D"/>
    <w:rsid w:val="00D316F1"/>
    <w:rsid w:val="00D323D0"/>
    <w:rsid w:val="00D324BB"/>
    <w:rsid w:val="00D3301D"/>
    <w:rsid w:val="00D344F0"/>
    <w:rsid w:val="00D37FEE"/>
    <w:rsid w:val="00D4103C"/>
    <w:rsid w:val="00D43F7F"/>
    <w:rsid w:val="00D46398"/>
    <w:rsid w:val="00D51340"/>
    <w:rsid w:val="00D53DC7"/>
    <w:rsid w:val="00D55096"/>
    <w:rsid w:val="00D574CE"/>
    <w:rsid w:val="00D6026F"/>
    <w:rsid w:val="00D615B8"/>
    <w:rsid w:val="00D623AD"/>
    <w:rsid w:val="00D63162"/>
    <w:rsid w:val="00D70D93"/>
    <w:rsid w:val="00D70E91"/>
    <w:rsid w:val="00D72050"/>
    <w:rsid w:val="00D720AE"/>
    <w:rsid w:val="00D75153"/>
    <w:rsid w:val="00D75A44"/>
    <w:rsid w:val="00D75E93"/>
    <w:rsid w:val="00D7644A"/>
    <w:rsid w:val="00D777DD"/>
    <w:rsid w:val="00D81FC1"/>
    <w:rsid w:val="00D841C7"/>
    <w:rsid w:val="00D8492D"/>
    <w:rsid w:val="00D86B30"/>
    <w:rsid w:val="00D90962"/>
    <w:rsid w:val="00D964E4"/>
    <w:rsid w:val="00D96B2D"/>
    <w:rsid w:val="00DA12CA"/>
    <w:rsid w:val="00DA15A0"/>
    <w:rsid w:val="00DA1673"/>
    <w:rsid w:val="00DA18C7"/>
    <w:rsid w:val="00DA439C"/>
    <w:rsid w:val="00DA6A45"/>
    <w:rsid w:val="00DA7C7B"/>
    <w:rsid w:val="00DB0B39"/>
    <w:rsid w:val="00DB24CD"/>
    <w:rsid w:val="00DB4EC8"/>
    <w:rsid w:val="00DB6394"/>
    <w:rsid w:val="00DB7C18"/>
    <w:rsid w:val="00DC13A2"/>
    <w:rsid w:val="00DC22C3"/>
    <w:rsid w:val="00DC2BD8"/>
    <w:rsid w:val="00DC331A"/>
    <w:rsid w:val="00DC3CD3"/>
    <w:rsid w:val="00DC738C"/>
    <w:rsid w:val="00DC77AA"/>
    <w:rsid w:val="00DD0730"/>
    <w:rsid w:val="00DD0B01"/>
    <w:rsid w:val="00DD2458"/>
    <w:rsid w:val="00DD2654"/>
    <w:rsid w:val="00DD38B8"/>
    <w:rsid w:val="00DD3FFC"/>
    <w:rsid w:val="00DD502F"/>
    <w:rsid w:val="00DE0DCA"/>
    <w:rsid w:val="00DE0DE5"/>
    <w:rsid w:val="00DE3BD0"/>
    <w:rsid w:val="00DE742C"/>
    <w:rsid w:val="00DE7BF1"/>
    <w:rsid w:val="00DF1889"/>
    <w:rsid w:val="00DF2DC5"/>
    <w:rsid w:val="00DF30AA"/>
    <w:rsid w:val="00DF36C9"/>
    <w:rsid w:val="00DF4952"/>
    <w:rsid w:val="00DF4BB5"/>
    <w:rsid w:val="00DF6873"/>
    <w:rsid w:val="00DF74DA"/>
    <w:rsid w:val="00E02F14"/>
    <w:rsid w:val="00E03D63"/>
    <w:rsid w:val="00E03EEB"/>
    <w:rsid w:val="00E04766"/>
    <w:rsid w:val="00E047BE"/>
    <w:rsid w:val="00E047EE"/>
    <w:rsid w:val="00E0501C"/>
    <w:rsid w:val="00E06602"/>
    <w:rsid w:val="00E06B35"/>
    <w:rsid w:val="00E0717E"/>
    <w:rsid w:val="00E1424D"/>
    <w:rsid w:val="00E1456F"/>
    <w:rsid w:val="00E21A8B"/>
    <w:rsid w:val="00E237BA"/>
    <w:rsid w:val="00E2391B"/>
    <w:rsid w:val="00E2448C"/>
    <w:rsid w:val="00E24E73"/>
    <w:rsid w:val="00E261E9"/>
    <w:rsid w:val="00E27E6C"/>
    <w:rsid w:val="00E30B70"/>
    <w:rsid w:val="00E3167D"/>
    <w:rsid w:val="00E3333F"/>
    <w:rsid w:val="00E34120"/>
    <w:rsid w:val="00E348B5"/>
    <w:rsid w:val="00E36BE8"/>
    <w:rsid w:val="00E37997"/>
    <w:rsid w:val="00E41769"/>
    <w:rsid w:val="00E43853"/>
    <w:rsid w:val="00E45C28"/>
    <w:rsid w:val="00E52D00"/>
    <w:rsid w:val="00E54192"/>
    <w:rsid w:val="00E54656"/>
    <w:rsid w:val="00E55F26"/>
    <w:rsid w:val="00E56742"/>
    <w:rsid w:val="00E56CC2"/>
    <w:rsid w:val="00E56FFB"/>
    <w:rsid w:val="00E61EF8"/>
    <w:rsid w:val="00E630C4"/>
    <w:rsid w:val="00E64712"/>
    <w:rsid w:val="00E65E7E"/>
    <w:rsid w:val="00E66258"/>
    <w:rsid w:val="00E66C91"/>
    <w:rsid w:val="00E717DB"/>
    <w:rsid w:val="00E75CDC"/>
    <w:rsid w:val="00E75F26"/>
    <w:rsid w:val="00E77498"/>
    <w:rsid w:val="00E77CB9"/>
    <w:rsid w:val="00E77E05"/>
    <w:rsid w:val="00E8012B"/>
    <w:rsid w:val="00E82733"/>
    <w:rsid w:val="00E83761"/>
    <w:rsid w:val="00E852AF"/>
    <w:rsid w:val="00E921E0"/>
    <w:rsid w:val="00E92D07"/>
    <w:rsid w:val="00E95109"/>
    <w:rsid w:val="00E96A7C"/>
    <w:rsid w:val="00E9790B"/>
    <w:rsid w:val="00EA0130"/>
    <w:rsid w:val="00EA0542"/>
    <w:rsid w:val="00EA0C96"/>
    <w:rsid w:val="00EA22BD"/>
    <w:rsid w:val="00EA2422"/>
    <w:rsid w:val="00EA434F"/>
    <w:rsid w:val="00EA4F96"/>
    <w:rsid w:val="00EA69BE"/>
    <w:rsid w:val="00EB1D0F"/>
    <w:rsid w:val="00EB3CA3"/>
    <w:rsid w:val="00EB7058"/>
    <w:rsid w:val="00EC0068"/>
    <w:rsid w:val="00EC0440"/>
    <w:rsid w:val="00EC0B78"/>
    <w:rsid w:val="00EC312D"/>
    <w:rsid w:val="00EC3BE4"/>
    <w:rsid w:val="00EC4172"/>
    <w:rsid w:val="00EC4D5B"/>
    <w:rsid w:val="00EC555D"/>
    <w:rsid w:val="00EC7658"/>
    <w:rsid w:val="00EC7BB8"/>
    <w:rsid w:val="00ED0CDA"/>
    <w:rsid w:val="00ED1179"/>
    <w:rsid w:val="00ED1956"/>
    <w:rsid w:val="00EE72C8"/>
    <w:rsid w:val="00EF0525"/>
    <w:rsid w:val="00EF0887"/>
    <w:rsid w:val="00EF1C3E"/>
    <w:rsid w:val="00EF1D7D"/>
    <w:rsid w:val="00EF2EC7"/>
    <w:rsid w:val="00F02EA3"/>
    <w:rsid w:val="00F03332"/>
    <w:rsid w:val="00F03A4E"/>
    <w:rsid w:val="00F042A7"/>
    <w:rsid w:val="00F07F99"/>
    <w:rsid w:val="00F1251E"/>
    <w:rsid w:val="00F15805"/>
    <w:rsid w:val="00F16F1A"/>
    <w:rsid w:val="00F23426"/>
    <w:rsid w:val="00F254D2"/>
    <w:rsid w:val="00F25A8D"/>
    <w:rsid w:val="00F27B91"/>
    <w:rsid w:val="00F31707"/>
    <w:rsid w:val="00F35682"/>
    <w:rsid w:val="00F36CBA"/>
    <w:rsid w:val="00F378AF"/>
    <w:rsid w:val="00F37B2C"/>
    <w:rsid w:val="00F411A8"/>
    <w:rsid w:val="00F41826"/>
    <w:rsid w:val="00F43220"/>
    <w:rsid w:val="00F43694"/>
    <w:rsid w:val="00F4411F"/>
    <w:rsid w:val="00F50D72"/>
    <w:rsid w:val="00F516BD"/>
    <w:rsid w:val="00F52679"/>
    <w:rsid w:val="00F5650A"/>
    <w:rsid w:val="00F601F3"/>
    <w:rsid w:val="00F60558"/>
    <w:rsid w:val="00F605D6"/>
    <w:rsid w:val="00F63243"/>
    <w:rsid w:val="00F6376D"/>
    <w:rsid w:val="00F63E5C"/>
    <w:rsid w:val="00F65C90"/>
    <w:rsid w:val="00F65EBC"/>
    <w:rsid w:val="00F66F35"/>
    <w:rsid w:val="00F7255F"/>
    <w:rsid w:val="00F73EED"/>
    <w:rsid w:val="00F75F9A"/>
    <w:rsid w:val="00F76E19"/>
    <w:rsid w:val="00F824F8"/>
    <w:rsid w:val="00F83547"/>
    <w:rsid w:val="00F83DE3"/>
    <w:rsid w:val="00F86316"/>
    <w:rsid w:val="00F87496"/>
    <w:rsid w:val="00F91716"/>
    <w:rsid w:val="00F91857"/>
    <w:rsid w:val="00F91D72"/>
    <w:rsid w:val="00F92BD5"/>
    <w:rsid w:val="00F93E2B"/>
    <w:rsid w:val="00F95B2F"/>
    <w:rsid w:val="00F969A9"/>
    <w:rsid w:val="00FA02FB"/>
    <w:rsid w:val="00FA0445"/>
    <w:rsid w:val="00FA131F"/>
    <w:rsid w:val="00FA167F"/>
    <w:rsid w:val="00FA254A"/>
    <w:rsid w:val="00FA28E4"/>
    <w:rsid w:val="00FA37D7"/>
    <w:rsid w:val="00FA4ED2"/>
    <w:rsid w:val="00FA672A"/>
    <w:rsid w:val="00FA6EF1"/>
    <w:rsid w:val="00FB14C6"/>
    <w:rsid w:val="00FB1B43"/>
    <w:rsid w:val="00FB296D"/>
    <w:rsid w:val="00FB5241"/>
    <w:rsid w:val="00FB5FCD"/>
    <w:rsid w:val="00FC28C4"/>
    <w:rsid w:val="00FC42D8"/>
    <w:rsid w:val="00FC45E5"/>
    <w:rsid w:val="00FD1C74"/>
    <w:rsid w:val="00FD47BD"/>
    <w:rsid w:val="00FE0040"/>
    <w:rsid w:val="00FE097C"/>
    <w:rsid w:val="00FE1A20"/>
    <w:rsid w:val="00FE2BB2"/>
    <w:rsid w:val="00FE3576"/>
    <w:rsid w:val="00FE69DA"/>
    <w:rsid w:val="00FE7DEA"/>
    <w:rsid w:val="00FF01C3"/>
    <w:rsid w:val="00FF33FF"/>
    <w:rsid w:val="00FF3B6F"/>
    <w:rsid w:val="00FF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BB3181E"/>
  <w15:chartTrackingRefBased/>
  <w15:docId w15:val="{47C7D4E2-7DA5-4354-B2D4-BA061AB6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14F"/>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rsid w:val="00463F87"/>
    <w:rPr>
      <w:rFonts w:ascii="Tahoma" w:hAnsi="Tahoma" w:cs="Tahoma"/>
      <w:snapToGrid w:val="0"/>
      <w:lang w:val="en-US" w:eastAsia="en-US" w:bidi="ar-SA"/>
    </w:rPr>
  </w:style>
  <w:style w:type="character" w:customStyle="1" w:styleId="StyleNPSAS08bulleted9ptChar">
    <w:name w:val="Style NPSAS08 bulleted + 9 pt 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locked/>
    <w:rsid w:val="00463F87"/>
    <w:rPr>
      <w:rFonts w:ascii="Arial" w:hAnsi="Arial"/>
      <w:sz w:val="18"/>
      <w:szCs w:val="18"/>
      <w:lang w:val="en-US" w:eastAsia="en-US" w:bidi="ar-SA"/>
    </w:rPr>
  </w:style>
  <w:style w:type="paragraph" w:customStyle="1" w:styleId="Tabletext">
    <w:name w:val="Table text"/>
    <w:basedOn w:val="Normal"/>
    <w:uiPriority w:val="99"/>
    <w:rsid w:val="00463F87"/>
    <w:pPr>
      <w:keepNext/>
      <w:spacing w:before="40" w:after="40"/>
      <w:ind w:left="317" w:hanging="317"/>
    </w:pPr>
    <w:rPr>
      <w:rFonts w:ascii="Arial" w:hAnsi="Arial"/>
      <w:sz w:val="20"/>
      <w:szCs w:val="20"/>
    </w:rPr>
  </w:style>
  <w:style w:type="character" w:customStyle="1" w:styleId="TabletextChar">
    <w:name w:val="Table text Char"/>
    <w:uiPriority w:val="99"/>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locked/>
    <w:rsid w:val="00463F87"/>
    <w:rPr>
      <w:sz w:val="24"/>
      <w:lang w:val="en-US" w:eastAsia="en-US" w:bidi="ar-SA"/>
    </w:rPr>
  </w:style>
  <w:style w:type="character" w:styleId="CommentReference">
    <w:name w:val="annotation reference"/>
    <w:uiPriority w:val="99"/>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1,footnote text"/>
    <w:basedOn w:val="Normal"/>
    <w:uiPriority w:val="99"/>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1 Char"/>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qFormat/>
    <w:rsid w:val="00463F87"/>
    <w:rPr>
      <w:b/>
      <w:bCs/>
    </w:rPr>
  </w:style>
  <w:style w:type="character" w:styleId="Emphasis">
    <w:name w:val="Emphasis"/>
    <w:qFormat/>
    <w:rsid w:val="00463F87"/>
    <w:rPr>
      <w:i/>
      <w:iCs/>
    </w:rPr>
  </w:style>
  <w:style w:type="paragraph" w:styleId="ListParagraph">
    <w:name w:val="List Paragraph"/>
    <w:aliases w:val="Probes"/>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3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Calibri" w:eastAsia="Calibri" w:hAnsi="Calibri" w:cs="Arial"/>
      <w:sz w:val="22"/>
      <w:szCs w:val="22"/>
    </w:rPr>
  </w:style>
  <w:style w:type="character" w:customStyle="1" w:styleId="HeaderChar">
    <w:name w:val="Header Char"/>
    <w:link w:val="Header"/>
    <w:uiPriority w:val="99"/>
    <w:rsid w:val="002305F8"/>
    <w:rPr>
      <w:sz w:val="24"/>
      <w:szCs w:val="24"/>
    </w:rPr>
  </w:style>
  <w:style w:type="character" w:styleId="FollowedHyperlink">
    <w:name w:val="FollowedHyperlink"/>
    <w:uiPriority w:val="99"/>
    <w:semiHidden/>
    <w:unhideWhenUsed/>
    <w:rsid w:val="004974C5"/>
    <w:rPr>
      <w:color w:val="800080"/>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paragraph" w:customStyle="1" w:styleId="Tablenumbers8pt">
    <w:name w:val="Table numbers 8pt"/>
    <w:basedOn w:val="Normal"/>
    <w:qFormat/>
    <w:rsid w:val="006F2603"/>
    <w:pPr>
      <w:spacing w:before="20" w:after="20"/>
      <w:jc w:val="right"/>
    </w:pPr>
    <w:rPr>
      <w:rFonts w:ascii="Arial" w:hAnsi="Arial" w:cs="Arial"/>
      <w:sz w:val="16"/>
      <w:szCs w:val="18"/>
    </w:rPr>
  </w:style>
  <w:style w:type="paragraph" w:customStyle="1" w:styleId="Tableheading-LEFT">
    <w:name w:val="Table heading - LEFT"/>
    <w:basedOn w:val="Tabletext"/>
    <w:rsid w:val="006F2603"/>
    <w:pPr>
      <w:spacing w:before="10" w:after="10"/>
      <w:ind w:left="0" w:firstLine="0"/>
    </w:pPr>
    <w:rPr>
      <w:sz w:val="18"/>
    </w:rPr>
  </w:style>
  <w:style w:type="paragraph" w:customStyle="1" w:styleId="Tableheading-CENTER">
    <w:name w:val="Table heading - CENTER"/>
    <w:basedOn w:val="Tablenumbers"/>
    <w:qFormat/>
    <w:rsid w:val="006F2603"/>
    <w:pPr>
      <w:spacing w:before="10" w:after="10"/>
      <w:jc w:val="center"/>
    </w:pPr>
    <w:rPr>
      <w:snapToGrid w:val="0"/>
      <w:sz w:val="18"/>
    </w:rPr>
  </w:style>
  <w:style w:type="table" w:customStyle="1" w:styleId="TableGrid1">
    <w:name w:val="Table Grid1"/>
    <w:basedOn w:val="TableNormal"/>
    <w:next w:val="TableGrid"/>
    <w:rsid w:val="00DE7BF1"/>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Style2">
    <w:name w:val="Style2"/>
    <w:rsid w:val="008B4772"/>
    <w:pPr>
      <w:numPr>
        <w:numId w:val="12"/>
      </w:numPr>
      <w:tabs>
        <w:tab w:val="clear" w:pos="720"/>
      </w:tabs>
      <w:spacing w:after="120"/>
      <w:ind w:left="1440"/>
    </w:pPr>
    <w:rPr>
      <w:sz w:val="24"/>
    </w:rPr>
  </w:style>
  <w:style w:type="table" w:customStyle="1" w:styleId="TableGrid11">
    <w:name w:val="Table Grid11"/>
    <w:basedOn w:val="TableNormal"/>
    <w:next w:val="TableGrid"/>
    <w:uiPriority w:val="59"/>
    <w:rsid w:val="008B4772"/>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642A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ody">
    <w:name w:val="Body"/>
    <w:basedOn w:val="Normal"/>
    <w:link w:val="BodyChar"/>
    <w:qFormat/>
    <w:rsid w:val="006A460B"/>
    <w:pPr>
      <w:spacing w:before="60" w:after="60" w:line="276" w:lineRule="auto"/>
      <w:ind w:firstLine="720"/>
    </w:pPr>
    <w:rPr>
      <w:rFonts w:ascii="Arial" w:hAnsi="Arial" w:cs="Arial"/>
      <w:sz w:val="22"/>
      <w:szCs w:val="22"/>
    </w:rPr>
  </w:style>
  <w:style w:type="character" w:customStyle="1" w:styleId="BodyChar">
    <w:name w:val="Body Char"/>
    <w:link w:val="Body"/>
    <w:rsid w:val="006A460B"/>
    <w:rPr>
      <w:rFonts w:ascii="Arial" w:hAnsi="Arial" w:cs="Arial"/>
      <w:sz w:val="22"/>
      <w:szCs w:val="22"/>
    </w:rPr>
  </w:style>
  <w:style w:type="paragraph" w:customStyle="1" w:styleId="question">
    <w:name w:val="question"/>
    <w:basedOn w:val="Normal"/>
    <w:uiPriority w:val="99"/>
    <w:rsid w:val="00D3301D"/>
    <w:pPr>
      <w:numPr>
        <w:numId w:val="18"/>
      </w:numPr>
      <w:spacing w:before="240" w:after="120" w:line="264" w:lineRule="auto"/>
      <w:ind w:left="360"/>
    </w:pPr>
    <w:rPr>
      <w:rFonts w:ascii="Arial" w:hAnsi="Arial" w:cs="Arial"/>
      <w:sz w:val="22"/>
      <w:szCs w:val="22"/>
    </w:rPr>
  </w:style>
  <w:style w:type="paragraph" w:customStyle="1" w:styleId="Tabletextcolumn1">
    <w:name w:val="Table text column 1"/>
    <w:basedOn w:val="Tabletext"/>
    <w:qFormat/>
    <w:rsid w:val="00D3301D"/>
    <w:pPr>
      <w:keepNext w:val="0"/>
      <w:spacing w:before="60" w:after="0" w:line="240" w:lineRule="atLeast"/>
      <w:ind w:left="180" w:hanging="180"/>
    </w:pPr>
  </w:style>
  <w:style w:type="paragraph" w:customStyle="1" w:styleId="bullet2ndlevel">
    <w:name w:val="bullet 2nd level"/>
    <w:basedOn w:val="BodyText"/>
    <w:rsid w:val="00403FCD"/>
    <w:pPr>
      <w:tabs>
        <w:tab w:val="num" w:pos="720"/>
      </w:tabs>
      <w:spacing w:before="120" w:line="280" w:lineRule="atLeast"/>
      <w:ind w:left="720" w:hanging="360"/>
      <w:jc w:val="left"/>
    </w:pPr>
    <w:rPr>
      <w:rFonts w:ascii="Garamond" w:hAnsi="Garamond"/>
      <w:b w:val="0"/>
      <w:bCs w:val="0"/>
      <w:kern w:val="16"/>
      <w:szCs w:val="20"/>
    </w:rPr>
  </w:style>
  <w:style w:type="paragraph" w:customStyle="1" w:styleId="Bulletblocked">
    <w:name w:val="Bullet blocked"/>
    <w:basedOn w:val="BodyText"/>
    <w:rsid w:val="00871F13"/>
    <w:pPr>
      <w:spacing w:before="120" w:after="120" w:line="280" w:lineRule="atLeast"/>
      <w:ind w:left="1080"/>
      <w:jc w:val="left"/>
    </w:pPr>
    <w:rPr>
      <w:rFonts w:ascii="Garamond" w:hAnsi="Garamond"/>
      <w:b w:val="0"/>
      <w:bCs w:val="0"/>
      <w:kern w:val="16"/>
      <w:szCs w:val="20"/>
    </w:rPr>
  </w:style>
  <w:style w:type="character" w:customStyle="1" w:styleId="ListParagraphChar">
    <w:name w:val="List Paragraph Char"/>
    <w:aliases w:val="Probes Char"/>
    <w:link w:val="ListParagraph"/>
    <w:uiPriority w:val="34"/>
    <w:locked/>
    <w:rsid w:val="005C5E41"/>
    <w:rPr>
      <w:rFonts w:ascii="Calibri" w:eastAsia="Calibri" w:hAnsi="Calibri"/>
      <w:sz w:val="22"/>
      <w:szCs w:val="22"/>
    </w:rPr>
  </w:style>
  <w:style w:type="paragraph" w:customStyle="1" w:styleId="Cov-Address">
    <w:name w:val="Cov-Address"/>
    <w:basedOn w:val="Normal"/>
    <w:rsid w:val="007150F3"/>
    <w:pPr>
      <w:jc w:val="right"/>
    </w:pPr>
    <w:rPr>
      <w:rFonts w:ascii="Arial" w:hAnsi="Arial"/>
      <w:szCs w:val="20"/>
    </w:rPr>
  </w:style>
  <w:style w:type="paragraph" w:customStyle="1" w:styleId="BodyTextnospace">
    <w:name w:val="Body Text no space"/>
    <w:basedOn w:val="BodyText"/>
    <w:uiPriority w:val="99"/>
    <w:qFormat/>
    <w:rsid w:val="00622B19"/>
    <w:pPr>
      <w:jc w:val="left"/>
    </w:pPr>
    <w:rPr>
      <w:rFonts w:ascii="Garamond" w:hAnsi="Garamond"/>
      <w:b w:val="0"/>
      <w:bCs w:val="0"/>
      <w:szCs w:val="20"/>
    </w:rPr>
  </w:style>
  <w:style w:type="paragraph" w:customStyle="1" w:styleId="AppH3">
    <w:name w:val="App H3"/>
    <w:basedOn w:val="Normal"/>
    <w:next w:val="BodyText"/>
    <w:uiPriority w:val="99"/>
    <w:qFormat/>
    <w:rsid w:val="008F12AA"/>
    <w:pPr>
      <w:keepNext/>
      <w:tabs>
        <w:tab w:val="left" w:pos="720"/>
        <w:tab w:val="left" w:pos="1620"/>
      </w:tabs>
      <w:spacing w:before="120" w:after="120"/>
      <w:outlineLvl w:val="2"/>
    </w:pPr>
    <w:rPr>
      <w:rFonts w:ascii="Arial" w:hAnsi="Arial" w:cs="Arial"/>
      <w:b/>
      <w:bCs/>
    </w:rPr>
  </w:style>
  <w:style w:type="paragraph" w:customStyle="1" w:styleId="Bullet1">
    <w:name w:val="Bullet1"/>
    <w:basedOn w:val="bulletround"/>
    <w:rsid w:val="00602A8A"/>
    <w:pPr>
      <w:tabs>
        <w:tab w:val="num" w:pos="1440"/>
      </w:tabs>
      <w:spacing w:after="0"/>
      <w:ind w:left="1440" w:hanging="360"/>
    </w:pPr>
    <w:rPr>
      <w:rFonts w:ascii="Garamond" w:hAnsi="Garamond"/>
      <w:szCs w:val="20"/>
    </w:rPr>
  </w:style>
  <w:style w:type="table" w:customStyle="1" w:styleId="GridTable1Light-Accent51">
    <w:name w:val="Grid Table 1 Light - Accent 51"/>
    <w:basedOn w:val="TableNormal"/>
    <w:uiPriority w:val="46"/>
    <w:rsid w:val="0058773C"/>
    <w:rPr>
      <w:rFonts w:ascii="Cambria" w:hAnsi="Cambria"/>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L1-FlLSp12">
    <w:name w:val="L1-FlL Sp&amp;1/2"/>
    <w:basedOn w:val="Normal"/>
    <w:link w:val="L1-FlLSp12Char"/>
    <w:uiPriority w:val="99"/>
    <w:rsid w:val="008D171B"/>
    <w:pPr>
      <w:tabs>
        <w:tab w:val="left" w:pos="1152"/>
      </w:tabs>
      <w:spacing w:line="360" w:lineRule="atLeast"/>
    </w:pPr>
    <w:rPr>
      <w:rFonts w:ascii="Garamond" w:hAnsi="Garamond"/>
      <w:szCs w:val="20"/>
    </w:rPr>
  </w:style>
  <w:style w:type="paragraph" w:customStyle="1" w:styleId="N3-3rdBullet">
    <w:name w:val="N3-3rd Bullet"/>
    <w:basedOn w:val="Normal"/>
    <w:uiPriority w:val="99"/>
    <w:rsid w:val="008D171B"/>
    <w:pPr>
      <w:numPr>
        <w:numId w:val="38"/>
      </w:numPr>
      <w:spacing w:after="240" w:line="240" w:lineRule="atLeast"/>
    </w:pPr>
    <w:rPr>
      <w:rFonts w:ascii="Garamond" w:hAnsi="Garamond"/>
      <w:szCs w:val="20"/>
    </w:rPr>
  </w:style>
  <w:style w:type="character" w:customStyle="1" w:styleId="L1-FlLSp12Char">
    <w:name w:val="L1-FlL Sp&amp;1/2 Char"/>
    <w:link w:val="L1-FlLSp12"/>
    <w:uiPriority w:val="99"/>
    <w:locked/>
    <w:rsid w:val="008D171B"/>
    <w:rPr>
      <w:rFonts w:ascii="Garamond" w:eastAsia="Times New Roman" w:hAnsi="Garamond"/>
      <w:sz w:val="24"/>
    </w:rPr>
  </w:style>
  <w:style w:type="paragraph" w:styleId="NoSpacing">
    <w:name w:val="No Spacing"/>
    <w:uiPriority w:val="1"/>
    <w:qFormat/>
    <w:rsid w:val="00D53DC7"/>
    <w:rPr>
      <w:rFonts w:ascii="Calibri" w:eastAsia="Calibri" w:hAnsi="Calibri"/>
      <w:sz w:val="22"/>
      <w:szCs w:val="22"/>
    </w:rPr>
  </w:style>
  <w:style w:type="paragraph" w:customStyle="1" w:styleId="TT-TableTitle">
    <w:name w:val="TT-Table Title"/>
    <w:rsid w:val="002835AD"/>
    <w:pPr>
      <w:keepNext/>
      <w:tabs>
        <w:tab w:val="left" w:pos="1440"/>
      </w:tabs>
      <w:spacing w:line="240" w:lineRule="atLeast"/>
      <w:ind w:left="1440" w:hanging="1440"/>
    </w:pPr>
    <w:rPr>
      <w:rFonts w:ascii="Franklin Gothic Medium" w:hAnsi="Franklin Gothic Medium"/>
      <w:sz w:val="22"/>
    </w:rPr>
  </w:style>
  <w:style w:type="paragraph" w:customStyle="1" w:styleId="P1-StandPara">
    <w:name w:val="P1-Stand Para"/>
    <w:basedOn w:val="Normal"/>
    <w:uiPriority w:val="99"/>
    <w:rsid w:val="00192719"/>
    <w:pPr>
      <w:spacing w:line="360" w:lineRule="atLeast"/>
      <w:ind w:firstLine="1152"/>
    </w:pPr>
    <w:rPr>
      <w:rFonts w:ascii="Garamond" w:hAnsi="Garamond"/>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231">
      <w:bodyDiv w:val="1"/>
      <w:marLeft w:val="0"/>
      <w:marRight w:val="0"/>
      <w:marTop w:val="0"/>
      <w:marBottom w:val="0"/>
      <w:divBdr>
        <w:top w:val="none" w:sz="0" w:space="0" w:color="auto"/>
        <w:left w:val="none" w:sz="0" w:space="0" w:color="auto"/>
        <w:bottom w:val="none" w:sz="0" w:space="0" w:color="auto"/>
        <w:right w:val="none" w:sz="0" w:space="0" w:color="auto"/>
      </w:divBdr>
    </w:div>
    <w:div w:id="78260973">
      <w:bodyDiv w:val="1"/>
      <w:marLeft w:val="0"/>
      <w:marRight w:val="0"/>
      <w:marTop w:val="0"/>
      <w:marBottom w:val="0"/>
      <w:divBdr>
        <w:top w:val="none" w:sz="0" w:space="0" w:color="auto"/>
        <w:left w:val="none" w:sz="0" w:space="0" w:color="auto"/>
        <w:bottom w:val="none" w:sz="0" w:space="0" w:color="auto"/>
        <w:right w:val="none" w:sz="0" w:space="0" w:color="auto"/>
      </w:divBdr>
    </w:div>
    <w:div w:id="98792285">
      <w:bodyDiv w:val="1"/>
      <w:marLeft w:val="0"/>
      <w:marRight w:val="0"/>
      <w:marTop w:val="0"/>
      <w:marBottom w:val="0"/>
      <w:divBdr>
        <w:top w:val="none" w:sz="0" w:space="0" w:color="auto"/>
        <w:left w:val="none" w:sz="0" w:space="0" w:color="auto"/>
        <w:bottom w:val="none" w:sz="0" w:space="0" w:color="auto"/>
        <w:right w:val="none" w:sz="0" w:space="0" w:color="auto"/>
      </w:divBdr>
    </w:div>
    <w:div w:id="107939536">
      <w:bodyDiv w:val="1"/>
      <w:marLeft w:val="0"/>
      <w:marRight w:val="0"/>
      <w:marTop w:val="0"/>
      <w:marBottom w:val="0"/>
      <w:divBdr>
        <w:top w:val="none" w:sz="0" w:space="0" w:color="auto"/>
        <w:left w:val="none" w:sz="0" w:space="0" w:color="auto"/>
        <w:bottom w:val="none" w:sz="0" w:space="0" w:color="auto"/>
        <w:right w:val="none" w:sz="0" w:space="0" w:color="auto"/>
      </w:divBdr>
    </w:div>
    <w:div w:id="254898394">
      <w:bodyDiv w:val="1"/>
      <w:marLeft w:val="0"/>
      <w:marRight w:val="0"/>
      <w:marTop w:val="0"/>
      <w:marBottom w:val="0"/>
      <w:divBdr>
        <w:top w:val="none" w:sz="0" w:space="0" w:color="auto"/>
        <w:left w:val="none" w:sz="0" w:space="0" w:color="auto"/>
        <w:bottom w:val="none" w:sz="0" w:space="0" w:color="auto"/>
        <w:right w:val="none" w:sz="0" w:space="0" w:color="auto"/>
      </w:divBdr>
    </w:div>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303391729">
      <w:bodyDiv w:val="1"/>
      <w:marLeft w:val="0"/>
      <w:marRight w:val="0"/>
      <w:marTop w:val="0"/>
      <w:marBottom w:val="0"/>
      <w:divBdr>
        <w:top w:val="none" w:sz="0" w:space="0" w:color="auto"/>
        <w:left w:val="none" w:sz="0" w:space="0" w:color="auto"/>
        <w:bottom w:val="none" w:sz="0" w:space="0" w:color="auto"/>
        <w:right w:val="none" w:sz="0" w:space="0" w:color="auto"/>
      </w:divBdr>
    </w:div>
    <w:div w:id="312493254">
      <w:bodyDiv w:val="1"/>
      <w:marLeft w:val="0"/>
      <w:marRight w:val="0"/>
      <w:marTop w:val="0"/>
      <w:marBottom w:val="0"/>
      <w:divBdr>
        <w:top w:val="none" w:sz="0" w:space="0" w:color="auto"/>
        <w:left w:val="none" w:sz="0" w:space="0" w:color="auto"/>
        <w:bottom w:val="none" w:sz="0" w:space="0" w:color="auto"/>
        <w:right w:val="none" w:sz="0" w:space="0" w:color="auto"/>
      </w:divBdr>
    </w:div>
    <w:div w:id="313803187">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616330709">
      <w:bodyDiv w:val="1"/>
      <w:marLeft w:val="0"/>
      <w:marRight w:val="0"/>
      <w:marTop w:val="0"/>
      <w:marBottom w:val="0"/>
      <w:divBdr>
        <w:top w:val="none" w:sz="0" w:space="0" w:color="auto"/>
        <w:left w:val="none" w:sz="0" w:space="0" w:color="auto"/>
        <w:bottom w:val="none" w:sz="0" w:space="0" w:color="auto"/>
        <w:right w:val="none" w:sz="0" w:space="0" w:color="auto"/>
      </w:divBdr>
    </w:div>
    <w:div w:id="632833439">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092975771">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424646942">
      <w:bodyDiv w:val="1"/>
      <w:marLeft w:val="0"/>
      <w:marRight w:val="0"/>
      <w:marTop w:val="0"/>
      <w:marBottom w:val="0"/>
      <w:divBdr>
        <w:top w:val="none" w:sz="0" w:space="0" w:color="auto"/>
        <w:left w:val="none" w:sz="0" w:space="0" w:color="auto"/>
        <w:bottom w:val="none" w:sz="0" w:space="0" w:color="auto"/>
        <w:right w:val="none" w:sz="0" w:space="0" w:color="auto"/>
      </w:divBdr>
    </w:div>
    <w:div w:id="1728457271">
      <w:bodyDiv w:val="1"/>
      <w:marLeft w:val="0"/>
      <w:marRight w:val="0"/>
      <w:marTop w:val="0"/>
      <w:marBottom w:val="0"/>
      <w:divBdr>
        <w:top w:val="none" w:sz="0" w:space="0" w:color="auto"/>
        <w:left w:val="none" w:sz="0" w:space="0" w:color="auto"/>
        <w:bottom w:val="none" w:sz="0" w:space="0" w:color="auto"/>
        <w:right w:val="none" w:sz="0" w:space="0" w:color="auto"/>
      </w:divBdr>
    </w:div>
    <w:div w:id="1785880802">
      <w:bodyDiv w:val="1"/>
      <w:marLeft w:val="0"/>
      <w:marRight w:val="0"/>
      <w:marTop w:val="0"/>
      <w:marBottom w:val="0"/>
      <w:divBdr>
        <w:top w:val="none" w:sz="0" w:space="0" w:color="auto"/>
        <w:left w:val="none" w:sz="0" w:space="0" w:color="auto"/>
        <w:bottom w:val="none" w:sz="0" w:space="0" w:color="auto"/>
        <w:right w:val="none" w:sz="0" w:space="0" w:color="auto"/>
      </w:divBdr>
    </w:div>
    <w:div w:id="1999771721">
      <w:bodyDiv w:val="1"/>
      <w:marLeft w:val="0"/>
      <w:marRight w:val="0"/>
      <w:marTop w:val="0"/>
      <w:marBottom w:val="0"/>
      <w:divBdr>
        <w:top w:val="none" w:sz="0" w:space="0" w:color="auto"/>
        <w:left w:val="none" w:sz="0" w:space="0" w:color="auto"/>
        <w:bottom w:val="none" w:sz="0" w:space="0" w:color="auto"/>
        <w:right w:val="none" w:sz="0" w:space="0" w:color="auto"/>
      </w:divBdr>
    </w:div>
    <w:div w:id="2007591195">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need-extra-precautions/older-adult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ata.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18a4da83801d527dd8b3786ab7e2304">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b565fd87fb012d352159d111c208a64"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A8A64E-41F6-4BB4-9DE8-A4286CF9FA82}">
  <ds:schemaRefs>
    <ds:schemaRef ds:uri="http://schemas.microsoft.com/sharepoint/v3/contenttype/forms"/>
  </ds:schemaRefs>
</ds:datastoreItem>
</file>

<file path=customXml/itemProps2.xml><?xml version="1.0" encoding="utf-8"?>
<ds:datastoreItem xmlns:ds="http://schemas.openxmlformats.org/officeDocument/2006/customXml" ds:itemID="{50E1C690-B92F-4DBA-AC5C-0D7189A9C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C8C91-E2C7-453A-A56D-2BBA812B5D24}">
  <ds:schemaRefs>
    <ds:schemaRef ds:uri="http://schemas.openxmlformats.org/officeDocument/2006/bibliography"/>
  </ds:schemaRefs>
</ds:datastoreItem>
</file>

<file path=customXml/itemProps4.xml><?xml version="1.0" encoding="utf-8"?>
<ds:datastoreItem xmlns:ds="http://schemas.openxmlformats.org/officeDocument/2006/customXml" ds:itemID="{F12292C7-BF09-4323-AE25-742DC6BB8A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14774</CharactersWithSpaces>
  <SharedDoc>false</SharedDoc>
  <HLinks>
    <vt:vector size="12" baseType="variant">
      <vt:variant>
        <vt:i4>7667829</vt:i4>
      </vt:variant>
      <vt:variant>
        <vt:i4>0</vt:i4>
      </vt:variant>
      <vt:variant>
        <vt:i4>0</vt:i4>
      </vt:variant>
      <vt:variant>
        <vt:i4>5</vt:i4>
      </vt:variant>
      <vt:variant>
        <vt:lpwstr>https://www.cdc.gov/coronavirus/2019-ncov/need-extra-precautions/older-adults.html</vt:lpwstr>
      </vt:variant>
      <vt:variant>
        <vt:lpwstr/>
      </vt:variant>
      <vt:variant>
        <vt:i4>6094869</vt:i4>
      </vt:variant>
      <vt:variant>
        <vt:i4>0</vt:i4>
      </vt:variant>
      <vt:variant>
        <vt:i4>0</vt:i4>
      </vt:variant>
      <vt:variant>
        <vt:i4>5</vt:i4>
      </vt:variant>
      <vt:variant>
        <vt:lpwstr>http://data.bls.gov/oes/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subject/>
  <dc:creator>audrey.pendleton</dc:creator>
  <cp:keywords/>
  <dc:description/>
  <cp:lastModifiedBy>Valentine, Stephanie</cp:lastModifiedBy>
  <cp:revision>2</cp:revision>
  <cp:lastPrinted>2019-10-24T16:01:00Z</cp:lastPrinted>
  <dcterms:created xsi:type="dcterms:W3CDTF">2021-03-11T18:26:00Z</dcterms:created>
  <dcterms:modified xsi:type="dcterms:W3CDTF">2021-03-11T18:26:00Z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0x01010057DC98171ABF41439B409D0A1DDFBE39</vt:lpwstr>
  </property>
</Properties>
</file>