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0229" w:rsidR="000179BC" w:rsidP="000700C7" w:rsidRDefault="000179BC" w14:paraId="5BB03C1E" w14:textId="0201596A">
      <w:pPr>
        <w:spacing w:before="2040" w:line="560" w:lineRule="exact"/>
        <w:ind w:left="-1440" w:firstLine="0"/>
        <w:rPr>
          <w:rFonts w:ascii="Arial" w:hAnsi="Arial"/>
          <w:caps/>
          <w:spacing w:val="28"/>
          <w:sz w:val="17"/>
          <w:szCs w:val="26"/>
        </w:rPr>
      </w:pPr>
      <w:r w:rsidRPr="00030229">
        <w:rPr>
          <w:rFonts w:ascii="Arial" w:hAnsi="Arial"/>
          <w:caps/>
          <w:noProof/>
          <w:spacing w:val="28"/>
          <w:sz w:val="17"/>
          <w:szCs w:val="26"/>
        </w:rPr>
        <w:drawing>
          <wp:anchor distT="0" distB="0" distL="114300" distR="114300" simplePos="0" relativeHeight="251662336" behindDoc="0" locked="1" layoutInCell="1" allowOverlap="1" wp14:editId="08CFE345" wp14:anchorId="5F8B3B04">
            <wp:simplePos x="0" y="0"/>
            <wp:positionH relativeFrom="margin">
              <wp:align>right</wp:align>
            </wp:positionH>
            <wp:positionV relativeFrom="margin">
              <wp:posOffset>-2143125</wp:posOffset>
            </wp:positionV>
            <wp:extent cx="4876800" cy="124777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876800" cy="1247775"/>
                    </a:xfrm>
                    <a:prstGeom prst="rect">
                      <a:avLst/>
                    </a:prstGeom>
                    <a:noFill/>
                  </pic:spPr>
                </pic:pic>
              </a:graphicData>
            </a:graphic>
          </wp:anchor>
        </w:drawing>
      </w:r>
      <w:bookmarkStart w:name="RepTitle" w:id="0"/>
      <w:bookmarkEnd w:id="0"/>
    </w:p>
    <w:p w:rsidR="005802CB" w:rsidP="005802CB" w:rsidRDefault="005802CB" w14:paraId="30ADE73D" w14:textId="57CA468B">
      <w:pPr>
        <w:pStyle w:val="H1Title"/>
        <w:pBdr>
          <w:top w:val="single" w:color="auto" w:sz="4" w:space="5"/>
          <w:bottom w:val="single" w:color="auto" w:sz="4" w:space="5"/>
        </w:pBdr>
      </w:pPr>
      <w:r w:rsidRPr="007A3561">
        <w:t>Impact Evaluation of Departmentalized Instruction in Elementary Schools</w:t>
      </w:r>
    </w:p>
    <w:p w:rsidRPr="00030229" w:rsidR="000179BC" w:rsidP="000179BC" w:rsidRDefault="000179BC" w14:paraId="630E62DD" w14:textId="5B2686DC">
      <w:pPr>
        <w:pBdr>
          <w:top w:val="single" w:color="auto" w:sz="4" w:space="5"/>
          <w:bottom w:val="single" w:color="auto" w:sz="4" w:space="5"/>
        </w:pBdr>
        <w:spacing w:after="184" w:line="440" w:lineRule="exact"/>
        <w:ind w:firstLine="0"/>
        <w:outlineLvl w:val="0"/>
        <w:rPr>
          <w:rFonts w:ascii="Arial Black" w:hAnsi="Arial Black"/>
          <w:color w:val="E70033"/>
          <w:sz w:val="37"/>
        </w:rPr>
      </w:pPr>
      <w:r w:rsidRPr="000179BC">
        <w:rPr>
          <w:rFonts w:ascii="Arial Black" w:hAnsi="Arial Black"/>
          <w:color w:val="E70033"/>
          <w:sz w:val="37"/>
        </w:rPr>
        <w:t xml:space="preserve">Part B: </w:t>
      </w:r>
      <w:r w:rsidR="00A140E0">
        <w:rPr>
          <w:rFonts w:ascii="Arial Black" w:hAnsi="Arial Black"/>
          <w:color w:val="E70033"/>
          <w:sz w:val="37"/>
        </w:rPr>
        <w:t>Collection o</w:t>
      </w:r>
      <w:r w:rsidRPr="00A140E0" w:rsidR="00A140E0">
        <w:rPr>
          <w:rFonts w:ascii="Arial Black" w:hAnsi="Arial Black"/>
          <w:color w:val="E70033"/>
          <w:sz w:val="37"/>
        </w:rPr>
        <w:t xml:space="preserve">f Information Employing Statistical Methods </w:t>
      </w:r>
      <w:r w:rsidRPr="00030229">
        <w:rPr>
          <w:rFonts w:ascii="Arial Black" w:hAnsi="Arial Black"/>
          <w:noProof/>
          <w:color w:val="E70033"/>
          <w:sz w:val="37"/>
        </w:rPr>
        <w:drawing>
          <wp:anchor distT="0" distB="0" distL="114300" distR="114300" simplePos="0" relativeHeight="251661312" behindDoc="0" locked="1" layoutInCell="1" allowOverlap="1" wp14:editId="793C220B" wp14:anchorId="4306DC3E">
            <wp:simplePos x="0" y="0"/>
            <wp:positionH relativeFrom="margin">
              <wp:align>right</wp:align>
            </wp:positionH>
            <wp:positionV relativeFrom="margin">
              <wp:posOffset>-2143125</wp:posOffset>
            </wp:positionV>
            <wp:extent cx="4876800" cy="124777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876800" cy="1247775"/>
                    </a:xfrm>
                    <a:prstGeom prst="rect">
                      <a:avLst/>
                    </a:prstGeom>
                    <a:noFill/>
                  </pic:spPr>
                </pic:pic>
              </a:graphicData>
            </a:graphic>
          </wp:anchor>
        </w:drawing>
      </w:r>
    </w:p>
    <w:p w:rsidR="00463E50" w:rsidP="00463E50" w:rsidRDefault="009801A0" w14:paraId="32868356" w14:textId="36B964D9">
      <w:pPr>
        <w:pStyle w:val="coverdate"/>
      </w:pPr>
      <w:r>
        <w:t xml:space="preserve">March </w:t>
      </w:r>
      <w:r w:rsidR="005802CB">
        <w:t>2</w:t>
      </w:r>
      <w:r w:rsidR="0077166D">
        <w:t>4</w:t>
      </w:r>
      <w:r w:rsidR="00EA0252">
        <w:t>, 20</w:t>
      </w:r>
      <w:r w:rsidR="005802CB">
        <w:t>21</w:t>
      </w:r>
    </w:p>
    <w:p w:rsidRPr="00030229" w:rsidR="000179BC" w:rsidP="000179BC" w:rsidRDefault="000179BC" w14:paraId="1BD74BEF" w14:textId="77777777">
      <w:pPr>
        <w:spacing w:after="100" w:line="260" w:lineRule="exact"/>
        <w:ind w:firstLine="0"/>
        <w:rPr>
          <w:rFonts w:ascii="Arial" w:hAnsi="Arial"/>
          <w:sz w:val="16"/>
          <w:szCs w:val="19"/>
        </w:rPr>
        <w:sectPr w:rsidRPr="00030229" w:rsidR="000179BC" w:rsidSect="000700C7">
          <w:footerReference w:type="default" r:id="rId12"/>
          <w:headerReference w:type="first" r:id="rId13"/>
          <w:pgSz w:w="12240" w:h="15840"/>
          <w:pgMar w:top="1008" w:right="2250" w:bottom="1195" w:left="1800" w:header="864" w:footer="576" w:gutter="0"/>
          <w:cols w:space="720"/>
          <w:docGrid w:linePitch="326"/>
        </w:sectPr>
      </w:pPr>
    </w:p>
    <w:p w:rsidRPr="00495A61" w:rsidR="00495A61" w:rsidP="00D569C7" w:rsidRDefault="00A140E0" w14:paraId="73F3896E" w14:textId="030E8BC0">
      <w:pPr>
        <w:pStyle w:val="AcknowledgmentnoTOC"/>
      </w:pPr>
      <w:r w:rsidRPr="00495A61">
        <w:lastRenderedPageBreak/>
        <w:t>CONTENTS</w:t>
      </w:r>
    </w:p>
    <w:p w:rsidR="00295FDC" w:rsidP="00295FDC" w:rsidRDefault="00A140E0" w14:paraId="56234116" w14:textId="6ABAFAF2">
      <w:pPr>
        <w:pStyle w:val="TOC1"/>
        <w:ind w:left="1440" w:hanging="1440"/>
        <w:rPr>
          <w:rFonts w:asciiTheme="minorHAnsi" w:hAnsiTheme="minorHAnsi" w:eastAsiaTheme="minorEastAsia" w:cstheme="minorBidi"/>
          <w:caps w:val="0"/>
          <w:noProof/>
          <w:sz w:val="22"/>
          <w:szCs w:val="22"/>
        </w:rPr>
      </w:pPr>
      <w:r>
        <w:rPr>
          <w:rFonts w:cs="Arial"/>
          <w:caps w:val="0"/>
        </w:rPr>
        <w:fldChar w:fldCharType="begin"/>
      </w:r>
      <w:r>
        <w:rPr>
          <w:rFonts w:cs="Arial"/>
        </w:rPr>
        <w:instrText xml:space="preserve"> TOC \o "2-4" \z \t "H2_Chapter,1,H3_Alpha,2,H4_Number,3,Mark for Attachment Title,8,Mark for Appendix Title,8" </w:instrText>
      </w:r>
      <w:r>
        <w:rPr>
          <w:rFonts w:cs="Arial"/>
          <w:caps w:val="0"/>
        </w:rPr>
        <w:fldChar w:fldCharType="separate"/>
      </w:r>
      <w:r w:rsidR="00295FDC">
        <w:rPr>
          <w:noProof/>
        </w:rPr>
        <w:t xml:space="preserve">PART B. </w:t>
      </w:r>
      <w:r w:rsidR="00EC4207">
        <w:rPr>
          <w:noProof/>
        </w:rPr>
        <w:t>COLLECTION OF INFORMATION EMPLOYING STATISTICAL METHODS</w:t>
      </w:r>
      <w:r w:rsidR="00295FDC">
        <w:rPr>
          <w:noProof/>
          <w:webHidden/>
        </w:rPr>
        <w:tab/>
      </w:r>
      <w:r w:rsidR="00295FDC">
        <w:rPr>
          <w:noProof/>
          <w:webHidden/>
        </w:rPr>
        <w:fldChar w:fldCharType="begin"/>
      </w:r>
      <w:r w:rsidR="00295FDC">
        <w:rPr>
          <w:noProof/>
          <w:webHidden/>
        </w:rPr>
        <w:instrText xml:space="preserve"> PAGEREF _Toc500236011 \h </w:instrText>
      </w:r>
      <w:r w:rsidR="00295FDC">
        <w:rPr>
          <w:noProof/>
          <w:webHidden/>
        </w:rPr>
      </w:r>
      <w:r w:rsidR="00295FDC">
        <w:rPr>
          <w:noProof/>
          <w:webHidden/>
        </w:rPr>
        <w:fldChar w:fldCharType="separate"/>
      </w:r>
      <w:r w:rsidR="00EC4207">
        <w:rPr>
          <w:noProof/>
          <w:webHidden/>
        </w:rPr>
        <w:t>1</w:t>
      </w:r>
      <w:r w:rsidR="00295FDC">
        <w:rPr>
          <w:noProof/>
          <w:webHidden/>
        </w:rPr>
        <w:fldChar w:fldCharType="end"/>
      </w:r>
    </w:p>
    <w:p w:rsidR="00295FDC" w:rsidRDefault="00295FDC" w14:paraId="7F5DFE16" w14:textId="25BAB940">
      <w:pPr>
        <w:pStyle w:val="TOC3"/>
        <w:tabs>
          <w:tab w:val="left" w:pos="2520"/>
        </w:tabs>
        <w:rPr>
          <w:rFonts w:asciiTheme="minorHAnsi" w:hAnsiTheme="minorHAnsi" w:eastAsiaTheme="minorEastAsia" w:cstheme="minorBidi"/>
          <w:sz w:val="22"/>
          <w:szCs w:val="22"/>
        </w:rPr>
      </w:pPr>
      <w:r>
        <w:t xml:space="preserve">B1. </w:t>
      </w:r>
      <w:r>
        <w:rPr>
          <w:rFonts w:asciiTheme="minorHAnsi" w:hAnsiTheme="minorHAnsi" w:eastAsiaTheme="minorEastAsia" w:cstheme="minorBidi"/>
          <w:sz w:val="22"/>
          <w:szCs w:val="22"/>
        </w:rPr>
        <w:tab/>
      </w:r>
      <w:r>
        <w:t>Respondent universe and sampl</w:t>
      </w:r>
      <w:r w:rsidR="00EC4207">
        <w:t>e design</w:t>
      </w:r>
      <w:r>
        <w:rPr>
          <w:webHidden/>
        </w:rPr>
        <w:tab/>
      </w:r>
      <w:r>
        <w:rPr>
          <w:webHidden/>
        </w:rPr>
        <w:fldChar w:fldCharType="begin"/>
      </w:r>
      <w:r>
        <w:rPr>
          <w:webHidden/>
        </w:rPr>
        <w:instrText xml:space="preserve"> PAGEREF _Toc500236013 \h </w:instrText>
      </w:r>
      <w:r>
        <w:rPr>
          <w:webHidden/>
        </w:rPr>
      </w:r>
      <w:r>
        <w:rPr>
          <w:webHidden/>
        </w:rPr>
        <w:fldChar w:fldCharType="separate"/>
      </w:r>
      <w:r w:rsidR="00EC4207">
        <w:rPr>
          <w:webHidden/>
        </w:rPr>
        <w:t>1</w:t>
      </w:r>
      <w:r>
        <w:rPr>
          <w:webHidden/>
        </w:rPr>
        <w:fldChar w:fldCharType="end"/>
      </w:r>
    </w:p>
    <w:p w:rsidR="00295FDC" w:rsidRDefault="00295FDC" w14:paraId="53E99C02" w14:textId="44F1B746">
      <w:pPr>
        <w:pStyle w:val="TOC3"/>
        <w:tabs>
          <w:tab w:val="left" w:pos="2520"/>
        </w:tabs>
        <w:rPr>
          <w:rFonts w:asciiTheme="minorHAnsi" w:hAnsiTheme="minorHAnsi" w:eastAsiaTheme="minorEastAsia" w:cstheme="minorBidi"/>
          <w:sz w:val="22"/>
          <w:szCs w:val="22"/>
        </w:rPr>
      </w:pPr>
      <w:r>
        <w:t xml:space="preserve">B2. </w:t>
      </w:r>
      <w:r>
        <w:rPr>
          <w:rFonts w:asciiTheme="minorHAnsi" w:hAnsiTheme="minorHAnsi" w:eastAsiaTheme="minorEastAsia" w:cstheme="minorBidi"/>
          <w:sz w:val="22"/>
          <w:szCs w:val="22"/>
        </w:rPr>
        <w:tab/>
      </w:r>
      <w:r w:rsidR="00EC4207">
        <w:t>Information collection procedures</w:t>
      </w:r>
      <w:r>
        <w:rPr>
          <w:webHidden/>
        </w:rPr>
        <w:tab/>
      </w:r>
      <w:r>
        <w:rPr>
          <w:webHidden/>
        </w:rPr>
        <w:fldChar w:fldCharType="begin"/>
      </w:r>
      <w:r>
        <w:rPr>
          <w:webHidden/>
        </w:rPr>
        <w:instrText xml:space="preserve"> PAGEREF _Toc500236014 \h </w:instrText>
      </w:r>
      <w:r>
        <w:rPr>
          <w:webHidden/>
        </w:rPr>
      </w:r>
      <w:r>
        <w:rPr>
          <w:webHidden/>
        </w:rPr>
        <w:fldChar w:fldCharType="separate"/>
      </w:r>
      <w:r w:rsidR="00EC4207">
        <w:rPr>
          <w:webHidden/>
        </w:rPr>
        <w:t>1</w:t>
      </w:r>
      <w:r>
        <w:rPr>
          <w:webHidden/>
        </w:rPr>
        <w:fldChar w:fldCharType="end"/>
      </w:r>
    </w:p>
    <w:p w:rsidR="00295FDC" w:rsidRDefault="00295FDC" w14:paraId="4412E90B" w14:textId="07F237A8">
      <w:pPr>
        <w:pStyle w:val="TOC3"/>
        <w:tabs>
          <w:tab w:val="left" w:pos="1872"/>
        </w:tabs>
        <w:rPr>
          <w:rFonts w:asciiTheme="minorHAnsi" w:hAnsiTheme="minorHAnsi" w:eastAsiaTheme="minorEastAsia" w:cstheme="minorBidi"/>
          <w:sz w:val="22"/>
          <w:szCs w:val="22"/>
        </w:rPr>
      </w:pPr>
      <w:r>
        <w:t>B3.</w:t>
      </w:r>
      <w:r>
        <w:rPr>
          <w:rFonts w:asciiTheme="minorHAnsi" w:hAnsiTheme="minorHAnsi" w:eastAsiaTheme="minorEastAsia" w:cstheme="minorBidi"/>
          <w:sz w:val="22"/>
          <w:szCs w:val="22"/>
        </w:rPr>
        <w:tab/>
      </w:r>
      <w:r>
        <w:t xml:space="preserve">Methods </w:t>
      </w:r>
      <w:r w:rsidR="00EC4207">
        <w:t>for</w:t>
      </w:r>
      <w:r>
        <w:t xml:space="preserve"> maximiz</w:t>
      </w:r>
      <w:r w:rsidR="00EC4207">
        <w:t>ing the</w:t>
      </w:r>
      <w:r>
        <w:t xml:space="preserve"> response rate</w:t>
      </w:r>
      <w:r>
        <w:rPr>
          <w:webHidden/>
        </w:rPr>
        <w:tab/>
      </w:r>
      <w:r>
        <w:rPr>
          <w:webHidden/>
        </w:rPr>
        <w:fldChar w:fldCharType="begin"/>
      </w:r>
      <w:r>
        <w:rPr>
          <w:webHidden/>
        </w:rPr>
        <w:instrText xml:space="preserve"> PAGEREF _Toc500236015 \h </w:instrText>
      </w:r>
      <w:r>
        <w:rPr>
          <w:webHidden/>
        </w:rPr>
      </w:r>
      <w:r>
        <w:rPr>
          <w:webHidden/>
        </w:rPr>
        <w:fldChar w:fldCharType="separate"/>
      </w:r>
      <w:r w:rsidR="00EC4207">
        <w:rPr>
          <w:webHidden/>
        </w:rPr>
        <w:t>5</w:t>
      </w:r>
      <w:r>
        <w:rPr>
          <w:webHidden/>
        </w:rPr>
        <w:fldChar w:fldCharType="end"/>
      </w:r>
    </w:p>
    <w:p w:rsidR="00295FDC" w:rsidRDefault="00295FDC" w14:paraId="24832F8D" w14:textId="3052573E">
      <w:pPr>
        <w:pStyle w:val="TOC3"/>
        <w:tabs>
          <w:tab w:val="left" w:pos="1872"/>
        </w:tabs>
        <w:rPr>
          <w:rFonts w:asciiTheme="minorHAnsi" w:hAnsiTheme="minorHAnsi" w:eastAsiaTheme="minorEastAsia" w:cstheme="minorBidi"/>
          <w:sz w:val="22"/>
          <w:szCs w:val="22"/>
        </w:rPr>
      </w:pPr>
      <w:r>
        <w:t>B4.</w:t>
      </w:r>
      <w:r>
        <w:rPr>
          <w:rFonts w:asciiTheme="minorHAnsi" w:hAnsiTheme="minorHAnsi" w:eastAsiaTheme="minorEastAsia" w:cstheme="minorBidi"/>
          <w:sz w:val="22"/>
          <w:szCs w:val="22"/>
        </w:rPr>
        <w:tab/>
      </w:r>
      <w:r>
        <w:t>Tests of procedures</w:t>
      </w:r>
      <w:r>
        <w:rPr>
          <w:webHidden/>
        </w:rPr>
        <w:tab/>
      </w:r>
      <w:r>
        <w:rPr>
          <w:webHidden/>
        </w:rPr>
        <w:fldChar w:fldCharType="begin"/>
      </w:r>
      <w:r>
        <w:rPr>
          <w:webHidden/>
        </w:rPr>
        <w:instrText xml:space="preserve"> PAGEREF _Toc500236016 \h </w:instrText>
      </w:r>
      <w:r>
        <w:rPr>
          <w:webHidden/>
        </w:rPr>
      </w:r>
      <w:r>
        <w:rPr>
          <w:webHidden/>
        </w:rPr>
        <w:fldChar w:fldCharType="separate"/>
      </w:r>
      <w:r w:rsidR="00EC4207">
        <w:rPr>
          <w:webHidden/>
        </w:rPr>
        <w:t>5</w:t>
      </w:r>
      <w:r>
        <w:rPr>
          <w:webHidden/>
        </w:rPr>
        <w:fldChar w:fldCharType="end"/>
      </w:r>
    </w:p>
    <w:p w:rsidR="00295FDC" w:rsidRDefault="00295FDC" w14:paraId="57C404EB" w14:textId="60171C2E">
      <w:pPr>
        <w:pStyle w:val="TOC3"/>
        <w:tabs>
          <w:tab w:val="left" w:pos="1872"/>
        </w:tabs>
        <w:rPr>
          <w:rFonts w:asciiTheme="minorHAnsi" w:hAnsiTheme="minorHAnsi" w:eastAsiaTheme="minorEastAsia" w:cstheme="minorBidi"/>
          <w:sz w:val="22"/>
          <w:szCs w:val="22"/>
        </w:rPr>
      </w:pPr>
      <w:r>
        <w:t>B5.</w:t>
      </w:r>
      <w:r>
        <w:rPr>
          <w:rFonts w:asciiTheme="minorHAnsi" w:hAnsiTheme="minorHAnsi" w:eastAsiaTheme="minorEastAsia" w:cstheme="minorBidi"/>
          <w:sz w:val="22"/>
          <w:szCs w:val="22"/>
        </w:rPr>
        <w:tab/>
      </w:r>
      <w:r>
        <w:t>Individuals consulted on statistical aspects of design</w:t>
      </w:r>
      <w:r>
        <w:rPr>
          <w:webHidden/>
        </w:rPr>
        <w:tab/>
      </w:r>
      <w:r>
        <w:rPr>
          <w:webHidden/>
        </w:rPr>
        <w:fldChar w:fldCharType="begin"/>
      </w:r>
      <w:r>
        <w:rPr>
          <w:webHidden/>
        </w:rPr>
        <w:instrText xml:space="preserve"> PAGEREF _Toc500236017 \h </w:instrText>
      </w:r>
      <w:r>
        <w:rPr>
          <w:webHidden/>
        </w:rPr>
      </w:r>
      <w:r>
        <w:rPr>
          <w:webHidden/>
        </w:rPr>
        <w:fldChar w:fldCharType="separate"/>
      </w:r>
      <w:r w:rsidR="00EC4207">
        <w:rPr>
          <w:webHidden/>
        </w:rPr>
        <w:t>5</w:t>
      </w:r>
      <w:r>
        <w:rPr>
          <w:webHidden/>
        </w:rPr>
        <w:fldChar w:fldCharType="end"/>
      </w:r>
    </w:p>
    <w:p w:rsidR="00295FDC" w:rsidRDefault="00295FDC" w14:paraId="15FD9D44" w14:textId="45F9AD65">
      <w:pPr>
        <w:pStyle w:val="TOC1"/>
        <w:rPr>
          <w:rFonts w:asciiTheme="minorHAnsi" w:hAnsiTheme="minorHAnsi" w:eastAsiaTheme="minorEastAsia" w:cstheme="minorBidi"/>
          <w:caps w:val="0"/>
          <w:noProof/>
          <w:sz w:val="22"/>
          <w:szCs w:val="22"/>
        </w:rPr>
      </w:pPr>
      <w:r>
        <w:rPr>
          <w:noProof/>
        </w:rPr>
        <w:t>REFERENCES</w:t>
      </w:r>
      <w:r>
        <w:rPr>
          <w:noProof/>
          <w:webHidden/>
        </w:rPr>
        <w:tab/>
      </w:r>
      <w:r>
        <w:rPr>
          <w:noProof/>
          <w:webHidden/>
        </w:rPr>
        <w:fldChar w:fldCharType="begin"/>
      </w:r>
      <w:r>
        <w:rPr>
          <w:noProof/>
          <w:webHidden/>
        </w:rPr>
        <w:instrText xml:space="preserve"> PAGEREF _Toc500236018 \h </w:instrText>
      </w:r>
      <w:r>
        <w:rPr>
          <w:noProof/>
          <w:webHidden/>
        </w:rPr>
      </w:r>
      <w:r>
        <w:rPr>
          <w:noProof/>
          <w:webHidden/>
        </w:rPr>
        <w:fldChar w:fldCharType="separate"/>
      </w:r>
      <w:r w:rsidR="00EC4207">
        <w:rPr>
          <w:noProof/>
          <w:webHidden/>
        </w:rPr>
        <w:t>7</w:t>
      </w:r>
      <w:r>
        <w:rPr>
          <w:noProof/>
          <w:webHidden/>
        </w:rPr>
        <w:fldChar w:fldCharType="end"/>
      </w:r>
    </w:p>
    <w:p w:rsidR="00421364" w:rsidP="0065640F" w:rsidRDefault="00A140E0" w14:paraId="29009335" w14:textId="79E45235">
      <w:pPr>
        <w:pStyle w:val="AcknowledgmentnoTOC"/>
        <w:spacing w:before="600"/>
        <w:rPr>
          <w:noProof/>
        </w:rPr>
      </w:pPr>
      <w:r>
        <w:fldChar w:fldCharType="end"/>
      </w:r>
      <w:r w:rsidR="00D569C7">
        <w:t>APPENDICES</w:t>
      </w:r>
    </w:p>
    <w:p w:rsidR="00530365" w:rsidP="00530365" w:rsidRDefault="00530365" w14:paraId="27CFDBA9" w14:textId="77777777">
      <w:pPr>
        <w:pStyle w:val="TOC1"/>
      </w:pPr>
      <w:r>
        <w:t>APPENDIX A:  ADMINISTRATIVE RECORDS DATA REQUEST</w:t>
      </w:r>
    </w:p>
    <w:p w:rsidR="00530365" w:rsidP="00530365" w:rsidRDefault="00530365" w14:paraId="6C2A9EDC" w14:textId="77777777">
      <w:pPr>
        <w:pStyle w:val="TOC1"/>
      </w:pPr>
      <w:r>
        <w:t>appendix B:  CONFIDENTIALITY PLEDGE for mathematica employees</w:t>
      </w:r>
    </w:p>
    <w:p w:rsidR="00495A61" w:rsidRDefault="00495A61" w14:paraId="4D027FF4" w14:textId="39F275A2">
      <w:pPr>
        <w:spacing w:after="240" w:line="240" w:lineRule="auto"/>
        <w:ind w:firstLine="0"/>
        <w:rPr>
          <w:rFonts w:ascii="Arial Black" w:hAnsi="Arial Black"/>
          <w:sz w:val="22"/>
        </w:rPr>
      </w:pPr>
    </w:p>
    <w:p w:rsidR="007E373E" w:rsidP="00A140E0" w:rsidRDefault="00A140E0" w14:paraId="0CFE7CEC" w14:textId="54FEC619">
      <w:pPr>
        <w:pBdr>
          <w:bottom w:val="single" w:color="auto" w:sz="2" w:space="1"/>
        </w:pBdr>
        <w:spacing w:before="240" w:after="240" w:line="240" w:lineRule="auto"/>
        <w:ind w:firstLine="0"/>
        <w:jc w:val="both"/>
        <w:rPr>
          <w:rFonts w:ascii="Arial Black" w:hAnsi="Arial Black"/>
          <w:sz w:val="22"/>
        </w:rPr>
      </w:pPr>
      <w:r>
        <w:rPr>
          <w:rFonts w:ascii="Arial Black" w:hAnsi="Arial Black"/>
          <w:sz w:val="22"/>
        </w:rPr>
        <w:t>TABLE</w:t>
      </w:r>
      <w:r w:rsidR="006C4A2D">
        <w:rPr>
          <w:rFonts w:ascii="Arial Black" w:hAnsi="Arial Black"/>
          <w:sz w:val="22"/>
        </w:rPr>
        <w:t>S</w:t>
      </w:r>
    </w:p>
    <w:p w:rsidR="00D569C7" w:rsidRDefault="00A140E0" w14:paraId="6C742836" w14:textId="5B95CE30">
      <w:pPr>
        <w:pStyle w:val="TableofFigures"/>
        <w:rPr>
          <w:rFonts w:asciiTheme="minorHAnsi" w:hAnsiTheme="minorHAnsi" w:eastAsiaTheme="minorEastAsia"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D569C7">
        <w:rPr>
          <w:rFonts w:eastAsiaTheme="minorEastAsia"/>
          <w:noProof/>
        </w:rPr>
        <w:t>B.1</w:t>
      </w:r>
      <w:r w:rsidR="00D569C7">
        <w:rPr>
          <w:rFonts w:eastAsiaTheme="minorEastAsia"/>
          <w:noProof/>
        </w:rPr>
        <w:tab/>
      </w:r>
      <w:r w:rsidRPr="00CC7516" w:rsidR="00D569C7">
        <w:rPr>
          <w:rFonts w:eastAsiaTheme="minorEastAsia"/>
          <w:noProof/>
        </w:rPr>
        <w:t>Minimum detectable effects</w:t>
      </w:r>
      <w:r w:rsidR="00D569C7">
        <w:rPr>
          <w:noProof/>
          <w:webHidden/>
        </w:rPr>
        <w:tab/>
      </w:r>
      <w:r w:rsidR="00D569C7">
        <w:rPr>
          <w:noProof/>
          <w:webHidden/>
        </w:rPr>
        <w:fldChar w:fldCharType="begin"/>
      </w:r>
      <w:r w:rsidR="00D569C7">
        <w:rPr>
          <w:noProof/>
          <w:webHidden/>
        </w:rPr>
        <w:instrText xml:space="preserve"> PAGEREF _Toc500421676 \h </w:instrText>
      </w:r>
      <w:r w:rsidR="00D569C7">
        <w:rPr>
          <w:noProof/>
          <w:webHidden/>
        </w:rPr>
      </w:r>
      <w:r w:rsidR="00D569C7">
        <w:rPr>
          <w:noProof/>
          <w:webHidden/>
        </w:rPr>
        <w:fldChar w:fldCharType="separate"/>
      </w:r>
      <w:r w:rsidR="00EC4207">
        <w:rPr>
          <w:noProof/>
          <w:webHidden/>
        </w:rPr>
        <w:t>4</w:t>
      </w:r>
      <w:r w:rsidR="00D569C7">
        <w:rPr>
          <w:noProof/>
          <w:webHidden/>
        </w:rPr>
        <w:fldChar w:fldCharType="end"/>
      </w:r>
    </w:p>
    <w:p w:rsidRPr="00EC4207" w:rsidR="000F77BC" w:rsidP="00EC4207" w:rsidRDefault="00D569C7" w14:paraId="1816373C" w14:textId="1FDB6547">
      <w:pPr>
        <w:pStyle w:val="TableofFigures"/>
        <w:rPr>
          <w:rFonts w:asciiTheme="minorHAnsi" w:hAnsiTheme="minorHAnsi" w:eastAsiaTheme="minorEastAsia" w:cstheme="minorBidi"/>
          <w:noProof/>
          <w:sz w:val="22"/>
          <w:szCs w:val="22"/>
        </w:rPr>
      </w:pPr>
      <w:r>
        <w:rPr>
          <w:noProof/>
        </w:rPr>
        <w:t>B.2</w:t>
      </w:r>
      <w:r>
        <w:rPr>
          <w:noProof/>
        </w:rPr>
        <w:tab/>
        <w:t>Individuals consulted on statistical design</w:t>
      </w:r>
      <w:r>
        <w:rPr>
          <w:noProof/>
          <w:webHidden/>
        </w:rPr>
        <w:tab/>
      </w:r>
      <w:r>
        <w:rPr>
          <w:noProof/>
          <w:webHidden/>
        </w:rPr>
        <w:fldChar w:fldCharType="begin"/>
      </w:r>
      <w:r>
        <w:rPr>
          <w:noProof/>
          <w:webHidden/>
        </w:rPr>
        <w:instrText xml:space="preserve"> PAGEREF _Toc500421677 \h </w:instrText>
      </w:r>
      <w:r>
        <w:rPr>
          <w:noProof/>
          <w:webHidden/>
        </w:rPr>
      </w:r>
      <w:r>
        <w:rPr>
          <w:noProof/>
          <w:webHidden/>
        </w:rPr>
        <w:fldChar w:fldCharType="separate"/>
      </w:r>
      <w:r w:rsidR="00EC4207">
        <w:rPr>
          <w:noProof/>
          <w:webHidden/>
        </w:rPr>
        <w:t>6</w:t>
      </w:r>
      <w:r>
        <w:rPr>
          <w:noProof/>
          <w:webHidden/>
        </w:rPr>
        <w:fldChar w:fldCharType="end"/>
      </w:r>
      <w:r w:rsidR="00A140E0">
        <w:rPr>
          <w:rFonts w:cs="Arial"/>
        </w:rPr>
        <w:fldChar w:fldCharType="end"/>
      </w:r>
    </w:p>
    <w:p w:rsidR="000179BC" w:rsidP="00A140E0" w:rsidRDefault="000179BC" w14:paraId="76DF5DF1" w14:textId="77777777">
      <w:pPr>
        <w:sectPr w:rsidR="000179BC" w:rsidSect="00A140E0">
          <w:headerReference w:type="default" r:id="rId14"/>
          <w:footerReference w:type="default" r:id="rId15"/>
          <w:pgSz w:w="12240" w:h="15840"/>
          <w:pgMar w:top="1440" w:right="1440" w:bottom="1440" w:left="1440" w:header="720" w:footer="720" w:gutter="0"/>
          <w:pgNumType w:fmt="lowerRoman"/>
          <w:cols w:space="720"/>
          <w:docGrid w:linePitch="360"/>
        </w:sectPr>
      </w:pPr>
    </w:p>
    <w:p w:rsidR="00A7035F" w:rsidP="00A5036E" w:rsidRDefault="0024685E" w14:paraId="6A302E82" w14:textId="2AC24388">
      <w:pPr>
        <w:pStyle w:val="H2Chapter"/>
        <w:ind w:left="0" w:firstLine="0"/>
      </w:pPr>
      <w:bookmarkStart w:name="_Toc256361784" w:id="1"/>
      <w:bookmarkStart w:name="_Toc277342329" w:id="2"/>
      <w:bookmarkStart w:name="_Toc500236011" w:id="3"/>
      <w:r>
        <w:lastRenderedPageBreak/>
        <w:t xml:space="preserve">PART B. </w:t>
      </w:r>
      <w:bookmarkEnd w:id="1"/>
      <w:bookmarkEnd w:id="2"/>
      <w:bookmarkEnd w:id="3"/>
      <w:r w:rsidR="009352F4">
        <w:t>COLLECTION OF INFORMATION EMPLOYING STATISTICAL METHODS</w:t>
      </w:r>
    </w:p>
    <w:p w:rsidR="00A5040A" w:rsidP="007A54D7" w:rsidRDefault="009352F4" w14:paraId="7EB29EEF" w14:textId="774B6442">
      <w:pPr>
        <w:pStyle w:val="NormalSS"/>
      </w:pPr>
      <w:r w:rsidRPr="00B06947">
        <w:t xml:space="preserve">Finding creative ways to redeploy existing teachers in the classroom may yield academic benefits to students at little cost. One such strategy is departmentalized instruction, where each teacher specializes in teaching </w:t>
      </w:r>
      <w:r w:rsidR="008A50EB">
        <w:t>certain</w:t>
      </w:r>
      <w:r w:rsidRPr="00B06947">
        <w:t xml:space="preserve"> subject</w:t>
      </w:r>
      <w:r w:rsidR="008A50EB">
        <w:t>s</w:t>
      </w:r>
      <w:r w:rsidRPr="00B06947">
        <w:t xml:space="preserve"> to multiple classes of students instead of teaching all subjects to a single class of students (self-contained instruction). While nearly ubiquitous in secondary schools, departmentalization has only recently become more popular in upper elementary grades</w:t>
      </w:r>
      <w:r>
        <w:t xml:space="preserve"> and is an improvement strategy that low-performing elementary schools identified under </w:t>
      </w:r>
      <w:proofErr w:type="gramStart"/>
      <w:r>
        <w:t>the Every</w:t>
      </w:r>
      <w:proofErr w:type="gramEnd"/>
      <w:r>
        <w:t xml:space="preserve"> Student Succeeds Act (ESSA) may consider adopting</w:t>
      </w:r>
      <w:r w:rsidRPr="00B06947">
        <w:t xml:space="preserve">. </w:t>
      </w:r>
      <w:r w:rsidRPr="001F4A7B">
        <w:t xml:space="preserve">The Department, through its Institute of Education Sciences (IES), </w:t>
      </w:r>
      <w:r>
        <w:t>received OMB clearance in 2018</w:t>
      </w:r>
      <w:r w:rsidRPr="001F4A7B">
        <w:t xml:space="preserve"> to</w:t>
      </w:r>
      <w:r>
        <w:t xml:space="preserve"> collect information for an</w:t>
      </w:r>
      <w:r w:rsidRPr="00B06947">
        <w:t xml:space="preserve"> evaluation </w:t>
      </w:r>
      <w:r>
        <w:t xml:space="preserve">that will provide valuable evidence on </w:t>
      </w:r>
      <w:r w:rsidRPr="00B06947">
        <w:t>the implementation and outcomes of teachers and students as they departmentalize in fourth and fifth grades.</w:t>
      </w:r>
      <w:r>
        <w:rPr>
          <w:rStyle w:val="FootnoteReference"/>
        </w:rPr>
        <w:footnoteReference w:id="1"/>
      </w:r>
      <w:r>
        <w:t xml:space="preserve"> However, the coronavirus pandemic during the 2019-20 and 2020-21 school years created substantial delays in data availability. The purpose of this new package is to request an extension of the original approved timeline so that it is possible to finish collecting the district administrative records needed for the evaluation</w:t>
      </w:r>
      <w:r w:rsidR="007A54D7">
        <w:t>.</w:t>
      </w:r>
    </w:p>
    <w:p w:rsidRPr="00A5040A" w:rsidR="00BC254E" w:rsidP="00BC254E" w:rsidRDefault="00BC254E" w14:paraId="5DA10979" w14:textId="3904A8C3">
      <w:pPr>
        <w:pStyle w:val="NormalSS"/>
      </w:pPr>
      <w:r>
        <w:t xml:space="preserve">The justification for this evaluation and the associated data collection was detailed in the </w:t>
      </w:r>
      <w:hyperlink w:history="1" r:id="rId16">
        <w:r w:rsidRPr="00D91C4D">
          <w:rPr>
            <w:rStyle w:val="Hyperlink"/>
          </w:rPr>
          <w:t>original approved Supporting Statement</w:t>
        </w:r>
      </w:hyperlink>
      <w:r>
        <w:t>, and remains the same.</w:t>
      </w:r>
      <w:r w:rsidR="00384854">
        <w:t xml:space="preserve"> The details of the statistical methods </w:t>
      </w:r>
      <w:r w:rsidR="00C53A96">
        <w:t>were</w:t>
      </w:r>
      <w:r w:rsidR="002A7BD4">
        <w:t xml:space="preserve"> also included in the original Support</w:t>
      </w:r>
      <w:r w:rsidR="00507412">
        <w:t>ing</w:t>
      </w:r>
      <w:r w:rsidR="002A7BD4">
        <w:t xml:space="preserve"> Statement Part B. A streamlined v</w:t>
      </w:r>
      <w:r w:rsidR="00373723">
        <w:t>ersion is provided in this submission below, including updates</w:t>
      </w:r>
      <w:r w:rsidR="00704ACB">
        <w:t xml:space="preserve"> to reflect the fact that the study sample </w:t>
      </w:r>
      <w:r w:rsidR="00F85C03">
        <w:t>has already been established.</w:t>
      </w:r>
    </w:p>
    <w:p w:rsidRPr="00511B07" w:rsidR="00872817" w:rsidP="00A5036E" w:rsidRDefault="000F77BC" w14:paraId="6DFF7BA2" w14:textId="0D5E99B5">
      <w:pPr>
        <w:pStyle w:val="H4Number"/>
      </w:pPr>
      <w:bookmarkStart w:name="_Toc470012097" w:id="5"/>
      <w:bookmarkStart w:name="_Toc500236013" w:id="6"/>
      <w:r w:rsidRPr="00511B07">
        <w:t>B</w:t>
      </w:r>
      <w:r w:rsidRPr="00511B07" w:rsidR="00872817">
        <w:t xml:space="preserve">1. </w:t>
      </w:r>
      <w:r w:rsidR="000179BC">
        <w:tab/>
      </w:r>
      <w:r w:rsidRPr="00511B07" w:rsidR="00872817">
        <w:t>Respondent universe and sampl</w:t>
      </w:r>
      <w:bookmarkEnd w:id="5"/>
      <w:bookmarkEnd w:id="6"/>
      <w:r w:rsidR="00A949AA">
        <w:t>e design</w:t>
      </w:r>
    </w:p>
    <w:p w:rsidRPr="000179BC" w:rsidR="00872817" w:rsidP="000179BC" w:rsidRDefault="00872817" w14:paraId="4DDC4B87" w14:textId="7B4528D1">
      <w:pPr>
        <w:pStyle w:val="NormalSS"/>
      </w:pPr>
      <w:r w:rsidRPr="000179BC">
        <w:t xml:space="preserve">The evaluation </w:t>
      </w:r>
      <w:r w:rsidR="00F85C03">
        <w:t>recruited</w:t>
      </w:r>
      <w:r w:rsidRPr="000179BC">
        <w:t xml:space="preserve"> a purposive sample of </w:t>
      </w:r>
      <w:r w:rsidR="00F85C03">
        <w:t>90</w:t>
      </w:r>
      <w:r w:rsidRPr="000179BC" w:rsidR="00A37D79">
        <w:t xml:space="preserve"> </w:t>
      </w:r>
      <w:r w:rsidR="00B9236C">
        <w:t xml:space="preserve">elementary </w:t>
      </w:r>
      <w:r w:rsidR="00E84C90">
        <w:t>schools</w:t>
      </w:r>
      <w:r w:rsidRPr="000179BC">
        <w:t xml:space="preserve"> </w:t>
      </w:r>
      <w:r w:rsidRPr="000179BC" w:rsidR="00E12978">
        <w:t>from</w:t>
      </w:r>
      <w:r w:rsidR="00F85C03">
        <w:t xml:space="preserve"> </w:t>
      </w:r>
      <w:r w:rsidRPr="007F24C6" w:rsidR="00B90147">
        <w:t>12</w:t>
      </w:r>
      <w:r w:rsidRPr="000179BC" w:rsidR="009B47C8">
        <w:t xml:space="preserve"> </w:t>
      </w:r>
      <w:r w:rsidRPr="000179BC">
        <w:t xml:space="preserve">school districts </w:t>
      </w:r>
      <w:r w:rsidR="00056F8F">
        <w:t>from across</w:t>
      </w:r>
      <w:r w:rsidRPr="000179BC" w:rsidR="00056F8F">
        <w:t xml:space="preserve"> </w:t>
      </w:r>
      <w:r w:rsidRPr="000179BC">
        <w:t xml:space="preserve">the United States. The study </w:t>
      </w:r>
      <w:r w:rsidR="00F85C03">
        <w:t>did</w:t>
      </w:r>
      <w:r w:rsidRPr="000179BC">
        <w:t xml:space="preserve"> not statistically sample districts or </w:t>
      </w:r>
      <w:r w:rsidR="004A5F4B">
        <w:t>schools</w:t>
      </w:r>
      <w:r w:rsidRPr="000179BC">
        <w:t xml:space="preserve">, and thus will not make statements that generalize beyond the districts and </w:t>
      </w:r>
      <w:r w:rsidR="0058138E">
        <w:t>schools</w:t>
      </w:r>
      <w:r w:rsidRPr="000179BC">
        <w:t xml:space="preserve"> in the study.</w:t>
      </w:r>
      <w:r w:rsidRPr="000179BC" w:rsidR="00E12978">
        <w:t xml:space="preserve"> </w:t>
      </w:r>
      <w:r w:rsidR="00064791">
        <w:t>T</w:t>
      </w:r>
      <w:r w:rsidR="00056F8F">
        <w:t xml:space="preserve">he </w:t>
      </w:r>
      <w:r w:rsidR="00F85C03">
        <w:t>90</w:t>
      </w:r>
      <w:r w:rsidRPr="000179BC" w:rsidR="00A37D79">
        <w:t xml:space="preserve"> </w:t>
      </w:r>
      <w:r w:rsidR="002D4878">
        <w:t xml:space="preserve">elementary </w:t>
      </w:r>
      <w:r w:rsidR="009A7712">
        <w:t>schools</w:t>
      </w:r>
      <w:r w:rsidR="00064791">
        <w:t xml:space="preserve"> </w:t>
      </w:r>
      <w:r w:rsidR="00F85C03">
        <w:t>had</w:t>
      </w:r>
      <w:r w:rsidR="00056F8F">
        <w:t xml:space="preserve"> </w:t>
      </w:r>
      <w:r w:rsidR="00942318">
        <w:t>self-contained classrooms in grade</w:t>
      </w:r>
      <w:r w:rsidR="002F12C5">
        <w:t>s 4 and 5</w:t>
      </w:r>
      <w:r w:rsidR="00F85C03">
        <w:t xml:space="preserve"> at the time of recruitment</w:t>
      </w:r>
      <w:r w:rsidRPr="000179BC" w:rsidR="00BF3202">
        <w:t xml:space="preserve">. </w:t>
      </w:r>
      <w:r w:rsidR="0019208F">
        <w:t xml:space="preserve">Approximately half of the schools </w:t>
      </w:r>
      <w:r w:rsidR="00B9236C">
        <w:t>implement</w:t>
      </w:r>
      <w:r w:rsidR="0019208F">
        <w:t>ed</w:t>
      </w:r>
      <w:r w:rsidR="00B9236C">
        <w:t xml:space="preserve"> departmentalized instruction in grades 4 and 5 (</w:t>
      </w:r>
      <w:r w:rsidRPr="000179BC" w:rsidR="00BF3202">
        <w:t xml:space="preserve">the </w:t>
      </w:r>
      <w:r w:rsidR="0025132D">
        <w:t>treatment</w:t>
      </w:r>
      <w:r w:rsidRPr="000179BC" w:rsidR="00BF3202">
        <w:t xml:space="preserve"> group</w:t>
      </w:r>
      <w:r w:rsidR="00B9236C">
        <w:t>)</w:t>
      </w:r>
      <w:r w:rsidR="00B61626">
        <w:t>, while the other half</w:t>
      </w:r>
      <w:r w:rsidR="00A77C04">
        <w:t xml:space="preserve"> continue</w:t>
      </w:r>
      <w:r w:rsidR="00B61626">
        <w:t>d</w:t>
      </w:r>
      <w:r w:rsidR="00A77C04">
        <w:t xml:space="preserve"> to use self-contained classrooms in these grades (</w:t>
      </w:r>
      <w:r w:rsidRPr="000179BC" w:rsidR="00BF3202">
        <w:t>the co</w:t>
      </w:r>
      <w:r w:rsidR="00B61626">
        <w:t>mparison</w:t>
      </w:r>
      <w:r w:rsidRPr="000179BC" w:rsidR="00BF3202">
        <w:t xml:space="preserve"> group</w:t>
      </w:r>
      <w:r w:rsidR="00A77C04">
        <w:t>)</w:t>
      </w:r>
      <w:r w:rsidR="00B61626">
        <w:t xml:space="preserve"> for the two-year duration of the evaluation</w:t>
      </w:r>
      <w:r w:rsidRPr="000179BC" w:rsidR="00BF3202">
        <w:t>.</w:t>
      </w:r>
    </w:p>
    <w:p w:rsidRPr="00511B07" w:rsidR="00372235" w:rsidP="00A5036E" w:rsidRDefault="000F77BC" w14:paraId="7673BA27" w14:textId="1F255D93">
      <w:pPr>
        <w:pStyle w:val="H4Number"/>
      </w:pPr>
      <w:bookmarkStart w:name="_Toc500236014" w:id="7"/>
      <w:r w:rsidRPr="00511B07">
        <w:t>B</w:t>
      </w:r>
      <w:r w:rsidRPr="00511B07" w:rsidR="00372235">
        <w:t xml:space="preserve">2. </w:t>
      </w:r>
      <w:r w:rsidR="000179BC">
        <w:tab/>
      </w:r>
      <w:bookmarkEnd w:id="7"/>
      <w:r w:rsidR="004D359F">
        <w:t>Information</w:t>
      </w:r>
      <w:r w:rsidR="00C85E2F">
        <w:t xml:space="preserve"> </w:t>
      </w:r>
      <w:r w:rsidR="00EC4207">
        <w:t>c</w:t>
      </w:r>
      <w:r w:rsidR="00C85E2F">
        <w:t xml:space="preserve">ollection </w:t>
      </w:r>
      <w:r w:rsidR="00EC4207">
        <w:t>p</w:t>
      </w:r>
      <w:r w:rsidR="00C85E2F">
        <w:t>rocedures</w:t>
      </w:r>
    </w:p>
    <w:p w:rsidRPr="00511B07" w:rsidR="00872817" w:rsidP="00A5036E" w:rsidRDefault="00372235" w14:paraId="18C5FF2F" w14:textId="00F96908">
      <w:pPr>
        <w:pStyle w:val="H5Lower"/>
      </w:pPr>
      <w:r>
        <w:t>a</w:t>
      </w:r>
      <w:r w:rsidRPr="00511B07" w:rsidR="00872817">
        <w:t xml:space="preserve">. </w:t>
      </w:r>
      <w:r w:rsidR="000179BC">
        <w:tab/>
      </w:r>
      <w:r w:rsidRPr="00511B07" w:rsidR="00872817">
        <w:t>Statistical methods for sample selection</w:t>
      </w:r>
    </w:p>
    <w:p w:rsidR="00872817" w:rsidP="00FD2F5F" w:rsidRDefault="00E64DCA" w14:paraId="066D7830" w14:textId="7A1280D2">
      <w:pPr>
        <w:pStyle w:val="NormalSS"/>
      </w:pPr>
      <w:r>
        <w:t xml:space="preserve">The study </w:t>
      </w:r>
      <w:r w:rsidR="009A2A92">
        <w:t>recruited</w:t>
      </w:r>
      <w:r>
        <w:t xml:space="preserve"> a purposive sample of </w:t>
      </w:r>
      <w:r w:rsidRPr="00893E47" w:rsidR="00B225E3">
        <w:t>12</w:t>
      </w:r>
      <w:r w:rsidR="00B225E3">
        <w:t xml:space="preserve"> </w:t>
      </w:r>
      <w:r>
        <w:t xml:space="preserve">districts that </w:t>
      </w:r>
      <w:r w:rsidR="00561A3B">
        <w:t xml:space="preserve">together include </w:t>
      </w:r>
      <w:r w:rsidR="009A2A92">
        <w:t>90</w:t>
      </w:r>
      <w:r w:rsidR="00561A3B">
        <w:t xml:space="preserve"> schools that </w:t>
      </w:r>
      <w:r w:rsidR="009A2A92">
        <w:t>we</w:t>
      </w:r>
      <w:r w:rsidR="00561A3B">
        <w:t xml:space="preserve">re </w:t>
      </w:r>
      <w:r w:rsidR="00DD6739">
        <w:t xml:space="preserve">eligible for and </w:t>
      </w:r>
      <w:r w:rsidR="00561A3B">
        <w:t xml:space="preserve">willing to participate in the study. Schools </w:t>
      </w:r>
      <w:r w:rsidR="009A2A92">
        <w:t>were</w:t>
      </w:r>
      <w:r w:rsidR="00561A3B">
        <w:t xml:space="preserve"> eligible for the study if they contain</w:t>
      </w:r>
      <w:r w:rsidR="009A2A92">
        <w:t>ed</w:t>
      </w:r>
      <w:r w:rsidR="00561A3B">
        <w:t xml:space="preserve"> fourth and fifth grades that </w:t>
      </w:r>
      <w:r w:rsidR="009A2A92">
        <w:t>we</w:t>
      </w:r>
      <w:r w:rsidR="00561A3B">
        <w:t>re not departmentalized</w:t>
      </w:r>
      <w:r w:rsidR="00093AED">
        <w:t xml:space="preserve"> at the time of recruitment</w:t>
      </w:r>
      <w:r w:rsidR="000502A4">
        <w:t>.</w:t>
      </w:r>
      <w:r w:rsidR="00FD2F5F">
        <w:t xml:space="preserve"> A</w:t>
      </w:r>
      <w:r w:rsidR="00872817">
        <w:t xml:space="preserve">ll </w:t>
      </w:r>
      <w:r w:rsidR="00DD7243">
        <w:t>four</w:t>
      </w:r>
      <w:r w:rsidR="007C554E">
        <w:t xml:space="preserve">th and </w:t>
      </w:r>
      <w:r w:rsidR="00DD7243">
        <w:t>fif</w:t>
      </w:r>
      <w:r w:rsidR="007C554E">
        <w:t xml:space="preserve">th grade </w:t>
      </w:r>
      <w:r w:rsidR="00872817">
        <w:t xml:space="preserve">students enrolled in the </w:t>
      </w:r>
      <w:r w:rsidR="007C554E">
        <w:t>schools</w:t>
      </w:r>
      <w:r w:rsidR="001D249F">
        <w:t xml:space="preserve"> </w:t>
      </w:r>
      <w:r w:rsidR="00872817">
        <w:t>participating in the study</w:t>
      </w:r>
      <w:r w:rsidR="00FD2F5F">
        <w:t xml:space="preserve"> were included</w:t>
      </w:r>
      <w:r w:rsidR="00093AED">
        <w:t xml:space="preserve"> in the evaluation</w:t>
      </w:r>
      <w:r w:rsidR="00872817">
        <w:t xml:space="preserve">. The study team </w:t>
      </w:r>
      <w:r w:rsidR="003D3FD7">
        <w:t>will be collecting</w:t>
      </w:r>
      <w:r w:rsidR="00872817">
        <w:t xml:space="preserve"> administrative data on student </w:t>
      </w:r>
      <w:r w:rsidR="00872817">
        <w:lastRenderedPageBreak/>
        <w:t>characteristics and test scores</w:t>
      </w:r>
      <w:r w:rsidR="00D20561">
        <w:t>, enabled</w:t>
      </w:r>
      <w:r w:rsidR="00872817">
        <w:t xml:space="preserve"> through </w:t>
      </w:r>
      <w:r w:rsidR="000E46FB">
        <w:t>a Memorandum of Understanding (</w:t>
      </w:r>
      <w:r w:rsidR="00872817">
        <w:t>MOU</w:t>
      </w:r>
      <w:r w:rsidR="000E46FB">
        <w:t>)</w:t>
      </w:r>
      <w:r w:rsidR="00872817">
        <w:t xml:space="preserve"> </w:t>
      </w:r>
      <w:r w:rsidR="00D20561">
        <w:t xml:space="preserve">that was </w:t>
      </w:r>
      <w:r w:rsidR="00872817">
        <w:t xml:space="preserve">established with </w:t>
      </w:r>
      <w:r w:rsidR="000E46FB">
        <w:t xml:space="preserve">each </w:t>
      </w:r>
      <w:r w:rsidR="00872817">
        <w:t xml:space="preserve">participating </w:t>
      </w:r>
      <w:r w:rsidR="001D249F">
        <w:t>district</w:t>
      </w:r>
      <w:r w:rsidR="00872817">
        <w:t>.</w:t>
      </w:r>
    </w:p>
    <w:p w:rsidR="003A1CD8" w:rsidP="003A1CD8" w:rsidRDefault="003A1CD8" w14:paraId="72D1E1AB" w14:textId="3FEB0FEE">
      <w:pPr>
        <w:pStyle w:val="H5Lower"/>
      </w:pPr>
      <w:r>
        <w:t>b</w:t>
      </w:r>
      <w:r w:rsidRPr="0057646B">
        <w:t xml:space="preserve">. </w:t>
      </w:r>
      <w:r w:rsidRPr="0057646B">
        <w:tab/>
      </w:r>
      <w:r>
        <w:t>Data collection</w:t>
      </w:r>
    </w:p>
    <w:p w:rsidR="003A1CD8" w:rsidP="00CF7DB9" w:rsidRDefault="003A1CD8" w14:paraId="774425FB" w14:textId="0F9F727E">
      <w:pPr>
        <w:pStyle w:val="NormalSS"/>
      </w:pPr>
      <w:r w:rsidRPr="00E06939">
        <w:t xml:space="preserve">This study includes multiple data collection </w:t>
      </w:r>
      <w:r w:rsidR="00093AED">
        <w:t>activities</w:t>
      </w:r>
      <w:r w:rsidR="00D44A4B">
        <w:t xml:space="preserve">, </w:t>
      </w:r>
      <w:r w:rsidR="007B4BF0">
        <w:t>which were summarized in de</w:t>
      </w:r>
      <w:r w:rsidR="006A6536">
        <w:t>t</w:t>
      </w:r>
      <w:r w:rsidR="007B4BF0">
        <w:t>ail in the</w:t>
      </w:r>
      <w:r w:rsidR="006A6536">
        <w:t xml:space="preserve"> </w:t>
      </w:r>
      <w:hyperlink w:history="1" r:id="rId17">
        <w:r w:rsidRPr="00D91C4D" w:rsidR="007B4BF0">
          <w:rPr>
            <w:rStyle w:val="Hyperlink"/>
          </w:rPr>
          <w:t>original approved Supporting Statement</w:t>
        </w:r>
      </w:hyperlink>
      <w:r w:rsidR="006A6536">
        <w:t>. Importantly, this new package is requesting an extension</w:t>
      </w:r>
      <w:r w:rsidR="00CF7DB9">
        <w:t xml:space="preserve"> to complete the collection of one key aspect of the data: district administrative records. These records will include</w:t>
      </w:r>
      <w:r w:rsidRPr="00C50DF7">
        <w:t xml:space="preserve"> </w:t>
      </w:r>
      <w:r w:rsidR="006B3F99">
        <w:t>information on students and their teachers</w:t>
      </w:r>
      <w:r w:rsidRPr="00C50DF7">
        <w:t xml:space="preserve"> (Appendix </w:t>
      </w:r>
      <w:r w:rsidR="00CF7DB9">
        <w:t>A</w:t>
      </w:r>
      <w:r w:rsidRPr="00C50DF7">
        <w:t>).</w:t>
      </w:r>
      <w:r>
        <w:rPr>
          <w:b/>
        </w:rPr>
        <w:t xml:space="preserve"> </w:t>
      </w:r>
      <w:r w:rsidRPr="00C37797">
        <w:t>To estimate the</w:t>
      </w:r>
      <w:r w:rsidR="004D0E0A">
        <w:t xml:space="preserve"> outcomes</w:t>
      </w:r>
      <w:r w:rsidRPr="00C37797">
        <w:t xml:space="preserve"> </w:t>
      </w:r>
      <w:r w:rsidR="006B3F99">
        <w:t>related to</w:t>
      </w:r>
      <w:r w:rsidRPr="00C37797">
        <w:t xml:space="preserve"> departmentalized instruction</w:t>
      </w:r>
      <w:r w:rsidR="00694AE2">
        <w:t>, records will be collected</w:t>
      </w:r>
      <w:r>
        <w:t xml:space="preserve"> on students’ test scores in reading and math, as well as data on </w:t>
      </w:r>
      <w:r w:rsidRPr="00845EEB">
        <w:t>student attendance and disciplinary incidents</w:t>
      </w:r>
      <w:r>
        <w:t xml:space="preserve">. </w:t>
      </w:r>
      <w:r w:rsidR="00694AE2">
        <w:t xml:space="preserve">Similarly, </w:t>
      </w:r>
      <w:r>
        <w:t xml:space="preserve">district administrative data on teachers’ school assignments </w:t>
      </w:r>
      <w:r w:rsidR="00694AE2">
        <w:t>will be used to examine teacher retention outcomes related to</w:t>
      </w:r>
      <w:r>
        <w:t xml:space="preserve"> departmentalized instruction.</w:t>
      </w:r>
    </w:p>
    <w:p w:rsidRPr="000811DE" w:rsidR="00872817" w:rsidP="00A5036E" w:rsidRDefault="003A1CD8" w14:paraId="30A87951" w14:textId="1A5207FE">
      <w:pPr>
        <w:pStyle w:val="H5Lower"/>
      </w:pPr>
      <w:r>
        <w:t>c</w:t>
      </w:r>
      <w:r w:rsidRPr="0041596D" w:rsidR="00872817">
        <w:t>.</w:t>
      </w:r>
      <w:r w:rsidR="000179BC">
        <w:tab/>
      </w:r>
      <w:r w:rsidRPr="0041596D" w:rsidR="00872817">
        <w:t>Estimation procedures</w:t>
      </w:r>
    </w:p>
    <w:p w:rsidRPr="0041596D" w:rsidR="00872817" w:rsidP="00872817" w:rsidRDefault="00872817" w14:paraId="4A42F4E3" w14:textId="7ECB318C">
      <w:pPr>
        <w:pStyle w:val="NormalSS"/>
      </w:pPr>
      <w:r w:rsidRPr="0041596D">
        <w:t xml:space="preserve">The evaluation will </w:t>
      </w:r>
      <w:r w:rsidRPr="0041596D" w:rsidR="00260B6E">
        <w:t xml:space="preserve">include </w:t>
      </w:r>
      <w:r w:rsidR="008C04F0">
        <w:t>three</w:t>
      </w:r>
      <w:r w:rsidRPr="0041596D" w:rsidR="008C04F0">
        <w:t xml:space="preserve"> </w:t>
      </w:r>
      <w:r w:rsidRPr="0041596D">
        <w:t xml:space="preserve">broad sets of analyses: (1) </w:t>
      </w:r>
      <w:r w:rsidR="003D3A88">
        <w:t>outcomes analyses comparing students and teachers using</w:t>
      </w:r>
      <w:r w:rsidRPr="0041596D">
        <w:t xml:space="preserve"> </w:t>
      </w:r>
      <w:r w:rsidR="001970DB">
        <w:t>departmentalized instruction</w:t>
      </w:r>
      <w:r w:rsidRPr="0041596D">
        <w:t xml:space="preserve"> </w:t>
      </w:r>
      <w:r w:rsidR="003D3A88">
        <w:t>vs. self-contained instruction</w:t>
      </w:r>
      <w:r w:rsidRPr="0041596D">
        <w:t xml:space="preserve">; (2) </w:t>
      </w:r>
      <w:r w:rsidR="00D5262F">
        <w:t xml:space="preserve">analogous outcomes analyses for key </w:t>
      </w:r>
      <w:r w:rsidRPr="0041596D">
        <w:t>subgroup</w:t>
      </w:r>
      <w:r w:rsidR="00D5262F">
        <w:t>s of interest</w:t>
      </w:r>
      <w:r w:rsidRPr="0041596D">
        <w:t>; and (</w:t>
      </w:r>
      <w:r w:rsidR="00186B65">
        <w:t>3</w:t>
      </w:r>
      <w:r w:rsidRPr="0041596D">
        <w:t xml:space="preserve">) implementation analyses to learn about </w:t>
      </w:r>
      <w:r w:rsidR="00DC7AAB">
        <w:t xml:space="preserve">study schools’ </w:t>
      </w:r>
      <w:r w:rsidRPr="0041596D">
        <w:t>experiences and challenges</w:t>
      </w:r>
      <w:r w:rsidR="00DC7AAB">
        <w:t xml:space="preserve"> implementing departmentalized instruction</w:t>
      </w:r>
      <w:r w:rsidRPr="0041596D">
        <w:t xml:space="preserve">. </w:t>
      </w:r>
    </w:p>
    <w:p w:rsidR="00F23D45" w:rsidP="00872817" w:rsidRDefault="00F23D45" w14:paraId="64FCBE24" w14:textId="401E6346">
      <w:pPr>
        <w:pStyle w:val="NormalSS"/>
      </w:pPr>
      <w:r>
        <w:t>Key outcomes of interest</w:t>
      </w:r>
      <w:r w:rsidR="00E61677">
        <w:t xml:space="preserve"> from the administrative records data</w:t>
      </w:r>
      <w:r>
        <w:t xml:space="preserve"> include: </w:t>
      </w:r>
    </w:p>
    <w:p w:rsidRPr="00E845B1" w:rsidR="00F23D45" w:rsidP="00CD2532" w:rsidRDefault="00F23D45" w14:paraId="4F175F71" w14:textId="7CD212A7">
      <w:pPr>
        <w:pStyle w:val="Bullet"/>
      </w:pPr>
      <w:r w:rsidRPr="00CD0156">
        <w:t>Students’ r</w:t>
      </w:r>
      <w:r w:rsidRPr="00E845B1">
        <w:t xml:space="preserve">eading and math </w:t>
      </w:r>
      <w:proofErr w:type="gramStart"/>
      <w:r w:rsidRPr="00E845B1">
        <w:t>achievement</w:t>
      </w:r>
      <w:proofErr w:type="gramEnd"/>
    </w:p>
    <w:p w:rsidRPr="00E845B1" w:rsidR="00F23D45" w:rsidP="00CD2532" w:rsidRDefault="00F23D45" w14:paraId="5AC35291" w14:textId="12436D34">
      <w:pPr>
        <w:pStyle w:val="Bullet"/>
      </w:pPr>
      <w:r w:rsidRPr="00E845B1">
        <w:t xml:space="preserve">Student behaviors, including attendance and disciplinary </w:t>
      </w:r>
      <w:proofErr w:type="gramStart"/>
      <w:r w:rsidRPr="00E845B1">
        <w:t>incidents</w:t>
      </w:r>
      <w:proofErr w:type="gramEnd"/>
    </w:p>
    <w:p w:rsidR="00E61677" w:rsidP="00E61677" w:rsidRDefault="00F23D45" w14:paraId="6304797D" w14:textId="48338DD8">
      <w:pPr>
        <w:pStyle w:val="Bullet"/>
      </w:pPr>
      <w:r w:rsidRPr="00E845B1">
        <w:t>Teacher retention (overall and for higher</w:t>
      </w:r>
      <w:r w:rsidR="003577BE">
        <w:t>-</w:t>
      </w:r>
      <w:r w:rsidRPr="00E845B1">
        <w:t xml:space="preserve"> and lower</w:t>
      </w:r>
      <w:r w:rsidR="003577BE">
        <w:t>-</w:t>
      </w:r>
      <w:r w:rsidRPr="00E845B1">
        <w:t>performing teachers)</w:t>
      </w:r>
    </w:p>
    <w:p w:rsidRPr="0041596D" w:rsidR="00872817" w:rsidP="00872817" w:rsidRDefault="00872817" w14:paraId="399D7270" w14:textId="4451E5CC">
      <w:pPr>
        <w:pStyle w:val="NormalSS"/>
      </w:pPr>
      <w:r w:rsidRPr="0041596D">
        <w:t>T</w:t>
      </w:r>
      <w:r w:rsidR="00E61677">
        <w:t>he study will use the</w:t>
      </w:r>
      <w:r w:rsidRPr="0041596D">
        <w:t xml:space="preserve"> following </w:t>
      </w:r>
      <w:r w:rsidR="00E61677">
        <w:t xml:space="preserve">general </w:t>
      </w:r>
      <w:r w:rsidR="009F464F">
        <w:t xml:space="preserve">regression </w:t>
      </w:r>
      <w:r w:rsidRPr="0041596D">
        <w:t xml:space="preserve">model: </w:t>
      </w:r>
    </w:p>
    <w:p w:rsidR="00E01E58" w:rsidP="00767937" w:rsidRDefault="00872817" w14:paraId="5C73CBE8" w14:textId="636DEAA6">
      <w:pPr>
        <w:pStyle w:val="NormalSS"/>
      </w:pPr>
      <w:r w:rsidRPr="0041596D">
        <w:t xml:space="preserve">(1) </w:t>
      </w:r>
      <w:r w:rsidRPr="0041596D">
        <w:tab/>
      </w:r>
      <w:r w:rsidRPr="000C776F" w:rsidR="000C776F">
        <w:rPr>
          <w:position w:val="-12"/>
        </w:rPr>
        <w:object w:dxaOrig="3200" w:dyaOrig="360" w14:anchorId="78FD2AA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59.75pt;height:18.75pt" o:ole="" type="#_x0000_t75">
            <v:imagedata o:title="" r:id="rId18"/>
          </v:shape>
          <o:OLEObject Type="Embed" ProgID="Equation.DSMT4" ShapeID="_x0000_i1025" DrawAspect="Content" ObjectID="_1678174040" r:id="rId19"/>
        </w:object>
      </w:r>
      <w:r w:rsidR="00767937">
        <w:t xml:space="preserve">, </w:t>
      </w:r>
    </w:p>
    <w:p w:rsidR="007C158D" w:rsidP="007C158D" w:rsidRDefault="007C158D" w14:paraId="68611DE2" w14:textId="1C2E86EC">
      <w:pPr>
        <w:pStyle w:val="NormalSScontinued"/>
      </w:pPr>
      <w:r w:rsidRPr="004C77A5">
        <w:t>where</w:t>
      </w:r>
      <w:r>
        <w:t xml:space="preserve"> </w:t>
      </w:r>
      <w:r w:rsidRPr="000C776F" w:rsidR="000C776F">
        <w:rPr>
          <w:position w:val="-12"/>
        </w:rPr>
        <w:object w:dxaOrig="460" w:dyaOrig="360" w14:anchorId="2F94B4E8">
          <v:shape id="_x0000_i1026" style="width:24pt;height:18.75pt" o:ole="" type="#_x0000_t75">
            <v:imagedata o:title="" r:id="rId20"/>
          </v:shape>
          <o:OLEObject Type="Embed" ProgID="Equation.DSMT4" ShapeID="_x0000_i1026" DrawAspect="Content" ObjectID="_1678174041" r:id="rId21"/>
        </w:object>
      </w:r>
      <w:r w:rsidRPr="004C77A5">
        <w:t xml:space="preserve"> is the outcome </w:t>
      </w:r>
      <w:r w:rsidR="00BD4062">
        <w:t xml:space="preserve">for individual </w:t>
      </w:r>
      <w:r w:rsidRPr="000C776F" w:rsidR="000C776F">
        <w:rPr>
          <w:position w:val="-6"/>
        </w:rPr>
        <w:object w:dxaOrig="139" w:dyaOrig="260" w14:anchorId="4F3DAC0A">
          <v:shape id="_x0000_i1027" style="width:7.5pt;height:12.75pt" o:ole="" type="#_x0000_t75">
            <v:imagedata o:title="" r:id="rId22"/>
          </v:shape>
          <o:OLEObject Type="Embed" ProgID="Equation.DSMT4" ShapeID="_x0000_i1027" DrawAspect="Content" ObjectID="_1678174042" r:id="rId23"/>
        </w:object>
      </w:r>
      <w:r w:rsidR="00BD4062">
        <w:t xml:space="preserve"> (either teacher or student) in school </w:t>
      </w:r>
      <w:r w:rsidRPr="000C776F" w:rsidR="000C776F">
        <w:rPr>
          <w:position w:val="-6"/>
        </w:rPr>
        <w:object w:dxaOrig="180" w:dyaOrig="220" w14:anchorId="04148C67">
          <v:shape id="_x0000_i1028" style="width:7.5pt;height:10.5pt" o:ole="" type="#_x0000_t75">
            <v:imagedata o:title="" r:id="rId24"/>
          </v:shape>
          <o:OLEObject Type="Embed" ProgID="Equation.DSMT4" ShapeID="_x0000_i1028" DrawAspect="Content" ObjectID="_1678174043" r:id="rId25"/>
        </w:object>
      </w:r>
      <w:r w:rsidR="00BD4062">
        <w:t xml:space="preserve">, block </w:t>
      </w:r>
      <w:r w:rsidRPr="000C776F" w:rsidR="000C776F">
        <w:rPr>
          <w:position w:val="-6"/>
        </w:rPr>
        <w:object w:dxaOrig="200" w:dyaOrig="279" w14:anchorId="78802515">
          <v:shape id="_x0000_i1029" style="width:9pt;height:14.25pt" o:ole="" type="#_x0000_t75">
            <v:imagedata o:title="" r:id="rId26"/>
          </v:shape>
          <o:OLEObject Type="Embed" ProgID="Equation.DSMT4" ShapeID="_x0000_i1029" DrawAspect="Content" ObjectID="_1678174044" r:id="rId27"/>
        </w:object>
      </w:r>
      <w:r w:rsidR="00BD4062">
        <w:t xml:space="preserve">, and district </w:t>
      </w:r>
      <w:r w:rsidRPr="000C776F" w:rsidR="000C776F">
        <w:rPr>
          <w:position w:val="-6"/>
        </w:rPr>
        <w:object w:dxaOrig="220" w:dyaOrig="279" w14:anchorId="2F21F8C5">
          <v:shape id="_x0000_i1030" style="width:10.5pt;height:14.25pt" o:ole="" type="#_x0000_t75">
            <v:imagedata o:title="" r:id="rId28"/>
          </v:shape>
          <o:OLEObject Type="Embed" ProgID="Equation.DSMT4" ShapeID="_x0000_i1030" DrawAspect="Content" ObjectID="_1678174045" r:id="rId29"/>
        </w:object>
      </w:r>
      <w:r w:rsidR="00BD4062">
        <w:t xml:space="preserve">; </w:t>
      </w:r>
      <w:r w:rsidRPr="000C776F" w:rsidR="00464821">
        <w:rPr>
          <w:position w:val="-12"/>
        </w:rPr>
        <w:object w:dxaOrig="520" w:dyaOrig="360" w14:anchorId="3A0684C5">
          <v:shape id="_x0000_i1031" style="width:27.75pt;height:18.75pt" o:ole="" type="#_x0000_t75">
            <v:imagedata o:title="" r:id="rId30"/>
          </v:shape>
          <o:OLEObject Type="Embed" ProgID="Equation.DSMT4" ShapeID="_x0000_i1031" DrawAspect="Content" ObjectID="_1678174046" r:id="rId31"/>
        </w:object>
      </w:r>
      <w:r w:rsidR="00BD4062">
        <w:t xml:space="preserve"> is a set of student-, teacher-, and school-level covariates; </w:t>
      </w:r>
      <w:r w:rsidRPr="000C776F" w:rsidR="000C776F">
        <w:rPr>
          <w:position w:val="-12"/>
        </w:rPr>
        <w:object w:dxaOrig="300" w:dyaOrig="360" w14:anchorId="2F546507">
          <v:shape id="_x0000_i1032" style="width:15.75pt;height:18.75pt" o:ole="" type="#_x0000_t75">
            <v:imagedata o:title="" r:id="rId32"/>
          </v:shape>
          <o:OLEObject Type="Embed" ProgID="Equation.DSMT4" ShapeID="_x0000_i1032" DrawAspect="Content" ObjectID="_1678174047" r:id="rId33"/>
        </w:object>
      </w:r>
      <w:r w:rsidR="00BD4062">
        <w:t xml:space="preserve"> is a set of indicators for the study’s blocks (matched pairs of schools); </w:t>
      </w:r>
      <w:r w:rsidRPr="000C776F" w:rsidR="001231E8">
        <w:rPr>
          <w:position w:val="-12"/>
        </w:rPr>
        <w:object w:dxaOrig="420" w:dyaOrig="360" w14:anchorId="28290044">
          <v:shape id="_x0000_i1033" style="width:21.75pt;height:18.75pt" o:ole="" type="#_x0000_t75">
            <v:imagedata o:title="" r:id="rId34"/>
          </v:shape>
          <o:OLEObject Type="Embed" ProgID="Equation.DSMT4" ShapeID="_x0000_i1033" DrawAspect="Content" ObjectID="_1678174048" r:id="rId35"/>
        </w:object>
      </w:r>
      <w:r w:rsidR="00BD4062">
        <w:t xml:space="preserve"> indicates whether the school was assigned to departmentalize instruction; </w:t>
      </w:r>
      <w:r w:rsidRPr="000C776F" w:rsidR="000C776F">
        <w:rPr>
          <w:position w:val="-12"/>
        </w:rPr>
        <w:object w:dxaOrig="400" w:dyaOrig="360" w14:anchorId="0906F157">
          <v:shape id="_x0000_i1034" style="width:21.75pt;height:18.75pt" o:ole="" type="#_x0000_t75">
            <v:imagedata o:title="" r:id="rId36"/>
          </v:shape>
          <o:OLEObject Type="Embed" ProgID="Equation.DSMT4" ShapeID="_x0000_i1034" DrawAspect="Content" ObjectID="_1678174049" r:id="rId37"/>
        </w:object>
      </w:r>
      <w:r w:rsidR="003B4FA1">
        <w:t xml:space="preserve"> is an individual-level error term</w:t>
      </w:r>
      <w:r w:rsidR="00786716">
        <w:t>;</w:t>
      </w:r>
      <w:r w:rsidR="003B4FA1">
        <w:t xml:space="preserve"> </w:t>
      </w:r>
      <w:r w:rsidR="00BD4062">
        <w:t xml:space="preserve">and </w:t>
      </w:r>
      <w:r w:rsidRPr="000C776F" w:rsidR="000C776F">
        <w:rPr>
          <w:position w:val="-6"/>
        </w:rPr>
        <w:object w:dxaOrig="220" w:dyaOrig="279" w14:anchorId="12EE61E2">
          <v:shape id="_x0000_i1035" style="width:10.5pt;height:14.25pt" o:ole="" type="#_x0000_t75">
            <v:imagedata o:title="" r:id="rId38"/>
          </v:shape>
          <o:OLEObject Type="Embed" ProgID="Equation.DSMT4" ShapeID="_x0000_i1035" DrawAspect="Content" ObjectID="_1678174050" r:id="rId39"/>
        </w:object>
      </w:r>
      <w:r w:rsidR="00BD4062">
        <w:t xml:space="preserve"> </w:t>
      </w:r>
      <w:proofErr w:type="spellStart"/>
      <w:r w:rsidR="00BD4062">
        <w:t>and</w:t>
      </w:r>
      <w:proofErr w:type="spellEnd"/>
      <w:r w:rsidR="00BD4062">
        <w:t xml:space="preserve"> </w:t>
      </w:r>
      <w:r w:rsidRPr="000C776F" w:rsidR="000C776F">
        <w:rPr>
          <w:position w:val="-10"/>
        </w:rPr>
        <w:object w:dxaOrig="200" w:dyaOrig="260" w14:anchorId="7EFD1C13">
          <v:shape id="_x0000_i1036" style="width:9pt;height:12.75pt" o:ole="" type="#_x0000_t75">
            <v:imagedata o:title="" r:id="rId40"/>
          </v:shape>
          <o:OLEObject Type="Embed" ProgID="Equation.DSMT4" ShapeID="_x0000_i1036" DrawAspect="Content" ObjectID="_1678174051" r:id="rId41"/>
        </w:object>
      </w:r>
      <w:r w:rsidR="00BD4062">
        <w:t xml:space="preserve"> are parameter vectors. </w:t>
      </w:r>
      <w:r w:rsidRPr="00E21360" w:rsidR="00E21360">
        <w:t xml:space="preserve">The coefficient </w:t>
      </w:r>
      <w:r w:rsidRPr="000C776F" w:rsidR="000C776F">
        <w:rPr>
          <w:position w:val="-10"/>
        </w:rPr>
        <w:object w:dxaOrig="240" w:dyaOrig="320" w14:anchorId="330F7093">
          <v:shape id="_x0000_i1037" style="width:12.75pt;height:15.75pt" o:ole="" type="#_x0000_t75">
            <v:imagedata o:title="" r:id="rId42"/>
          </v:shape>
          <o:OLEObject Type="Embed" ProgID="Equation.DSMT4" ShapeID="_x0000_i1037" DrawAspect="Content" ObjectID="_1678174052" r:id="rId43"/>
        </w:object>
      </w:r>
      <w:r w:rsidR="00E21360">
        <w:t xml:space="preserve"> </w:t>
      </w:r>
      <w:r w:rsidRPr="00E21360" w:rsidR="00E21360">
        <w:t>represents the average impact of departmentalized instruction.</w:t>
      </w:r>
      <w:r w:rsidR="00D34E54">
        <w:t xml:space="preserve"> </w:t>
      </w:r>
      <w:r w:rsidRPr="004C77A5">
        <w:t>The baseline characteristics in</w:t>
      </w:r>
      <w:r w:rsidR="00EC182E">
        <w:t xml:space="preserve"> </w:t>
      </w:r>
      <w:r w:rsidRPr="000C776F" w:rsidR="000C776F">
        <w:rPr>
          <w:position w:val="-12"/>
        </w:rPr>
        <w:object w:dxaOrig="520" w:dyaOrig="360" w14:anchorId="73D31A1F">
          <v:shape id="_x0000_i1038" style="width:27.75pt;height:18.75pt" o:ole="" type="#_x0000_t75">
            <v:imagedata o:title="" r:id="rId44"/>
          </v:shape>
          <o:OLEObject Type="Embed" ProgID="Equation.DSMT4" ShapeID="_x0000_i1038" DrawAspect="Content" ObjectID="_1678174053" r:id="rId45"/>
        </w:object>
      </w:r>
      <w:r w:rsidRPr="004C77A5">
        <w:t xml:space="preserve"> will include</w:t>
      </w:r>
      <w:r>
        <w:t>:</w:t>
      </w:r>
      <w:r w:rsidRPr="004C77A5">
        <w:t xml:space="preserve"> </w:t>
      </w:r>
    </w:p>
    <w:p w:rsidRPr="0041596D" w:rsidR="00AD6FB7" w:rsidP="007B366D" w:rsidRDefault="00E21360" w14:paraId="07D1CE93" w14:textId="629A72BD">
      <w:pPr>
        <w:pStyle w:val="Bullet"/>
      </w:pPr>
      <w:r>
        <w:t xml:space="preserve">(for student-level outcomes) </w:t>
      </w:r>
      <w:r w:rsidRPr="0041596D" w:rsidR="00872817">
        <w:t xml:space="preserve">student </w:t>
      </w:r>
      <w:r w:rsidR="00190D2C">
        <w:t>characteristics</w:t>
      </w:r>
      <w:r w:rsidRPr="0041596D" w:rsidR="00872817">
        <w:t>, such as test scores from the year before the interventio</w:t>
      </w:r>
      <w:r w:rsidR="00D66683">
        <w:t>n, gender, race/ethnicity, free</w:t>
      </w:r>
      <w:r w:rsidRPr="0041596D" w:rsidR="00872817">
        <w:t xml:space="preserve"> or reduced-price lunch eligibility, special education status, and English learner status</w:t>
      </w:r>
    </w:p>
    <w:p w:rsidRPr="0041596D" w:rsidR="00AD6FB7" w:rsidP="007B366D" w:rsidRDefault="00E21360" w14:paraId="56F43388" w14:textId="4B016758">
      <w:pPr>
        <w:pStyle w:val="Bullet"/>
      </w:pPr>
      <w:r>
        <w:t xml:space="preserve">(for teacher-level outcomes) </w:t>
      </w:r>
      <w:r w:rsidRPr="0041596D" w:rsidR="00872817">
        <w:t xml:space="preserve">teacher </w:t>
      </w:r>
      <w:r w:rsidRPr="00190D2C" w:rsidR="00190D2C">
        <w:t>characteristics</w:t>
      </w:r>
      <w:r w:rsidRPr="0041596D" w:rsidR="00872817">
        <w:t>, such as demographic characteristics, age, experience</w:t>
      </w:r>
      <w:r w:rsidR="00E42368">
        <w:t>,</w:t>
      </w:r>
      <w:r w:rsidRPr="0041596D" w:rsidR="00872817">
        <w:t xml:space="preserve"> and educational background </w:t>
      </w:r>
    </w:p>
    <w:p w:rsidRPr="0041596D" w:rsidR="00AD6FB7" w:rsidP="004B78C9" w:rsidRDefault="00E21360" w14:paraId="05418F0A" w14:textId="565D89B9">
      <w:pPr>
        <w:pStyle w:val="Bullet"/>
      </w:pPr>
      <w:r>
        <w:lastRenderedPageBreak/>
        <w:t xml:space="preserve">(for both student- and teacher-level outcomes) </w:t>
      </w:r>
      <w:r w:rsidRPr="0041596D" w:rsidR="00872817">
        <w:t>school-level characteristics, such as school-level student achievement and demographic</w:t>
      </w:r>
      <w:r w:rsidR="003577BE">
        <w:t>s</w:t>
      </w:r>
      <w:r w:rsidRPr="0041596D" w:rsidR="00872817">
        <w:t xml:space="preserve">. </w:t>
      </w:r>
    </w:p>
    <w:p w:rsidRPr="0041596D" w:rsidR="00872817" w:rsidP="00101946" w:rsidRDefault="00872817" w14:paraId="325E364B" w14:textId="3D7222A9">
      <w:pPr>
        <w:pStyle w:val="NormalSS"/>
        <w:spacing w:before="240"/>
        <w:rPr>
          <w:b/>
        </w:rPr>
      </w:pPr>
      <w:r w:rsidRPr="0041596D">
        <w:rPr>
          <w:rFonts w:eastAsiaTheme="minorEastAsia"/>
        </w:rPr>
        <w:t xml:space="preserve">When estimating student achievement models, the outcome of interest will be a student’s state standardized test score in reading or math. For comparability across states, </w:t>
      </w:r>
      <w:r w:rsidR="008A148C">
        <w:rPr>
          <w:rFonts w:eastAsiaTheme="minorEastAsia"/>
        </w:rPr>
        <w:t xml:space="preserve">the study team </w:t>
      </w:r>
      <w:r w:rsidRPr="0041596D">
        <w:rPr>
          <w:rFonts w:eastAsiaTheme="minorEastAsia"/>
        </w:rPr>
        <w:t xml:space="preserve">will convert state test scores to z-scores, subtracting off the mean and dividing by the standard deviation of scores for all students in that state and grade level. </w:t>
      </w:r>
      <w:r w:rsidR="00CA7B0F">
        <w:rPr>
          <w:rFonts w:eastAsiaTheme="minorEastAsia"/>
        </w:rPr>
        <w:t xml:space="preserve">For </w:t>
      </w:r>
      <w:r w:rsidRPr="0041596D">
        <w:rPr>
          <w:rFonts w:eastAsiaTheme="minorEastAsia"/>
        </w:rPr>
        <w:t xml:space="preserve">teacher-level outcomes, a similar model </w:t>
      </w:r>
      <w:r w:rsidR="00CA7B0F">
        <w:rPr>
          <w:rFonts w:eastAsiaTheme="minorEastAsia"/>
        </w:rPr>
        <w:t xml:space="preserve">will be used </w:t>
      </w:r>
      <w:r w:rsidRPr="0041596D">
        <w:rPr>
          <w:rFonts w:eastAsiaTheme="minorEastAsia"/>
        </w:rPr>
        <w:t xml:space="preserve">at the teacher level. </w:t>
      </w:r>
      <w:r w:rsidR="00E21360">
        <w:rPr>
          <w:rFonts w:eastAsiaTheme="minorEastAsia"/>
        </w:rPr>
        <w:t>In each analysis</w:t>
      </w:r>
      <w:r w:rsidR="0056041D">
        <w:rPr>
          <w:rFonts w:eastAsiaTheme="minorEastAsia"/>
        </w:rPr>
        <w:t>,</w:t>
      </w:r>
      <w:r w:rsidRPr="0041596D">
        <w:rPr>
          <w:rFonts w:eastAsiaTheme="minorEastAsia"/>
        </w:rPr>
        <w:t xml:space="preserve"> </w:t>
      </w:r>
      <w:r w:rsidR="00CA7B0F">
        <w:rPr>
          <w:rFonts w:eastAsiaTheme="minorEastAsia"/>
        </w:rPr>
        <w:t>s</w:t>
      </w:r>
      <w:r w:rsidR="0056041D">
        <w:rPr>
          <w:rFonts w:eastAsiaTheme="minorEastAsia"/>
        </w:rPr>
        <w:t>chools</w:t>
      </w:r>
      <w:r w:rsidR="00CA7B0F">
        <w:rPr>
          <w:rFonts w:eastAsiaTheme="minorEastAsia"/>
        </w:rPr>
        <w:t xml:space="preserve"> will be weighted</w:t>
      </w:r>
      <w:r w:rsidR="0056041D">
        <w:rPr>
          <w:rFonts w:eastAsiaTheme="minorEastAsia"/>
        </w:rPr>
        <w:t xml:space="preserve"> equally</w:t>
      </w:r>
      <w:r w:rsidRPr="0041596D">
        <w:rPr>
          <w:rFonts w:eastAsiaTheme="minorEastAsia"/>
        </w:rPr>
        <w:t xml:space="preserve"> and standard errors </w:t>
      </w:r>
      <w:r w:rsidR="00CA7B0F">
        <w:rPr>
          <w:rFonts w:eastAsiaTheme="minorEastAsia"/>
        </w:rPr>
        <w:t xml:space="preserve">clustered </w:t>
      </w:r>
      <w:r w:rsidRPr="0041596D">
        <w:rPr>
          <w:rFonts w:eastAsiaTheme="minorEastAsia"/>
        </w:rPr>
        <w:t xml:space="preserve">at the </w:t>
      </w:r>
      <w:r w:rsidR="00E21360">
        <w:rPr>
          <w:rFonts w:eastAsiaTheme="minorEastAsia"/>
        </w:rPr>
        <w:t xml:space="preserve">school </w:t>
      </w:r>
      <w:r w:rsidRPr="0041596D">
        <w:rPr>
          <w:rFonts w:eastAsiaTheme="minorEastAsia"/>
        </w:rPr>
        <w:t>level.</w:t>
      </w:r>
    </w:p>
    <w:p w:rsidR="00CB5C51" w:rsidRDefault="00872817" w14:paraId="0291A33C" w14:textId="5B164AB4">
      <w:pPr>
        <w:pStyle w:val="NormalSS"/>
        <w:rPr>
          <w:szCs w:val="24"/>
        </w:rPr>
      </w:pPr>
      <w:r w:rsidRPr="0041596D">
        <w:rPr>
          <w:rFonts w:eastAsiaTheme="minorEastAsia"/>
          <w:b/>
          <w:szCs w:val="24"/>
        </w:rPr>
        <w:t>Subgroup</w:t>
      </w:r>
      <w:r w:rsidRPr="0041596D">
        <w:rPr>
          <w:b/>
        </w:rPr>
        <w:t xml:space="preserve"> analyses. </w:t>
      </w:r>
      <w:r w:rsidR="00B467D4">
        <w:t>T</w:t>
      </w:r>
      <w:r w:rsidRPr="0041596D">
        <w:rPr>
          <w:szCs w:val="24"/>
        </w:rPr>
        <w:t xml:space="preserve">o help districts </w:t>
      </w:r>
      <w:r w:rsidR="003301DB">
        <w:rPr>
          <w:szCs w:val="24"/>
        </w:rPr>
        <w:t xml:space="preserve">and schools decide whether to switch from self-contained classrooms to departmentalized instruction, it can be valuable to </w:t>
      </w:r>
      <w:r w:rsidR="00D0257E">
        <w:rPr>
          <w:szCs w:val="24"/>
        </w:rPr>
        <w:t>know</w:t>
      </w:r>
      <w:r w:rsidR="003301DB">
        <w:rPr>
          <w:szCs w:val="24"/>
        </w:rPr>
        <w:t xml:space="preserve"> </w:t>
      </w:r>
      <w:r w:rsidR="00D0257E">
        <w:rPr>
          <w:szCs w:val="24"/>
        </w:rPr>
        <w:t>if</w:t>
      </w:r>
      <w:r w:rsidR="003301DB">
        <w:rPr>
          <w:szCs w:val="24"/>
        </w:rPr>
        <w:t xml:space="preserve"> </w:t>
      </w:r>
      <w:r w:rsidR="00E7311A">
        <w:rPr>
          <w:szCs w:val="24"/>
        </w:rPr>
        <w:t xml:space="preserve">the </w:t>
      </w:r>
      <w:r w:rsidR="00CA7B0F">
        <w:rPr>
          <w:szCs w:val="24"/>
        </w:rPr>
        <w:t>evidence on</w:t>
      </w:r>
      <w:r w:rsidR="00E7311A">
        <w:rPr>
          <w:szCs w:val="24"/>
        </w:rPr>
        <w:t xml:space="preserve"> departmentalization</w:t>
      </w:r>
      <w:r w:rsidR="003301DB">
        <w:rPr>
          <w:szCs w:val="24"/>
        </w:rPr>
        <w:t xml:space="preserve"> </w:t>
      </w:r>
      <w:r w:rsidR="00E7311A">
        <w:rPr>
          <w:szCs w:val="24"/>
        </w:rPr>
        <w:t xml:space="preserve">differs when principals have access to teachers’ math and reading effectiveness scores and when they do not. Districts and schools may also want to know whether </w:t>
      </w:r>
      <w:r w:rsidR="00660740">
        <w:rPr>
          <w:szCs w:val="24"/>
        </w:rPr>
        <w:t xml:space="preserve">the </w:t>
      </w:r>
      <w:r w:rsidR="00CA7B0F">
        <w:rPr>
          <w:szCs w:val="24"/>
        </w:rPr>
        <w:t xml:space="preserve">evidence on </w:t>
      </w:r>
      <w:r w:rsidR="00E7311A">
        <w:rPr>
          <w:szCs w:val="24"/>
        </w:rPr>
        <w:t xml:space="preserve">departmentalization </w:t>
      </w:r>
      <w:r w:rsidR="00660740">
        <w:rPr>
          <w:szCs w:val="24"/>
        </w:rPr>
        <w:t>varies for different</w:t>
      </w:r>
      <w:r w:rsidR="00E7311A">
        <w:rPr>
          <w:szCs w:val="24"/>
        </w:rPr>
        <w:t xml:space="preserve"> types of students. For example, if departmentalization </w:t>
      </w:r>
      <w:r w:rsidR="00CA7B0F">
        <w:rPr>
          <w:szCs w:val="24"/>
        </w:rPr>
        <w:t>seems to have better outcomes for</w:t>
      </w:r>
      <w:r w:rsidR="00E7311A">
        <w:rPr>
          <w:szCs w:val="24"/>
        </w:rPr>
        <w:t xml:space="preserve"> high</w:t>
      </w:r>
      <w:r w:rsidR="006467B1">
        <w:rPr>
          <w:szCs w:val="24"/>
        </w:rPr>
        <w:t>-</w:t>
      </w:r>
      <w:r w:rsidR="00E7311A">
        <w:rPr>
          <w:szCs w:val="24"/>
        </w:rPr>
        <w:t>achieving students, but</w:t>
      </w:r>
      <w:r w:rsidR="00CA7B0F">
        <w:rPr>
          <w:szCs w:val="24"/>
        </w:rPr>
        <w:t xml:space="preserve"> not</w:t>
      </w:r>
      <w:r w:rsidR="00E7311A">
        <w:rPr>
          <w:szCs w:val="24"/>
        </w:rPr>
        <w:t xml:space="preserve"> low-achieving students, schools</w:t>
      </w:r>
      <w:r w:rsidR="0081674A">
        <w:rPr>
          <w:szCs w:val="24"/>
        </w:rPr>
        <w:t xml:space="preserve"> with </w:t>
      </w:r>
      <w:r w:rsidR="00A51D83">
        <w:rPr>
          <w:szCs w:val="24"/>
        </w:rPr>
        <w:t>many</w:t>
      </w:r>
      <w:r w:rsidR="0081674A">
        <w:rPr>
          <w:szCs w:val="24"/>
        </w:rPr>
        <w:t xml:space="preserve"> low-achieving students</w:t>
      </w:r>
      <w:r w:rsidR="00E7311A">
        <w:rPr>
          <w:szCs w:val="24"/>
        </w:rPr>
        <w:t xml:space="preserve"> may decide not to implement departmentalization. </w:t>
      </w:r>
    </w:p>
    <w:p w:rsidR="00DF3E83" w:rsidRDefault="00CA7B0F" w14:paraId="58264FC9" w14:textId="115A36B7">
      <w:pPr>
        <w:pStyle w:val="NormalSS"/>
        <w:rPr>
          <w:szCs w:val="24"/>
        </w:rPr>
      </w:pPr>
      <w:r>
        <w:rPr>
          <w:szCs w:val="24"/>
        </w:rPr>
        <w:t>The study team</w:t>
      </w:r>
      <w:r w:rsidRPr="0041596D" w:rsidR="00E7311A">
        <w:rPr>
          <w:szCs w:val="24"/>
        </w:rPr>
        <w:t xml:space="preserve"> </w:t>
      </w:r>
      <w:r w:rsidRPr="0041596D" w:rsidR="00872817">
        <w:rPr>
          <w:szCs w:val="24"/>
        </w:rPr>
        <w:t xml:space="preserve">will estimate </w:t>
      </w:r>
      <w:r>
        <w:rPr>
          <w:szCs w:val="24"/>
        </w:rPr>
        <w:t>these outcomes</w:t>
      </w:r>
      <w:r w:rsidRPr="0041596D" w:rsidR="00872817">
        <w:rPr>
          <w:szCs w:val="24"/>
        </w:rPr>
        <w:t xml:space="preserve"> for various subgroups, including: </w:t>
      </w:r>
    </w:p>
    <w:p w:rsidR="00A331F3" w:rsidP="00CD2532" w:rsidRDefault="00A331F3" w14:paraId="1114138B" w14:textId="4D203325">
      <w:pPr>
        <w:pStyle w:val="Bullet"/>
      </w:pPr>
      <w:r>
        <w:t xml:space="preserve">Districts that do and do not </w:t>
      </w:r>
      <w:r w:rsidR="00E42368">
        <w:t xml:space="preserve">have </w:t>
      </w:r>
      <w:r>
        <w:t xml:space="preserve">teacher effectiveness </w:t>
      </w:r>
      <w:proofErr w:type="gramStart"/>
      <w:r>
        <w:t>measures</w:t>
      </w:r>
      <w:proofErr w:type="gramEnd"/>
    </w:p>
    <w:p w:rsidR="00DF3E83" w:rsidP="00CD2532" w:rsidRDefault="00B84B7A" w14:paraId="49717E04" w14:textId="7ACD7B57">
      <w:pPr>
        <w:pStyle w:val="Bullet"/>
      </w:pPr>
      <w:r>
        <w:t xml:space="preserve">Students with </w:t>
      </w:r>
      <w:r w:rsidR="006A38D7">
        <w:t xml:space="preserve">high and low </w:t>
      </w:r>
      <w:r>
        <w:t>pre-intervention achieve</w:t>
      </w:r>
      <w:r w:rsidR="006A38D7">
        <w:t>ment</w:t>
      </w:r>
    </w:p>
    <w:p w:rsidR="00DF3E83" w:rsidP="00CD2532" w:rsidRDefault="006A38D7" w14:paraId="50C9358A" w14:textId="5A30B691">
      <w:pPr>
        <w:pStyle w:val="Bullet"/>
      </w:pPr>
      <w:r>
        <w:t>Students who are and are not eligible for free and reduced</w:t>
      </w:r>
      <w:r w:rsidR="00C77DD9">
        <w:t>-</w:t>
      </w:r>
      <w:r>
        <w:t xml:space="preserve">price </w:t>
      </w:r>
      <w:proofErr w:type="gramStart"/>
      <w:r>
        <w:t>lunch</w:t>
      </w:r>
      <w:proofErr w:type="gramEnd"/>
    </w:p>
    <w:p w:rsidRPr="001C34B1" w:rsidR="001C34B1" w:rsidP="001C34B1" w:rsidRDefault="006A38D7" w14:paraId="0BFBD368" w14:textId="374C7476">
      <w:pPr>
        <w:pStyle w:val="Bullet"/>
        <w:spacing w:after="240"/>
      </w:pPr>
      <w:r>
        <w:t>Special education students</w:t>
      </w:r>
    </w:p>
    <w:p w:rsidR="00872817" w:rsidP="00872817" w:rsidRDefault="00872817" w14:paraId="26DD655C" w14:textId="771CA2CF">
      <w:pPr>
        <w:pStyle w:val="NormalSS"/>
      </w:pPr>
      <w:r w:rsidRPr="0041596D">
        <w:rPr>
          <w:b/>
        </w:rPr>
        <w:t xml:space="preserve">Implementation analyses. </w:t>
      </w:r>
      <w:r w:rsidRPr="0041596D">
        <w:t>Understanding the implementation experiences and challenges of schools</w:t>
      </w:r>
      <w:r w:rsidR="00DC7AAB">
        <w:t xml:space="preserve"> selected to departmentalize instruction for the study </w:t>
      </w:r>
      <w:r w:rsidRPr="0041596D">
        <w:t xml:space="preserve">will provide important information for </w:t>
      </w:r>
      <w:r w:rsidR="00DC7AAB">
        <w:t xml:space="preserve">other </w:t>
      </w:r>
      <w:r w:rsidRPr="0041596D">
        <w:t xml:space="preserve">districts </w:t>
      </w:r>
      <w:r w:rsidR="00DC7AAB">
        <w:t xml:space="preserve">and schools </w:t>
      </w:r>
      <w:r w:rsidRPr="0041596D">
        <w:t xml:space="preserve">considering </w:t>
      </w:r>
      <w:r w:rsidR="00DC7AAB">
        <w:t>departmentalizing instruction in upper elementary grades</w:t>
      </w:r>
      <w:r w:rsidRPr="0041596D">
        <w:t xml:space="preserve">. The implementation analyses will support replication of </w:t>
      </w:r>
      <w:r w:rsidR="00DC7AAB">
        <w:t xml:space="preserve">study schools’ approaches to </w:t>
      </w:r>
      <w:r w:rsidR="00575F17">
        <w:t>departmentalized instruction</w:t>
      </w:r>
      <w:r w:rsidRPr="0041596D">
        <w:t xml:space="preserve"> in other districts and provide </w:t>
      </w:r>
      <w:r w:rsidR="0056041D">
        <w:t>important</w:t>
      </w:r>
      <w:r w:rsidRPr="0041596D" w:rsidR="0056041D">
        <w:t xml:space="preserve"> </w:t>
      </w:r>
      <w:r w:rsidRPr="0041596D">
        <w:t>context for</w:t>
      </w:r>
      <w:r w:rsidR="0056041D">
        <w:t xml:space="preserve"> interpreting the</w:t>
      </w:r>
      <w:r w:rsidRPr="0041596D">
        <w:t xml:space="preserve"> </w:t>
      </w:r>
      <w:r w:rsidR="00CA7B0F">
        <w:t>outcomes analyses</w:t>
      </w:r>
      <w:r w:rsidRPr="0041596D">
        <w:t xml:space="preserve">. </w:t>
      </w:r>
    </w:p>
    <w:p w:rsidR="003B5813" w:rsidP="003B5813" w:rsidRDefault="00CA7B0F" w14:paraId="09D8FC61" w14:textId="6444243D">
      <w:pPr>
        <w:pStyle w:val="NormalSS"/>
      </w:pPr>
      <w:r>
        <w:t xml:space="preserve">The </w:t>
      </w:r>
      <w:r w:rsidRPr="00984515" w:rsidR="00DC7AAB">
        <w:t>implementation analysis will describe schools’ approaches to departmentalization and benefits and challenges encountered</w:t>
      </w:r>
      <w:r w:rsidR="00643EC8">
        <w:t>, from the perspective of both teachers and principals</w:t>
      </w:r>
      <w:r w:rsidRPr="00984515" w:rsidR="00DC7AAB">
        <w:t xml:space="preserve">. </w:t>
      </w:r>
      <w:r>
        <w:t>The analysis</w:t>
      </w:r>
      <w:r w:rsidRPr="00984515" w:rsidR="00DC7AAB">
        <w:t xml:space="preserve"> will document the structure of departmentalization in treatment schools, how schools assigned teachers to subjects, and any implementation challenges. In both treatment and </w:t>
      </w:r>
      <w:r>
        <w:t>comparison</w:t>
      </w:r>
      <w:r w:rsidRPr="00984515" w:rsidR="00DC7AAB">
        <w:t xml:space="preserve"> schools</w:t>
      </w:r>
      <w:r w:rsidR="0056041D">
        <w:t>,</w:t>
      </w:r>
      <w:r w:rsidRPr="00984515" w:rsidR="00DC7AAB">
        <w:t xml:space="preserve"> </w:t>
      </w:r>
      <w:r>
        <w:t xml:space="preserve">the study will </w:t>
      </w:r>
      <w:r w:rsidRPr="00984515" w:rsidR="00DC7AAB">
        <w:t xml:space="preserve">document time for instruction, planning, and teacher professional development. </w:t>
      </w:r>
    </w:p>
    <w:p w:rsidR="00872817" w:rsidP="00A5036E" w:rsidRDefault="0057646B" w14:paraId="383EF853" w14:textId="496A281D">
      <w:pPr>
        <w:pStyle w:val="H5Lower"/>
      </w:pPr>
      <w:r>
        <w:t>d</w:t>
      </w:r>
      <w:r w:rsidRPr="0041596D" w:rsidR="00872817">
        <w:t xml:space="preserve">. </w:t>
      </w:r>
      <w:r w:rsidR="0078486F">
        <w:tab/>
      </w:r>
      <w:r w:rsidRPr="0041596D" w:rsidDel="00E72BD9" w:rsidR="00872817">
        <w:t>Degree of accuracy needed</w:t>
      </w:r>
    </w:p>
    <w:p w:rsidR="00B55682" w:rsidP="00B55682" w:rsidRDefault="00E42563" w14:paraId="2E64CE8A" w14:textId="0A689DC3">
      <w:pPr>
        <w:pStyle w:val="NormalSS"/>
      </w:pPr>
      <w:r>
        <w:t>The study team</w:t>
      </w:r>
      <w:r w:rsidR="00B55682">
        <w:t xml:space="preserve"> estimate</w:t>
      </w:r>
      <w:r>
        <w:t>s</w:t>
      </w:r>
      <w:r w:rsidR="00B55682">
        <w:t xml:space="preserve"> that the </w:t>
      </w:r>
      <w:r w:rsidR="00B61733">
        <w:t>realized</w:t>
      </w:r>
      <w:r w:rsidR="00B55682">
        <w:t xml:space="preserve"> sample size for the study</w:t>
      </w:r>
      <w:r w:rsidR="00B61733">
        <w:t xml:space="preserve"> (90 schools and 12 districts)</w:t>
      </w:r>
      <w:r w:rsidR="00B55682">
        <w:t xml:space="preserve"> will achieve a</w:t>
      </w:r>
      <w:r w:rsidR="00B61733">
        <w:t>n approximate</w:t>
      </w:r>
      <w:r w:rsidR="00B55682">
        <w:t xml:space="preserve"> minimum detectable effect size of 0.</w:t>
      </w:r>
      <w:r>
        <w:t>11</w:t>
      </w:r>
      <w:r w:rsidR="00B55682">
        <w:t xml:space="preserve"> standard deviations on student achievement</w:t>
      </w:r>
      <w:r w:rsidR="00F617E7">
        <w:t xml:space="preserve"> and</w:t>
      </w:r>
      <w:r w:rsidR="00B55682">
        <w:t xml:space="preserve"> </w:t>
      </w:r>
      <w:r w:rsidR="00540F91">
        <w:t>11</w:t>
      </w:r>
      <w:r w:rsidR="00B55682">
        <w:t xml:space="preserve"> percentage points </w:t>
      </w:r>
      <w:r w:rsidRPr="00871EB3" w:rsidR="00B55682">
        <w:t>on teacher retention.</w:t>
      </w:r>
      <w:r w:rsidR="00B55682">
        <w:t xml:space="preserve"> Using a 50 percent subsample of schools – such as for the subgroup analyses based on whether principals have </w:t>
      </w:r>
      <w:r w:rsidR="00B55682">
        <w:lastRenderedPageBreak/>
        <w:t xml:space="preserve">access to effectiveness scores when they make teacher assignment decisions – the study </w:t>
      </w:r>
      <w:r w:rsidR="00540F91">
        <w:t>can</w:t>
      </w:r>
      <w:r w:rsidR="00B55682">
        <w:t xml:space="preserve"> achieve </w:t>
      </w:r>
      <w:r w:rsidR="00540F91">
        <w:t xml:space="preserve">approximate </w:t>
      </w:r>
      <w:r w:rsidRPr="00B7759B" w:rsidR="00B7759B">
        <w:t>minimum detectable effect</w:t>
      </w:r>
      <w:r w:rsidR="00B7759B">
        <w:t>s</w:t>
      </w:r>
      <w:r w:rsidRPr="00B7759B" w:rsidDel="00B7759B" w:rsidR="00B7759B">
        <w:t xml:space="preserve"> </w:t>
      </w:r>
      <w:r w:rsidR="00B55682">
        <w:t>of 0.1</w:t>
      </w:r>
      <w:r w:rsidR="006921CB">
        <w:t>6</w:t>
      </w:r>
      <w:r w:rsidR="00B55682">
        <w:t xml:space="preserve"> </w:t>
      </w:r>
      <w:r w:rsidRPr="00DD7218" w:rsidR="00DD7218">
        <w:t>standard deviations</w:t>
      </w:r>
      <w:r w:rsidRPr="00DD7218" w:rsidDel="00DD7218" w:rsidR="00DD7218">
        <w:t xml:space="preserve"> </w:t>
      </w:r>
      <w:r w:rsidR="00B55682">
        <w:t>on student achievement</w:t>
      </w:r>
      <w:r w:rsidR="006921CB">
        <w:t xml:space="preserve"> </w:t>
      </w:r>
      <w:r w:rsidR="00B55682">
        <w:t>and 1</w:t>
      </w:r>
      <w:r w:rsidR="006921CB">
        <w:t>6</w:t>
      </w:r>
      <w:r w:rsidR="00B55682">
        <w:t xml:space="preserve"> percentage points on teacher retention. </w:t>
      </w:r>
    </w:p>
    <w:p w:rsidRPr="00EE6536" w:rsidR="00B55682" w:rsidP="00B55682" w:rsidRDefault="00B55682" w14:paraId="6C544C96" w14:textId="498E176C">
      <w:pPr>
        <w:pStyle w:val="NormalSS"/>
      </w:pPr>
      <w:r>
        <w:t xml:space="preserve">These </w:t>
      </w:r>
      <w:r w:rsidR="006921CB">
        <w:t xml:space="preserve">estimated </w:t>
      </w:r>
      <w:r w:rsidRPr="00B7759B" w:rsidR="00B7759B">
        <w:t>minimum detectable effect</w:t>
      </w:r>
      <w:r w:rsidR="00B7759B">
        <w:t>s</w:t>
      </w:r>
      <w:r w:rsidRPr="00B7759B" w:rsidDel="00B7759B" w:rsidR="00B7759B">
        <w:t xml:space="preserve"> </w:t>
      </w:r>
      <w:r>
        <w:t xml:space="preserve">represent meaningful </w:t>
      </w:r>
      <w:r w:rsidR="0056041D">
        <w:t xml:space="preserve">and </w:t>
      </w:r>
      <w:r>
        <w:t>realistic impacts</w:t>
      </w:r>
      <w:r w:rsidR="0056041D">
        <w:t xml:space="preserve"> that</w:t>
      </w:r>
      <w:r>
        <w:t xml:space="preserve"> balance policy relevance against the costs of data collection. The </w:t>
      </w:r>
      <w:r w:rsidR="00A43FA7">
        <w:t xml:space="preserve">estimated </w:t>
      </w:r>
      <w:r w:rsidRPr="00B7759B" w:rsidR="00B7759B">
        <w:t>minimum detectable effect</w:t>
      </w:r>
      <w:r w:rsidR="00B7759B">
        <w:t>s</w:t>
      </w:r>
      <w:r w:rsidRPr="00B7759B" w:rsidDel="00B7759B" w:rsidR="00B7759B">
        <w:t xml:space="preserve"> </w:t>
      </w:r>
      <w:r>
        <w:t xml:space="preserve">for student achievement (0.11) are </w:t>
      </w:r>
      <w:r w:rsidR="006C6C0E">
        <w:t xml:space="preserve">similar to </w:t>
      </w:r>
      <w:r>
        <w:t xml:space="preserve">the impacts of pay-for-performance </w:t>
      </w:r>
      <w:r w:rsidR="00685174">
        <w:t xml:space="preserve">on students’ math achievement </w:t>
      </w:r>
      <w:r>
        <w:t xml:space="preserve">in </w:t>
      </w:r>
      <w:r w:rsidR="00685174">
        <w:t>5</w:t>
      </w:r>
      <w:r>
        <w:t xml:space="preserve"> out of 10 districts that participated in IES’s Teacher Incentive Fund intervention (</w:t>
      </w:r>
      <w:r w:rsidRPr="00A634B6">
        <w:t>Wellington et al. 2016</w:t>
      </w:r>
      <w:r>
        <w:t xml:space="preserve">) and the 0.13 impact of being taught by a Teaching Fellows math teacher rather than a math teacher from a less selective </w:t>
      </w:r>
      <w:r w:rsidR="00685174">
        <w:t xml:space="preserve">alternative </w:t>
      </w:r>
      <w:r>
        <w:t>route into teaching (</w:t>
      </w:r>
      <w:r w:rsidRPr="00A90C19">
        <w:t>Clark et al. 2013</w:t>
      </w:r>
      <w:r>
        <w:t>).</w:t>
      </w:r>
      <w:r w:rsidRPr="0087699C">
        <w:t xml:space="preserve"> </w:t>
      </w:r>
      <w:r w:rsidR="006C6C0E">
        <w:t>F</w:t>
      </w:r>
      <w:r w:rsidRPr="0087699C">
        <w:t xml:space="preserve">or teacher retention, </w:t>
      </w:r>
      <w:r w:rsidR="006C6C0E">
        <w:t>the</w:t>
      </w:r>
      <w:r w:rsidRPr="0087699C">
        <w:t xml:space="preserve"> </w:t>
      </w:r>
      <w:r w:rsidR="00A43FA7">
        <w:t xml:space="preserve">estimated </w:t>
      </w:r>
      <w:r w:rsidRPr="0087699C">
        <w:t>minimum detectable effects are s</w:t>
      </w:r>
      <w:r w:rsidR="00A43FA7">
        <w:t>imilar to</w:t>
      </w:r>
      <w:r w:rsidRPr="0087699C">
        <w:t xml:space="preserve"> the </w:t>
      </w:r>
      <w:r w:rsidRPr="0087699C" w:rsidR="00B76AAC">
        <w:t>11-percentage</w:t>
      </w:r>
      <w:r w:rsidRPr="0087699C">
        <w:t xml:space="preserve"> point impact that </w:t>
      </w:r>
      <w:r w:rsidRPr="00A634B6">
        <w:t>Clotfelter et al. (2008)</w:t>
      </w:r>
      <w:r w:rsidRPr="0087699C">
        <w:t xml:space="preserve"> found for a program providing small retention bonuses to North Carolina teachers in high-poverty schools.</w:t>
      </w:r>
    </w:p>
    <w:p w:rsidR="00B55682" w:rsidP="00B55682" w:rsidRDefault="00B55682" w14:paraId="790B0921" w14:textId="7F292E50">
      <w:pPr>
        <w:pStyle w:val="NormalSS"/>
        <w:rPr>
          <w:rFonts w:eastAsiaTheme="minorEastAsia"/>
          <w:szCs w:val="24"/>
        </w:rPr>
      </w:pPr>
      <w:r w:rsidRPr="000507D6">
        <w:t xml:space="preserve">Table </w:t>
      </w:r>
      <w:r>
        <w:t>B.</w:t>
      </w:r>
      <w:r w:rsidRPr="000507D6">
        <w:t>1 displays</w:t>
      </w:r>
      <w:r w:rsidRPr="00EE6536">
        <w:t xml:space="preserve"> </w:t>
      </w:r>
      <w:r w:rsidRPr="00B7759B" w:rsidR="00B7759B">
        <w:t xml:space="preserve">minimum detectable effects </w:t>
      </w:r>
      <w:r w:rsidRPr="00EE6536">
        <w:t xml:space="preserve">for the full sample </w:t>
      </w:r>
      <w:r>
        <w:t>of schools as well as a 50 percent subsample. T</w:t>
      </w:r>
      <w:r w:rsidRPr="00B27FAE">
        <w:t xml:space="preserve">he study design </w:t>
      </w:r>
      <w:r>
        <w:t xml:space="preserve">will </w:t>
      </w:r>
      <w:r w:rsidRPr="00B27FAE">
        <w:t xml:space="preserve">maximize </w:t>
      </w:r>
      <w:r w:rsidR="009450BF">
        <w:t xml:space="preserve">validity and </w:t>
      </w:r>
      <w:r w:rsidRPr="00B27FAE">
        <w:t>power to detect impacts</w:t>
      </w:r>
      <w:r>
        <w:t xml:space="preserve"> by matching schools with similar characteristics into blocks within each district</w:t>
      </w:r>
      <w:r w:rsidRPr="00B27FAE">
        <w:t xml:space="preserve">. </w:t>
      </w:r>
      <w:r>
        <w:t xml:space="preserve">The characteristics used to match schools will include average school baseline performance and socioeconomic status of students (as measured by free or reduced-price lunch receipt). </w:t>
      </w:r>
      <w:r w:rsidRPr="003709B6" w:rsidR="003709B6">
        <w:t>Since the fourth- and fifth-grade students in the study will have baseline test scores from third- and fourth-grade assessments</w:t>
      </w:r>
      <w:r w:rsidR="003709B6">
        <w:t xml:space="preserve">, </w:t>
      </w:r>
      <w:r w:rsidR="009450BF">
        <w:t>the study team</w:t>
      </w:r>
      <w:r>
        <w:rPr>
          <w:rFonts w:eastAsiaTheme="minorEastAsia"/>
          <w:szCs w:val="24"/>
        </w:rPr>
        <w:t xml:space="preserve"> will also use students’ prior test scores as </w:t>
      </w:r>
      <w:r w:rsidR="0056041D">
        <w:rPr>
          <w:rFonts w:eastAsiaTheme="minorEastAsia"/>
          <w:szCs w:val="24"/>
        </w:rPr>
        <w:t xml:space="preserve">covariates in the impact analysis </w:t>
      </w:r>
      <w:r>
        <w:rPr>
          <w:rFonts w:eastAsiaTheme="minorEastAsia"/>
          <w:szCs w:val="24"/>
        </w:rPr>
        <w:t>to increase statistical power</w:t>
      </w:r>
      <w:r w:rsidRPr="003F49A1">
        <w:rPr>
          <w:rFonts w:eastAsiaTheme="minorEastAsia"/>
          <w:szCs w:val="24"/>
        </w:rPr>
        <w:t>.</w:t>
      </w:r>
    </w:p>
    <w:p w:rsidRPr="003E21CE" w:rsidR="00B55682" w:rsidP="00B55682" w:rsidRDefault="00B55682" w14:paraId="376A33E5" w14:textId="6AC7CC5F">
      <w:pPr>
        <w:pStyle w:val="NormalSS"/>
        <w:rPr>
          <w:rFonts w:eastAsiaTheme="minorEastAsia"/>
          <w:szCs w:val="24"/>
        </w:rPr>
      </w:pPr>
      <w:r w:rsidRPr="003E21CE">
        <w:rPr>
          <w:rFonts w:eastAsiaTheme="minorEastAsia"/>
          <w:szCs w:val="24"/>
        </w:rPr>
        <w:t xml:space="preserve">The calculations </w:t>
      </w:r>
      <w:r w:rsidRPr="000507D6">
        <w:rPr>
          <w:rFonts w:eastAsiaTheme="minorEastAsia"/>
          <w:szCs w:val="24"/>
        </w:rPr>
        <w:t xml:space="preserve">in Table </w:t>
      </w:r>
      <w:r>
        <w:rPr>
          <w:rFonts w:eastAsiaTheme="minorEastAsia"/>
          <w:szCs w:val="24"/>
        </w:rPr>
        <w:t>B.</w:t>
      </w:r>
      <w:r w:rsidRPr="000507D6">
        <w:rPr>
          <w:rFonts w:eastAsiaTheme="minorEastAsia"/>
          <w:szCs w:val="24"/>
        </w:rPr>
        <w:t>1 assume</w:t>
      </w:r>
      <w:r w:rsidRPr="003E21CE">
        <w:rPr>
          <w:rFonts w:eastAsiaTheme="minorEastAsia"/>
          <w:szCs w:val="24"/>
        </w:rPr>
        <w:t xml:space="preserve"> the following: (1) 80 percent power and a 5 percent significance level for a two-tailed test; (2) each </w:t>
      </w:r>
      <w:r>
        <w:rPr>
          <w:rFonts w:eastAsiaTheme="minorEastAsia"/>
          <w:szCs w:val="24"/>
        </w:rPr>
        <w:t>school</w:t>
      </w:r>
      <w:r w:rsidRPr="003E21CE">
        <w:rPr>
          <w:rFonts w:eastAsiaTheme="minorEastAsia"/>
          <w:szCs w:val="24"/>
        </w:rPr>
        <w:t xml:space="preserve"> </w:t>
      </w:r>
      <w:r w:rsidR="00AB4CAF">
        <w:rPr>
          <w:rFonts w:eastAsiaTheme="minorEastAsia"/>
          <w:szCs w:val="24"/>
        </w:rPr>
        <w:t>has</w:t>
      </w:r>
      <w:r w:rsidRPr="003E21CE">
        <w:rPr>
          <w:rFonts w:eastAsiaTheme="minorEastAsia"/>
          <w:szCs w:val="24"/>
        </w:rPr>
        <w:t xml:space="preserve"> an average of </w:t>
      </w:r>
      <w:r>
        <w:rPr>
          <w:rFonts w:eastAsiaTheme="minorEastAsia"/>
          <w:szCs w:val="24"/>
        </w:rPr>
        <w:t xml:space="preserve">3 </w:t>
      </w:r>
      <w:r w:rsidR="00DE47FA">
        <w:rPr>
          <w:rFonts w:eastAsiaTheme="minorEastAsia"/>
          <w:szCs w:val="24"/>
        </w:rPr>
        <w:t xml:space="preserve">fourth grade </w:t>
      </w:r>
      <w:r>
        <w:rPr>
          <w:rFonts w:eastAsiaTheme="minorEastAsia"/>
          <w:szCs w:val="24"/>
        </w:rPr>
        <w:t>teachers and 66</w:t>
      </w:r>
      <w:r w:rsidRPr="003E21CE">
        <w:rPr>
          <w:rFonts w:eastAsiaTheme="minorEastAsia"/>
          <w:szCs w:val="24"/>
        </w:rPr>
        <w:t xml:space="preserve"> students; (</w:t>
      </w:r>
      <w:r w:rsidR="00D86281">
        <w:rPr>
          <w:rFonts w:eastAsiaTheme="minorEastAsia"/>
          <w:szCs w:val="24"/>
        </w:rPr>
        <w:t>3</w:t>
      </w:r>
      <w:r w:rsidRPr="003E21CE">
        <w:rPr>
          <w:rFonts w:eastAsiaTheme="minorEastAsia"/>
          <w:szCs w:val="24"/>
        </w:rPr>
        <w:t xml:space="preserve">) the </w:t>
      </w:r>
      <w:r>
        <w:rPr>
          <w:rFonts w:eastAsiaTheme="minorEastAsia"/>
          <w:szCs w:val="24"/>
        </w:rPr>
        <w:t>school-level</w:t>
      </w:r>
      <w:r w:rsidRPr="003E21CE">
        <w:rPr>
          <w:rFonts w:eastAsiaTheme="minorEastAsia"/>
          <w:szCs w:val="24"/>
        </w:rPr>
        <w:t xml:space="preserve"> intracluster correlation is 0.16 for student outcomes</w:t>
      </w:r>
      <w:r w:rsidR="00826CF3">
        <w:rPr>
          <w:rFonts w:eastAsiaTheme="minorEastAsia"/>
          <w:szCs w:val="24"/>
        </w:rPr>
        <w:t xml:space="preserve"> </w:t>
      </w:r>
      <w:r>
        <w:rPr>
          <w:rFonts w:eastAsiaTheme="minorEastAsia"/>
          <w:szCs w:val="24"/>
        </w:rPr>
        <w:t>and 0.02 for teacher retention</w:t>
      </w:r>
      <w:r w:rsidRPr="003E21CE">
        <w:rPr>
          <w:rFonts w:eastAsiaTheme="minorEastAsia"/>
          <w:szCs w:val="24"/>
        </w:rPr>
        <w:t>; (</w:t>
      </w:r>
      <w:r w:rsidR="00D86281">
        <w:rPr>
          <w:rFonts w:eastAsiaTheme="minorEastAsia"/>
          <w:szCs w:val="24"/>
        </w:rPr>
        <w:t>4</w:t>
      </w:r>
      <w:r w:rsidRPr="003E21CE">
        <w:rPr>
          <w:rFonts w:eastAsiaTheme="minorEastAsia"/>
          <w:szCs w:val="24"/>
        </w:rPr>
        <w:t xml:space="preserve">) </w:t>
      </w:r>
      <w:r>
        <w:rPr>
          <w:rFonts w:eastAsiaTheme="minorEastAsia"/>
          <w:szCs w:val="24"/>
        </w:rPr>
        <w:t xml:space="preserve">the percentages of the between-school and within-school variances explained by </w:t>
      </w:r>
      <w:r w:rsidRPr="003E21CE">
        <w:rPr>
          <w:rFonts w:eastAsiaTheme="minorEastAsia"/>
          <w:szCs w:val="24"/>
        </w:rPr>
        <w:t xml:space="preserve">covariates </w:t>
      </w:r>
      <w:r>
        <w:rPr>
          <w:rFonts w:eastAsiaTheme="minorEastAsia"/>
          <w:szCs w:val="24"/>
        </w:rPr>
        <w:t>are</w:t>
      </w:r>
      <w:r w:rsidRPr="003E21CE">
        <w:rPr>
          <w:rFonts w:eastAsiaTheme="minorEastAsia"/>
          <w:szCs w:val="24"/>
        </w:rPr>
        <w:t xml:space="preserve"> 80</w:t>
      </w:r>
      <w:r>
        <w:rPr>
          <w:rFonts w:eastAsiaTheme="minorEastAsia"/>
          <w:szCs w:val="24"/>
        </w:rPr>
        <w:t xml:space="preserve"> and</w:t>
      </w:r>
      <w:r w:rsidRPr="003E21CE">
        <w:rPr>
          <w:rFonts w:eastAsiaTheme="minorEastAsia"/>
          <w:szCs w:val="24"/>
        </w:rPr>
        <w:t xml:space="preserve"> </w:t>
      </w:r>
      <w:r>
        <w:rPr>
          <w:rFonts w:eastAsiaTheme="minorEastAsia"/>
          <w:szCs w:val="24"/>
        </w:rPr>
        <w:t>40</w:t>
      </w:r>
      <w:r w:rsidRPr="003E21CE">
        <w:rPr>
          <w:rFonts w:eastAsiaTheme="minorEastAsia"/>
          <w:szCs w:val="24"/>
        </w:rPr>
        <w:t xml:space="preserve"> percent </w:t>
      </w:r>
      <w:r>
        <w:rPr>
          <w:rFonts w:eastAsiaTheme="minorEastAsia"/>
          <w:szCs w:val="24"/>
        </w:rPr>
        <w:t>for</w:t>
      </w:r>
      <w:r w:rsidRPr="003E21CE">
        <w:rPr>
          <w:rFonts w:eastAsiaTheme="minorEastAsia"/>
          <w:szCs w:val="24"/>
        </w:rPr>
        <w:t xml:space="preserve"> student test scores</w:t>
      </w:r>
      <w:r w:rsidR="00826CF3">
        <w:rPr>
          <w:rFonts w:eastAsiaTheme="minorEastAsia"/>
          <w:szCs w:val="24"/>
        </w:rPr>
        <w:t>,</w:t>
      </w:r>
      <w:r>
        <w:rPr>
          <w:rFonts w:eastAsiaTheme="minorEastAsia"/>
          <w:szCs w:val="24"/>
        </w:rPr>
        <w:t xml:space="preserve"> and 20 and 10 percent for teacher retention</w:t>
      </w:r>
      <w:r w:rsidRPr="003E21CE">
        <w:rPr>
          <w:rFonts w:eastAsiaTheme="minorEastAsia"/>
          <w:szCs w:val="24"/>
        </w:rPr>
        <w:t>; (</w:t>
      </w:r>
      <w:r w:rsidR="00D86281">
        <w:rPr>
          <w:rFonts w:eastAsiaTheme="minorEastAsia"/>
          <w:szCs w:val="24"/>
        </w:rPr>
        <w:t>5</w:t>
      </w:r>
      <w:r w:rsidRPr="003E21CE">
        <w:rPr>
          <w:rFonts w:eastAsiaTheme="minorEastAsia"/>
          <w:szCs w:val="24"/>
        </w:rPr>
        <w:t xml:space="preserve">) </w:t>
      </w:r>
      <w:r>
        <w:rPr>
          <w:rFonts w:eastAsiaTheme="minorEastAsia"/>
          <w:szCs w:val="24"/>
        </w:rPr>
        <w:t xml:space="preserve">64 percent of </w:t>
      </w:r>
      <w:r w:rsidR="00D86281">
        <w:rPr>
          <w:rFonts w:eastAsiaTheme="minorEastAsia"/>
          <w:szCs w:val="24"/>
        </w:rPr>
        <w:t>comparison school</w:t>
      </w:r>
      <w:r>
        <w:rPr>
          <w:rFonts w:eastAsiaTheme="minorEastAsia"/>
          <w:szCs w:val="24"/>
        </w:rPr>
        <w:t xml:space="preserve"> teachers will be retained across two years.</w:t>
      </w:r>
      <w:r w:rsidRPr="003E21CE">
        <w:rPr>
          <w:rFonts w:eastAsiaTheme="minorEastAsia"/>
          <w:szCs w:val="24"/>
        </w:rPr>
        <w:t xml:space="preserve"> Assumptions on the clustering of outcomes and the explanatory power of covariates for the student analys</w:t>
      </w:r>
      <w:r>
        <w:rPr>
          <w:rFonts w:eastAsiaTheme="minorEastAsia"/>
          <w:szCs w:val="24"/>
        </w:rPr>
        <w:t>e</w:t>
      </w:r>
      <w:r w:rsidRPr="003E21CE">
        <w:rPr>
          <w:rFonts w:eastAsiaTheme="minorEastAsia"/>
          <w:szCs w:val="24"/>
        </w:rPr>
        <w:t xml:space="preserve">s are based on data from five large random assignment </w:t>
      </w:r>
      <w:r w:rsidR="00025B3D">
        <w:rPr>
          <w:rFonts w:eastAsiaTheme="minorEastAsia"/>
          <w:szCs w:val="24"/>
        </w:rPr>
        <w:t xml:space="preserve">education </w:t>
      </w:r>
      <w:r w:rsidRPr="003E21CE">
        <w:rPr>
          <w:rFonts w:eastAsiaTheme="minorEastAsia"/>
          <w:szCs w:val="24"/>
        </w:rPr>
        <w:t>evaluations (</w:t>
      </w:r>
      <w:r w:rsidRPr="00A634B6">
        <w:rPr>
          <w:rFonts w:eastAsiaTheme="minorEastAsia"/>
          <w:szCs w:val="24"/>
        </w:rPr>
        <w:t>Deke et al. 2010</w:t>
      </w:r>
      <w:r w:rsidRPr="003E21CE">
        <w:rPr>
          <w:rFonts w:eastAsiaTheme="minorEastAsia"/>
          <w:szCs w:val="24"/>
        </w:rPr>
        <w:t>).</w:t>
      </w:r>
      <w:r>
        <w:rPr>
          <w:rFonts w:eastAsiaTheme="minorEastAsia"/>
          <w:szCs w:val="24"/>
        </w:rPr>
        <w:t xml:space="preserve"> Assumptions for the analyses of teacher retention across two years come from a random assignment study of pay-for-performance for teachers (</w:t>
      </w:r>
      <w:r w:rsidRPr="00A634B6">
        <w:rPr>
          <w:rFonts w:eastAsiaTheme="minorEastAsia"/>
          <w:szCs w:val="24"/>
        </w:rPr>
        <w:t>Wellington et al. 2016</w:t>
      </w:r>
      <w:r>
        <w:rPr>
          <w:rFonts w:eastAsiaTheme="minorEastAsia"/>
          <w:szCs w:val="24"/>
        </w:rPr>
        <w:t xml:space="preserve">).  </w:t>
      </w:r>
    </w:p>
    <w:p w:rsidRPr="0078486F" w:rsidR="00B55682" w:rsidP="00B55682" w:rsidRDefault="00B55682" w14:paraId="0055AA3E" w14:textId="043552CF">
      <w:pPr>
        <w:pStyle w:val="MarkforTableTitle"/>
        <w:rPr>
          <w:rFonts w:eastAsiaTheme="minorEastAsia"/>
        </w:rPr>
      </w:pPr>
      <w:bookmarkStart w:name="_Toc500421676" w:id="8"/>
      <w:r w:rsidRPr="0078486F">
        <w:rPr>
          <w:rFonts w:eastAsiaTheme="minorEastAsia"/>
        </w:rPr>
        <w:t xml:space="preserve">Table </w:t>
      </w:r>
      <w:r>
        <w:rPr>
          <w:rFonts w:eastAsiaTheme="minorEastAsia"/>
        </w:rPr>
        <w:t>B.</w:t>
      </w:r>
      <w:r w:rsidRPr="0078486F">
        <w:rPr>
          <w:rFonts w:eastAsiaTheme="minorEastAsia"/>
        </w:rPr>
        <w:t xml:space="preserve">1. Minimum detectable </w:t>
      </w:r>
      <w:r w:rsidR="00C17F9D">
        <w:rPr>
          <w:rFonts w:eastAsiaTheme="minorEastAsia"/>
        </w:rPr>
        <w:t>effect</w:t>
      </w:r>
      <w:r w:rsidR="00B938F6">
        <w:rPr>
          <w:rFonts w:eastAsiaTheme="minorEastAsia"/>
        </w:rPr>
        <w:t>s</w:t>
      </w:r>
      <w:bookmarkEnd w:id="8"/>
    </w:p>
    <w:tbl>
      <w:tblPr>
        <w:tblStyle w:val="MPRBaseTable"/>
        <w:tblW w:w="0" w:type="auto"/>
        <w:tblLook w:val="04A0" w:firstRow="1" w:lastRow="0" w:firstColumn="1" w:lastColumn="0" w:noHBand="0" w:noVBand="1"/>
      </w:tblPr>
      <w:tblGrid>
        <w:gridCol w:w="2430"/>
        <w:gridCol w:w="3960"/>
        <w:gridCol w:w="1530"/>
        <w:gridCol w:w="1430"/>
      </w:tblGrid>
      <w:tr w:rsidRPr="0078486F" w:rsidR="00B55682" w:rsidTr="00DC7AAB" w14:paraId="36BF27E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30" w:type="dxa"/>
            <w:vAlign w:val="center"/>
          </w:tcPr>
          <w:p w:rsidRPr="0078486F" w:rsidR="00B55682" w:rsidP="00DC7AAB" w:rsidRDefault="00B55682" w14:paraId="7170BC06" w14:textId="77777777">
            <w:pPr>
              <w:pStyle w:val="NormalSS"/>
              <w:spacing w:after="0"/>
              <w:ind w:firstLine="0"/>
              <w:rPr>
                <w:rFonts w:cs="Arial" w:eastAsiaTheme="minorEastAsia"/>
              </w:rPr>
            </w:pPr>
          </w:p>
        </w:tc>
        <w:tc>
          <w:tcPr>
            <w:tcW w:w="3960" w:type="dxa"/>
            <w:vAlign w:val="center"/>
          </w:tcPr>
          <w:p w:rsidRPr="0078486F" w:rsidR="00B55682" w:rsidP="00DC7AAB" w:rsidRDefault="00B55682" w14:paraId="0CEA3888" w14:textId="77777777">
            <w:pPr>
              <w:pStyle w:val="NormalSS"/>
              <w:spacing w:after="0"/>
              <w:ind w:firstLine="0"/>
              <w:jc w:val="left"/>
              <w:cnfStyle w:val="100000000000" w:firstRow="1" w:lastRow="0" w:firstColumn="0" w:lastColumn="0" w:oddVBand="0" w:evenVBand="0" w:oddHBand="0" w:evenHBand="0" w:firstRowFirstColumn="0" w:firstRowLastColumn="0" w:lastRowFirstColumn="0" w:lastRowLastColumn="0"/>
              <w:rPr>
                <w:rFonts w:cs="Arial" w:eastAsiaTheme="minorEastAsia"/>
              </w:rPr>
            </w:pPr>
          </w:p>
        </w:tc>
        <w:tc>
          <w:tcPr>
            <w:tcW w:w="2960" w:type="dxa"/>
            <w:gridSpan w:val="2"/>
            <w:tcBorders>
              <w:bottom w:val="single" w:color="FFFFFF" w:sz="4" w:space="0"/>
            </w:tcBorders>
          </w:tcPr>
          <w:p w:rsidRPr="0078486F" w:rsidR="00B55682" w:rsidP="002B1616" w:rsidRDefault="00B55682" w14:paraId="10876F22" w14:textId="0CA9A4A9">
            <w:pPr>
              <w:pStyle w:val="TableHeaderCenter"/>
              <w:cnfStyle w:val="100000000000" w:firstRow="1" w:lastRow="0" w:firstColumn="0" w:lastColumn="0" w:oddVBand="0" w:evenVBand="0" w:oddHBand="0" w:evenHBand="0" w:firstRowFirstColumn="0" w:firstRowLastColumn="0" w:lastRowFirstColumn="0" w:lastRowLastColumn="0"/>
              <w:rPr>
                <w:rFonts w:eastAsiaTheme="minorEastAsia"/>
                <w:b/>
              </w:rPr>
            </w:pPr>
            <w:r w:rsidRPr="0078486F">
              <w:rPr>
                <w:rFonts w:eastAsiaTheme="minorEastAsia"/>
                <w:b/>
              </w:rPr>
              <w:t xml:space="preserve">Minimum detectable </w:t>
            </w:r>
            <w:r w:rsidR="00C17F9D">
              <w:rPr>
                <w:rFonts w:eastAsiaTheme="minorEastAsia"/>
                <w:b/>
              </w:rPr>
              <w:t>effect</w:t>
            </w:r>
          </w:p>
        </w:tc>
      </w:tr>
      <w:tr w:rsidRPr="0078486F" w:rsidR="00B55682" w:rsidTr="00994987" w14:paraId="675CCEF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30" w:type="dxa"/>
          </w:tcPr>
          <w:p w:rsidRPr="00601CD2" w:rsidR="00B55682" w:rsidP="00DC7AAB" w:rsidRDefault="00B55682" w14:paraId="5E6A4D0A" w14:textId="77777777">
            <w:pPr>
              <w:pStyle w:val="TableHeaderLeft"/>
              <w:rPr>
                <w:rFonts w:eastAsiaTheme="minorEastAsia"/>
                <w:b/>
              </w:rPr>
            </w:pPr>
            <w:r w:rsidRPr="00601CD2">
              <w:rPr>
                <w:rFonts w:eastAsiaTheme="minorEastAsia"/>
                <w:b/>
              </w:rPr>
              <w:t>Data source</w:t>
            </w:r>
          </w:p>
        </w:tc>
        <w:tc>
          <w:tcPr>
            <w:tcW w:w="3960" w:type="dxa"/>
          </w:tcPr>
          <w:p w:rsidRPr="00601CD2" w:rsidR="00B55682" w:rsidP="00DC7AAB" w:rsidRDefault="00B55682" w14:paraId="2F1A5219"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Theme="minorEastAsia"/>
                <w:b/>
              </w:rPr>
            </w:pPr>
            <w:r w:rsidRPr="00601CD2">
              <w:rPr>
                <w:rFonts w:eastAsiaTheme="minorEastAsia"/>
                <w:b/>
              </w:rPr>
              <w:t>Outcome</w:t>
            </w:r>
          </w:p>
        </w:tc>
        <w:tc>
          <w:tcPr>
            <w:tcW w:w="1530" w:type="dxa"/>
            <w:tcBorders>
              <w:top w:val="single" w:color="FFFFFF" w:sz="4" w:space="0"/>
            </w:tcBorders>
          </w:tcPr>
          <w:p w:rsidRPr="00601CD2" w:rsidR="00B55682" w:rsidP="00DC7AAB" w:rsidRDefault="00B55682" w14:paraId="1FCC5E47"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Theme="minorEastAsia"/>
                <w:b/>
              </w:rPr>
            </w:pPr>
            <w:r w:rsidRPr="00601CD2">
              <w:rPr>
                <w:rFonts w:eastAsiaTheme="minorEastAsia"/>
                <w:b/>
              </w:rPr>
              <w:t>Full sample</w:t>
            </w:r>
          </w:p>
        </w:tc>
        <w:tc>
          <w:tcPr>
            <w:tcW w:w="1430" w:type="dxa"/>
            <w:tcBorders>
              <w:top w:val="single" w:color="FFFFFF" w:sz="4" w:space="0"/>
            </w:tcBorders>
            <w:vAlign w:val="center"/>
          </w:tcPr>
          <w:p w:rsidRPr="00601CD2" w:rsidR="00B55682" w:rsidP="00DC7AAB" w:rsidRDefault="00B55682" w14:paraId="7E49916C"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Theme="minorEastAsia"/>
                <w:b/>
              </w:rPr>
            </w:pPr>
            <w:r w:rsidRPr="00601CD2">
              <w:rPr>
                <w:rFonts w:eastAsiaTheme="minorEastAsia"/>
                <w:b/>
              </w:rPr>
              <w:t>50 percent sub-sample</w:t>
            </w:r>
          </w:p>
        </w:tc>
      </w:tr>
      <w:tr w:rsidRPr="00922E39" w:rsidR="00B55682" w:rsidTr="00994987" w14:paraId="7F9CE8D4"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30" w:type="dxa"/>
            <w:tcBorders>
              <w:left w:val="nil"/>
              <w:bottom w:val="nil"/>
            </w:tcBorders>
          </w:tcPr>
          <w:p w:rsidRPr="00922E39" w:rsidR="00B55682" w:rsidP="00DC7AAB" w:rsidRDefault="00B55682" w14:paraId="6E7C1DB6" w14:textId="77777777">
            <w:pPr>
              <w:pStyle w:val="TableText"/>
              <w:spacing w:before="60" w:after="60"/>
              <w:contextualSpacing w:val="0"/>
              <w:rPr>
                <w:rFonts w:eastAsiaTheme="minorEastAsia"/>
              </w:rPr>
            </w:pPr>
            <w:r w:rsidRPr="00922E39">
              <w:rPr>
                <w:rFonts w:eastAsiaTheme="minorEastAsia"/>
              </w:rPr>
              <w:t>District records</w:t>
            </w:r>
          </w:p>
        </w:tc>
        <w:tc>
          <w:tcPr>
            <w:tcW w:w="3960" w:type="dxa"/>
            <w:tcBorders>
              <w:bottom w:val="nil"/>
            </w:tcBorders>
          </w:tcPr>
          <w:p w:rsidRPr="00922E39" w:rsidR="00B55682" w:rsidP="00DC7AAB" w:rsidRDefault="00B55682" w14:paraId="2A8CBC5D" w14:textId="77777777">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rFonts w:eastAsiaTheme="minorEastAsia"/>
              </w:rPr>
            </w:pPr>
            <w:r w:rsidRPr="00922E39">
              <w:rPr>
                <w:rFonts w:eastAsiaTheme="minorEastAsia"/>
              </w:rPr>
              <w:t>Students’ reading and math test scores</w:t>
            </w:r>
          </w:p>
        </w:tc>
        <w:tc>
          <w:tcPr>
            <w:tcW w:w="1530" w:type="dxa"/>
            <w:tcBorders>
              <w:bottom w:val="nil"/>
            </w:tcBorders>
          </w:tcPr>
          <w:p w:rsidRPr="00922E39" w:rsidR="00B55682" w:rsidP="00DC7AAB" w:rsidRDefault="00B55682" w14:paraId="74230F54" w14:textId="77C85F1F">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rFonts w:eastAsiaTheme="minorEastAsia"/>
              </w:rPr>
            </w:pPr>
            <w:r w:rsidRPr="00922E39">
              <w:rPr>
                <w:rFonts w:eastAsiaTheme="minorEastAsia"/>
              </w:rPr>
              <w:t>0.</w:t>
            </w:r>
            <w:r w:rsidR="00377F58">
              <w:rPr>
                <w:rFonts w:eastAsiaTheme="minorEastAsia"/>
              </w:rPr>
              <w:t>11</w:t>
            </w:r>
            <w:r w:rsidRPr="00922E39">
              <w:rPr>
                <w:rFonts w:eastAsiaTheme="minorEastAsia"/>
              </w:rPr>
              <w:t xml:space="preserve"> SDs</w:t>
            </w:r>
          </w:p>
        </w:tc>
        <w:tc>
          <w:tcPr>
            <w:tcW w:w="1430" w:type="dxa"/>
            <w:tcBorders>
              <w:bottom w:val="nil"/>
            </w:tcBorders>
          </w:tcPr>
          <w:p w:rsidRPr="00922E39" w:rsidR="00B55682" w:rsidP="00DC7AAB" w:rsidRDefault="00B55682" w14:paraId="000FF7AA" w14:textId="5306D77A">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rFonts w:eastAsiaTheme="minorEastAsia"/>
              </w:rPr>
            </w:pPr>
            <w:r w:rsidRPr="00922E39">
              <w:rPr>
                <w:rFonts w:eastAsiaTheme="minorEastAsia"/>
              </w:rPr>
              <w:t>0.1</w:t>
            </w:r>
            <w:r w:rsidR="00E85458">
              <w:rPr>
                <w:rFonts w:eastAsiaTheme="minorEastAsia"/>
              </w:rPr>
              <w:t>6</w:t>
            </w:r>
            <w:r w:rsidRPr="00922E39">
              <w:rPr>
                <w:rFonts w:eastAsiaTheme="minorEastAsia"/>
              </w:rPr>
              <w:t xml:space="preserve"> SDs</w:t>
            </w:r>
          </w:p>
        </w:tc>
      </w:tr>
      <w:tr w:rsidRPr="00922E39" w:rsidR="00B55682" w:rsidTr="00956410" w14:paraId="68829754"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30" w:type="dxa"/>
            <w:tcBorders>
              <w:top w:val="nil"/>
              <w:left w:val="nil"/>
              <w:bottom w:val="single" w:color="auto" w:sz="4" w:space="0"/>
            </w:tcBorders>
          </w:tcPr>
          <w:p w:rsidRPr="00922E39" w:rsidR="00B55682" w:rsidP="00B56907" w:rsidRDefault="00B55682" w14:paraId="5D217167" w14:textId="77777777">
            <w:pPr>
              <w:pStyle w:val="TableText"/>
              <w:rPr>
                <w:rFonts w:eastAsiaTheme="minorEastAsia"/>
              </w:rPr>
            </w:pPr>
            <w:r>
              <w:rPr>
                <w:rFonts w:eastAsiaTheme="minorEastAsia"/>
              </w:rPr>
              <w:t>District records</w:t>
            </w:r>
          </w:p>
        </w:tc>
        <w:tc>
          <w:tcPr>
            <w:tcW w:w="3960" w:type="dxa"/>
            <w:tcBorders>
              <w:top w:val="nil"/>
              <w:bottom w:val="single" w:color="auto" w:sz="4" w:space="0"/>
            </w:tcBorders>
          </w:tcPr>
          <w:p w:rsidRPr="00922E39" w:rsidR="00B55682" w:rsidP="00DC7AAB" w:rsidRDefault="00013BCC" w14:paraId="67087281" w14:textId="19F98BA6">
            <w:pPr>
              <w:pStyle w:val="TableText"/>
              <w:spacing w:before="60" w:after="60"/>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Teacher retention across 2 years</w:t>
            </w:r>
          </w:p>
        </w:tc>
        <w:tc>
          <w:tcPr>
            <w:tcW w:w="1530" w:type="dxa"/>
            <w:tcBorders>
              <w:top w:val="nil"/>
              <w:bottom w:val="single" w:color="auto" w:sz="4" w:space="0"/>
            </w:tcBorders>
          </w:tcPr>
          <w:p w:rsidRPr="00922E39" w:rsidR="00B55682" w:rsidDel="005E3632" w:rsidP="00DC7AAB" w:rsidRDefault="00F93980" w14:paraId="4A1DA2E4" w14:textId="72CFBD7B">
            <w:pPr>
              <w:pStyle w:val="TableText"/>
              <w:spacing w:before="60" w:after="60"/>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11</w:t>
            </w:r>
            <w:r w:rsidR="00B55682">
              <w:rPr>
                <w:rFonts w:eastAsiaTheme="minorEastAsia"/>
              </w:rPr>
              <w:t xml:space="preserve"> percentage points</w:t>
            </w:r>
          </w:p>
        </w:tc>
        <w:tc>
          <w:tcPr>
            <w:tcW w:w="1430" w:type="dxa"/>
            <w:tcBorders>
              <w:top w:val="nil"/>
              <w:bottom w:val="single" w:color="auto" w:sz="4" w:space="0"/>
            </w:tcBorders>
          </w:tcPr>
          <w:p w:rsidRPr="00922E39" w:rsidR="00B55682" w:rsidDel="005E3632" w:rsidP="00DC7AAB" w:rsidRDefault="00B55682" w14:paraId="6DFEF179" w14:textId="2A050135">
            <w:pPr>
              <w:pStyle w:val="TableText"/>
              <w:spacing w:before="60" w:after="60"/>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1</w:t>
            </w:r>
            <w:r w:rsidR="00F93980">
              <w:rPr>
                <w:rFonts w:eastAsiaTheme="minorEastAsia"/>
              </w:rPr>
              <w:t>6</w:t>
            </w:r>
            <w:r>
              <w:rPr>
                <w:rFonts w:eastAsiaTheme="minorEastAsia"/>
              </w:rPr>
              <w:t xml:space="preserve"> percentage points</w:t>
            </w:r>
          </w:p>
        </w:tc>
      </w:tr>
    </w:tbl>
    <w:p w:rsidR="00B55682" w:rsidP="00B55682" w:rsidRDefault="00B55682" w14:paraId="74F472C4" w14:textId="77777777">
      <w:pPr>
        <w:pStyle w:val="TableFootnoteCaption"/>
        <w:spacing w:after="360"/>
      </w:pPr>
      <w:r>
        <w:rPr>
          <w:rFonts w:eastAsiaTheme="minorEastAsia"/>
        </w:rPr>
        <w:t>SD = standard deviation.</w:t>
      </w:r>
    </w:p>
    <w:p w:rsidR="00872817" w:rsidP="00A5036E" w:rsidRDefault="00EC4207" w14:paraId="3C87401C" w14:textId="1018AA5B">
      <w:pPr>
        <w:pStyle w:val="H5Lower"/>
      </w:pPr>
      <w:r>
        <w:t>e</w:t>
      </w:r>
      <w:r w:rsidR="00872817">
        <w:t xml:space="preserve">. </w:t>
      </w:r>
      <w:r w:rsidR="0078486F">
        <w:tab/>
      </w:r>
      <w:r w:rsidR="00872817">
        <w:t xml:space="preserve">Unusual problems requiring specialized sampling procedures </w:t>
      </w:r>
    </w:p>
    <w:p w:rsidRPr="0054744E" w:rsidR="0054744E" w:rsidP="0054744E" w:rsidRDefault="0054744E" w14:paraId="37AA8A64" w14:textId="1D5D607B">
      <w:pPr>
        <w:pStyle w:val="NormalSS"/>
        <w:rPr>
          <w:szCs w:val="24"/>
        </w:rPr>
      </w:pPr>
      <w:r w:rsidRPr="0054744E">
        <w:rPr>
          <w:szCs w:val="24"/>
        </w:rPr>
        <w:t xml:space="preserve">There </w:t>
      </w:r>
      <w:r>
        <w:rPr>
          <w:szCs w:val="24"/>
        </w:rPr>
        <w:t>we</w:t>
      </w:r>
      <w:r w:rsidRPr="0054744E">
        <w:rPr>
          <w:szCs w:val="24"/>
        </w:rPr>
        <w:t>re no unusual problems requiring specialized sampling procedures.</w:t>
      </w:r>
    </w:p>
    <w:p w:rsidR="00872817" w:rsidP="00872817" w:rsidRDefault="00872817" w14:paraId="2BB35395" w14:textId="248BE0F1">
      <w:pPr>
        <w:pStyle w:val="NormalSS"/>
        <w:rPr>
          <w:szCs w:val="24"/>
        </w:rPr>
      </w:pPr>
    </w:p>
    <w:p w:rsidRPr="00D64C5E" w:rsidR="00D64C5E" w:rsidP="00A5036E" w:rsidRDefault="00EC4207" w14:paraId="22B48444" w14:textId="0BD48BC1">
      <w:pPr>
        <w:pStyle w:val="H5Lower"/>
      </w:pPr>
      <w:r>
        <w:t>f</w:t>
      </w:r>
      <w:r w:rsidR="00D64C5E">
        <w:t>.</w:t>
      </w:r>
      <w:r w:rsidR="00D64C5E">
        <w:tab/>
      </w:r>
      <w:r w:rsidRPr="00D64C5E" w:rsidR="00D64C5E">
        <w:t>Use of periodic (less than annual) data collection to reduce burden</w:t>
      </w:r>
    </w:p>
    <w:p w:rsidRPr="00CE176F" w:rsidR="00D64C5E" w:rsidP="00D64C5E" w:rsidRDefault="00F61B3F" w14:paraId="5B3F33D6" w14:textId="7B9150BC">
      <w:pPr>
        <w:pStyle w:val="NormalSS"/>
        <w:rPr>
          <w:szCs w:val="24"/>
        </w:rPr>
      </w:pPr>
      <w:r>
        <w:rPr>
          <w:szCs w:val="24"/>
        </w:rPr>
        <w:t>T</w:t>
      </w:r>
      <w:r w:rsidR="00FA65BD">
        <w:rPr>
          <w:szCs w:val="24"/>
        </w:rPr>
        <w:t>o limit</w:t>
      </w:r>
      <w:r w:rsidRPr="00B52280" w:rsidR="00B52280">
        <w:rPr>
          <w:szCs w:val="24"/>
        </w:rPr>
        <w:t xml:space="preserve"> respondent burden</w:t>
      </w:r>
      <w:r w:rsidR="00FA65BD">
        <w:rPr>
          <w:szCs w:val="24"/>
        </w:rPr>
        <w:t xml:space="preserve"> as much as possible</w:t>
      </w:r>
      <w:r w:rsidR="00B52280">
        <w:rPr>
          <w:szCs w:val="24"/>
        </w:rPr>
        <w:t>,</w:t>
      </w:r>
      <w:r w:rsidRPr="00B52280" w:rsidR="00B52280">
        <w:rPr>
          <w:szCs w:val="24"/>
        </w:rPr>
        <w:t xml:space="preserve"> </w:t>
      </w:r>
      <w:r w:rsidR="00C70A3C">
        <w:rPr>
          <w:szCs w:val="24"/>
        </w:rPr>
        <w:t>the evaluation has</w:t>
      </w:r>
      <w:r w:rsidR="00BE21C2">
        <w:rPr>
          <w:szCs w:val="24"/>
        </w:rPr>
        <w:t xml:space="preserve"> carefully considered </w:t>
      </w:r>
      <w:r w:rsidR="00B52280">
        <w:t xml:space="preserve">what </w:t>
      </w:r>
      <w:r w:rsidR="00025F4F">
        <w:t xml:space="preserve">is </w:t>
      </w:r>
      <w:r w:rsidR="00B52280">
        <w:t>the minimum amount of data</w:t>
      </w:r>
      <w:r w:rsidR="00FA65BD">
        <w:t xml:space="preserve"> </w:t>
      </w:r>
      <w:r w:rsidR="00B52280">
        <w:t>needed</w:t>
      </w:r>
      <w:r w:rsidR="00B52280">
        <w:rPr>
          <w:szCs w:val="24"/>
        </w:rPr>
        <w:t xml:space="preserve"> </w:t>
      </w:r>
      <w:r w:rsidR="00BE21C2">
        <w:rPr>
          <w:szCs w:val="24"/>
        </w:rPr>
        <w:t>to</w:t>
      </w:r>
      <w:r w:rsidR="00B52280">
        <w:rPr>
          <w:szCs w:val="24"/>
        </w:rPr>
        <w:t xml:space="preserve"> </w:t>
      </w:r>
      <w:r w:rsidR="00BE21C2">
        <w:rPr>
          <w:szCs w:val="24"/>
        </w:rPr>
        <w:t xml:space="preserve">answer the research questions and </w:t>
      </w:r>
      <w:r w:rsidR="00B52280">
        <w:rPr>
          <w:szCs w:val="24"/>
        </w:rPr>
        <w:t xml:space="preserve">how to </w:t>
      </w:r>
      <w:r w:rsidR="00FA65BD">
        <w:rPr>
          <w:szCs w:val="24"/>
        </w:rPr>
        <w:t>structure the data collection</w:t>
      </w:r>
      <w:r w:rsidR="00BE21C2">
        <w:rPr>
          <w:szCs w:val="24"/>
        </w:rPr>
        <w:t>.</w:t>
      </w:r>
      <w:r w:rsidR="00B52280">
        <w:rPr>
          <w:szCs w:val="24"/>
        </w:rPr>
        <w:t xml:space="preserve"> For example, </w:t>
      </w:r>
      <w:r w:rsidR="00AC7575">
        <w:rPr>
          <w:szCs w:val="24"/>
        </w:rPr>
        <w:t xml:space="preserve">the evaluation will </w:t>
      </w:r>
      <w:r w:rsidR="00FA65BD">
        <w:rPr>
          <w:szCs w:val="24"/>
        </w:rPr>
        <w:t>request administrative data no more than once a year, and</w:t>
      </w:r>
      <w:r w:rsidR="00AC7575">
        <w:rPr>
          <w:szCs w:val="24"/>
        </w:rPr>
        <w:t xml:space="preserve"> whenever possible, will</w:t>
      </w:r>
      <w:r w:rsidRPr="00FA65BD" w:rsidR="00FA65BD">
        <w:rPr>
          <w:szCs w:val="24"/>
        </w:rPr>
        <w:t xml:space="preserve"> request multiple years of data </w:t>
      </w:r>
      <w:r w:rsidR="0086107D">
        <w:rPr>
          <w:szCs w:val="24"/>
        </w:rPr>
        <w:t>within a single</w:t>
      </w:r>
      <w:r w:rsidR="00FA65BD">
        <w:rPr>
          <w:szCs w:val="24"/>
        </w:rPr>
        <w:t xml:space="preserve"> r</w:t>
      </w:r>
      <w:r w:rsidR="0086107D">
        <w:rPr>
          <w:szCs w:val="24"/>
        </w:rPr>
        <w:t xml:space="preserve">equest </w:t>
      </w:r>
      <w:r w:rsidRPr="00FA65BD" w:rsidR="00FA65BD">
        <w:rPr>
          <w:szCs w:val="24"/>
        </w:rPr>
        <w:t>to reduce the number of separate requests.</w:t>
      </w:r>
    </w:p>
    <w:p w:rsidRPr="00511B07" w:rsidR="00E72BD9" w:rsidP="00A5036E" w:rsidRDefault="00D64C5E" w14:paraId="58905BCC" w14:textId="334940C8">
      <w:pPr>
        <w:pStyle w:val="H4Number"/>
      </w:pPr>
      <w:bookmarkStart w:name="_Toc256361788" w:id="9"/>
      <w:bookmarkStart w:name="_Toc277342333" w:id="10"/>
      <w:bookmarkStart w:name="_Toc474313984" w:id="11"/>
      <w:bookmarkStart w:name="_Toc500236015" w:id="12"/>
      <w:r w:rsidRPr="00511B07">
        <w:t>B</w:t>
      </w:r>
      <w:r w:rsidRPr="00511B07" w:rsidR="001D588F">
        <w:t>3.</w:t>
      </w:r>
      <w:r w:rsidRPr="00511B07" w:rsidR="00E72BD9">
        <w:tab/>
        <w:t>Metho</w:t>
      </w:r>
      <w:r w:rsidRPr="00511B07" w:rsidR="0078486F">
        <w:t xml:space="preserve">ds </w:t>
      </w:r>
      <w:r w:rsidR="003633A2">
        <w:t>for</w:t>
      </w:r>
      <w:r w:rsidRPr="00511B07" w:rsidR="0078486F">
        <w:t xml:space="preserve"> maximiz</w:t>
      </w:r>
      <w:r w:rsidR="0079328F">
        <w:t>ing the</w:t>
      </w:r>
      <w:r w:rsidRPr="00511B07" w:rsidR="0078486F">
        <w:t xml:space="preserve"> response </w:t>
      </w:r>
      <w:proofErr w:type="gramStart"/>
      <w:r w:rsidRPr="00511B07" w:rsidR="0078486F">
        <w:t>rate</w:t>
      </w:r>
      <w:bookmarkEnd w:id="9"/>
      <w:bookmarkEnd w:id="10"/>
      <w:bookmarkEnd w:id="11"/>
      <w:bookmarkEnd w:id="12"/>
      <w:proofErr w:type="gramEnd"/>
    </w:p>
    <w:p w:rsidR="00E72BD9" w:rsidP="00E72BD9" w:rsidRDefault="00A8591F" w14:paraId="351E7C99" w14:textId="7EC3FC6C">
      <w:pPr>
        <w:pStyle w:val="NormalSS"/>
      </w:pPr>
      <w:r>
        <w:t>The study will employ</w:t>
      </w:r>
      <w:r w:rsidR="00E72BD9">
        <w:t xml:space="preserve"> multiple strategies to maximize response </w:t>
      </w:r>
      <w:r w:rsidR="009919D4">
        <w:t xml:space="preserve">rates </w:t>
      </w:r>
      <w:r w:rsidR="00E72BD9">
        <w:t>while minimizing burden on respondents</w:t>
      </w:r>
      <w:r w:rsidR="004C1396">
        <w:t xml:space="preserve">, including </w:t>
      </w:r>
      <w:r w:rsidRPr="007F5352" w:rsidR="00E72BD9">
        <w:t xml:space="preserve">establishing positive relationships with </w:t>
      </w:r>
      <w:r w:rsidR="00E72BD9">
        <w:t>district</w:t>
      </w:r>
      <w:r w:rsidRPr="007F5352" w:rsidR="00E72BD9">
        <w:t xml:space="preserve"> staff</w:t>
      </w:r>
      <w:r w:rsidR="00BF3C6F">
        <w:t xml:space="preserve"> and</w:t>
      </w:r>
      <w:r w:rsidRPr="007F5352" w:rsidR="00E72BD9">
        <w:t xml:space="preserve"> </w:t>
      </w:r>
      <w:r w:rsidR="00720266">
        <w:t>accepting administrative data files in formats that are most convenient for districts</w:t>
      </w:r>
      <w:r w:rsidR="004C1396">
        <w:t>.</w:t>
      </w:r>
      <w:r w:rsidR="00E72BD9">
        <w:t xml:space="preserve"> </w:t>
      </w:r>
      <w:r w:rsidR="00965B69">
        <w:t xml:space="preserve">To reassure respondents on the confidentiality of the data they provide, </w:t>
      </w:r>
      <w:r w:rsidR="004C1396">
        <w:t>the study team</w:t>
      </w:r>
      <w:r w:rsidRPr="00A61875" w:rsidR="00E72BD9">
        <w:t xml:space="preserve"> will include a statement on confidentiality and data collection requirements (Education Sciences Reform Act of 2002, Title I, Part E, Section 183) in all letters </w:t>
      </w:r>
      <w:r w:rsidR="00E72BD9">
        <w:t xml:space="preserve">and </w:t>
      </w:r>
      <w:r w:rsidRPr="00A61875" w:rsidR="00E72BD9">
        <w:t>data collection instruments</w:t>
      </w:r>
      <w:r w:rsidR="00E72BD9">
        <w:t>.</w:t>
      </w:r>
      <w:r w:rsidR="00A90EED">
        <w:t xml:space="preserve"> All Mathematica staff have to sign a confidentiality pledge as well, to further protect respondent confidentiality (see Appendix B).</w:t>
      </w:r>
    </w:p>
    <w:p w:rsidR="00E72BD9" w:rsidP="00E72BD9" w:rsidRDefault="00A8591F" w14:paraId="6D9ECB1A" w14:textId="17EE5083">
      <w:pPr>
        <w:pStyle w:val="NormalSS"/>
      </w:pPr>
      <w:r>
        <w:t xml:space="preserve">Because </w:t>
      </w:r>
      <w:r w:rsidR="00F73A9D">
        <w:t xml:space="preserve">an MOU </w:t>
      </w:r>
      <w:r w:rsidR="00FC5A2C">
        <w:t xml:space="preserve">was signed </w:t>
      </w:r>
      <w:r w:rsidR="00F73A9D">
        <w:t>with each district</w:t>
      </w:r>
      <w:r w:rsidR="00FC5A2C">
        <w:t xml:space="preserve"> as part of the agreement to participate in the evaluation</w:t>
      </w:r>
      <w:r w:rsidR="00A00F06">
        <w:t xml:space="preserve"> and because this MOU</w:t>
      </w:r>
      <w:r w:rsidR="00F73A9D">
        <w:t xml:space="preserve"> specif</w:t>
      </w:r>
      <w:r w:rsidR="00A00F06">
        <w:t>ied</w:t>
      </w:r>
      <w:r w:rsidR="00F73A9D">
        <w:t xml:space="preserve"> in detail all data requirements, </w:t>
      </w:r>
      <w:r w:rsidR="00A00F06">
        <w:t xml:space="preserve">the study team </w:t>
      </w:r>
      <w:r w:rsidR="00E72BD9">
        <w:t>anticipate</w:t>
      </w:r>
      <w:r w:rsidR="00A00F06">
        <w:t>s</w:t>
      </w:r>
      <w:r w:rsidR="00E72BD9">
        <w:t xml:space="preserve"> full district participation for administrative records. To further solidify administrators’ cooperation, </w:t>
      </w:r>
      <w:r w:rsidR="00A00F06">
        <w:t>the study team adhered</w:t>
      </w:r>
      <w:r w:rsidR="00E72BD9">
        <w:t xml:space="preserve"> to</w:t>
      </w:r>
      <w:r w:rsidR="00A00F06">
        <w:t xml:space="preserve"> any</w:t>
      </w:r>
      <w:r w:rsidR="00E72BD9">
        <w:t xml:space="preserve"> additional data collection requirements that districts may have</w:t>
      </w:r>
      <w:r w:rsidR="00A00F06">
        <w:t xml:space="preserve"> had,</w:t>
      </w:r>
      <w:r w:rsidR="00E72BD9">
        <w:t xml:space="preserve"> such as preparing research applications and </w:t>
      </w:r>
      <w:r w:rsidR="00F73A9D">
        <w:t xml:space="preserve">providing documentation of </w:t>
      </w:r>
      <w:r w:rsidR="00E72BD9">
        <w:t>institutional review board (IRB) approvals. Reducing districts’ burden in the submission of study data will facilitate attaining a response rate of at least 85</w:t>
      </w:r>
      <w:r w:rsidRPr="007F5352" w:rsidR="00E72BD9">
        <w:t xml:space="preserve"> percent on </w:t>
      </w:r>
      <w:r w:rsidRPr="00017386" w:rsidR="00E72BD9">
        <w:t>student records and educator administrative data</w:t>
      </w:r>
      <w:r w:rsidR="00E72BD9">
        <w:t xml:space="preserve">. </w:t>
      </w:r>
      <w:r w:rsidRPr="00235946" w:rsidR="00E72BD9">
        <w:t xml:space="preserve">Federal rules permit </w:t>
      </w:r>
      <w:r w:rsidR="001403A3">
        <w:t>the Department</w:t>
      </w:r>
      <w:r w:rsidRPr="00235946" w:rsidR="00E72BD9">
        <w:t xml:space="preserve"> and its designated agents to collect student demographic and existing achievement data from schools and districts without prior parental or student consent</w:t>
      </w:r>
      <w:r w:rsidR="00E72BD9">
        <w:t xml:space="preserve"> (Family Educational and Rights and Privacy Act (FERPA) (20 U.S.C. 1232g; 34 CFR Part 99)). To maximize the response rate and minimize burden on schools and parents, </w:t>
      </w:r>
      <w:r w:rsidR="00A00F06">
        <w:t>the study team</w:t>
      </w:r>
      <w:r w:rsidR="00E72BD9">
        <w:t xml:space="preserve"> will follow these federal rules. </w:t>
      </w:r>
    </w:p>
    <w:p w:rsidRPr="00511B07" w:rsidR="004F65DE" w:rsidP="00A5036E" w:rsidRDefault="00FF6C50" w14:paraId="71F0739F" w14:textId="5E62E095">
      <w:pPr>
        <w:pStyle w:val="H4Number"/>
      </w:pPr>
      <w:bookmarkStart w:name="_Toc470012100" w:id="13"/>
      <w:bookmarkStart w:name="_Toc474313985" w:id="14"/>
      <w:bookmarkStart w:name="_Toc500236016" w:id="15"/>
      <w:r>
        <w:t>B</w:t>
      </w:r>
      <w:r w:rsidRPr="007E373E">
        <w:t>4.</w:t>
      </w:r>
      <w:r w:rsidRPr="007E373E">
        <w:tab/>
        <w:t>Tes</w:t>
      </w:r>
      <w:r w:rsidRPr="007E373E" w:rsidR="0078486F">
        <w:t>t</w:t>
      </w:r>
      <w:r w:rsidR="004F3E65">
        <w:t>s</w:t>
      </w:r>
      <w:r w:rsidRPr="007E373E" w:rsidR="0078486F">
        <w:t xml:space="preserve"> of procedures</w:t>
      </w:r>
      <w:bookmarkEnd w:id="13"/>
      <w:bookmarkEnd w:id="14"/>
      <w:bookmarkEnd w:id="15"/>
    </w:p>
    <w:p w:rsidRPr="004F65DE" w:rsidR="00410316" w:rsidP="00A6330E" w:rsidRDefault="004F65DE" w14:paraId="3C8CA3ED" w14:textId="7C5DCA71">
      <w:pPr>
        <w:pStyle w:val="NormalSS"/>
      </w:pPr>
      <w:r w:rsidRPr="004F65DE">
        <w:t xml:space="preserve">As much as possible, </w:t>
      </w:r>
      <w:r w:rsidR="00B34734">
        <w:t xml:space="preserve">the </w:t>
      </w:r>
      <w:r w:rsidRPr="004F65DE">
        <w:t>data collection instrument</w:t>
      </w:r>
      <w:r w:rsidR="00C44A3F">
        <w:t>s</w:t>
      </w:r>
      <w:r w:rsidRPr="004F65DE">
        <w:t xml:space="preserve"> for the study draw on </w:t>
      </w:r>
      <w:r w:rsidR="00315F93">
        <w:t>forms</w:t>
      </w:r>
      <w:r w:rsidRPr="004F65DE">
        <w:t xml:space="preserve"> that have been used successfully in previous</w:t>
      </w:r>
      <w:r w:rsidR="00DB5CC4">
        <w:t xml:space="preserve"> federal </w:t>
      </w:r>
      <w:r w:rsidRPr="004F65DE">
        <w:t xml:space="preserve">studies. </w:t>
      </w:r>
      <w:r w:rsidR="00A6330E">
        <w:t>The study team</w:t>
      </w:r>
      <w:r w:rsidRPr="00410316" w:rsidR="00410316">
        <w:t xml:space="preserve"> </w:t>
      </w:r>
      <w:r w:rsidR="008C1019">
        <w:t>did</w:t>
      </w:r>
      <w:r w:rsidRPr="00410316" w:rsidR="008C1019">
        <w:t xml:space="preserve"> </w:t>
      </w:r>
      <w:r w:rsidRPr="00410316" w:rsidR="00410316">
        <w:t xml:space="preserve">not pretest the </w:t>
      </w:r>
      <w:r w:rsidR="00A6330E">
        <w:t xml:space="preserve">district administrative </w:t>
      </w:r>
      <w:r w:rsidRPr="00410316" w:rsidR="00410316">
        <w:t>records request</w:t>
      </w:r>
      <w:r w:rsidR="00A6330E">
        <w:t xml:space="preserve">, </w:t>
      </w:r>
      <w:r w:rsidRPr="00410316" w:rsidR="00410316">
        <w:t xml:space="preserve">as </w:t>
      </w:r>
      <w:r w:rsidR="00A6330E">
        <w:t>the form was</w:t>
      </w:r>
      <w:r w:rsidRPr="00410316" w:rsidR="00410316">
        <w:t xml:space="preserve"> </w:t>
      </w:r>
      <w:r w:rsidR="00231680">
        <w:t xml:space="preserve">closely </w:t>
      </w:r>
      <w:r w:rsidRPr="00410316" w:rsidR="00410316">
        <w:t xml:space="preserve">modeled on forms that have been effectively used for other studies, such as the </w:t>
      </w:r>
      <w:hyperlink w:history="1" r:id="rId46">
        <w:r w:rsidRPr="00AB35BA" w:rsidR="00410316">
          <w:rPr>
            <w:rStyle w:val="Hyperlink"/>
          </w:rPr>
          <w:t xml:space="preserve">Impact of Teacher Feedback using </w:t>
        </w:r>
        <w:r w:rsidRPr="00AB35BA" w:rsidR="000976B5">
          <w:rPr>
            <w:rStyle w:val="Hyperlink"/>
          </w:rPr>
          <w:t>Classroom</w:t>
        </w:r>
        <w:r w:rsidRPr="00AB35BA" w:rsidR="00410316">
          <w:rPr>
            <w:rStyle w:val="Hyperlink"/>
          </w:rPr>
          <w:t xml:space="preserve"> Videos</w:t>
        </w:r>
      </w:hyperlink>
      <w:r w:rsidRPr="00410316" w:rsidR="00410316">
        <w:t xml:space="preserve"> and the </w:t>
      </w:r>
      <w:hyperlink w:history="1" r:id="rId47">
        <w:r w:rsidRPr="00D67CF0" w:rsidR="00410316">
          <w:rPr>
            <w:rStyle w:val="Hyperlink"/>
          </w:rPr>
          <w:t>Impact Evaluation of the Teacher Incentive Fund</w:t>
        </w:r>
      </w:hyperlink>
      <w:r w:rsidRPr="00410316" w:rsidR="00410316">
        <w:t>.</w:t>
      </w:r>
    </w:p>
    <w:p w:rsidR="0078486F" w:rsidP="00872817" w:rsidRDefault="00506D94" w14:paraId="13F116C2" w14:textId="6CD78636">
      <w:pPr>
        <w:pStyle w:val="NormalSS"/>
      </w:pPr>
      <w:r>
        <w:t>The study</w:t>
      </w:r>
      <w:r w:rsidRPr="004F65DE" w:rsidR="004F65DE">
        <w:t xml:space="preserve"> will provide a help desk for questions</w:t>
      </w:r>
      <w:r w:rsidR="00B41757">
        <w:t xml:space="preserve"> </w:t>
      </w:r>
      <w:r w:rsidRPr="004F65DE" w:rsidR="004F65DE">
        <w:t>throughout the data collection period</w:t>
      </w:r>
      <w:r w:rsidR="000A5ABA">
        <w:t>. Staff</w:t>
      </w:r>
      <w:r w:rsidR="00B41757">
        <w:t xml:space="preserve"> will be</w:t>
      </w:r>
      <w:r w:rsidRPr="004F65DE" w:rsidR="004F65DE">
        <w:t xml:space="preserve"> trained to respond to frequently asked questions about the study and individual forms, so they can provide technical assistance and report any issues that come up.</w:t>
      </w:r>
    </w:p>
    <w:p w:rsidRPr="005B4038" w:rsidR="00872817" w:rsidP="003E2278" w:rsidRDefault="00D64C5E" w14:paraId="5BA4B423" w14:textId="0C089F42">
      <w:pPr>
        <w:pStyle w:val="H4Number"/>
        <w:rPr>
          <w:b w:val="0"/>
        </w:rPr>
      </w:pPr>
      <w:bookmarkStart w:name="_Toc500236017" w:id="16"/>
      <w:r w:rsidRPr="005B4038">
        <w:t>B</w:t>
      </w:r>
      <w:r w:rsidR="003E2278">
        <w:t>5.</w:t>
      </w:r>
      <w:r w:rsidRPr="005B4038" w:rsidR="0078486F">
        <w:tab/>
      </w:r>
      <w:r w:rsidRPr="005B4038" w:rsidR="00872817">
        <w:t xml:space="preserve">Individuals consulted on statistical aspects of </w:t>
      </w:r>
      <w:proofErr w:type="gramStart"/>
      <w:r w:rsidRPr="005B4038" w:rsidR="00872817">
        <w:t>design</w:t>
      </w:r>
      <w:bookmarkEnd w:id="16"/>
      <w:proofErr w:type="gramEnd"/>
    </w:p>
    <w:p w:rsidR="00872817" w:rsidP="007C2451" w:rsidRDefault="00872817" w14:paraId="589F8A6A" w14:textId="167DCC3E">
      <w:pPr>
        <w:pStyle w:val="NormalSS"/>
        <w:rPr>
          <w:rFonts w:ascii="Garamond" w:hAnsi="Garamond"/>
        </w:rPr>
      </w:pPr>
      <w:r w:rsidRPr="00CE176F">
        <w:t>The individuals</w:t>
      </w:r>
      <w:r w:rsidR="00C247A1">
        <w:t xml:space="preserve"> consulted</w:t>
      </w:r>
      <w:r w:rsidRPr="00CE176F">
        <w:t xml:space="preserve"> on the statistical aspects of the </w:t>
      </w:r>
      <w:r w:rsidR="00130FD8">
        <w:t>design include</w:t>
      </w:r>
      <w:r w:rsidRPr="00CE176F">
        <w:rPr>
          <w:rFonts w:ascii="Garamond" w:hAnsi="Garamond"/>
        </w:rPr>
        <w:t>:</w:t>
      </w:r>
    </w:p>
    <w:p w:rsidR="00EC4207" w:rsidP="007C2451" w:rsidRDefault="00EC4207" w14:paraId="7311241D" w14:textId="77777777">
      <w:pPr>
        <w:pStyle w:val="NormalSS"/>
        <w:rPr>
          <w:rFonts w:ascii="Garamond" w:hAnsi="Garamond"/>
        </w:rPr>
      </w:pPr>
    </w:p>
    <w:p w:rsidRPr="00CE176F" w:rsidR="007C2451" w:rsidP="007C2451" w:rsidRDefault="007C2451" w14:paraId="3584651D" w14:textId="4B25AE1B">
      <w:pPr>
        <w:pStyle w:val="MarkforTableTitle"/>
        <w:rPr>
          <w:rFonts w:ascii="Garamond" w:hAnsi="Garamond"/>
          <w:szCs w:val="24"/>
        </w:rPr>
      </w:pPr>
      <w:bookmarkStart w:name="_Toc500421677" w:id="17"/>
      <w:r>
        <w:t xml:space="preserve">Table B.2. Individuals consulted on statistical </w:t>
      </w:r>
      <w:proofErr w:type="gramStart"/>
      <w:r>
        <w:t>design</w:t>
      </w:r>
      <w:bookmarkEnd w:id="17"/>
      <w:proofErr w:type="gramEnd"/>
    </w:p>
    <w:tbl>
      <w:tblPr>
        <w:tblW w:w="0" w:type="auto"/>
        <w:tblInd w:w="115" w:type="dxa"/>
        <w:tblBorders>
          <w:top w:val="single" w:color="345294" w:sz="12" w:space="0"/>
          <w:bottom w:val="single" w:color="345294" w:sz="4" w:space="0"/>
        </w:tblBorders>
        <w:tblLook w:val="0000" w:firstRow="0" w:lastRow="0" w:firstColumn="0" w:lastColumn="0" w:noHBand="0" w:noVBand="0"/>
      </w:tblPr>
      <w:tblGrid>
        <w:gridCol w:w="2315"/>
        <w:gridCol w:w="4950"/>
        <w:gridCol w:w="1928"/>
      </w:tblGrid>
      <w:tr w:rsidRPr="00DE5C90" w:rsidR="00872817" w:rsidTr="00434F85" w14:paraId="18A783A3" w14:textId="77777777">
        <w:trPr>
          <w:cantSplit/>
          <w:tblHeader/>
        </w:trPr>
        <w:tc>
          <w:tcPr>
            <w:tcW w:w="2315" w:type="dxa"/>
            <w:tcBorders>
              <w:top w:val="nil"/>
              <w:bottom w:val="nil"/>
            </w:tcBorders>
            <w:shd w:val="clear" w:color="auto" w:fill="6C6F70"/>
          </w:tcPr>
          <w:p w:rsidRPr="00DE5C90" w:rsidR="00872817" w:rsidP="0078486F" w:rsidRDefault="00872817" w14:paraId="7B8DED54" w14:textId="77777777">
            <w:pPr>
              <w:pStyle w:val="TableHeaderLeft"/>
            </w:pPr>
            <w:r w:rsidRPr="00DE5C90">
              <w:t>Name</w:t>
            </w:r>
          </w:p>
        </w:tc>
        <w:tc>
          <w:tcPr>
            <w:tcW w:w="4950" w:type="dxa"/>
            <w:tcBorders>
              <w:top w:val="nil"/>
              <w:bottom w:val="nil"/>
            </w:tcBorders>
            <w:shd w:val="clear" w:color="auto" w:fill="6C6F70"/>
          </w:tcPr>
          <w:p w:rsidRPr="00DE5C90" w:rsidR="00872817" w:rsidP="0078486F" w:rsidRDefault="00872817" w14:paraId="0ED6B424" w14:textId="77777777">
            <w:pPr>
              <w:pStyle w:val="TableHeaderCenter"/>
            </w:pPr>
            <w:r w:rsidRPr="00DE5C90">
              <w:t>Title</w:t>
            </w:r>
          </w:p>
        </w:tc>
        <w:tc>
          <w:tcPr>
            <w:tcW w:w="1928" w:type="dxa"/>
            <w:tcBorders>
              <w:top w:val="nil"/>
              <w:bottom w:val="nil"/>
            </w:tcBorders>
            <w:shd w:val="clear" w:color="auto" w:fill="6C6F70"/>
          </w:tcPr>
          <w:p w:rsidRPr="00DE5C90" w:rsidR="00872817" w:rsidP="0078486F" w:rsidRDefault="00872817" w14:paraId="5DC99009" w14:textId="77777777">
            <w:pPr>
              <w:pStyle w:val="TableHeaderCenter"/>
            </w:pPr>
            <w:r w:rsidRPr="00DE5C90">
              <w:t>Telephone Number</w:t>
            </w:r>
          </w:p>
        </w:tc>
      </w:tr>
      <w:tr w:rsidRPr="00DE5C90" w:rsidR="00434F85" w:rsidTr="00434F85" w14:paraId="3A52C3FE" w14:textId="77777777">
        <w:trPr>
          <w:cantSplit/>
        </w:trPr>
        <w:tc>
          <w:tcPr>
            <w:tcW w:w="2315" w:type="dxa"/>
            <w:tcBorders>
              <w:top w:val="nil"/>
              <w:bottom w:val="nil"/>
            </w:tcBorders>
          </w:tcPr>
          <w:p w:rsidRPr="00DE5C90" w:rsidR="00434F85" w:rsidP="00434F85" w:rsidRDefault="00434F85" w14:paraId="54677AA6" w14:textId="445DDA08">
            <w:pPr>
              <w:pStyle w:val="TableText"/>
              <w:spacing w:before="60" w:after="60"/>
            </w:pPr>
            <w:r>
              <w:t>Alison Wellington</w:t>
            </w:r>
          </w:p>
        </w:tc>
        <w:tc>
          <w:tcPr>
            <w:tcW w:w="4950" w:type="dxa"/>
            <w:tcBorders>
              <w:top w:val="nil"/>
              <w:bottom w:val="nil"/>
            </w:tcBorders>
          </w:tcPr>
          <w:p w:rsidRPr="00DE5C90" w:rsidR="00434F85" w:rsidP="00434F85" w:rsidRDefault="0081231D" w14:paraId="20D913A4" w14:textId="716DF109">
            <w:pPr>
              <w:pStyle w:val="TableText"/>
              <w:spacing w:before="60" w:after="60"/>
            </w:pPr>
            <w:r>
              <w:rPr>
                <w:szCs w:val="18"/>
              </w:rPr>
              <w:t>Principal</w:t>
            </w:r>
            <w:r w:rsidR="00434F85">
              <w:rPr>
                <w:szCs w:val="18"/>
              </w:rPr>
              <w:t xml:space="preserve"> Researcher, Mathematica</w:t>
            </w:r>
          </w:p>
        </w:tc>
        <w:tc>
          <w:tcPr>
            <w:tcW w:w="1928" w:type="dxa"/>
            <w:tcBorders>
              <w:top w:val="nil"/>
              <w:bottom w:val="nil"/>
            </w:tcBorders>
          </w:tcPr>
          <w:p w:rsidRPr="00DE5C90" w:rsidR="00434F85" w:rsidP="00434F85" w:rsidRDefault="00434F85" w14:paraId="42D32C2E" w14:textId="20FECA76">
            <w:pPr>
              <w:pStyle w:val="TableText"/>
              <w:spacing w:before="60" w:after="60"/>
            </w:pPr>
            <w:r>
              <w:rPr>
                <w:szCs w:val="18"/>
              </w:rPr>
              <w:t>202-484-4696</w:t>
            </w:r>
          </w:p>
        </w:tc>
      </w:tr>
      <w:tr w:rsidRPr="00DE5C90" w:rsidR="00434F85" w:rsidTr="00434F85" w14:paraId="66BC8023" w14:textId="77777777">
        <w:trPr>
          <w:cantSplit/>
        </w:trPr>
        <w:tc>
          <w:tcPr>
            <w:tcW w:w="2315" w:type="dxa"/>
            <w:tcBorders>
              <w:top w:val="nil"/>
            </w:tcBorders>
          </w:tcPr>
          <w:p w:rsidRPr="00DE5C90" w:rsidR="00434F85" w:rsidP="00434F85" w:rsidRDefault="00434F85" w14:paraId="6D71B9F0" w14:textId="77777777">
            <w:pPr>
              <w:pStyle w:val="TableText"/>
              <w:spacing w:before="60" w:after="60"/>
            </w:pPr>
            <w:r w:rsidRPr="00DE5C90">
              <w:t>Hanley Chiang</w:t>
            </w:r>
          </w:p>
        </w:tc>
        <w:tc>
          <w:tcPr>
            <w:tcW w:w="4950" w:type="dxa"/>
            <w:tcBorders>
              <w:top w:val="nil"/>
            </w:tcBorders>
          </w:tcPr>
          <w:p w:rsidRPr="00DE5C90" w:rsidR="00434F85" w:rsidP="00434F85" w:rsidRDefault="0081231D" w14:paraId="3EF70F18" w14:textId="214B92EF">
            <w:pPr>
              <w:pStyle w:val="TableText"/>
              <w:spacing w:before="60" w:after="60"/>
            </w:pPr>
            <w:r>
              <w:t>Principal</w:t>
            </w:r>
            <w:r w:rsidRPr="00DE5C90" w:rsidR="00434F85">
              <w:t xml:space="preserve"> Researcher, </w:t>
            </w:r>
            <w:r w:rsidR="00434F85">
              <w:t>Mathematica</w:t>
            </w:r>
          </w:p>
        </w:tc>
        <w:tc>
          <w:tcPr>
            <w:tcW w:w="1928" w:type="dxa"/>
            <w:tcBorders>
              <w:top w:val="nil"/>
            </w:tcBorders>
          </w:tcPr>
          <w:p w:rsidRPr="00DE5C90" w:rsidR="00434F85" w:rsidP="00434F85" w:rsidRDefault="00434F85" w14:paraId="270ADC91" w14:textId="77777777">
            <w:pPr>
              <w:pStyle w:val="TableText"/>
              <w:spacing w:before="60" w:after="60"/>
            </w:pPr>
            <w:r w:rsidRPr="00DE5C90">
              <w:t>617-674-8374</w:t>
            </w:r>
          </w:p>
        </w:tc>
      </w:tr>
      <w:tr w:rsidRPr="00DE5C90" w:rsidR="00434F85" w:rsidTr="00D85D4F" w14:paraId="694A21B1" w14:textId="77777777">
        <w:trPr>
          <w:cantSplit/>
        </w:trPr>
        <w:tc>
          <w:tcPr>
            <w:tcW w:w="2315" w:type="dxa"/>
          </w:tcPr>
          <w:p w:rsidRPr="00DE5C90" w:rsidR="00434F85" w:rsidP="00434F85" w:rsidRDefault="00434F85" w14:paraId="688CBA45" w14:textId="77777777">
            <w:pPr>
              <w:pStyle w:val="TableText"/>
              <w:spacing w:before="60" w:after="60"/>
            </w:pPr>
            <w:r w:rsidRPr="00DE5C90">
              <w:t>Melissa Clark</w:t>
            </w:r>
          </w:p>
        </w:tc>
        <w:tc>
          <w:tcPr>
            <w:tcW w:w="4950" w:type="dxa"/>
          </w:tcPr>
          <w:p w:rsidRPr="00DE5C90" w:rsidR="00434F85" w:rsidP="00434F85" w:rsidRDefault="003F1B39" w14:paraId="79D2D70F" w14:textId="6EAE0199">
            <w:pPr>
              <w:pStyle w:val="TableText"/>
              <w:spacing w:before="60" w:after="60"/>
            </w:pPr>
            <w:r>
              <w:t xml:space="preserve">Principal </w:t>
            </w:r>
            <w:r w:rsidRPr="00DE5C90" w:rsidR="00434F85">
              <w:t xml:space="preserve">Researcher, </w:t>
            </w:r>
            <w:r w:rsidR="00434F85">
              <w:t>Mathematica</w:t>
            </w:r>
          </w:p>
        </w:tc>
        <w:tc>
          <w:tcPr>
            <w:tcW w:w="1928" w:type="dxa"/>
          </w:tcPr>
          <w:p w:rsidRPr="00DE5C90" w:rsidR="00434F85" w:rsidP="00434F85" w:rsidRDefault="00434F85" w14:paraId="28914D2B" w14:textId="77777777">
            <w:pPr>
              <w:pStyle w:val="TableText"/>
              <w:spacing w:before="60" w:after="60"/>
            </w:pPr>
            <w:r w:rsidRPr="00DE5C90">
              <w:t>609-750-3193</w:t>
            </w:r>
          </w:p>
        </w:tc>
      </w:tr>
      <w:tr w:rsidRPr="00DE5C90" w:rsidR="00434F85" w:rsidTr="00D85D4F" w14:paraId="4DBB51D2" w14:textId="77777777">
        <w:trPr>
          <w:cantSplit/>
        </w:trPr>
        <w:tc>
          <w:tcPr>
            <w:tcW w:w="2315" w:type="dxa"/>
          </w:tcPr>
          <w:p w:rsidRPr="00DE5C90" w:rsidR="00434F85" w:rsidP="00434F85" w:rsidRDefault="00434F85" w14:paraId="5BFB708B" w14:textId="3E0A3048">
            <w:pPr>
              <w:pStyle w:val="TableText"/>
              <w:spacing w:before="60" w:after="60"/>
            </w:pPr>
            <w:r>
              <w:t>Mariesa Herrmann</w:t>
            </w:r>
          </w:p>
        </w:tc>
        <w:tc>
          <w:tcPr>
            <w:tcW w:w="4950" w:type="dxa"/>
          </w:tcPr>
          <w:p w:rsidRPr="00DE5C90" w:rsidR="00434F85" w:rsidP="00434F85" w:rsidRDefault="00434F85" w14:paraId="58197E41" w14:textId="7EA7F977">
            <w:pPr>
              <w:pStyle w:val="TableText"/>
              <w:spacing w:before="60" w:after="60"/>
            </w:pPr>
            <w:r>
              <w:t>Senior Researcher</w:t>
            </w:r>
            <w:r w:rsidRPr="00DE5C90">
              <w:t xml:space="preserve">, </w:t>
            </w:r>
            <w:r>
              <w:t>Mathematica</w:t>
            </w:r>
          </w:p>
        </w:tc>
        <w:tc>
          <w:tcPr>
            <w:tcW w:w="1928" w:type="dxa"/>
          </w:tcPr>
          <w:p w:rsidRPr="00DE5C90" w:rsidR="00434F85" w:rsidP="00434F85" w:rsidRDefault="00434F85" w14:paraId="650D63D2" w14:textId="2AA657E5">
            <w:pPr>
              <w:pStyle w:val="TableText"/>
              <w:spacing w:before="60" w:after="60"/>
            </w:pPr>
            <w:r w:rsidRPr="00DE5C90">
              <w:t>609-716-</w:t>
            </w:r>
            <w:r>
              <w:t>4544</w:t>
            </w:r>
          </w:p>
        </w:tc>
      </w:tr>
      <w:tr w:rsidRPr="00DE5C90" w:rsidR="00434F85" w:rsidTr="00D85D4F" w14:paraId="71C78B27" w14:textId="77777777">
        <w:trPr>
          <w:cantSplit/>
        </w:trPr>
        <w:tc>
          <w:tcPr>
            <w:tcW w:w="2315" w:type="dxa"/>
          </w:tcPr>
          <w:p w:rsidRPr="00DE5C90" w:rsidR="00434F85" w:rsidP="00434F85" w:rsidRDefault="00434F85" w14:paraId="2E47369A" w14:textId="5C4CF19B">
            <w:pPr>
              <w:pStyle w:val="TableText"/>
              <w:spacing w:before="60" w:after="60"/>
              <w:rPr>
                <w:szCs w:val="18"/>
              </w:rPr>
            </w:pPr>
            <w:r>
              <w:rPr>
                <w:szCs w:val="18"/>
              </w:rPr>
              <w:t>Paul Burkander</w:t>
            </w:r>
          </w:p>
        </w:tc>
        <w:tc>
          <w:tcPr>
            <w:tcW w:w="4950" w:type="dxa"/>
          </w:tcPr>
          <w:p w:rsidRPr="00DE5C90" w:rsidR="00434F85" w:rsidP="00434F85" w:rsidRDefault="00434F85" w14:paraId="7D06833D" w14:textId="1D587687">
            <w:pPr>
              <w:pStyle w:val="TableText"/>
              <w:spacing w:before="60" w:after="60"/>
              <w:rPr>
                <w:szCs w:val="18"/>
              </w:rPr>
            </w:pPr>
            <w:r>
              <w:rPr>
                <w:szCs w:val="18"/>
              </w:rPr>
              <w:t>Researcher, Mathematica</w:t>
            </w:r>
          </w:p>
        </w:tc>
        <w:tc>
          <w:tcPr>
            <w:tcW w:w="1928" w:type="dxa"/>
          </w:tcPr>
          <w:p w:rsidRPr="00DE5C90" w:rsidR="00434F85" w:rsidP="00434F85" w:rsidRDefault="00434F85" w14:paraId="7DE5BE6E" w14:textId="5FCE81B5">
            <w:pPr>
              <w:pStyle w:val="TableText"/>
              <w:spacing w:before="60" w:after="60"/>
              <w:rPr>
                <w:szCs w:val="18"/>
              </w:rPr>
            </w:pPr>
            <w:r w:rsidRPr="00A83319">
              <w:rPr>
                <w:szCs w:val="18"/>
              </w:rPr>
              <w:t>609-</w:t>
            </w:r>
            <w:r>
              <w:rPr>
                <w:szCs w:val="18"/>
              </w:rPr>
              <w:t>945</w:t>
            </w:r>
            <w:r w:rsidRPr="00A83319">
              <w:rPr>
                <w:szCs w:val="18"/>
              </w:rPr>
              <w:t>-</w:t>
            </w:r>
            <w:r>
              <w:rPr>
                <w:szCs w:val="18"/>
              </w:rPr>
              <w:t>6625</w:t>
            </w:r>
          </w:p>
        </w:tc>
      </w:tr>
      <w:tr w:rsidRPr="00DE5C90" w:rsidR="00434F85" w:rsidTr="00D85D4F" w14:paraId="300E049E" w14:textId="77777777">
        <w:trPr>
          <w:cantSplit/>
        </w:trPr>
        <w:tc>
          <w:tcPr>
            <w:tcW w:w="2315" w:type="dxa"/>
            <w:tcBorders>
              <w:top w:val="nil"/>
              <w:bottom w:val="single" w:color="000000" w:themeColor="text1" w:sz="2" w:space="0"/>
            </w:tcBorders>
          </w:tcPr>
          <w:p w:rsidRPr="00DE5C90" w:rsidR="00434F85" w:rsidP="00231680" w:rsidRDefault="00EC3F67" w14:paraId="6C81E8C0" w14:textId="752DE2A5">
            <w:pPr>
              <w:pStyle w:val="TableText"/>
              <w:spacing w:before="60" w:after="60"/>
            </w:pPr>
            <w:r w:rsidRPr="00EC3F67">
              <w:t>Susanne James-Burdumy</w:t>
            </w:r>
          </w:p>
        </w:tc>
        <w:tc>
          <w:tcPr>
            <w:tcW w:w="4950" w:type="dxa"/>
            <w:tcBorders>
              <w:top w:val="nil"/>
              <w:bottom w:val="single" w:color="000000" w:themeColor="text1" w:sz="2" w:space="0"/>
            </w:tcBorders>
          </w:tcPr>
          <w:p w:rsidRPr="00DE5C90" w:rsidR="00434F85" w:rsidP="00EC3F67" w:rsidRDefault="00441648" w14:paraId="4ECB0CFA" w14:textId="712D7CCE">
            <w:pPr>
              <w:pStyle w:val="TableText"/>
              <w:spacing w:before="60" w:after="60"/>
            </w:pPr>
            <w:r>
              <w:rPr>
                <w:szCs w:val="18"/>
              </w:rPr>
              <w:t>Vice President, Mathematica</w:t>
            </w:r>
          </w:p>
        </w:tc>
        <w:tc>
          <w:tcPr>
            <w:tcW w:w="1928" w:type="dxa"/>
            <w:tcBorders>
              <w:top w:val="nil"/>
              <w:bottom w:val="single" w:color="000000" w:themeColor="text1" w:sz="2" w:space="0"/>
            </w:tcBorders>
          </w:tcPr>
          <w:p w:rsidRPr="00DE5C90" w:rsidR="00434F85" w:rsidP="00434F85" w:rsidRDefault="00EC3F67" w14:paraId="5EBDBD24" w14:textId="76FD6BA1">
            <w:pPr>
              <w:pStyle w:val="TableText"/>
              <w:spacing w:before="60" w:after="60"/>
            </w:pPr>
            <w:r w:rsidRPr="00EC3F67">
              <w:rPr>
                <w:szCs w:val="18"/>
              </w:rPr>
              <w:t>609-275-2248</w:t>
            </w:r>
          </w:p>
        </w:tc>
      </w:tr>
    </w:tbl>
    <w:p w:rsidR="007C2451" w:rsidRDefault="007C2451" w14:paraId="16355EEC" w14:textId="77777777">
      <w:pPr>
        <w:spacing w:after="240" w:line="240" w:lineRule="auto"/>
        <w:ind w:firstLine="0"/>
        <w:sectPr w:rsidR="007C2451" w:rsidSect="008022E1">
          <w:headerReference w:type="default" r:id="rId48"/>
          <w:footerReference w:type="default" r:id="rId49"/>
          <w:pgSz w:w="12240" w:h="15840"/>
          <w:pgMar w:top="1440" w:right="1440" w:bottom="1440" w:left="1440" w:header="720" w:footer="720" w:gutter="0"/>
          <w:pgNumType w:start="1"/>
          <w:cols w:space="720"/>
          <w:docGrid w:linePitch="360"/>
        </w:sectPr>
      </w:pPr>
    </w:p>
    <w:p w:rsidR="001E5AA5" w:rsidP="0078486F" w:rsidRDefault="001E5AA5" w14:paraId="59B1F6B1" w14:textId="05570B1A">
      <w:pPr>
        <w:pStyle w:val="H2Chapter"/>
      </w:pPr>
      <w:bookmarkStart w:name="_Toc500236018" w:id="18"/>
      <w:r>
        <w:t>REFERENCES</w:t>
      </w:r>
      <w:bookmarkEnd w:id="18"/>
    </w:p>
    <w:p w:rsidR="00220FF3" w:rsidP="00484A77" w:rsidRDefault="00220FF3" w14:paraId="11CC7526" w14:textId="1325AE7E">
      <w:pPr>
        <w:pStyle w:val="References"/>
      </w:pPr>
      <w:r w:rsidRPr="00220FF3">
        <w:t xml:space="preserve">Clark, Melissa, Hanley Chiang, Tim Silva, Sheena McConnell, Anastasia Erbe, Michael Puma, and Kathy Sonnenfeld. </w:t>
      </w:r>
      <w:r w:rsidRPr="00C56D37">
        <w:rPr>
          <w:i/>
        </w:rPr>
        <w:t>The Effectiveness of Secondary Math Teachers from Teach For America and the Teaching Fellows Programs</w:t>
      </w:r>
      <w:r w:rsidRPr="00C56D37" w:rsidR="000F53AF">
        <w:rPr>
          <w:i/>
        </w:rPr>
        <w:t>.</w:t>
      </w:r>
      <w:r w:rsidRPr="00220FF3">
        <w:t xml:space="preserve"> (NCEE 2013-4015). Washington, DC: U.S. Department of Education, Institute of Education Sciences, National Center for Education Evaluation and Regional Assistance, 2013</w:t>
      </w:r>
      <w:r>
        <w:t>.</w:t>
      </w:r>
    </w:p>
    <w:p w:rsidRPr="00484A77" w:rsidR="00484A77" w:rsidP="00484A77" w:rsidRDefault="00484A77" w14:paraId="4F125450" w14:textId="77777777">
      <w:pPr>
        <w:pStyle w:val="References"/>
      </w:pPr>
      <w:r w:rsidRPr="00FA3F6E">
        <w:t xml:space="preserve">Clotfelter, Charles, Elizabeth Glennie, Helen Ladd, and Jacob Vigdor. “Would Higher Salaries Keep Teachers in High-Poverty Schools? Evidence from a Policy Intervention in North Carolina.” </w:t>
      </w:r>
      <w:r w:rsidRPr="00FA3F6E">
        <w:rPr>
          <w:i/>
        </w:rPr>
        <w:t>Journal of Public Economics</w:t>
      </w:r>
      <w:r w:rsidRPr="00FA3F6E">
        <w:t>, vol. 92, nos. 5–6, 2008, pp. 1352–1370.</w:t>
      </w:r>
      <w:r w:rsidRPr="00484A77">
        <w:t xml:space="preserve"> </w:t>
      </w:r>
    </w:p>
    <w:p w:rsidR="00220FF3" w:rsidP="00484A77" w:rsidRDefault="00484A77" w14:paraId="0E07F2EA" w14:textId="39CD6A31">
      <w:pPr>
        <w:pStyle w:val="References"/>
      </w:pPr>
      <w:r w:rsidRPr="00FA3F6E">
        <w:t xml:space="preserve">Deke, John, Lisa Dragoset, and Ravaris Moore. </w:t>
      </w:r>
      <w:r w:rsidRPr="00FA3F6E">
        <w:rPr>
          <w:i/>
        </w:rPr>
        <w:t>Precision Gains from Publically Available School Proficiency Measures Compared to Study-Collected Test Scores in Education Cluster-Randomized Trials.</w:t>
      </w:r>
      <w:r w:rsidRPr="00FA3F6E">
        <w:t xml:space="preserve"> (NCEE 2010-4003). Washington, DC: U.S. Department of Education, Institute of Education Sciences, National Center for Education Evaluation and Regional Assistance,</w:t>
      </w:r>
      <w:r w:rsidRPr="00FA3F6E" w:rsidDel="00277575">
        <w:t xml:space="preserve"> </w:t>
      </w:r>
      <w:r w:rsidRPr="00FA3F6E">
        <w:t>2010.</w:t>
      </w:r>
    </w:p>
    <w:p w:rsidRPr="00D86857" w:rsidR="00A140E0" w:rsidP="00EC48EF" w:rsidRDefault="00484A77" w14:paraId="6DECCF82" w14:textId="292684E3">
      <w:pPr>
        <w:pStyle w:val="References"/>
        <w:rPr>
          <w:rFonts w:eastAsiaTheme="minorEastAsia"/>
        </w:rPr>
        <w:sectPr w:rsidRPr="00D86857" w:rsidR="00A140E0" w:rsidSect="007C2451">
          <w:footerReference w:type="default" r:id="rId50"/>
          <w:pgSz w:w="12240" w:h="15840"/>
          <w:pgMar w:top="1440" w:right="1440" w:bottom="1440" w:left="1440" w:header="720" w:footer="720" w:gutter="0"/>
          <w:cols w:space="720"/>
          <w:docGrid w:linePitch="360"/>
        </w:sectPr>
      </w:pPr>
      <w:r w:rsidRPr="00FA3F6E">
        <w:rPr>
          <w:lang w:val="en"/>
        </w:rPr>
        <w:t xml:space="preserve">Wellington, Alison, Hanley Chiang, Kristin Hallgren, Cecilia Speroni, Mariesa Herrmann, and Paul Burkander. </w:t>
      </w:r>
      <w:r w:rsidRPr="00FA3F6E">
        <w:rPr>
          <w:i/>
        </w:rPr>
        <w:t>Evaluation of the Teacher Incentive Fund: Implementation and Impacts of Pay-for-Performance After Three Years.</w:t>
      </w:r>
      <w:r w:rsidRPr="00FA3F6E">
        <w:t xml:space="preserve"> (NCEE 2016-4004). Washington, DC: U.S. Department of Education, Institute of Education Sciences, National Center for Education Evaluation and Regional Assistance, 2016.</w:t>
      </w:r>
    </w:p>
    <w:p w:rsidRPr="0078486F" w:rsidR="001E5AA5" w:rsidP="00020823" w:rsidRDefault="001E5AA5" w14:paraId="1B51C6FC" w14:textId="0CAF335D">
      <w:pPr>
        <w:spacing w:after="960" w:line="264" w:lineRule="auto"/>
        <w:ind w:left="-1800" w:firstLine="0"/>
        <w:rPr>
          <w:rFonts w:eastAsiaTheme="minorEastAsia"/>
        </w:rPr>
      </w:pPr>
    </w:p>
    <w:sectPr w:rsidRPr="0078486F" w:rsidR="001E5AA5" w:rsidSect="00764F5E">
      <w:headerReference w:type="default" r:id="rId51"/>
      <w:endnotePr>
        <w:numFmt w:val="decimal"/>
      </w:endnotePr>
      <w:type w:val="continuous"/>
      <w:pgSz w:w="12240" w:h="15840" w:code="1"/>
      <w:pgMar w:top="4320" w:right="1440" w:bottom="1195"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539DC" w14:textId="77777777" w:rsidR="001917F6" w:rsidRDefault="001917F6" w:rsidP="002E3E35">
      <w:pPr>
        <w:spacing w:line="240" w:lineRule="auto"/>
      </w:pPr>
      <w:r>
        <w:separator/>
      </w:r>
    </w:p>
  </w:endnote>
  <w:endnote w:type="continuationSeparator" w:id="0">
    <w:p w14:paraId="61100FB8" w14:textId="77777777" w:rsidR="001917F6" w:rsidRDefault="001917F6"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FB56E" w14:textId="77777777" w:rsidR="0001724B" w:rsidRPr="001A5310" w:rsidRDefault="0001724B" w:rsidP="00F358C1">
    <w:pPr>
      <w:pStyle w:val="disclosure"/>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A1C58" w14:textId="77777777" w:rsidR="0001724B" w:rsidRPr="00A12B64" w:rsidRDefault="0001724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D4E3309" w14:textId="77777777" w:rsidR="0001724B" w:rsidRDefault="0001724B" w:rsidP="00455D47">
    <w:pPr>
      <w:pStyle w:val="Footer"/>
      <w:pBdr>
        <w:top w:val="single" w:sz="2" w:space="1" w:color="auto"/>
        <w:bottom w:val="none" w:sz="0" w:space="0" w:color="auto"/>
      </w:pBdr>
      <w:spacing w:line="192" w:lineRule="auto"/>
      <w:rPr>
        <w:rStyle w:val="PageNumber"/>
      </w:rPr>
    </w:pPr>
  </w:p>
  <w:p w14:paraId="4C08BCA8" w14:textId="21567E24" w:rsidR="0001724B" w:rsidRPr="00964AB7" w:rsidRDefault="0001724B"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A5A38">
      <w:rPr>
        <w:rStyle w:val="PageNumber"/>
        <w:noProof/>
      </w:rPr>
      <w:t>iii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CE386" w14:textId="77777777" w:rsidR="0001724B" w:rsidRPr="00A12B64" w:rsidRDefault="0001724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1B18238" w14:textId="77777777" w:rsidR="0001724B" w:rsidRDefault="0001724B" w:rsidP="00455D47">
    <w:pPr>
      <w:pStyle w:val="Footer"/>
      <w:pBdr>
        <w:top w:val="single" w:sz="2" w:space="1" w:color="auto"/>
        <w:bottom w:val="none" w:sz="0" w:space="0" w:color="auto"/>
      </w:pBdr>
      <w:spacing w:line="192" w:lineRule="auto"/>
      <w:rPr>
        <w:rStyle w:val="PageNumber"/>
      </w:rPr>
    </w:pPr>
  </w:p>
  <w:p w14:paraId="11DD5F9C" w14:textId="3BE96F48" w:rsidR="0001724B" w:rsidRPr="00964AB7" w:rsidRDefault="0001724B"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A5A38">
      <w:rPr>
        <w:rStyle w:val="PageNumber"/>
        <w:noProof/>
      </w:rPr>
      <w:t>10</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E660E" w14:textId="77777777" w:rsidR="0001724B" w:rsidRPr="00A12B64" w:rsidRDefault="0001724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35DEFD7" w14:textId="77777777" w:rsidR="0001724B" w:rsidRDefault="0001724B" w:rsidP="00455D47">
    <w:pPr>
      <w:pStyle w:val="Footer"/>
      <w:pBdr>
        <w:top w:val="single" w:sz="2" w:space="1" w:color="auto"/>
        <w:bottom w:val="none" w:sz="0" w:space="0" w:color="auto"/>
      </w:pBdr>
      <w:spacing w:line="192" w:lineRule="auto"/>
      <w:rPr>
        <w:rStyle w:val="PageNumber"/>
      </w:rPr>
    </w:pPr>
  </w:p>
  <w:p w14:paraId="05C6F342" w14:textId="378BEBA0" w:rsidR="0001724B" w:rsidRPr="00964AB7" w:rsidRDefault="0001724B"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A5A38">
      <w:rPr>
        <w:rStyle w:val="PageNumber"/>
        <w:noProof/>
      </w:rPr>
      <w:t>14</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8825A" w14:textId="77777777" w:rsidR="001917F6" w:rsidRDefault="001917F6" w:rsidP="00203E3B">
      <w:pPr>
        <w:spacing w:line="240" w:lineRule="auto"/>
        <w:ind w:firstLine="0"/>
      </w:pPr>
      <w:r>
        <w:separator/>
      </w:r>
    </w:p>
  </w:footnote>
  <w:footnote w:type="continuationSeparator" w:id="0">
    <w:p w14:paraId="11B3E094" w14:textId="77777777" w:rsidR="001917F6" w:rsidRDefault="001917F6" w:rsidP="00203E3B">
      <w:pPr>
        <w:spacing w:line="240" w:lineRule="auto"/>
        <w:ind w:firstLine="0"/>
      </w:pPr>
      <w:r>
        <w:separator/>
      </w:r>
    </w:p>
    <w:p w14:paraId="3CBB57A5" w14:textId="77777777" w:rsidR="001917F6" w:rsidRPr="00157CA2" w:rsidRDefault="001917F6" w:rsidP="00203E3B">
      <w:pPr>
        <w:spacing w:after="120" w:line="240" w:lineRule="auto"/>
        <w:ind w:firstLine="0"/>
        <w:rPr>
          <w:sz w:val="20"/>
        </w:rPr>
      </w:pPr>
      <w:r w:rsidRPr="00157CA2">
        <w:rPr>
          <w:i/>
          <w:sz w:val="20"/>
        </w:rPr>
        <w:t>(continued)</w:t>
      </w:r>
    </w:p>
  </w:footnote>
  <w:footnote w:id="1">
    <w:p w14:paraId="5DE7B736" w14:textId="77777777" w:rsidR="009352F4" w:rsidRDefault="009352F4" w:rsidP="009352F4">
      <w:pPr>
        <w:pStyle w:val="FootnoteText"/>
      </w:pPr>
      <w:r>
        <w:rPr>
          <w:rStyle w:val="FootnoteReference"/>
        </w:rPr>
        <w:footnoteRef/>
      </w:r>
      <w:r>
        <w:t xml:space="preserve"> OMB Control Number 1850-0942 (</w:t>
      </w:r>
      <w:bookmarkStart w:id="4" w:name="_Hlk67065663"/>
      <w:r>
        <w:fldChar w:fldCharType="begin"/>
      </w:r>
      <w:r>
        <w:instrText xml:space="preserve"> HYPERLINK "https://www.reginfo.gov/public/do/PRAViewICR?ref_nbr=201801-1850-001" </w:instrText>
      </w:r>
      <w:r>
        <w:fldChar w:fldCharType="separate"/>
      </w:r>
      <w:r w:rsidRPr="00045901">
        <w:rPr>
          <w:rStyle w:val="Hyperlink"/>
        </w:rPr>
        <w:t>https://www.reginfo.gov/public/do/PRAViewICR?ref_nbr=201801-1850-001</w:t>
      </w:r>
      <w:r>
        <w:rPr>
          <w:rStyle w:val="Hyperlink"/>
        </w:rPr>
        <w:fldChar w:fldCharType="end"/>
      </w:r>
      <w:bookmarkEnd w:id="4"/>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A27B4" w14:textId="77777777" w:rsidR="0001724B" w:rsidRDefault="0001724B">
    <w:pPr>
      <w:pStyle w:val="Header"/>
    </w:pPr>
    <w:r>
      <w:rPr>
        <w:noProof/>
      </w:rPr>
      <mc:AlternateContent>
        <mc:Choice Requires="wps">
          <w:drawing>
            <wp:anchor distT="0" distB="0" distL="114300" distR="114300" simplePos="0" relativeHeight="251659264" behindDoc="0" locked="0" layoutInCell="1" allowOverlap="1" wp14:anchorId="5DAE23DE" wp14:editId="7CA2F4CE">
              <wp:simplePos x="0" y="0"/>
              <wp:positionH relativeFrom="page">
                <wp:posOffset>91440</wp:posOffset>
              </wp:positionH>
              <wp:positionV relativeFrom="paragraph">
                <wp:posOffset>-456565</wp:posOffset>
              </wp:positionV>
              <wp:extent cx="701040" cy="7242810"/>
              <wp:effectExtent l="0" t="635" r="0" b="0"/>
              <wp:wrapSquare wrapText="bothSides"/>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2F2F0" w14:textId="77777777" w:rsidR="0001724B" w:rsidRDefault="0001724B" w:rsidP="00F358C1">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14:paraId="0D5EAD3E" w14:textId="77777777" w:rsidR="0001724B" w:rsidRPr="00E844EF" w:rsidRDefault="0001724B" w:rsidP="00F358C1">
                          <w:pPr>
                            <w:pStyle w:val="Footer"/>
                            <w:jc w:val="center"/>
                            <w:rPr>
                              <w:b/>
                              <w:sz w:val="17"/>
                            </w:rPr>
                          </w:pPr>
                          <w:r w:rsidRPr="00E844EF">
                            <w:rPr>
                              <w:b/>
                              <w:sz w:val="17"/>
                            </w:rPr>
                            <w:t>Use the Hpropfed or Hproppri macro to insert the appropriate footer.</w:t>
                          </w:r>
                        </w:p>
                        <w:p w14:paraId="0428E504" w14:textId="77777777" w:rsidR="0001724B" w:rsidRPr="001301BA" w:rsidRDefault="0001724B" w:rsidP="00F358C1">
                          <w:pPr>
                            <w:tabs>
                              <w:tab w:val="left" w:pos="1080"/>
                              <w:tab w:val="center" w:pos="5846"/>
                              <w:tab w:val="right" w:pos="10512"/>
                            </w:tabs>
                            <w:spacing w:before="240" w:line="240" w:lineRule="auto"/>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E23DE" id="_x0000_t202" coordsize="21600,21600" o:spt="202" path="m,l,21600r21600,l21600,xe">
              <v:stroke joinstyle="miter"/>
              <v:path gradientshapeok="t" o:connecttype="rect"/>
            </v:shapetype>
            <v:shape id="Text Box 1" o:spid="_x0000_s1026" type="#_x0000_t202" style="position:absolute;margin-left:7.2pt;margin-top:-35.95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" filled="f" stroked="f">
              <v:textbox style="layout-flow:vertical">
                <w:txbxContent>
                  <w:p w14:paraId="12F2F2F0" w14:textId="77777777" w:rsidR="0001724B" w:rsidRDefault="0001724B" w:rsidP="00F358C1">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14:paraId="0D5EAD3E" w14:textId="77777777" w:rsidR="0001724B" w:rsidRPr="00E844EF" w:rsidRDefault="0001724B" w:rsidP="00F358C1">
                    <w:pPr>
                      <w:pStyle w:val="Footer"/>
                      <w:jc w:val="center"/>
                      <w:rPr>
                        <w:b/>
                        <w:sz w:val="17"/>
                      </w:rPr>
                    </w:pPr>
                    <w:r w:rsidRPr="00E844EF">
                      <w:rPr>
                        <w:b/>
                        <w:sz w:val="17"/>
                      </w:rPr>
                      <w:t xml:space="preserve">Use the </w:t>
                    </w:r>
                    <w:proofErr w:type="spellStart"/>
                    <w:r w:rsidRPr="00E844EF">
                      <w:rPr>
                        <w:b/>
                        <w:sz w:val="17"/>
                      </w:rPr>
                      <w:t>Hpropfed</w:t>
                    </w:r>
                    <w:proofErr w:type="spellEnd"/>
                    <w:r w:rsidRPr="00E844EF">
                      <w:rPr>
                        <w:b/>
                        <w:sz w:val="17"/>
                      </w:rPr>
                      <w:t xml:space="preserve"> or </w:t>
                    </w:r>
                    <w:proofErr w:type="spellStart"/>
                    <w:r w:rsidRPr="00E844EF">
                      <w:rPr>
                        <w:b/>
                        <w:sz w:val="17"/>
                      </w:rPr>
                      <w:t>Hproppri</w:t>
                    </w:r>
                    <w:proofErr w:type="spellEnd"/>
                    <w:r w:rsidRPr="00E844EF">
                      <w:rPr>
                        <w:b/>
                        <w:sz w:val="17"/>
                      </w:rPr>
                      <w:t xml:space="preserve"> macro to insert the appropriate footer.</w:t>
                    </w:r>
                  </w:p>
                  <w:p w14:paraId="0428E504" w14:textId="77777777" w:rsidR="0001724B" w:rsidRPr="001301BA" w:rsidRDefault="0001724B" w:rsidP="00F358C1">
                    <w:pPr>
                      <w:tabs>
                        <w:tab w:val="left" w:pos="1080"/>
                        <w:tab w:val="center" w:pos="5846"/>
                        <w:tab w:val="right" w:pos="10512"/>
                      </w:tabs>
                      <w:spacing w:before="240" w:line="240" w:lineRule="auto"/>
                    </w:pP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5650A" w14:textId="5AF098D0" w:rsidR="0001724B" w:rsidRPr="00C44B5B" w:rsidRDefault="0001724B" w:rsidP="002E3E35">
    <w:pPr>
      <w:pStyle w:val="Header"/>
      <w:rPr>
        <w:rFonts w:cs="Arial"/>
        <w:i/>
        <w:szCs w:val="14"/>
      </w:rPr>
    </w:pPr>
    <w:r>
      <w:t>CONTRACT NUMBER: ED-IES-17-C-0064</w:t>
    </w:r>
    <w:r w:rsidRPr="006F6DD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75926" w14:textId="4F00D695" w:rsidR="0001724B" w:rsidRPr="00C44B5B" w:rsidRDefault="0001724B" w:rsidP="002E3E35">
    <w:pPr>
      <w:pStyle w:val="Header"/>
      <w:rPr>
        <w:rFonts w:cs="Arial"/>
        <w:i/>
        <w:szCs w:val="14"/>
      </w:rPr>
    </w:pPr>
    <w:r>
      <w:t>CONTRACT NUMBER: ED-IES-17-C-0064</w:t>
    </w:r>
    <w:r w:rsidRPr="006F6DD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F4F99" w14:textId="1B12E297" w:rsidR="00E301A7" w:rsidRPr="00C44B5B" w:rsidRDefault="00E301A7" w:rsidP="002E3E35">
    <w:pPr>
      <w:pStyle w:val="Header"/>
      <w:rPr>
        <w:rFonts w:cs="Arial"/>
        <w:i/>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49C6048B"/>
    <w:multiLevelType w:val="singleLevel"/>
    <w:tmpl w:val="265C0000"/>
    <w:lvl w:ilvl="0">
      <w:start w:val="1"/>
      <w:numFmt w:val="decimal"/>
      <w:pStyle w:val="NumberedBullet"/>
      <w:lvlText w:val="%1."/>
      <w:lvlJc w:val="left"/>
      <w:pPr>
        <w:tabs>
          <w:tab w:val="num" w:pos="792"/>
        </w:tabs>
        <w:ind w:left="792" w:hanging="360"/>
      </w:pPr>
      <w:rPr>
        <w:rFonts w:hint="default"/>
        <w:b w:val="0"/>
      </w:rPr>
    </w:lvl>
  </w:abstractNum>
  <w:abstractNum w:abstractNumId="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0"/>
  </w:num>
  <w:num w:numId="5">
    <w:abstractNumId w:val="6"/>
  </w:num>
  <w:num w:numId="6">
    <w:abstractNumId w:val="4"/>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17"/>
    <w:rsid w:val="00001C9A"/>
    <w:rsid w:val="0000257D"/>
    <w:rsid w:val="000030B1"/>
    <w:rsid w:val="00007689"/>
    <w:rsid w:val="00010CEE"/>
    <w:rsid w:val="0001277D"/>
    <w:rsid w:val="00012E4D"/>
    <w:rsid w:val="00013BCC"/>
    <w:rsid w:val="0001587F"/>
    <w:rsid w:val="00015941"/>
    <w:rsid w:val="00016D34"/>
    <w:rsid w:val="0001724B"/>
    <w:rsid w:val="00017682"/>
    <w:rsid w:val="000179BC"/>
    <w:rsid w:val="00020823"/>
    <w:rsid w:val="000212FC"/>
    <w:rsid w:val="00022A0A"/>
    <w:rsid w:val="0002322B"/>
    <w:rsid w:val="000254B7"/>
    <w:rsid w:val="00025B3D"/>
    <w:rsid w:val="00025F4F"/>
    <w:rsid w:val="0002754E"/>
    <w:rsid w:val="00032112"/>
    <w:rsid w:val="0003265D"/>
    <w:rsid w:val="00032C44"/>
    <w:rsid w:val="00032E4E"/>
    <w:rsid w:val="00034667"/>
    <w:rsid w:val="00036E7F"/>
    <w:rsid w:val="00040B2C"/>
    <w:rsid w:val="00041BC1"/>
    <w:rsid w:val="000423BE"/>
    <w:rsid w:val="00042419"/>
    <w:rsid w:val="00042488"/>
    <w:rsid w:val="00042FA8"/>
    <w:rsid w:val="00043329"/>
    <w:rsid w:val="00043B27"/>
    <w:rsid w:val="00044069"/>
    <w:rsid w:val="00045B77"/>
    <w:rsid w:val="00047BDD"/>
    <w:rsid w:val="000502A4"/>
    <w:rsid w:val="000507D6"/>
    <w:rsid w:val="00054380"/>
    <w:rsid w:val="00056BC1"/>
    <w:rsid w:val="00056F8F"/>
    <w:rsid w:val="000575D5"/>
    <w:rsid w:val="000578BB"/>
    <w:rsid w:val="00057D5E"/>
    <w:rsid w:val="00060579"/>
    <w:rsid w:val="000633AA"/>
    <w:rsid w:val="00063918"/>
    <w:rsid w:val="00064791"/>
    <w:rsid w:val="00065610"/>
    <w:rsid w:val="000700C7"/>
    <w:rsid w:val="0007041A"/>
    <w:rsid w:val="00070E3D"/>
    <w:rsid w:val="00072231"/>
    <w:rsid w:val="000777DB"/>
    <w:rsid w:val="000811DE"/>
    <w:rsid w:val="00082CFD"/>
    <w:rsid w:val="00084DB6"/>
    <w:rsid w:val="000855BD"/>
    <w:rsid w:val="00086066"/>
    <w:rsid w:val="00086170"/>
    <w:rsid w:val="00091057"/>
    <w:rsid w:val="0009143A"/>
    <w:rsid w:val="00093AED"/>
    <w:rsid w:val="00095543"/>
    <w:rsid w:val="00095BF8"/>
    <w:rsid w:val="000972E1"/>
    <w:rsid w:val="000976B5"/>
    <w:rsid w:val="000A2181"/>
    <w:rsid w:val="000A2330"/>
    <w:rsid w:val="000A5A8D"/>
    <w:rsid w:val="000A5ABA"/>
    <w:rsid w:val="000A6591"/>
    <w:rsid w:val="000A71C2"/>
    <w:rsid w:val="000A7604"/>
    <w:rsid w:val="000A7FB4"/>
    <w:rsid w:val="000B0E99"/>
    <w:rsid w:val="000B521D"/>
    <w:rsid w:val="000B555A"/>
    <w:rsid w:val="000B5865"/>
    <w:rsid w:val="000B764C"/>
    <w:rsid w:val="000C20B5"/>
    <w:rsid w:val="000C2E3B"/>
    <w:rsid w:val="000C4098"/>
    <w:rsid w:val="000C413E"/>
    <w:rsid w:val="000C776F"/>
    <w:rsid w:val="000C7D4D"/>
    <w:rsid w:val="000D26C8"/>
    <w:rsid w:val="000D4A8C"/>
    <w:rsid w:val="000D5B34"/>
    <w:rsid w:val="000D6D88"/>
    <w:rsid w:val="000D6ECE"/>
    <w:rsid w:val="000D751A"/>
    <w:rsid w:val="000D79DA"/>
    <w:rsid w:val="000E0694"/>
    <w:rsid w:val="000E1C2B"/>
    <w:rsid w:val="000E2169"/>
    <w:rsid w:val="000E27E2"/>
    <w:rsid w:val="000E46FB"/>
    <w:rsid w:val="000E4C3F"/>
    <w:rsid w:val="000F181D"/>
    <w:rsid w:val="000F2A83"/>
    <w:rsid w:val="000F53AF"/>
    <w:rsid w:val="000F677B"/>
    <w:rsid w:val="000F77BC"/>
    <w:rsid w:val="001000F3"/>
    <w:rsid w:val="001004A7"/>
    <w:rsid w:val="00100715"/>
    <w:rsid w:val="0010109F"/>
    <w:rsid w:val="00101946"/>
    <w:rsid w:val="0010300A"/>
    <w:rsid w:val="001038FC"/>
    <w:rsid w:val="0010466C"/>
    <w:rsid w:val="00107BFB"/>
    <w:rsid w:val="00107DCE"/>
    <w:rsid w:val="001103D5"/>
    <w:rsid w:val="001119F8"/>
    <w:rsid w:val="00112A5E"/>
    <w:rsid w:val="00113358"/>
    <w:rsid w:val="00113CC8"/>
    <w:rsid w:val="00114B91"/>
    <w:rsid w:val="001205A9"/>
    <w:rsid w:val="00121C1A"/>
    <w:rsid w:val="00122C2C"/>
    <w:rsid w:val="001231E8"/>
    <w:rsid w:val="00123310"/>
    <w:rsid w:val="00123539"/>
    <w:rsid w:val="00130C03"/>
    <w:rsid w:val="00130FD8"/>
    <w:rsid w:val="001311F7"/>
    <w:rsid w:val="0013184F"/>
    <w:rsid w:val="00131D22"/>
    <w:rsid w:val="00131F00"/>
    <w:rsid w:val="00132B7D"/>
    <w:rsid w:val="0013346F"/>
    <w:rsid w:val="00133E8A"/>
    <w:rsid w:val="00135EB7"/>
    <w:rsid w:val="00136322"/>
    <w:rsid w:val="00136467"/>
    <w:rsid w:val="0013709C"/>
    <w:rsid w:val="001403A3"/>
    <w:rsid w:val="00142F78"/>
    <w:rsid w:val="00143567"/>
    <w:rsid w:val="00143A08"/>
    <w:rsid w:val="00144693"/>
    <w:rsid w:val="001454D0"/>
    <w:rsid w:val="00146CE3"/>
    <w:rsid w:val="00147515"/>
    <w:rsid w:val="001476F3"/>
    <w:rsid w:val="00147A74"/>
    <w:rsid w:val="00151636"/>
    <w:rsid w:val="00151897"/>
    <w:rsid w:val="00153596"/>
    <w:rsid w:val="00154DF1"/>
    <w:rsid w:val="00155D06"/>
    <w:rsid w:val="00157CA2"/>
    <w:rsid w:val="00160228"/>
    <w:rsid w:val="00163DF8"/>
    <w:rsid w:val="001649D5"/>
    <w:rsid w:val="00164BC2"/>
    <w:rsid w:val="00165342"/>
    <w:rsid w:val="00167CE4"/>
    <w:rsid w:val="001739F1"/>
    <w:rsid w:val="00174D62"/>
    <w:rsid w:val="00175D23"/>
    <w:rsid w:val="00177B9D"/>
    <w:rsid w:val="00180AB7"/>
    <w:rsid w:val="00181AC8"/>
    <w:rsid w:val="001828BE"/>
    <w:rsid w:val="001839BF"/>
    <w:rsid w:val="00184421"/>
    <w:rsid w:val="00185CEF"/>
    <w:rsid w:val="00186B65"/>
    <w:rsid w:val="00190CB2"/>
    <w:rsid w:val="00190D2C"/>
    <w:rsid w:val="001917F6"/>
    <w:rsid w:val="0019208F"/>
    <w:rsid w:val="001921A4"/>
    <w:rsid w:val="001928CE"/>
    <w:rsid w:val="00194A0E"/>
    <w:rsid w:val="001969F1"/>
    <w:rsid w:val="00196E5A"/>
    <w:rsid w:val="001970DB"/>
    <w:rsid w:val="00197503"/>
    <w:rsid w:val="001A0640"/>
    <w:rsid w:val="001A3781"/>
    <w:rsid w:val="001A4434"/>
    <w:rsid w:val="001A5765"/>
    <w:rsid w:val="001B107D"/>
    <w:rsid w:val="001B23F1"/>
    <w:rsid w:val="001B3862"/>
    <w:rsid w:val="001B3BE9"/>
    <w:rsid w:val="001B4842"/>
    <w:rsid w:val="001B7BD1"/>
    <w:rsid w:val="001C2A94"/>
    <w:rsid w:val="001C34B1"/>
    <w:rsid w:val="001C3A29"/>
    <w:rsid w:val="001C3BD3"/>
    <w:rsid w:val="001C3E43"/>
    <w:rsid w:val="001C40BF"/>
    <w:rsid w:val="001C431D"/>
    <w:rsid w:val="001C53C5"/>
    <w:rsid w:val="001C5EB8"/>
    <w:rsid w:val="001C7FBE"/>
    <w:rsid w:val="001D1126"/>
    <w:rsid w:val="001D163F"/>
    <w:rsid w:val="001D249F"/>
    <w:rsid w:val="001D3544"/>
    <w:rsid w:val="001D39AA"/>
    <w:rsid w:val="001D39EC"/>
    <w:rsid w:val="001D418D"/>
    <w:rsid w:val="001D588F"/>
    <w:rsid w:val="001D661F"/>
    <w:rsid w:val="001D7B42"/>
    <w:rsid w:val="001D7B65"/>
    <w:rsid w:val="001E0410"/>
    <w:rsid w:val="001E1F2D"/>
    <w:rsid w:val="001E2C58"/>
    <w:rsid w:val="001E2CB5"/>
    <w:rsid w:val="001E3391"/>
    <w:rsid w:val="001E3E22"/>
    <w:rsid w:val="001E5AA5"/>
    <w:rsid w:val="001E6A60"/>
    <w:rsid w:val="001E6E5A"/>
    <w:rsid w:val="001E7380"/>
    <w:rsid w:val="001F0203"/>
    <w:rsid w:val="001F25DF"/>
    <w:rsid w:val="001F4192"/>
    <w:rsid w:val="001F5184"/>
    <w:rsid w:val="001F5574"/>
    <w:rsid w:val="00201E7E"/>
    <w:rsid w:val="0020246F"/>
    <w:rsid w:val="0020374E"/>
    <w:rsid w:val="00203E3B"/>
    <w:rsid w:val="0020415B"/>
    <w:rsid w:val="00204AB9"/>
    <w:rsid w:val="00204B23"/>
    <w:rsid w:val="002050B7"/>
    <w:rsid w:val="0020625D"/>
    <w:rsid w:val="00210AAF"/>
    <w:rsid w:val="00212E3E"/>
    <w:rsid w:val="00214E0B"/>
    <w:rsid w:val="00215594"/>
    <w:rsid w:val="00215C5A"/>
    <w:rsid w:val="00215E4D"/>
    <w:rsid w:val="002166BC"/>
    <w:rsid w:val="00217FA0"/>
    <w:rsid w:val="00220FF3"/>
    <w:rsid w:val="00222E5A"/>
    <w:rsid w:val="00225954"/>
    <w:rsid w:val="0022714B"/>
    <w:rsid w:val="002272CB"/>
    <w:rsid w:val="00231607"/>
    <w:rsid w:val="00231680"/>
    <w:rsid w:val="00231FBC"/>
    <w:rsid w:val="0023593B"/>
    <w:rsid w:val="00235E64"/>
    <w:rsid w:val="0023638D"/>
    <w:rsid w:val="00236498"/>
    <w:rsid w:val="002404AE"/>
    <w:rsid w:val="00241AB4"/>
    <w:rsid w:val="00241FB1"/>
    <w:rsid w:val="00242D2C"/>
    <w:rsid w:val="0024685E"/>
    <w:rsid w:val="00247945"/>
    <w:rsid w:val="00250D74"/>
    <w:rsid w:val="0025132D"/>
    <w:rsid w:val="0025261F"/>
    <w:rsid w:val="00252F66"/>
    <w:rsid w:val="00254C89"/>
    <w:rsid w:val="00254E2D"/>
    <w:rsid w:val="0025663C"/>
    <w:rsid w:val="00256D04"/>
    <w:rsid w:val="00260108"/>
    <w:rsid w:val="0026025C"/>
    <w:rsid w:val="00260B6E"/>
    <w:rsid w:val="002624BE"/>
    <w:rsid w:val="0026713B"/>
    <w:rsid w:val="002678F4"/>
    <w:rsid w:val="00271C83"/>
    <w:rsid w:val="00271D2A"/>
    <w:rsid w:val="0027245E"/>
    <w:rsid w:val="00272B66"/>
    <w:rsid w:val="002733A4"/>
    <w:rsid w:val="0027344C"/>
    <w:rsid w:val="0028126E"/>
    <w:rsid w:val="002817A6"/>
    <w:rsid w:val="00283304"/>
    <w:rsid w:val="0028360E"/>
    <w:rsid w:val="00284061"/>
    <w:rsid w:val="002869EF"/>
    <w:rsid w:val="00286A91"/>
    <w:rsid w:val="0029011D"/>
    <w:rsid w:val="0029042C"/>
    <w:rsid w:val="002913DC"/>
    <w:rsid w:val="0029273D"/>
    <w:rsid w:val="00292A7F"/>
    <w:rsid w:val="00294B21"/>
    <w:rsid w:val="00295FDC"/>
    <w:rsid w:val="00297266"/>
    <w:rsid w:val="002A00E4"/>
    <w:rsid w:val="002A2808"/>
    <w:rsid w:val="002A3D5D"/>
    <w:rsid w:val="002A3F76"/>
    <w:rsid w:val="002A4728"/>
    <w:rsid w:val="002A4F27"/>
    <w:rsid w:val="002A5CD3"/>
    <w:rsid w:val="002A64F9"/>
    <w:rsid w:val="002A6552"/>
    <w:rsid w:val="002A760A"/>
    <w:rsid w:val="002A7A66"/>
    <w:rsid w:val="002A7BD4"/>
    <w:rsid w:val="002B05E6"/>
    <w:rsid w:val="002B06F4"/>
    <w:rsid w:val="002B0E82"/>
    <w:rsid w:val="002B1616"/>
    <w:rsid w:val="002B1D6D"/>
    <w:rsid w:val="002B20E8"/>
    <w:rsid w:val="002B25CD"/>
    <w:rsid w:val="002B2934"/>
    <w:rsid w:val="002B3087"/>
    <w:rsid w:val="002B71CD"/>
    <w:rsid w:val="002B72E0"/>
    <w:rsid w:val="002B76AB"/>
    <w:rsid w:val="002B7C37"/>
    <w:rsid w:val="002C0B03"/>
    <w:rsid w:val="002C1507"/>
    <w:rsid w:val="002C35F0"/>
    <w:rsid w:val="002C3CA5"/>
    <w:rsid w:val="002C40A9"/>
    <w:rsid w:val="002C598D"/>
    <w:rsid w:val="002C71CA"/>
    <w:rsid w:val="002D09A6"/>
    <w:rsid w:val="002D262A"/>
    <w:rsid w:val="002D3427"/>
    <w:rsid w:val="002D39D1"/>
    <w:rsid w:val="002D3ED3"/>
    <w:rsid w:val="002D4878"/>
    <w:rsid w:val="002D4969"/>
    <w:rsid w:val="002D6763"/>
    <w:rsid w:val="002D7B94"/>
    <w:rsid w:val="002D7CAC"/>
    <w:rsid w:val="002E06F1"/>
    <w:rsid w:val="002E201D"/>
    <w:rsid w:val="002E226E"/>
    <w:rsid w:val="002E2955"/>
    <w:rsid w:val="002E3E35"/>
    <w:rsid w:val="002F0C19"/>
    <w:rsid w:val="002F12C5"/>
    <w:rsid w:val="002F297B"/>
    <w:rsid w:val="002F6E35"/>
    <w:rsid w:val="002F708A"/>
    <w:rsid w:val="003005CA"/>
    <w:rsid w:val="0030242C"/>
    <w:rsid w:val="00302890"/>
    <w:rsid w:val="00302B3B"/>
    <w:rsid w:val="003032A8"/>
    <w:rsid w:val="00303FB2"/>
    <w:rsid w:val="00306F1E"/>
    <w:rsid w:val="00310CBE"/>
    <w:rsid w:val="00313411"/>
    <w:rsid w:val="00313A29"/>
    <w:rsid w:val="00315DEC"/>
    <w:rsid w:val="00315F93"/>
    <w:rsid w:val="0031740A"/>
    <w:rsid w:val="00317FDB"/>
    <w:rsid w:val="00322EEB"/>
    <w:rsid w:val="003242AC"/>
    <w:rsid w:val="003250D8"/>
    <w:rsid w:val="00325CE5"/>
    <w:rsid w:val="00325FF2"/>
    <w:rsid w:val="00326958"/>
    <w:rsid w:val="0033012A"/>
    <w:rsid w:val="003301DB"/>
    <w:rsid w:val="003308C3"/>
    <w:rsid w:val="003309BC"/>
    <w:rsid w:val="00331ADC"/>
    <w:rsid w:val="00332491"/>
    <w:rsid w:val="00341682"/>
    <w:rsid w:val="003426BF"/>
    <w:rsid w:val="00342C32"/>
    <w:rsid w:val="00345556"/>
    <w:rsid w:val="00346E5F"/>
    <w:rsid w:val="00346F4D"/>
    <w:rsid w:val="00346FDB"/>
    <w:rsid w:val="00352971"/>
    <w:rsid w:val="0035526C"/>
    <w:rsid w:val="003555A6"/>
    <w:rsid w:val="00356C88"/>
    <w:rsid w:val="003577BE"/>
    <w:rsid w:val="00357B2C"/>
    <w:rsid w:val="00357B5C"/>
    <w:rsid w:val="0036265B"/>
    <w:rsid w:val="003633A2"/>
    <w:rsid w:val="003633B5"/>
    <w:rsid w:val="00363410"/>
    <w:rsid w:val="00363A19"/>
    <w:rsid w:val="003656C4"/>
    <w:rsid w:val="00366924"/>
    <w:rsid w:val="00366AFE"/>
    <w:rsid w:val="00366F93"/>
    <w:rsid w:val="00370490"/>
    <w:rsid w:val="0037098D"/>
    <w:rsid w:val="003709B6"/>
    <w:rsid w:val="00370BAF"/>
    <w:rsid w:val="00370BC5"/>
    <w:rsid w:val="00370D5B"/>
    <w:rsid w:val="00372235"/>
    <w:rsid w:val="00372F29"/>
    <w:rsid w:val="00373296"/>
    <w:rsid w:val="00373723"/>
    <w:rsid w:val="00373967"/>
    <w:rsid w:val="003743AD"/>
    <w:rsid w:val="00377F58"/>
    <w:rsid w:val="00384854"/>
    <w:rsid w:val="00384A00"/>
    <w:rsid w:val="00384E5E"/>
    <w:rsid w:val="00385F81"/>
    <w:rsid w:val="00385FB4"/>
    <w:rsid w:val="00386651"/>
    <w:rsid w:val="00386903"/>
    <w:rsid w:val="00387C3D"/>
    <w:rsid w:val="003921CA"/>
    <w:rsid w:val="00392614"/>
    <w:rsid w:val="00394544"/>
    <w:rsid w:val="00394DAA"/>
    <w:rsid w:val="003968F2"/>
    <w:rsid w:val="003969F2"/>
    <w:rsid w:val="00396FD7"/>
    <w:rsid w:val="003A0C7A"/>
    <w:rsid w:val="003A11D6"/>
    <w:rsid w:val="003A141E"/>
    <w:rsid w:val="003A16DA"/>
    <w:rsid w:val="003A1CD8"/>
    <w:rsid w:val="003A2861"/>
    <w:rsid w:val="003A2978"/>
    <w:rsid w:val="003A3ADA"/>
    <w:rsid w:val="003A4146"/>
    <w:rsid w:val="003A4270"/>
    <w:rsid w:val="003A501E"/>
    <w:rsid w:val="003A56CF"/>
    <w:rsid w:val="003A58F9"/>
    <w:rsid w:val="003A63C1"/>
    <w:rsid w:val="003B2D0A"/>
    <w:rsid w:val="003B3577"/>
    <w:rsid w:val="003B4FA1"/>
    <w:rsid w:val="003B5813"/>
    <w:rsid w:val="003B69DF"/>
    <w:rsid w:val="003B7630"/>
    <w:rsid w:val="003C3464"/>
    <w:rsid w:val="003C38EC"/>
    <w:rsid w:val="003C3D79"/>
    <w:rsid w:val="003C3DB0"/>
    <w:rsid w:val="003C652F"/>
    <w:rsid w:val="003C660E"/>
    <w:rsid w:val="003C6F59"/>
    <w:rsid w:val="003C7B2A"/>
    <w:rsid w:val="003D0788"/>
    <w:rsid w:val="003D1FF5"/>
    <w:rsid w:val="003D3A88"/>
    <w:rsid w:val="003D3FD7"/>
    <w:rsid w:val="003D5E77"/>
    <w:rsid w:val="003E1520"/>
    <w:rsid w:val="003E1A7B"/>
    <w:rsid w:val="003E21CE"/>
    <w:rsid w:val="003E21DB"/>
    <w:rsid w:val="003E2278"/>
    <w:rsid w:val="003E3505"/>
    <w:rsid w:val="003E418E"/>
    <w:rsid w:val="003E7979"/>
    <w:rsid w:val="003E7CD7"/>
    <w:rsid w:val="003F1689"/>
    <w:rsid w:val="003F1B39"/>
    <w:rsid w:val="003F31E9"/>
    <w:rsid w:val="003F3458"/>
    <w:rsid w:val="003F3686"/>
    <w:rsid w:val="003F4ADD"/>
    <w:rsid w:val="003F7027"/>
    <w:rsid w:val="003F7D6D"/>
    <w:rsid w:val="00401829"/>
    <w:rsid w:val="00403FE9"/>
    <w:rsid w:val="004052D1"/>
    <w:rsid w:val="00405777"/>
    <w:rsid w:val="0040606C"/>
    <w:rsid w:val="00406760"/>
    <w:rsid w:val="00407718"/>
    <w:rsid w:val="00410316"/>
    <w:rsid w:val="00413779"/>
    <w:rsid w:val="00415771"/>
    <w:rsid w:val="0041596D"/>
    <w:rsid w:val="00417637"/>
    <w:rsid w:val="004203B7"/>
    <w:rsid w:val="00421364"/>
    <w:rsid w:val="00424E9F"/>
    <w:rsid w:val="00426DC4"/>
    <w:rsid w:val="00430A83"/>
    <w:rsid w:val="00431084"/>
    <w:rsid w:val="00434F85"/>
    <w:rsid w:val="00435539"/>
    <w:rsid w:val="00436B58"/>
    <w:rsid w:val="00436BEA"/>
    <w:rsid w:val="00437868"/>
    <w:rsid w:val="00437FFB"/>
    <w:rsid w:val="004406E3"/>
    <w:rsid w:val="00441572"/>
    <w:rsid w:val="00441648"/>
    <w:rsid w:val="0044335E"/>
    <w:rsid w:val="00446C1B"/>
    <w:rsid w:val="00450201"/>
    <w:rsid w:val="004533DB"/>
    <w:rsid w:val="00455D47"/>
    <w:rsid w:val="004560B5"/>
    <w:rsid w:val="00457A59"/>
    <w:rsid w:val="004620FF"/>
    <w:rsid w:val="00462212"/>
    <w:rsid w:val="00463E50"/>
    <w:rsid w:val="00464821"/>
    <w:rsid w:val="00464B7F"/>
    <w:rsid w:val="004655C1"/>
    <w:rsid w:val="00465789"/>
    <w:rsid w:val="004662C5"/>
    <w:rsid w:val="00470486"/>
    <w:rsid w:val="004738D7"/>
    <w:rsid w:val="004743ED"/>
    <w:rsid w:val="00480779"/>
    <w:rsid w:val="0048354F"/>
    <w:rsid w:val="0048397B"/>
    <w:rsid w:val="00484A77"/>
    <w:rsid w:val="00486680"/>
    <w:rsid w:val="004867C2"/>
    <w:rsid w:val="0049195D"/>
    <w:rsid w:val="00491AB9"/>
    <w:rsid w:val="004934BE"/>
    <w:rsid w:val="00493BAE"/>
    <w:rsid w:val="00493F25"/>
    <w:rsid w:val="00493FDE"/>
    <w:rsid w:val="0049421F"/>
    <w:rsid w:val="00494536"/>
    <w:rsid w:val="00495A61"/>
    <w:rsid w:val="00495DE3"/>
    <w:rsid w:val="00496968"/>
    <w:rsid w:val="004A4935"/>
    <w:rsid w:val="004A5F4B"/>
    <w:rsid w:val="004B090E"/>
    <w:rsid w:val="004B3DB3"/>
    <w:rsid w:val="004B418C"/>
    <w:rsid w:val="004B47D3"/>
    <w:rsid w:val="004B58CE"/>
    <w:rsid w:val="004B78C9"/>
    <w:rsid w:val="004B7AD3"/>
    <w:rsid w:val="004C030C"/>
    <w:rsid w:val="004C1396"/>
    <w:rsid w:val="004C17D3"/>
    <w:rsid w:val="004C498B"/>
    <w:rsid w:val="004C5B80"/>
    <w:rsid w:val="004C67B1"/>
    <w:rsid w:val="004D0E0A"/>
    <w:rsid w:val="004D1EAA"/>
    <w:rsid w:val="004D2C35"/>
    <w:rsid w:val="004D3076"/>
    <w:rsid w:val="004D359F"/>
    <w:rsid w:val="004D6B97"/>
    <w:rsid w:val="004D6DB0"/>
    <w:rsid w:val="004E049B"/>
    <w:rsid w:val="004E1231"/>
    <w:rsid w:val="004E16C0"/>
    <w:rsid w:val="004E18BE"/>
    <w:rsid w:val="004E4C25"/>
    <w:rsid w:val="004E69F7"/>
    <w:rsid w:val="004E7409"/>
    <w:rsid w:val="004E74D1"/>
    <w:rsid w:val="004F1AD4"/>
    <w:rsid w:val="004F2BAC"/>
    <w:rsid w:val="004F3261"/>
    <w:rsid w:val="004F36C4"/>
    <w:rsid w:val="004F3E65"/>
    <w:rsid w:val="004F4862"/>
    <w:rsid w:val="004F65DE"/>
    <w:rsid w:val="00500104"/>
    <w:rsid w:val="0050038C"/>
    <w:rsid w:val="005013F5"/>
    <w:rsid w:val="0050544D"/>
    <w:rsid w:val="00505804"/>
    <w:rsid w:val="00506D94"/>
    <w:rsid w:val="00506F79"/>
    <w:rsid w:val="00507412"/>
    <w:rsid w:val="00507524"/>
    <w:rsid w:val="00511B07"/>
    <w:rsid w:val="00511D22"/>
    <w:rsid w:val="00517953"/>
    <w:rsid w:val="00521FE6"/>
    <w:rsid w:val="0052279D"/>
    <w:rsid w:val="00523A54"/>
    <w:rsid w:val="005257EC"/>
    <w:rsid w:val="00525D7C"/>
    <w:rsid w:val="00526193"/>
    <w:rsid w:val="00526576"/>
    <w:rsid w:val="00526D08"/>
    <w:rsid w:val="005276F4"/>
    <w:rsid w:val="00530365"/>
    <w:rsid w:val="005304FB"/>
    <w:rsid w:val="00534EE3"/>
    <w:rsid w:val="00535221"/>
    <w:rsid w:val="0053540D"/>
    <w:rsid w:val="00537E01"/>
    <w:rsid w:val="005400FC"/>
    <w:rsid w:val="00540352"/>
    <w:rsid w:val="005403E8"/>
    <w:rsid w:val="00540F91"/>
    <w:rsid w:val="0054394C"/>
    <w:rsid w:val="0054744E"/>
    <w:rsid w:val="00551D48"/>
    <w:rsid w:val="005547CA"/>
    <w:rsid w:val="00555F68"/>
    <w:rsid w:val="0055739C"/>
    <w:rsid w:val="00557679"/>
    <w:rsid w:val="005576F8"/>
    <w:rsid w:val="0056041D"/>
    <w:rsid w:val="00560463"/>
    <w:rsid w:val="00560D9D"/>
    <w:rsid w:val="00561604"/>
    <w:rsid w:val="00561A3B"/>
    <w:rsid w:val="005630DA"/>
    <w:rsid w:val="00565FF3"/>
    <w:rsid w:val="005720EB"/>
    <w:rsid w:val="00572D4F"/>
    <w:rsid w:val="0057374C"/>
    <w:rsid w:val="00575F17"/>
    <w:rsid w:val="0057646B"/>
    <w:rsid w:val="00576AFE"/>
    <w:rsid w:val="005802CB"/>
    <w:rsid w:val="00580A6C"/>
    <w:rsid w:val="0058138E"/>
    <w:rsid w:val="00581CA1"/>
    <w:rsid w:val="005837E2"/>
    <w:rsid w:val="00585D12"/>
    <w:rsid w:val="00585F60"/>
    <w:rsid w:val="005860D2"/>
    <w:rsid w:val="005903AC"/>
    <w:rsid w:val="005912AA"/>
    <w:rsid w:val="005931D0"/>
    <w:rsid w:val="0059396C"/>
    <w:rsid w:val="00593F56"/>
    <w:rsid w:val="005975FE"/>
    <w:rsid w:val="005A057F"/>
    <w:rsid w:val="005A1283"/>
    <w:rsid w:val="005A151B"/>
    <w:rsid w:val="005A7F69"/>
    <w:rsid w:val="005B3BFB"/>
    <w:rsid w:val="005B4038"/>
    <w:rsid w:val="005B5C7A"/>
    <w:rsid w:val="005B721C"/>
    <w:rsid w:val="005C2018"/>
    <w:rsid w:val="005C2E96"/>
    <w:rsid w:val="005C40D5"/>
    <w:rsid w:val="005C40E0"/>
    <w:rsid w:val="005D1DEB"/>
    <w:rsid w:val="005D28F2"/>
    <w:rsid w:val="005D2A33"/>
    <w:rsid w:val="005D36D7"/>
    <w:rsid w:val="005D51C5"/>
    <w:rsid w:val="005D5A69"/>
    <w:rsid w:val="005D5CB7"/>
    <w:rsid w:val="005D5D21"/>
    <w:rsid w:val="005D6223"/>
    <w:rsid w:val="005D760A"/>
    <w:rsid w:val="005D7DD4"/>
    <w:rsid w:val="005E1E9B"/>
    <w:rsid w:val="005E2B24"/>
    <w:rsid w:val="005E454D"/>
    <w:rsid w:val="005E7307"/>
    <w:rsid w:val="005F28ED"/>
    <w:rsid w:val="005F5DC1"/>
    <w:rsid w:val="005F5FD4"/>
    <w:rsid w:val="005F6F8C"/>
    <w:rsid w:val="005F77D4"/>
    <w:rsid w:val="005F7ADD"/>
    <w:rsid w:val="005F7FEA"/>
    <w:rsid w:val="006017A5"/>
    <w:rsid w:val="00601CD2"/>
    <w:rsid w:val="006054DA"/>
    <w:rsid w:val="00607100"/>
    <w:rsid w:val="006075CC"/>
    <w:rsid w:val="00611CC9"/>
    <w:rsid w:val="0061367D"/>
    <w:rsid w:val="00614EFE"/>
    <w:rsid w:val="00615050"/>
    <w:rsid w:val="00616DE6"/>
    <w:rsid w:val="00622372"/>
    <w:rsid w:val="00622403"/>
    <w:rsid w:val="00623E13"/>
    <w:rsid w:val="006243CD"/>
    <w:rsid w:val="00624E71"/>
    <w:rsid w:val="0062545D"/>
    <w:rsid w:val="00626F3F"/>
    <w:rsid w:val="00630237"/>
    <w:rsid w:val="0063198E"/>
    <w:rsid w:val="0063288E"/>
    <w:rsid w:val="00633E77"/>
    <w:rsid w:val="0063644E"/>
    <w:rsid w:val="00636D6D"/>
    <w:rsid w:val="006371A1"/>
    <w:rsid w:val="00637B16"/>
    <w:rsid w:val="006404FF"/>
    <w:rsid w:val="00643EC8"/>
    <w:rsid w:val="006467B1"/>
    <w:rsid w:val="00646C76"/>
    <w:rsid w:val="0065424A"/>
    <w:rsid w:val="0065640F"/>
    <w:rsid w:val="0066015E"/>
    <w:rsid w:val="0066062F"/>
    <w:rsid w:val="00660740"/>
    <w:rsid w:val="0066273C"/>
    <w:rsid w:val="00671099"/>
    <w:rsid w:val="00671764"/>
    <w:rsid w:val="006729BF"/>
    <w:rsid w:val="0067358F"/>
    <w:rsid w:val="0067395C"/>
    <w:rsid w:val="00673F99"/>
    <w:rsid w:val="00674268"/>
    <w:rsid w:val="00674F9D"/>
    <w:rsid w:val="00676A56"/>
    <w:rsid w:val="006770DC"/>
    <w:rsid w:val="00680ACA"/>
    <w:rsid w:val="00681D8A"/>
    <w:rsid w:val="0068215C"/>
    <w:rsid w:val="0068230E"/>
    <w:rsid w:val="00685174"/>
    <w:rsid w:val="0068683C"/>
    <w:rsid w:val="006921CB"/>
    <w:rsid w:val="006928AB"/>
    <w:rsid w:val="00692D22"/>
    <w:rsid w:val="00694AE2"/>
    <w:rsid w:val="00696B24"/>
    <w:rsid w:val="0069799C"/>
    <w:rsid w:val="00697E5B"/>
    <w:rsid w:val="006A1BAF"/>
    <w:rsid w:val="006A295D"/>
    <w:rsid w:val="006A38D7"/>
    <w:rsid w:val="006A465C"/>
    <w:rsid w:val="006A47DB"/>
    <w:rsid w:val="006A4FFC"/>
    <w:rsid w:val="006A618E"/>
    <w:rsid w:val="006A6536"/>
    <w:rsid w:val="006A6D7D"/>
    <w:rsid w:val="006A73F8"/>
    <w:rsid w:val="006B0352"/>
    <w:rsid w:val="006B1180"/>
    <w:rsid w:val="006B2425"/>
    <w:rsid w:val="006B2483"/>
    <w:rsid w:val="006B3F99"/>
    <w:rsid w:val="006B4E3F"/>
    <w:rsid w:val="006B6D4A"/>
    <w:rsid w:val="006C2620"/>
    <w:rsid w:val="006C3304"/>
    <w:rsid w:val="006C4340"/>
    <w:rsid w:val="006C4A2D"/>
    <w:rsid w:val="006C699D"/>
    <w:rsid w:val="006C6C0E"/>
    <w:rsid w:val="006C7956"/>
    <w:rsid w:val="006D03BB"/>
    <w:rsid w:val="006D181E"/>
    <w:rsid w:val="006D2187"/>
    <w:rsid w:val="006D21FF"/>
    <w:rsid w:val="006D680C"/>
    <w:rsid w:val="006E3BD4"/>
    <w:rsid w:val="006E4164"/>
    <w:rsid w:val="006E5B0A"/>
    <w:rsid w:val="006F265F"/>
    <w:rsid w:val="006F3F89"/>
    <w:rsid w:val="006F3FEB"/>
    <w:rsid w:val="006F4647"/>
    <w:rsid w:val="006F4AFC"/>
    <w:rsid w:val="006F59EC"/>
    <w:rsid w:val="006F730C"/>
    <w:rsid w:val="006F73F3"/>
    <w:rsid w:val="00700DDD"/>
    <w:rsid w:val="007018B1"/>
    <w:rsid w:val="00702EB1"/>
    <w:rsid w:val="00702F11"/>
    <w:rsid w:val="007031B1"/>
    <w:rsid w:val="00703A61"/>
    <w:rsid w:val="007043FD"/>
    <w:rsid w:val="00704ACB"/>
    <w:rsid w:val="0070554C"/>
    <w:rsid w:val="007070EB"/>
    <w:rsid w:val="00707736"/>
    <w:rsid w:val="00711B96"/>
    <w:rsid w:val="007138F2"/>
    <w:rsid w:val="00716DB7"/>
    <w:rsid w:val="007174A5"/>
    <w:rsid w:val="00717BB2"/>
    <w:rsid w:val="00720266"/>
    <w:rsid w:val="00720976"/>
    <w:rsid w:val="007222A0"/>
    <w:rsid w:val="00722FAB"/>
    <w:rsid w:val="0072695B"/>
    <w:rsid w:val="0072703A"/>
    <w:rsid w:val="00727B61"/>
    <w:rsid w:val="007306FE"/>
    <w:rsid w:val="00731AF9"/>
    <w:rsid w:val="00731D55"/>
    <w:rsid w:val="0073214C"/>
    <w:rsid w:val="00733062"/>
    <w:rsid w:val="00735339"/>
    <w:rsid w:val="00737C98"/>
    <w:rsid w:val="00741E6A"/>
    <w:rsid w:val="00743DEB"/>
    <w:rsid w:val="00746E5E"/>
    <w:rsid w:val="00751A92"/>
    <w:rsid w:val="00752C45"/>
    <w:rsid w:val="0075488B"/>
    <w:rsid w:val="00755182"/>
    <w:rsid w:val="00756044"/>
    <w:rsid w:val="00756E06"/>
    <w:rsid w:val="007578F0"/>
    <w:rsid w:val="007604C8"/>
    <w:rsid w:val="007614D4"/>
    <w:rsid w:val="00761C9D"/>
    <w:rsid w:val="00761DA6"/>
    <w:rsid w:val="00762834"/>
    <w:rsid w:val="00764A19"/>
    <w:rsid w:val="00764F5E"/>
    <w:rsid w:val="00766A24"/>
    <w:rsid w:val="00766C28"/>
    <w:rsid w:val="0076722E"/>
    <w:rsid w:val="00767937"/>
    <w:rsid w:val="00767961"/>
    <w:rsid w:val="007700B1"/>
    <w:rsid w:val="00770DE2"/>
    <w:rsid w:val="0077166D"/>
    <w:rsid w:val="00772C8B"/>
    <w:rsid w:val="0078093D"/>
    <w:rsid w:val="00780B38"/>
    <w:rsid w:val="00781F52"/>
    <w:rsid w:val="007825D9"/>
    <w:rsid w:val="0078486F"/>
    <w:rsid w:val="00786716"/>
    <w:rsid w:val="00787CE7"/>
    <w:rsid w:val="0079001A"/>
    <w:rsid w:val="00790514"/>
    <w:rsid w:val="0079328F"/>
    <w:rsid w:val="00793B4F"/>
    <w:rsid w:val="007963EB"/>
    <w:rsid w:val="007976D1"/>
    <w:rsid w:val="007A1493"/>
    <w:rsid w:val="007A1585"/>
    <w:rsid w:val="007A20AA"/>
    <w:rsid w:val="007A2D95"/>
    <w:rsid w:val="007A2E39"/>
    <w:rsid w:val="007A4EAE"/>
    <w:rsid w:val="007A4FD7"/>
    <w:rsid w:val="007A54D7"/>
    <w:rsid w:val="007A6115"/>
    <w:rsid w:val="007A7292"/>
    <w:rsid w:val="007B1192"/>
    <w:rsid w:val="007B1305"/>
    <w:rsid w:val="007B1E87"/>
    <w:rsid w:val="007B366D"/>
    <w:rsid w:val="007B3793"/>
    <w:rsid w:val="007B4BF0"/>
    <w:rsid w:val="007B58DC"/>
    <w:rsid w:val="007B5BEC"/>
    <w:rsid w:val="007C148C"/>
    <w:rsid w:val="007C158D"/>
    <w:rsid w:val="007C2451"/>
    <w:rsid w:val="007C554E"/>
    <w:rsid w:val="007C6B92"/>
    <w:rsid w:val="007C7719"/>
    <w:rsid w:val="007D2AD5"/>
    <w:rsid w:val="007D5176"/>
    <w:rsid w:val="007D5B04"/>
    <w:rsid w:val="007D6839"/>
    <w:rsid w:val="007D6AE7"/>
    <w:rsid w:val="007D6CFB"/>
    <w:rsid w:val="007D6FB8"/>
    <w:rsid w:val="007E0D89"/>
    <w:rsid w:val="007E1607"/>
    <w:rsid w:val="007E1EAF"/>
    <w:rsid w:val="007E373E"/>
    <w:rsid w:val="007E3B54"/>
    <w:rsid w:val="007E574B"/>
    <w:rsid w:val="007E5750"/>
    <w:rsid w:val="007E61A6"/>
    <w:rsid w:val="007E6923"/>
    <w:rsid w:val="007F01A1"/>
    <w:rsid w:val="007F24C6"/>
    <w:rsid w:val="007F2CDB"/>
    <w:rsid w:val="007F4FF4"/>
    <w:rsid w:val="007F5125"/>
    <w:rsid w:val="007F52D5"/>
    <w:rsid w:val="007F566A"/>
    <w:rsid w:val="007F6114"/>
    <w:rsid w:val="008022E1"/>
    <w:rsid w:val="0080264C"/>
    <w:rsid w:val="0080581A"/>
    <w:rsid w:val="008059AC"/>
    <w:rsid w:val="008065F4"/>
    <w:rsid w:val="00807DC8"/>
    <w:rsid w:val="00811638"/>
    <w:rsid w:val="0081231D"/>
    <w:rsid w:val="00814AE7"/>
    <w:rsid w:val="00815382"/>
    <w:rsid w:val="0081674A"/>
    <w:rsid w:val="00821341"/>
    <w:rsid w:val="00825134"/>
    <w:rsid w:val="00825F72"/>
    <w:rsid w:val="00826CF3"/>
    <w:rsid w:val="00830296"/>
    <w:rsid w:val="00830DC9"/>
    <w:rsid w:val="008321D0"/>
    <w:rsid w:val="00833B51"/>
    <w:rsid w:val="00834ADC"/>
    <w:rsid w:val="008363B2"/>
    <w:rsid w:val="00840179"/>
    <w:rsid w:val="008403EE"/>
    <w:rsid w:val="008405D8"/>
    <w:rsid w:val="00841251"/>
    <w:rsid w:val="00841793"/>
    <w:rsid w:val="0084496A"/>
    <w:rsid w:val="008453D2"/>
    <w:rsid w:val="00845EEB"/>
    <w:rsid w:val="00846382"/>
    <w:rsid w:val="0085018C"/>
    <w:rsid w:val="0085028F"/>
    <w:rsid w:val="00850B5F"/>
    <w:rsid w:val="00850F24"/>
    <w:rsid w:val="00851770"/>
    <w:rsid w:val="00852D7A"/>
    <w:rsid w:val="0085318B"/>
    <w:rsid w:val="00853693"/>
    <w:rsid w:val="008540D9"/>
    <w:rsid w:val="00854CC7"/>
    <w:rsid w:val="00854FD1"/>
    <w:rsid w:val="00860ABC"/>
    <w:rsid w:val="0086107D"/>
    <w:rsid w:val="00861604"/>
    <w:rsid w:val="008633A8"/>
    <w:rsid w:val="0086438D"/>
    <w:rsid w:val="00865AD4"/>
    <w:rsid w:val="00865E7D"/>
    <w:rsid w:val="00865F03"/>
    <w:rsid w:val="008669BE"/>
    <w:rsid w:val="008677AB"/>
    <w:rsid w:val="00871EB3"/>
    <w:rsid w:val="00872817"/>
    <w:rsid w:val="00872A9C"/>
    <w:rsid w:val="008750F6"/>
    <w:rsid w:val="00875249"/>
    <w:rsid w:val="008755A0"/>
    <w:rsid w:val="00877B02"/>
    <w:rsid w:val="00880E7C"/>
    <w:rsid w:val="008813AB"/>
    <w:rsid w:val="0088174A"/>
    <w:rsid w:val="00882E5C"/>
    <w:rsid w:val="00883052"/>
    <w:rsid w:val="008931A8"/>
    <w:rsid w:val="00893C97"/>
    <w:rsid w:val="00893E47"/>
    <w:rsid w:val="0089611E"/>
    <w:rsid w:val="00897191"/>
    <w:rsid w:val="00897391"/>
    <w:rsid w:val="008A1353"/>
    <w:rsid w:val="008A148C"/>
    <w:rsid w:val="008A180A"/>
    <w:rsid w:val="008A50EB"/>
    <w:rsid w:val="008A549E"/>
    <w:rsid w:val="008A705A"/>
    <w:rsid w:val="008B01C5"/>
    <w:rsid w:val="008B07B5"/>
    <w:rsid w:val="008B09D6"/>
    <w:rsid w:val="008B2BAC"/>
    <w:rsid w:val="008B3A1C"/>
    <w:rsid w:val="008B4482"/>
    <w:rsid w:val="008B4E7B"/>
    <w:rsid w:val="008B5ADA"/>
    <w:rsid w:val="008C0044"/>
    <w:rsid w:val="008C04F0"/>
    <w:rsid w:val="008C1019"/>
    <w:rsid w:val="008C11B0"/>
    <w:rsid w:val="008C152C"/>
    <w:rsid w:val="008C16FA"/>
    <w:rsid w:val="008C2118"/>
    <w:rsid w:val="008C29A9"/>
    <w:rsid w:val="008C39E1"/>
    <w:rsid w:val="008C3F8B"/>
    <w:rsid w:val="008C42DA"/>
    <w:rsid w:val="008C567E"/>
    <w:rsid w:val="008C5D23"/>
    <w:rsid w:val="008C67BA"/>
    <w:rsid w:val="008C692D"/>
    <w:rsid w:val="008C792F"/>
    <w:rsid w:val="008D1374"/>
    <w:rsid w:val="008D19C5"/>
    <w:rsid w:val="008D27F5"/>
    <w:rsid w:val="008D680C"/>
    <w:rsid w:val="008D6AB9"/>
    <w:rsid w:val="008D7068"/>
    <w:rsid w:val="008D73D9"/>
    <w:rsid w:val="008E0151"/>
    <w:rsid w:val="008E01D2"/>
    <w:rsid w:val="008E2336"/>
    <w:rsid w:val="008E376E"/>
    <w:rsid w:val="008E4C7C"/>
    <w:rsid w:val="008E725C"/>
    <w:rsid w:val="008F0B94"/>
    <w:rsid w:val="008F2984"/>
    <w:rsid w:val="008F4EDB"/>
    <w:rsid w:val="008F7DA8"/>
    <w:rsid w:val="00900ECE"/>
    <w:rsid w:val="00901CA4"/>
    <w:rsid w:val="009059B9"/>
    <w:rsid w:val="00910B00"/>
    <w:rsid w:val="00911940"/>
    <w:rsid w:val="0091313F"/>
    <w:rsid w:val="00914549"/>
    <w:rsid w:val="00914614"/>
    <w:rsid w:val="009147A0"/>
    <w:rsid w:val="00914990"/>
    <w:rsid w:val="009157C5"/>
    <w:rsid w:val="00916365"/>
    <w:rsid w:val="00916565"/>
    <w:rsid w:val="0091711A"/>
    <w:rsid w:val="009175ED"/>
    <w:rsid w:val="009176D5"/>
    <w:rsid w:val="00917F77"/>
    <w:rsid w:val="00922798"/>
    <w:rsid w:val="0092292E"/>
    <w:rsid w:val="00922A34"/>
    <w:rsid w:val="00922E39"/>
    <w:rsid w:val="00924BFA"/>
    <w:rsid w:val="009250ED"/>
    <w:rsid w:val="00925126"/>
    <w:rsid w:val="009259C2"/>
    <w:rsid w:val="00930206"/>
    <w:rsid w:val="00930F31"/>
    <w:rsid w:val="00931483"/>
    <w:rsid w:val="009315B2"/>
    <w:rsid w:val="0093204A"/>
    <w:rsid w:val="00932372"/>
    <w:rsid w:val="00932E4E"/>
    <w:rsid w:val="0093424D"/>
    <w:rsid w:val="009352F4"/>
    <w:rsid w:val="00935598"/>
    <w:rsid w:val="00935A83"/>
    <w:rsid w:val="00935C54"/>
    <w:rsid w:val="00940BA2"/>
    <w:rsid w:val="00940E07"/>
    <w:rsid w:val="0094107B"/>
    <w:rsid w:val="00941E51"/>
    <w:rsid w:val="00942318"/>
    <w:rsid w:val="00944C5E"/>
    <w:rsid w:val="009450BF"/>
    <w:rsid w:val="00945390"/>
    <w:rsid w:val="009555B9"/>
    <w:rsid w:val="00956410"/>
    <w:rsid w:val="0095642D"/>
    <w:rsid w:val="00960E09"/>
    <w:rsid w:val="0096121E"/>
    <w:rsid w:val="00962492"/>
    <w:rsid w:val="009625E7"/>
    <w:rsid w:val="00964824"/>
    <w:rsid w:val="00964B48"/>
    <w:rsid w:val="00965951"/>
    <w:rsid w:val="00965B69"/>
    <w:rsid w:val="00966F90"/>
    <w:rsid w:val="00967C31"/>
    <w:rsid w:val="00970A65"/>
    <w:rsid w:val="00972C11"/>
    <w:rsid w:val="009766F4"/>
    <w:rsid w:val="00976BF5"/>
    <w:rsid w:val="009801A0"/>
    <w:rsid w:val="009807AD"/>
    <w:rsid w:val="00981FE2"/>
    <w:rsid w:val="00982052"/>
    <w:rsid w:val="00982410"/>
    <w:rsid w:val="00983D5D"/>
    <w:rsid w:val="00985B32"/>
    <w:rsid w:val="00990A8B"/>
    <w:rsid w:val="009919D4"/>
    <w:rsid w:val="00994987"/>
    <w:rsid w:val="00995D54"/>
    <w:rsid w:val="00996E4E"/>
    <w:rsid w:val="009A259B"/>
    <w:rsid w:val="009A2926"/>
    <w:rsid w:val="009A2A92"/>
    <w:rsid w:val="009A408D"/>
    <w:rsid w:val="009A5344"/>
    <w:rsid w:val="009A5B76"/>
    <w:rsid w:val="009A7712"/>
    <w:rsid w:val="009B0E6F"/>
    <w:rsid w:val="009B11C3"/>
    <w:rsid w:val="009B361D"/>
    <w:rsid w:val="009B47C8"/>
    <w:rsid w:val="009B4D36"/>
    <w:rsid w:val="009B52E1"/>
    <w:rsid w:val="009B56BE"/>
    <w:rsid w:val="009B64DF"/>
    <w:rsid w:val="009B69E2"/>
    <w:rsid w:val="009B6CDF"/>
    <w:rsid w:val="009B6D8C"/>
    <w:rsid w:val="009B76DA"/>
    <w:rsid w:val="009C13E5"/>
    <w:rsid w:val="009C17F5"/>
    <w:rsid w:val="009C25A8"/>
    <w:rsid w:val="009C4062"/>
    <w:rsid w:val="009C40AE"/>
    <w:rsid w:val="009C73FF"/>
    <w:rsid w:val="009D1230"/>
    <w:rsid w:val="009D3F6B"/>
    <w:rsid w:val="009D523A"/>
    <w:rsid w:val="009D58E7"/>
    <w:rsid w:val="009E141C"/>
    <w:rsid w:val="009E2852"/>
    <w:rsid w:val="009E34E6"/>
    <w:rsid w:val="009E3B71"/>
    <w:rsid w:val="009E48AD"/>
    <w:rsid w:val="009E69BF"/>
    <w:rsid w:val="009E6C29"/>
    <w:rsid w:val="009E715C"/>
    <w:rsid w:val="009E756D"/>
    <w:rsid w:val="009E7C89"/>
    <w:rsid w:val="009F0968"/>
    <w:rsid w:val="009F11EC"/>
    <w:rsid w:val="009F184D"/>
    <w:rsid w:val="009F21E9"/>
    <w:rsid w:val="009F2E47"/>
    <w:rsid w:val="009F33C2"/>
    <w:rsid w:val="009F3D17"/>
    <w:rsid w:val="009F45A2"/>
    <w:rsid w:val="009F464F"/>
    <w:rsid w:val="009F4EFF"/>
    <w:rsid w:val="009F5457"/>
    <w:rsid w:val="00A0079F"/>
    <w:rsid w:val="00A00F06"/>
    <w:rsid w:val="00A01047"/>
    <w:rsid w:val="00A01C96"/>
    <w:rsid w:val="00A05380"/>
    <w:rsid w:val="00A064A6"/>
    <w:rsid w:val="00A065D7"/>
    <w:rsid w:val="00A06890"/>
    <w:rsid w:val="00A06CBC"/>
    <w:rsid w:val="00A140E0"/>
    <w:rsid w:val="00A1673A"/>
    <w:rsid w:val="00A219A4"/>
    <w:rsid w:val="00A23043"/>
    <w:rsid w:val="00A25844"/>
    <w:rsid w:val="00A26E0C"/>
    <w:rsid w:val="00A270F8"/>
    <w:rsid w:val="00A30C7E"/>
    <w:rsid w:val="00A311C2"/>
    <w:rsid w:val="00A31336"/>
    <w:rsid w:val="00A331F3"/>
    <w:rsid w:val="00A343A5"/>
    <w:rsid w:val="00A3715B"/>
    <w:rsid w:val="00A37D79"/>
    <w:rsid w:val="00A40FBE"/>
    <w:rsid w:val="00A43FA7"/>
    <w:rsid w:val="00A469D3"/>
    <w:rsid w:val="00A5036E"/>
    <w:rsid w:val="00A5040A"/>
    <w:rsid w:val="00A50FCB"/>
    <w:rsid w:val="00A51D83"/>
    <w:rsid w:val="00A52492"/>
    <w:rsid w:val="00A5497A"/>
    <w:rsid w:val="00A57ADA"/>
    <w:rsid w:val="00A60379"/>
    <w:rsid w:val="00A606CF"/>
    <w:rsid w:val="00A60931"/>
    <w:rsid w:val="00A62F37"/>
    <w:rsid w:val="00A6330E"/>
    <w:rsid w:val="00A634B6"/>
    <w:rsid w:val="00A64A5E"/>
    <w:rsid w:val="00A656D4"/>
    <w:rsid w:val="00A66447"/>
    <w:rsid w:val="00A66515"/>
    <w:rsid w:val="00A667F8"/>
    <w:rsid w:val="00A66A4E"/>
    <w:rsid w:val="00A67703"/>
    <w:rsid w:val="00A70061"/>
    <w:rsid w:val="00A7035F"/>
    <w:rsid w:val="00A70EF5"/>
    <w:rsid w:val="00A7299F"/>
    <w:rsid w:val="00A73D5C"/>
    <w:rsid w:val="00A73E8E"/>
    <w:rsid w:val="00A74AFC"/>
    <w:rsid w:val="00A75901"/>
    <w:rsid w:val="00A75B2D"/>
    <w:rsid w:val="00A768A3"/>
    <w:rsid w:val="00A77C04"/>
    <w:rsid w:val="00A8116C"/>
    <w:rsid w:val="00A81E86"/>
    <w:rsid w:val="00A83319"/>
    <w:rsid w:val="00A8591F"/>
    <w:rsid w:val="00A8684E"/>
    <w:rsid w:val="00A900BC"/>
    <w:rsid w:val="00A90C19"/>
    <w:rsid w:val="00A90EAA"/>
    <w:rsid w:val="00A90EED"/>
    <w:rsid w:val="00A91870"/>
    <w:rsid w:val="00A91B57"/>
    <w:rsid w:val="00A92089"/>
    <w:rsid w:val="00A93458"/>
    <w:rsid w:val="00A9419B"/>
    <w:rsid w:val="00A949AA"/>
    <w:rsid w:val="00A960CD"/>
    <w:rsid w:val="00A96CD2"/>
    <w:rsid w:val="00AA04BA"/>
    <w:rsid w:val="00AA1231"/>
    <w:rsid w:val="00AA174B"/>
    <w:rsid w:val="00AA795E"/>
    <w:rsid w:val="00AB35BA"/>
    <w:rsid w:val="00AB496C"/>
    <w:rsid w:val="00AB4CAF"/>
    <w:rsid w:val="00AB5ED3"/>
    <w:rsid w:val="00AB6352"/>
    <w:rsid w:val="00AB6E57"/>
    <w:rsid w:val="00AB7AB9"/>
    <w:rsid w:val="00AB7D39"/>
    <w:rsid w:val="00AB7DAD"/>
    <w:rsid w:val="00AC3D29"/>
    <w:rsid w:val="00AC477E"/>
    <w:rsid w:val="00AC603E"/>
    <w:rsid w:val="00AC7434"/>
    <w:rsid w:val="00AC7575"/>
    <w:rsid w:val="00AD1EF8"/>
    <w:rsid w:val="00AD2206"/>
    <w:rsid w:val="00AD2349"/>
    <w:rsid w:val="00AD24F3"/>
    <w:rsid w:val="00AD2E6C"/>
    <w:rsid w:val="00AD3B7F"/>
    <w:rsid w:val="00AD4ADC"/>
    <w:rsid w:val="00AD656C"/>
    <w:rsid w:val="00AD6FB7"/>
    <w:rsid w:val="00AE1FD8"/>
    <w:rsid w:val="00AE27DF"/>
    <w:rsid w:val="00AE3540"/>
    <w:rsid w:val="00AE3DBB"/>
    <w:rsid w:val="00AE5ABC"/>
    <w:rsid w:val="00AF0545"/>
    <w:rsid w:val="00AF1411"/>
    <w:rsid w:val="00AF1740"/>
    <w:rsid w:val="00AF20AE"/>
    <w:rsid w:val="00AF3905"/>
    <w:rsid w:val="00AF468D"/>
    <w:rsid w:val="00AF47E4"/>
    <w:rsid w:val="00AF5C9B"/>
    <w:rsid w:val="00AF5DDF"/>
    <w:rsid w:val="00AF6B6D"/>
    <w:rsid w:val="00B000BE"/>
    <w:rsid w:val="00B00A3A"/>
    <w:rsid w:val="00B01117"/>
    <w:rsid w:val="00B01CB5"/>
    <w:rsid w:val="00B01FDE"/>
    <w:rsid w:val="00B022AE"/>
    <w:rsid w:val="00B023D9"/>
    <w:rsid w:val="00B02C9E"/>
    <w:rsid w:val="00B04DDB"/>
    <w:rsid w:val="00B07FB0"/>
    <w:rsid w:val="00B11741"/>
    <w:rsid w:val="00B11994"/>
    <w:rsid w:val="00B11C13"/>
    <w:rsid w:val="00B11F80"/>
    <w:rsid w:val="00B17257"/>
    <w:rsid w:val="00B173AB"/>
    <w:rsid w:val="00B176FD"/>
    <w:rsid w:val="00B219CE"/>
    <w:rsid w:val="00B21DFD"/>
    <w:rsid w:val="00B225E3"/>
    <w:rsid w:val="00B265B2"/>
    <w:rsid w:val="00B27787"/>
    <w:rsid w:val="00B27FAE"/>
    <w:rsid w:val="00B30F06"/>
    <w:rsid w:val="00B331F4"/>
    <w:rsid w:val="00B33BD4"/>
    <w:rsid w:val="00B34734"/>
    <w:rsid w:val="00B34B6E"/>
    <w:rsid w:val="00B35BBB"/>
    <w:rsid w:val="00B41757"/>
    <w:rsid w:val="00B42423"/>
    <w:rsid w:val="00B44D9C"/>
    <w:rsid w:val="00B45465"/>
    <w:rsid w:val="00B45B86"/>
    <w:rsid w:val="00B46381"/>
    <w:rsid w:val="00B467D4"/>
    <w:rsid w:val="00B47FFA"/>
    <w:rsid w:val="00B50DC3"/>
    <w:rsid w:val="00B510D2"/>
    <w:rsid w:val="00B51388"/>
    <w:rsid w:val="00B518EB"/>
    <w:rsid w:val="00B52280"/>
    <w:rsid w:val="00B52661"/>
    <w:rsid w:val="00B52C94"/>
    <w:rsid w:val="00B5357C"/>
    <w:rsid w:val="00B53648"/>
    <w:rsid w:val="00B5519A"/>
    <w:rsid w:val="00B55682"/>
    <w:rsid w:val="00B56907"/>
    <w:rsid w:val="00B56A15"/>
    <w:rsid w:val="00B56FC2"/>
    <w:rsid w:val="00B56FE8"/>
    <w:rsid w:val="00B57DCF"/>
    <w:rsid w:val="00B6037C"/>
    <w:rsid w:val="00B60413"/>
    <w:rsid w:val="00B61626"/>
    <w:rsid w:val="00B61733"/>
    <w:rsid w:val="00B6499E"/>
    <w:rsid w:val="00B72C2C"/>
    <w:rsid w:val="00B73D4C"/>
    <w:rsid w:val="00B7523B"/>
    <w:rsid w:val="00B758B2"/>
    <w:rsid w:val="00B76AAC"/>
    <w:rsid w:val="00B76D16"/>
    <w:rsid w:val="00B7759B"/>
    <w:rsid w:val="00B77B25"/>
    <w:rsid w:val="00B77D8B"/>
    <w:rsid w:val="00B80400"/>
    <w:rsid w:val="00B819B5"/>
    <w:rsid w:val="00B83B64"/>
    <w:rsid w:val="00B84B7A"/>
    <w:rsid w:val="00B84C55"/>
    <w:rsid w:val="00B84D0E"/>
    <w:rsid w:val="00B85990"/>
    <w:rsid w:val="00B85BFA"/>
    <w:rsid w:val="00B86330"/>
    <w:rsid w:val="00B86797"/>
    <w:rsid w:val="00B86E7E"/>
    <w:rsid w:val="00B87074"/>
    <w:rsid w:val="00B90147"/>
    <w:rsid w:val="00B901BD"/>
    <w:rsid w:val="00B9069A"/>
    <w:rsid w:val="00B90E1D"/>
    <w:rsid w:val="00B921D3"/>
    <w:rsid w:val="00B921FF"/>
    <w:rsid w:val="00B9236C"/>
    <w:rsid w:val="00B938F6"/>
    <w:rsid w:val="00B94712"/>
    <w:rsid w:val="00B949A7"/>
    <w:rsid w:val="00B969BD"/>
    <w:rsid w:val="00B973C9"/>
    <w:rsid w:val="00BA0343"/>
    <w:rsid w:val="00BA36B1"/>
    <w:rsid w:val="00BA5A38"/>
    <w:rsid w:val="00BA5AF2"/>
    <w:rsid w:val="00BA72AF"/>
    <w:rsid w:val="00BA79D9"/>
    <w:rsid w:val="00BB000E"/>
    <w:rsid w:val="00BB076D"/>
    <w:rsid w:val="00BB0A2D"/>
    <w:rsid w:val="00BB1049"/>
    <w:rsid w:val="00BB1BDA"/>
    <w:rsid w:val="00BB1C17"/>
    <w:rsid w:val="00BB4586"/>
    <w:rsid w:val="00BB4F8E"/>
    <w:rsid w:val="00BB5573"/>
    <w:rsid w:val="00BB5649"/>
    <w:rsid w:val="00BB6786"/>
    <w:rsid w:val="00BB74AC"/>
    <w:rsid w:val="00BC0699"/>
    <w:rsid w:val="00BC254E"/>
    <w:rsid w:val="00BC2562"/>
    <w:rsid w:val="00BC3468"/>
    <w:rsid w:val="00BC50D5"/>
    <w:rsid w:val="00BC558A"/>
    <w:rsid w:val="00BC6BE7"/>
    <w:rsid w:val="00BD2E31"/>
    <w:rsid w:val="00BD4062"/>
    <w:rsid w:val="00BE1175"/>
    <w:rsid w:val="00BE18A5"/>
    <w:rsid w:val="00BE21C2"/>
    <w:rsid w:val="00BE266D"/>
    <w:rsid w:val="00BE289B"/>
    <w:rsid w:val="00BE33C8"/>
    <w:rsid w:val="00BE3A2C"/>
    <w:rsid w:val="00BE5EB3"/>
    <w:rsid w:val="00BE6635"/>
    <w:rsid w:val="00BE6894"/>
    <w:rsid w:val="00BF1CE7"/>
    <w:rsid w:val="00BF3202"/>
    <w:rsid w:val="00BF39D4"/>
    <w:rsid w:val="00BF3C6F"/>
    <w:rsid w:val="00BF3F82"/>
    <w:rsid w:val="00BF5B09"/>
    <w:rsid w:val="00BF6A38"/>
    <w:rsid w:val="00BF7326"/>
    <w:rsid w:val="00C00FD0"/>
    <w:rsid w:val="00C01B00"/>
    <w:rsid w:val="00C01C81"/>
    <w:rsid w:val="00C0237B"/>
    <w:rsid w:val="00C03864"/>
    <w:rsid w:val="00C03960"/>
    <w:rsid w:val="00C05B27"/>
    <w:rsid w:val="00C06BFB"/>
    <w:rsid w:val="00C07F50"/>
    <w:rsid w:val="00C10082"/>
    <w:rsid w:val="00C111A1"/>
    <w:rsid w:val="00C1323A"/>
    <w:rsid w:val="00C138B9"/>
    <w:rsid w:val="00C14871"/>
    <w:rsid w:val="00C1630F"/>
    <w:rsid w:val="00C17F9D"/>
    <w:rsid w:val="00C208EF"/>
    <w:rsid w:val="00C22C89"/>
    <w:rsid w:val="00C23A90"/>
    <w:rsid w:val="00C247A1"/>
    <w:rsid w:val="00C247F2"/>
    <w:rsid w:val="00C2798C"/>
    <w:rsid w:val="00C3018C"/>
    <w:rsid w:val="00C33DE2"/>
    <w:rsid w:val="00C40779"/>
    <w:rsid w:val="00C40802"/>
    <w:rsid w:val="00C40BEF"/>
    <w:rsid w:val="00C4142C"/>
    <w:rsid w:val="00C41A27"/>
    <w:rsid w:val="00C41B4A"/>
    <w:rsid w:val="00C42985"/>
    <w:rsid w:val="00C44A3F"/>
    <w:rsid w:val="00C44D41"/>
    <w:rsid w:val="00C45A45"/>
    <w:rsid w:val="00C45D90"/>
    <w:rsid w:val="00C46787"/>
    <w:rsid w:val="00C46DC5"/>
    <w:rsid w:val="00C4741E"/>
    <w:rsid w:val="00C47A9D"/>
    <w:rsid w:val="00C50508"/>
    <w:rsid w:val="00C51094"/>
    <w:rsid w:val="00C52ECD"/>
    <w:rsid w:val="00C536C6"/>
    <w:rsid w:val="00C53770"/>
    <w:rsid w:val="00C53A96"/>
    <w:rsid w:val="00C5662D"/>
    <w:rsid w:val="00C56CA5"/>
    <w:rsid w:val="00C56D37"/>
    <w:rsid w:val="00C5768C"/>
    <w:rsid w:val="00C60759"/>
    <w:rsid w:val="00C622A4"/>
    <w:rsid w:val="00C62485"/>
    <w:rsid w:val="00C6450B"/>
    <w:rsid w:val="00C65132"/>
    <w:rsid w:val="00C66C81"/>
    <w:rsid w:val="00C676DE"/>
    <w:rsid w:val="00C7094A"/>
    <w:rsid w:val="00C70A3C"/>
    <w:rsid w:val="00C70F96"/>
    <w:rsid w:val="00C710C3"/>
    <w:rsid w:val="00C7363B"/>
    <w:rsid w:val="00C7488A"/>
    <w:rsid w:val="00C749D7"/>
    <w:rsid w:val="00C77DD9"/>
    <w:rsid w:val="00C80BF8"/>
    <w:rsid w:val="00C81C15"/>
    <w:rsid w:val="00C81CE4"/>
    <w:rsid w:val="00C826F1"/>
    <w:rsid w:val="00C829A5"/>
    <w:rsid w:val="00C82A24"/>
    <w:rsid w:val="00C83353"/>
    <w:rsid w:val="00C8467C"/>
    <w:rsid w:val="00C85E2F"/>
    <w:rsid w:val="00C871FD"/>
    <w:rsid w:val="00C90FA2"/>
    <w:rsid w:val="00C94B60"/>
    <w:rsid w:val="00C95148"/>
    <w:rsid w:val="00C9699D"/>
    <w:rsid w:val="00C971DE"/>
    <w:rsid w:val="00CA1FFC"/>
    <w:rsid w:val="00CA23D3"/>
    <w:rsid w:val="00CA2FB7"/>
    <w:rsid w:val="00CA4A97"/>
    <w:rsid w:val="00CA6471"/>
    <w:rsid w:val="00CA73BC"/>
    <w:rsid w:val="00CA7B0F"/>
    <w:rsid w:val="00CA7F45"/>
    <w:rsid w:val="00CB09FE"/>
    <w:rsid w:val="00CB1C2B"/>
    <w:rsid w:val="00CB1CB6"/>
    <w:rsid w:val="00CB2BB6"/>
    <w:rsid w:val="00CB3552"/>
    <w:rsid w:val="00CB38CA"/>
    <w:rsid w:val="00CB4AFD"/>
    <w:rsid w:val="00CB54DC"/>
    <w:rsid w:val="00CB5665"/>
    <w:rsid w:val="00CB59C1"/>
    <w:rsid w:val="00CB5C51"/>
    <w:rsid w:val="00CB75AE"/>
    <w:rsid w:val="00CB77C1"/>
    <w:rsid w:val="00CC1B89"/>
    <w:rsid w:val="00CC2B56"/>
    <w:rsid w:val="00CD0156"/>
    <w:rsid w:val="00CD0D49"/>
    <w:rsid w:val="00CD148B"/>
    <w:rsid w:val="00CD2532"/>
    <w:rsid w:val="00CD30C4"/>
    <w:rsid w:val="00CD3139"/>
    <w:rsid w:val="00CD428C"/>
    <w:rsid w:val="00CD4953"/>
    <w:rsid w:val="00CD6D37"/>
    <w:rsid w:val="00CD7889"/>
    <w:rsid w:val="00CE076E"/>
    <w:rsid w:val="00CE176F"/>
    <w:rsid w:val="00CE347E"/>
    <w:rsid w:val="00CE5469"/>
    <w:rsid w:val="00CE55BF"/>
    <w:rsid w:val="00CE614C"/>
    <w:rsid w:val="00CE76C4"/>
    <w:rsid w:val="00CF02C0"/>
    <w:rsid w:val="00CF2325"/>
    <w:rsid w:val="00CF4045"/>
    <w:rsid w:val="00CF429F"/>
    <w:rsid w:val="00CF4409"/>
    <w:rsid w:val="00CF4E05"/>
    <w:rsid w:val="00CF570E"/>
    <w:rsid w:val="00CF6162"/>
    <w:rsid w:val="00CF6E72"/>
    <w:rsid w:val="00CF773F"/>
    <w:rsid w:val="00CF7C68"/>
    <w:rsid w:val="00CF7DB9"/>
    <w:rsid w:val="00D00E0B"/>
    <w:rsid w:val="00D0257E"/>
    <w:rsid w:val="00D04A78"/>
    <w:rsid w:val="00D04B5A"/>
    <w:rsid w:val="00D05A45"/>
    <w:rsid w:val="00D05BD4"/>
    <w:rsid w:val="00D05C50"/>
    <w:rsid w:val="00D0667A"/>
    <w:rsid w:val="00D06E88"/>
    <w:rsid w:val="00D076A2"/>
    <w:rsid w:val="00D07C14"/>
    <w:rsid w:val="00D10BA4"/>
    <w:rsid w:val="00D10D34"/>
    <w:rsid w:val="00D1312E"/>
    <w:rsid w:val="00D13505"/>
    <w:rsid w:val="00D13A18"/>
    <w:rsid w:val="00D14499"/>
    <w:rsid w:val="00D154AE"/>
    <w:rsid w:val="00D15E8A"/>
    <w:rsid w:val="00D16388"/>
    <w:rsid w:val="00D170E4"/>
    <w:rsid w:val="00D17BAD"/>
    <w:rsid w:val="00D20561"/>
    <w:rsid w:val="00D206F1"/>
    <w:rsid w:val="00D22B95"/>
    <w:rsid w:val="00D23171"/>
    <w:rsid w:val="00D268EA"/>
    <w:rsid w:val="00D3011C"/>
    <w:rsid w:val="00D3206B"/>
    <w:rsid w:val="00D32D01"/>
    <w:rsid w:val="00D3411D"/>
    <w:rsid w:val="00D34E54"/>
    <w:rsid w:val="00D35706"/>
    <w:rsid w:val="00D36A2A"/>
    <w:rsid w:val="00D36B24"/>
    <w:rsid w:val="00D37620"/>
    <w:rsid w:val="00D405F9"/>
    <w:rsid w:val="00D426AD"/>
    <w:rsid w:val="00D43266"/>
    <w:rsid w:val="00D44594"/>
    <w:rsid w:val="00D44A26"/>
    <w:rsid w:val="00D44A4B"/>
    <w:rsid w:val="00D45591"/>
    <w:rsid w:val="00D46CC5"/>
    <w:rsid w:val="00D47D19"/>
    <w:rsid w:val="00D50DC3"/>
    <w:rsid w:val="00D5262F"/>
    <w:rsid w:val="00D53A09"/>
    <w:rsid w:val="00D541E7"/>
    <w:rsid w:val="00D569C7"/>
    <w:rsid w:val="00D57CF6"/>
    <w:rsid w:val="00D61A96"/>
    <w:rsid w:val="00D61BEB"/>
    <w:rsid w:val="00D63097"/>
    <w:rsid w:val="00D64C5E"/>
    <w:rsid w:val="00D66408"/>
    <w:rsid w:val="00D66683"/>
    <w:rsid w:val="00D66759"/>
    <w:rsid w:val="00D675F1"/>
    <w:rsid w:val="00D67CF0"/>
    <w:rsid w:val="00D71086"/>
    <w:rsid w:val="00D71B98"/>
    <w:rsid w:val="00D72DF9"/>
    <w:rsid w:val="00D7344A"/>
    <w:rsid w:val="00D74C7B"/>
    <w:rsid w:val="00D75CDB"/>
    <w:rsid w:val="00D77318"/>
    <w:rsid w:val="00D807C2"/>
    <w:rsid w:val="00D82567"/>
    <w:rsid w:val="00D826B0"/>
    <w:rsid w:val="00D835F1"/>
    <w:rsid w:val="00D849EE"/>
    <w:rsid w:val="00D854D7"/>
    <w:rsid w:val="00D85D4F"/>
    <w:rsid w:val="00D85E4F"/>
    <w:rsid w:val="00D86281"/>
    <w:rsid w:val="00D864BC"/>
    <w:rsid w:val="00D8659F"/>
    <w:rsid w:val="00D86857"/>
    <w:rsid w:val="00D9069C"/>
    <w:rsid w:val="00D9439C"/>
    <w:rsid w:val="00D94E2C"/>
    <w:rsid w:val="00DA0D71"/>
    <w:rsid w:val="00DA1A8F"/>
    <w:rsid w:val="00DA37FA"/>
    <w:rsid w:val="00DA4E74"/>
    <w:rsid w:val="00DA6EB6"/>
    <w:rsid w:val="00DB0CFD"/>
    <w:rsid w:val="00DB2324"/>
    <w:rsid w:val="00DB5CC4"/>
    <w:rsid w:val="00DC02C5"/>
    <w:rsid w:val="00DC0518"/>
    <w:rsid w:val="00DC15E9"/>
    <w:rsid w:val="00DC1F96"/>
    <w:rsid w:val="00DC2044"/>
    <w:rsid w:val="00DC57DB"/>
    <w:rsid w:val="00DC5F6F"/>
    <w:rsid w:val="00DC71AC"/>
    <w:rsid w:val="00DC7AAB"/>
    <w:rsid w:val="00DD2ADB"/>
    <w:rsid w:val="00DD4DB0"/>
    <w:rsid w:val="00DD6739"/>
    <w:rsid w:val="00DD7218"/>
    <w:rsid w:val="00DD7243"/>
    <w:rsid w:val="00DD7B36"/>
    <w:rsid w:val="00DE061D"/>
    <w:rsid w:val="00DE0641"/>
    <w:rsid w:val="00DE222B"/>
    <w:rsid w:val="00DE464A"/>
    <w:rsid w:val="00DE47FA"/>
    <w:rsid w:val="00DE4BDB"/>
    <w:rsid w:val="00DE4FC5"/>
    <w:rsid w:val="00DE5C90"/>
    <w:rsid w:val="00DE7CF2"/>
    <w:rsid w:val="00DF08BA"/>
    <w:rsid w:val="00DF1ECF"/>
    <w:rsid w:val="00DF2900"/>
    <w:rsid w:val="00DF3111"/>
    <w:rsid w:val="00DF398A"/>
    <w:rsid w:val="00DF3E83"/>
    <w:rsid w:val="00DF4330"/>
    <w:rsid w:val="00DF4F75"/>
    <w:rsid w:val="00DF67D9"/>
    <w:rsid w:val="00DF683E"/>
    <w:rsid w:val="00DF6DD4"/>
    <w:rsid w:val="00DF7006"/>
    <w:rsid w:val="00E006DE"/>
    <w:rsid w:val="00E006EB"/>
    <w:rsid w:val="00E008CE"/>
    <w:rsid w:val="00E01A89"/>
    <w:rsid w:val="00E01E58"/>
    <w:rsid w:val="00E036DB"/>
    <w:rsid w:val="00E03DB4"/>
    <w:rsid w:val="00E109F0"/>
    <w:rsid w:val="00E12978"/>
    <w:rsid w:val="00E141D5"/>
    <w:rsid w:val="00E14EB7"/>
    <w:rsid w:val="00E15AD4"/>
    <w:rsid w:val="00E16272"/>
    <w:rsid w:val="00E16443"/>
    <w:rsid w:val="00E16D56"/>
    <w:rsid w:val="00E202FA"/>
    <w:rsid w:val="00E21360"/>
    <w:rsid w:val="00E218CA"/>
    <w:rsid w:val="00E23370"/>
    <w:rsid w:val="00E2397E"/>
    <w:rsid w:val="00E24249"/>
    <w:rsid w:val="00E2458E"/>
    <w:rsid w:val="00E24676"/>
    <w:rsid w:val="00E24B0E"/>
    <w:rsid w:val="00E25224"/>
    <w:rsid w:val="00E253D5"/>
    <w:rsid w:val="00E25645"/>
    <w:rsid w:val="00E301A7"/>
    <w:rsid w:val="00E325DC"/>
    <w:rsid w:val="00E3275E"/>
    <w:rsid w:val="00E352E3"/>
    <w:rsid w:val="00E36D89"/>
    <w:rsid w:val="00E4054A"/>
    <w:rsid w:val="00E4096D"/>
    <w:rsid w:val="00E41FF2"/>
    <w:rsid w:val="00E42368"/>
    <w:rsid w:val="00E42563"/>
    <w:rsid w:val="00E42570"/>
    <w:rsid w:val="00E42DD7"/>
    <w:rsid w:val="00E433B8"/>
    <w:rsid w:val="00E4482D"/>
    <w:rsid w:val="00E463A9"/>
    <w:rsid w:val="00E50C9B"/>
    <w:rsid w:val="00E52D24"/>
    <w:rsid w:val="00E55240"/>
    <w:rsid w:val="00E56206"/>
    <w:rsid w:val="00E570A8"/>
    <w:rsid w:val="00E57389"/>
    <w:rsid w:val="00E57A14"/>
    <w:rsid w:val="00E57C69"/>
    <w:rsid w:val="00E61677"/>
    <w:rsid w:val="00E6337E"/>
    <w:rsid w:val="00E64671"/>
    <w:rsid w:val="00E64B80"/>
    <w:rsid w:val="00E64DCA"/>
    <w:rsid w:val="00E655FB"/>
    <w:rsid w:val="00E67363"/>
    <w:rsid w:val="00E67AF9"/>
    <w:rsid w:val="00E709F9"/>
    <w:rsid w:val="00E71194"/>
    <w:rsid w:val="00E71B9D"/>
    <w:rsid w:val="00E71EDC"/>
    <w:rsid w:val="00E72BD9"/>
    <w:rsid w:val="00E7311A"/>
    <w:rsid w:val="00E73E5D"/>
    <w:rsid w:val="00E742E4"/>
    <w:rsid w:val="00E74410"/>
    <w:rsid w:val="00E749F5"/>
    <w:rsid w:val="00E766A7"/>
    <w:rsid w:val="00E77099"/>
    <w:rsid w:val="00E77CE4"/>
    <w:rsid w:val="00E77EEF"/>
    <w:rsid w:val="00E8002A"/>
    <w:rsid w:val="00E80E5D"/>
    <w:rsid w:val="00E81DAA"/>
    <w:rsid w:val="00E83CA1"/>
    <w:rsid w:val="00E843D4"/>
    <w:rsid w:val="00E844BB"/>
    <w:rsid w:val="00E845B1"/>
    <w:rsid w:val="00E84C90"/>
    <w:rsid w:val="00E85458"/>
    <w:rsid w:val="00E85F06"/>
    <w:rsid w:val="00E877DB"/>
    <w:rsid w:val="00E97688"/>
    <w:rsid w:val="00EA0252"/>
    <w:rsid w:val="00EA2F43"/>
    <w:rsid w:val="00EA422B"/>
    <w:rsid w:val="00EA4718"/>
    <w:rsid w:val="00EA4E08"/>
    <w:rsid w:val="00EA7592"/>
    <w:rsid w:val="00EA7BA5"/>
    <w:rsid w:val="00EB175C"/>
    <w:rsid w:val="00EB2742"/>
    <w:rsid w:val="00EB54C4"/>
    <w:rsid w:val="00EB7A57"/>
    <w:rsid w:val="00EB7B14"/>
    <w:rsid w:val="00EC182E"/>
    <w:rsid w:val="00EC1999"/>
    <w:rsid w:val="00EC2987"/>
    <w:rsid w:val="00EC3F67"/>
    <w:rsid w:val="00EC4207"/>
    <w:rsid w:val="00EC48EF"/>
    <w:rsid w:val="00EC4A25"/>
    <w:rsid w:val="00EC5E09"/>
    <w:rsid w:val="00EC7D50"/>
    <w:rsid w:val="00ED2881"/>
    <w:rsid w:val="00ED2BD1"/>
    <w:rsid w:val="00ED2E83"/>
    <w:rsid w:val="00ED30D8"/>
    <w:rsid w:val="00EE11F8"/>
    <w:rsid w:val="00EE3C1D"/>
    <w:rsid w:val="00EE3DA8"/>
    <w:rsid w:val="00EE6536"/>
    <w:rsid w:val="00EE6EF5"/>
    <w:rsid w:val="00EF0BCB"/>
    <w:rsid w:val="00EF14AC"/>
    <w:rsid w:val="00EF2082"/>
    <w:rsid w:val="00EF6B9D"/>
    <w:rsid w:val="00EF7470"/>
    <w:rsid w:val="00EF7CEE"/>
    <w:rsid w:val="00F019B7"/>
    <w:rsid w:val="00F04524"/>
    <w:rsid w:val="00F0490D"/>
    <w:rsid w:val="00F07599"/>
    <w:rsid w:val="00F1029B"/>
    <w:rsid w:val="00F102E8"/>
    <w:rsid w:val="00F12333"/>
    <w:rsid w:val="00F14FDC"/>
    <w:rsid w:val="00F202DB"/>
    <w:rsid w:val="00F220AC"/>
    <w:rsid w:val="00F2242A"/>
    <w:rsid w:val="00F2315C"/>
    <w:rsid w:val="00F23D45"/>
    <w:rsid w:val="00F24107"/>
    <w:rsid w:val="00F242B8"/>
    <w:rsid w:val="00F318F6"/>
    <w:rsid w:val="00F326A0"/>
    <w:rsid w:val="00F358C1"/>
    <w:rsid w:val="00F35AF8"/>
    <w:rsid w:val="00F37AC8"/>
    <w:rsid w:val="00F427A9"/>
    <w:rsid w:val="00F43593"/>
    <w:rsid w:val="00F43C4A"/>
    <w:rsid w:val="00F44272"/>
    <w:rsid w:val="00F50240"/>
    <w:rsid w:val="00F508A8"/>
    <w:rsid w:val="00F5100C"/>
    <w:rsid w:val="00F519FB"/>
    <w:rsid w:val="00F553C3"/>
    <w:rsid w:val="00F567E2"/>
    <w:rsid w:val="00F57547"/>
    <w:rsid w:val="00F57E9A"/>
    <w:rsid w:val="00F6063A"/>
    <w:rsid w:val="00F60738"/>
    <w:rsid w:val="00F61057"/>
    <w:rsid w:val="00F61242"/>
    <w:rsid w:val="00F617E7"/>
    <w:rsid w:val="00F61B3F"/>
    <w:rsid w:val="00F6274E"/>
    <w:rsid w:val="00F62AC1"/>
    <w:rsid w:val="00F66787"/>
    <w:rsid w:val="00F70118"/>
    <w:rsid w:val="00F7095C"/>
    <w:rsid w:val="00F73A9D"/>
    <w:rsid w:val="00F756FE"/>
    <w:rsid w:val="00F770B2"/>
    <w:rsid w:val="00F80628"/>
    <w:rsid w:val="00F80A85"/>
    <w:rsid w:val="00F81C42"/>
    <w:rsid w:val="00F83531"/>
    <w:rsid w:val="00F85145"/>
    <w:rsid w:val="00F854F6"/>
    <w:rsid w:val="00F85583"/>
    <w:rsid w:val="00F85C03"/>
    <w:rsid w:val="00F8765F"/>
    <w:rsid w:val="00F878AA"/>
    <w:rsid w:val="00F92064"/>
    <w:rsid w:val="00F9218C"/>
    <w:rsid w:val="00F92ED3"/>
    <w:rsid w:val="00F93980"/>
    <w:rsid w:val="00F93A13"/>
    <w:rsid w:val="00F957AF"/>
    <w:rsid w:val="00F97317"/>
    <w:rsid w:val="00FA03B3"/>
    <w:rsid w:val="00FA2727"/>
    <w:rsid w:val="00FA2B32"/>
    <w:rsid w:val="00FA3130"/>
    <w:rsid w:val="00FA3F6E"/>
    <w:rsid w:val="00FA65BD"/>
    <w:rsid w:val="00FA69ED"/>
    <w:rsid w:val="00FA73CD"/>
    <w:rsid w:val="00FA7837"/>
    <w:rsid w:val="00FA7DCB"/>
    <w:rsid w:val="00FB0194"/>
    <w:rsid w:val="00FB0524"/>
    <w:rsid w:val="00FB5456"/>
    <w:rsid w:val="00FB69A5"/>
    <w:rsid w:val="00FC106A"/>
    <w:rsid w:val="00FC3067"/>
    <w:rsid w:val="00FC390C"/>
    <w:rsid w:val="00FC42D3"/>
    <w:rsid w:val="00FC50A5"/>
    <w:rsid w:val="00FC5A2C"/>
    <w:rsid w:val="00FC5D25"/>
    <w:rsid w:val="00FC6324"/>
    <w:rsid w:val="00FC64E2"/>
    <w:rsid w:val="00FC7F31"/>
    <w:rsid w:val="00FD0ACB"/>
    <w:rsid w:val="00FD1262"/>
    <w:rsid w:val="00FD2F5F"/>
    <w:rsid w:val="00FD327B"/>
    <w:rsid w:val="00FD4DB7"/>
    <w:rsid w:val="00FD61A5"/>
    <w:rsid w:val="00FD70FD"/>
    <w:rsid w:val="00FE1900"/>
    <w:rsid w:val="00FE3270"/>
    <w:rsid w:val="00FE4C03"/>
    <w:rsid w:val="00FE4CD2"/>
    <w:rsid w:val="00FE5026"/>
    <w:rsid w:val="00FE5257"/>
    <w:rsid w:val="00FE7DA9"/>
    <w:rsid w:val="00FF1594"/>
    <w:rsid w:val="00FF1C85"/>
    <w:rsid w:val="00FF33E9"/>
    <w:rsid w:val="00FF374D"/>
    <w:rsid w:val="00FF4446"/>
    <w:rsid w:val="00FF5DCD"/>
    <w:rsid w:val="00FF6C50"/>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99049A"/>
  <w15:docId w15:val="{823ADA46-5DED-469B-A7EF-EA081C20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D569C7"/>
    <w:pPr>
      <w:numPr>
        <w:numId w:val="1"/>
      </w:numPr>
      <w:tabs>
        <w:tab w:val="left" w:pos="432"/>
      </w:tabs>
      <w:spacing w:after="120" w:line="240" w:lineRule="auto"/>
      <w:ind w:left="864"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link w:val="ReferencesChar"/>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C0237B"/>
    <w:pPr>
      <w:tabs>
        <w:tab w:val="right" w:leader="dot" w:pos="9360"/>
      </w:tabs>
      <w:spacing w:after="180" w:line="240" w:lineRule="exact"/>
      <w:ind w:left="1350" w:right="720" w:hanging="1350"/>
    </w:pPr>
    <w:rPr>
      <w:rFonts w:ascii="Arial" w:eastAsia="Times New Roman" w:hAnsi="Arial" w:cs="Times New Roman"/>
      <w:caps/>
      <w:sz w:val="20"/>
      <w:szCs w:val="20"/>
    </w:rPr>
  </w:style>
  <w:style w:type="paragraph" w:styleId="TOC2">
    <w:name w:val="toc 2"/>
    <w:next w:val="Normal"/>
    <w:autoRedefine/>
    <w:uiPriority w:val="39"/>
    <w:qFormat/>
    <w:rsid w:val="00A140E0"/>
    <w:pPr>
      <w:tabs>
        <w:tab w:val="right" w:leader="dot" w:pos="9360"/>
      </w:tabs>
      <w:spacing w:after="180" w:line="240" w:lineRule="exact"/>
      <w:ind w:left="1656" w:right="720" w:hanging="576"/>
    </w:pPr>
    <w:rPr>
      <w:rFonts w:ascii="Arial" w:eastAsia="Times New Roman" w:hAnsi="Arial" w:cs="Times New Roman"/>
      <w:noProof/>
      <w:sz w:val="20"/>
      <w:szCs w:val="20"/>
    </w:rPr>
  </w:style>
  <w:style w:type="paragraph" w:styleId="TOC3">
    <w:name w:val="toc 3"/>
    <w:basedOn w:val="TOC2"/>
    <w:next w:val="Normal"/>
    <w:autoRedefine/>
    <w:uiPriority w:val="39"/>
    <w:qFormat/>
    <w:rsid w:val="00A5036E"/>
    <w:pPr>
      <w:tabs>
        <w:tab w:val="left" w:pos="1440"/>
      </w:tabs>
      <w:spacing w:after="120"/>
      <w:ind w:left="1872"/>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179BC"/>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0179BC"/>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A5036E"/>
    <w:pPr>
      <w:tabs>
        <w:tab w:val="clear" w:pos="432"/>
      </w:tabs>
      <w:ind w:left="576" w:hanging="576"/>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A5036E"/>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A5036E"/>
    <w:pPr>
      <w:tabs>
        <w:tab w:val="clear" w:pos="432"/>
      </w:tabs>
      <w:ind w:left="576" w:hanging="576"/>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A5036E"/>
    <w:rPr>
      <w:rFonts w:eastAsia="Times New Roman" w:cs="Times New Roman"/>
      <w:b/>
      <w:szCs w:val="20"/>
    </w:rPr>
  </w:style>
  <w:style w:type="character" w:styleId="CommentReference">
    <w:name w:val="annotation reference"/>
    <w:basedOn w:val="DefaultParagraphFont"/>
    <w:uiPriority w:val="99"/>
    <w:semiHidden/>
    <w:unhideWhenUsed/>
    <w:rsid w:val="00EC5E09"/>
    <w:rPr>
      <w:sz w:val="16"/>
      <w:szCs w:val="16"/>
    </w:rPr>
  </w:style>
  <w:style w:type="paragraph" w:styleId="CommentText">
    <w:name w:val="annotation text"/>
    <w:basedOn w:val="Normal"/>
    <w:link w:val="CommentTextChar"/>
    <w:uiPriority w:val="99"/>
    <w:unhideWhenUsed/>
    <w:rsid w:val="00EC5E09"/>
    <w:pPr>
      <w:tabs>
        <w:tab w:val="left" w:pos="432"/>
      </w:tabs>
      <w:spacing w:line="240" w:lineRule="auto"/>
      <w:jc w:val="both"/>
    </w:pPr>
    <w:rPr>
      <w:sz w:val="20"/>
    </w:rPr>
  </w:style>
  <w:style w:type="character" w:customStyle="1" w:styleId="CommentTextChar">
    <w:name w:val="Comment Text Char"/>
    <w:basedOn w:val="DefaultParagraphFont"/>
    <w:link w:val="CommentText"/>
    <w:uiPriority w:val="99"/>
    <w:rsid w:val="00EC5E0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069C"/>
    <w:pPr>
      <w:tabs>
        <w:tab w:val="clear" w:pos="432"/>
      </w:tabs>
      <w:jc w:val="left"/>
    </w:pPr>
    <w:rPr>
      <w:b/>
      <w:bCs/>
    </w:rPr>
  </w:style>
  <w:style w:type="character" w:customStyle="1" w:styleId="CommentSubjectChar">
    <w:name w:val="Comment Subject Char"/>
    <w:basedOn w:val="CommentTextChar"/>
    <w:link w:val="CommentSubject"/>
    <w:uiPriority w:val="99"/>
    <w:semiHidden/>
    <w:rsid w:val="00D9069C"/>
    <w:rPr>
      <w:rFonts w:eastAsia="Times New Roman" w:cs="Times New Roman"/>
      <w:b/>
      <w:bCs/>
      <w:sz w:val="20"/>
      <w:szCs w:val="20"/>
    </w:rPr>
  </w:style>
  <w:style w:type="paragraph" w:styleId="Revision">
    <w:name w:val="Revision"/>
    <w:hidden/>
    <w:uiPriority w:val="99"/>
    <w:semiHidden/>
    <w:rsid w:val="00E109F0"/>
    <w:pPr>
      <w:spacing w:after="0"/>
    </w:pPr>
    <w:rPr>
      <w:rFonts w:eastAsia="Times New Roman" w:cs="Times New Roman"/>
      <w:szCs w:val="20"/>
    </w:rPr>
  </w:style>
  <w:style w:type="character" w:customStyle="1" w:styleId="NormalSSChar">
    <w:name w:val="NormalSS Char"/>
    <w:basedOn w:val="DefaultParagraphFont"/>
    <w:link w:val="NormalSS"/>
    <w:locked/>
    <w:rsid w:val="00284061"/>
    <w:rPr>
      <w:rFonts w:eastAsia="Times New Roman" w:cs="Times New Roman"/>
      <w:szCs w:val="20"/>
    </w:rPr>
  </w:style>
  <w:style w:type="paragraph" w:customStyle="1" w:styleId="Heading1Blue">
    <w:name w:val="Heading 1_Blue"/>
    <w:basedOn w:val="Normal"/>
    <w:next w:val="Normal"/>
    <w:qFormat/>
    <w:rsid w:val="00A7035F"/>
    <w:pPr>
      <w:tabs>
        <w:tab w:val="left" w:pos="432"/>
      </w:tabs>
      <w:spacing w:before="240" w:after="240" w:line="240" w:lineRule="auto"/>
      <w:ind w:firstLine="0"/>
      <w:jc w:val="center"/>
    </w:pPr>
    <w:rPr>
      <w:rFonts w:ascii="Lucida Sans" w:hAnsi="Lucida Sans"/>
      <w:b/>
      <w:caps/>
      <w:color w:val="345294"/>
      <w:szCs w:val="24"/>
    </w:rPr>
  </w:style>
  <w:style w:type="paragraph" w:customStyle="1" w:styleId="Heading2Blue">
    <w:name w:val="Heading 2_Blue"/>
    <w:basedOn w:val="Normal"/>
    <w:next w:val="Normal"/>
    <w:qFormat/>
    <w:rsid w:val="0059396C"/>
    <w:pPr>
      <w:keepNext/>
      <w:tabs>
        <w:tab w:val="left" w:pos="432"/>
      </w:tabs>
      <w:spacing w:after="240" w:line="240" w:lineRule="auto"/>
      <w:ind w:left="432" w:hanging="432"/>
      <w:jc w:val="both"/>
    </w:pPr>
    <w:rPr>
      <w:rFonts w:ascii="Lucida Sans" w:hAnsi="Lucida Sans"/>
      <w:b/>
      <w:color w:val="345294"/>
      <w:szCs w:val="24"/>
    </w:rPr>
  </w:style>
  <w:style w:type="character" w:styleId="Hyperlink">
    <w:name w:val="Hyperlink"/>
    <w:basedOn w:val="DefaultParagraphFont"/>
    <w:uiPriority w:val="99"/>
    <w:unhideWhenUsed/>
    <w:rsid w:val="00385F81"/>
    <w:rPr>
      <w:color w:val="0000FF" w:themeColor="hyperlink"/>
      <w:u w:val="single"/>
    </w:rPr>
  </w:style>
  <w:style w:type="paragraph" w:customStyle="1" w:styleId="disclosure">
    <w:name w:val="disclosure"/>
    <w:basedOn w:val="Footer"/>
    <w:qFormat/>
    <w:rsid w:val="000179BC"/>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A140E0"/>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A140E0"/>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character" w:styleId="PlaceholderText">
    <w:name w:val="Placeholder Text"/>
    <w:basedOn w:val="DefaultParagraphFont"/>
    <w:uiPriority w:val="99"/>
    <w:semiHidden/>
    <w:rsid w:val="00767937"/>
    <w:rPr>
      <w:color w:val="808080"/>
    </w:rPr>
  </w:style>
  <w:style w:type="character" w:customStyle="1" w:styleId="MTConvertedEquation">
    <w:name w:val="MTConvertedEquation"/>
    <w:basedOn w:val="DefaultParagraphFont"/>
    <w:rsid w:val="001454D0"/>
    <w:rPr>
      <w:rFonts w:ascii="Cambria Math" w:hAnsi="Cambria Math"/>
      <w:i/>
    </w:rPr>
  </w:style>
  <w:style w:type="character" w:customStyle="1" w:styleId="ReferencesChar">
    <w:name w:val="References Char"/>
    <w:basedOn w:val="DefaultParagraphFont"/>
    <w:link w:val="References"/>
    <w:rsid w:val="00295FDC"/>
    <w:rPr>
      <w:rFonts w:eastAsia="Times New Roman" w:cs="Times New Roman"/>
      <w:szCs w:val="20"/>
    </w:rPr>
  </w:style>
  <w:style w:type="paragraph" w:customStyle="1" w:styleId="coverdate">
    <w:name w:val="cover date"/>
    <w:qFormat/>
    <w:rsid w:val="00463E50"/>
    <w:pPr>
      <w:spacing w:after="0" w:line="440" w:lineRule="exact"/>
    </w:pPr>
    <w:rPr>
      <w:rFonts w:ascii="Arial" w:eastAsia="Times New Roman" w:hAnsi="Arial" w:cs="Times New Roman"/>
      <w:sz w:val="34"/>
      <w:szCs w:val="26"/>
    </w:rPr>
  </w:style>
  <w:style w:type="character" w:styleId="FollowedHyperlink">
    <w:name w:val="FollowedHyperlink"/>
    <w:basedOn w:val="DefaultParagraphFont"/>
    <w:semiHidden/>
    <w:unhideWhenUsed/>
    <w:rsid w:val="00507412"/>
    <w:rPr>
      <w:color w:val="800080" w:themeColor="followedHyperlink"/>
      <w:u w:val="single"/>
    </w:rPr>
  </w:style>
  <w:style w:type="character" w:styleId="UnresolvedMention">
    <w:name w:val="Unresolved Mention"/>
    <w:basedOn w:val="DefaultParagraphFont"/>
    <w:uiPriority w:val="99"/>
    <w:semiHidden/>
    <w:unhideWhenUsed/>
    <w:rsid w:val="00AB3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721854">
      <w:bodyDiv w:val="1"/>
      <w:marLeft w:val="0"/>
      <w:marRight w:val="0"/>
      <w:marTop w:val="0"/>
      <w:marBottom w:val="0"/>
      <w:divBdr>
        <w:top w:val="none" w:sz="0" w:space="0" w:color="auto"/>
        <w:left w:val="none" w:sz="0" w:space="0" w:color="auto"/>
        <w:bottom w:val="none" w:sz="0" w:space="0" w:color="auto"/>
        <w:right w:val="none" w:sz="0" w:space="0" w:color="auto"/>
      </w:divBdr>
    </w:div>
    <w:div w:id="134409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hyperlink" Target="https://ies.ed.gov/ncee/projects/evaluation/tq_incentive.asp" TargetMode="External"/><Relationship Id="rId50"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ginfo.gov/public/do/PRAViewDocument?ref_nbr=201801-1850-001" TargetMode="External"/><Relationship Id="rId29" Type="http://schemas.openxmlformats.org/officeDocument/2006/relationships/oleObject" Target="embeddings/oleObject6.bin"/><Relationship Id="rId11" Type="http://schemas.openxmlformats.org/officeDocument/2006/relationships/image" Target="media/image1.jpeg"/><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0.bin"/><Relationship Id="rId40" Type="http://schemas.openxmlformats.org/officeDocument/2006/relationships/image" Target="media/image13.wmf"/><Relationship Id="rId45" Type="http://schemas.openxmlformats.org/officeDocument/2006/relationships/oleObject" Target="embeddings/oleObject14.bin"/><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image" Target="media/image8.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reginfo.gov/public/do/PRAViewDocument?ref_nbr=201801-1850-001" TargetMode="Externa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yperlink" Target="https://ies.ed.gov/ncee/projects/evaluation/tq_videos.asp" TargetMode="External"/><Relationship Id="rId20" Type="http://schemas.openxmlformats.org/officeDocument/2006/relationships/image" Target="media/image3.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oleObject" Target="embeddings/oleObject3.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0" ma:contentTypeDescription="Create a new document." ma:contentTypeScope="" ma:versionID="61c40308e5056c92b4425c10148273b1">
  <xsd:schema xmlns:xsd="http://www.w3.org/2001/XMLSchema" xmlns:xs="http://www.w3.org/2001/XMLSchema" xmlns:p="http://schemas.microsoft.com/office/2006/metadata/properties" xmlns:ns3="5309e048-1b4c-4f6d-b014-3d79d9de2e99" targetNamespace="http://schemas.microsoft.com/office/2006/metadata/properties" ma:root="true" ma:fieldsID="6b08e0e97c6935d95a01675be5226ad2" ns3:_="">
    <xsd:import namespace="5309e048-1b4c-4f6d-b014-3d79d9de2e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546B2-BF7C-4FC6-B833-A40C6562277A}">
  <ds:schemaRefs>
    <ds:schemaRef ds:uri="http://schemas.openxmlformats.org/officeDocument/2006/bibliography"/>
  </ds:schemaRefs>
</ds:datastoreItem>
</file>

<file path=customXml/itemProps2.xml><?xml version="1.0" encoding="utf-8"?>
<ds:datastoreItem xmlns:ds="http://schemas.openxmlformats.org/officeDocument/2006/customXml" ds:itemID="{43F72821-E89B-4BCE-8C88-D13833334DC8}">
  <ds:schemaRefs>
    <ds:schemaRef ds:uri="http://schemas.microsoft.com/sharepoint/v3/contenttype/forms"/>
  </ds:schemaRefs>
</ds:datastoreItem>
</file>

<file path=customXml/itemProps3.xml><?xml version="1.0" encoding="utf-8"?>
<ds:datastoreItem xmlns:ds="http://schemas.openxmlformats.org/officeDocument/2006/customXml" ds:itemID="{81975F7C-1630-4EA0-BA1F-564AC116D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3A687-6661-4B28-93EE-A92E310FFEDC}">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5309e048-1b4c-4f6d-b014-3d79d9de2e9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1 MPR-Standard</Template>
  <TotalTime>122</TotalTime>
  <Pages>9</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Impact Study of Feedback for Teachers Based on Classroom Videos: Part B, Collection of Information Employing Statistical Methods</vt:lpstr>
    </vt:vector>
  </TitlesOfParts>
  <Company>Mathematica, Inc</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Study of Feedback for Teachers Based on Classroom Videos: Part B, Collection of Information Employing Statistical Methods</dc:title>
  <dc:subject>OMB</dc:subject>
  <dc:creator>MATHEMATICA</dc:creator>
  <dc:description>Sheena formatted for Sheila Heaviside (12/19/16)</dc:description>
  <cp:lastModifiedBy>Wei, Thomas</cp:lastModifiedBy>
  <cp:revision>110</cp:revision>
  <cp:lastPrinted>2017-11-06T15:32:00Z</cp:lastPrinted>
  <dcterms:created xsi:type="dcterms:W3CDTF">2021-02-26T17:47:00Z</dcterms:created>
  <dcterms:modified xsi:type="dcterms:W3CDTF">2021-03-25T14:38:00Z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y fmtid="{D5CDD505-2E9C-101B-9397-08002B2CF9AE}" pid="3" name="MTWinEqns">
    <vt:bool>true</vt:bool>
  </property>
</Properties>
</file>