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EC4" w:rsidRDefault="003B1DB1" w14:paraId="0613D173" w14:textId="77777777">
      <w:pPr>
        <w:spacing w:after="337" w:line="259" w:lineRule="auto"/>
        <w:ind w:firstLine="0"/>
      </w:pPr>
      <w:bookmarkStart w:name="_GoBack" w:id="0"/>
      <w:bookmarkEnd w:id="0"/>
      <w:r>
        <w:rPr>
          <w:color w:val="575757"/>
          <w:sz w:val="32"/>
        </w:rPr>
        <w:t>ELECTRONIC CODE OF FEDERAL REGULATIONS</w:t>
      </w:r>
    </w:p>
    <w:p w:rsidR="006A5EC4" w:rsidRDefault="003B1DB1" w14:paraId="4156D30A" w14:textId="77777777">
      <w:pPr>
        <w:spacing w:after="523" w:line="259" w:lineRule="auto"/>
        <w:ind w:left="1017" w:firstLine="0"/>
      </w:pPr>
      <w:r>
        <w:rPr>
          <w:color w:val="FF0000"/>
          <w:sz w:val="32"/>
        </w:rPr>
        <w:t>e-CFR data is current as of May 14, 2021</w:t>
      </w:r>
    </w:p>
    <w:p w:rsidR="006A5EC4" w:rsidRDefault="003B1DB1" w14:paraId="3AEAEB31" w14:textId="77777777">
      <w:pPr>
        <w:spacing w:after="500"/>
        <w:ind w:left="-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4</w:t>
      </w:r>
      <w:r>
        <w:t xml:space="preserve"> → </w:t>
      </w:r>
      <w:r>
        <w:rPr>
          <w:color w:val="3E71AE"/>
        </w:rPr>
        <w:t>Subpart D</w:t>
      </w:r>
      <w:r>
        <w:t xml:space="preserve"> → §4.36</w:t>
      </w:r>
    </w:p>
    <w:p w:rsidR="006A5EC4" w:rsidRDefault="003B1DB1" w14:paraId="614D985B" w14:textId="77777777">
      <w:pPr>
        <w:spacing w:after="11"/>
        <w:ind w:left="-15" w:firstLine="0"/>
      </w:pPr>
      <w:r>
        <w:t xml:space="preserve">Title 18: Conservation of Power and Water Resources </w:t>
      </w:r>
    </w:p>
    <w:p w:rsidR="006A5EC4" w:rsidRDefault="003B1DB1" w14:paraId="78DAC7ED" w14:textId="77777777">
      <w:pPr>
        <w:spacing w:after="11"/>
        <w:ind w:left="-5" w:hanging="10"/>
      </w:pPr>
      <w:r>
        <w:rPr>
          <w:color w:val="3E71AE"/>
        </w:rPr>
        <w:t xml:space="preserve">PART 4—LICENSES, PERMITS, EXEMPTIONS, AND DETERMINATION OF </w:t>
      </w:r>
    </w:p>
    <w:p w:rsidR="006A5EC4" w:rsidRDefault="003B1DB1" w14:paraId="7C34CC60" w14:textId="77777777">
      <w:pPr>
        <w:spacing w:after="11"/>
        <w:ind w:left="-5" w:hanging="10"/>
      </w:pPr>
      <w:r>
        <w:rPr>
          <w:color w:val="3E71AE"/>
        </w:rPr>
        <w:t xml:space="preserve">PROJECT COSTS </w:t>
      </w:r>
    </w:p>
    <w:p w:rsidR="006A5EC4" w:rsidRDefault="003B1DB1" w14:paraId="109173B1" w14:textId="77777777">
      <w:pPr>
        <w:spacing w:after="11"/>
        <w:ind w:left="-5" w:hanging="10"/>
      </w:pPr>
      <w:r>
        <w:rPr>
          <w:color w:val="3E71AE"/>
        </w:rPr>
        <w:t>Subpart D—Application for Preliminary Permit, License or Exemption: General Provisions</w:t>
      </w:r>
    </w:p>
    <w:p w:rsidR="006A5EC4" w:rsidRDefault="003B1DB1" w14:paraId="371007AC" w14:textId="77777777">
      <w:pPr>
        <w:spacing w:after="244" w:line="259" w:lineRule="auto"/>
        <w:ind w:right="-10" w:firstLine="0"/>
      </w:pPr>
      <w:r>
        <w:rPr>
          <w:rFonts w:ascii="Calibri" w:hAnsi="Calibri" w:eastAsia="Calibri" w:cs="Calibri"/>
          <w:noProof/>
          <w:sz w:val="22"/>
        </w:rPr>
        <mc:AlternateContent>
          <mc:Choice Requires="wpg">
            <w:drawing>
              <wp:inline distT="0" distB="0" distL="0" distR="0" wp14:anchorId="44F86655" wp14:editId="087AA027">
                <wp:extent cx="6172200" cy="19050"/>
                <wp:effectExtent l="0" t="0" r="0" b="0"/>
                <wp:docPr id="1971" name="Group 1971"/>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971"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6A5EC4" w:rsidRDefault="003B1DB1" w14:paraId="7D031810" w14:textId="77777777">
      <w:pPr>
        <w:spacing w:after="260" w:line="238" w:lineRule="auto"/>
        <w:ind w:firstLine="0"/>
      </w:pPr>
      <w:r>
        <w:t>§4.36   Competing applications: deadlines for filing; notices of intent; comparisons of plan</w:t>
      </w:r>
      <w:r>
        <w:t>s of development.</w:t>
      </w:r>
    </w:p>
    <w:p w:rsidR="006A5EC4" w:rsidRDefault="003B1DB1" w14:paraId="7ABF220F" w14:textId="77777777">
      <w:pPr>
        <w:ind w:left="-15"/>
      </w:pPr>
      <w:r>
        <w:t xml:space="preserve">The public notice of an initial preliminary permit application or an initial development application shall prescribe the deadline for filing protests and motions to intervene in that proceeding (the </w:t>
      </w:r>
      <w:r>
        <w:t>prescribed intervention deadline</w:t>
      </w:r>
      <w:r>
        <w:t>).</w:t>
      </w:r>
    </w:p>
    <w:p w:rsidR="006A5EC4" w:rsidRDefault="003B1DB1" w14:paraId="118A8A38" w14:textId="77777777">
      <w:pPr>
        <w:ind w:left="-15"/>
      </w:pPr>
      <w:r>
        <w:t xml:space="preserve">(a) </w:t>
      </w:r>
      <w:r>
        <w:t>Deadlines for filing applications in competition with an initial preliminary permit application.</w:t>
      </w:r>
      <w:r>
        <w:t xml:space="preserve"> (1) Any preliminary permit application or any development application not filed pursuant to a notice of intent must be submitted for filing in competition with</w:t>
      </w:r>
      <w:r>
        <w:t xml:space="preserve"> an initial preliminary permit application not later than the prescribed intervention deadline.</w:t>
      </w:r>
    </w:p>
    <w:p w:rsidR="006A5EC4" w:rsidRDefault="003B1DB1" w14:paraId="0AE5480F" w14:textId="77777777">
      <w:pPr>
        <w:numPr>
          <w:ilvl w:val="0"/>
          <w:numId w:val="1"/>
        </w:numPr>
      </w:pPr>
      <w:r>
        <w:t>Any preliminary permit application filed pursuant to a notice of intent must be submitted for filing in competition with an initial preliminary permit applicati</w:t>
      </w:r>
      <w:r>
        <w:t>on not later than 30 days after the prescribed intervention deadline.</w:t>
      </w:r>
    </w:p>
    <w:p w:rsidR="006A5EC4" w:rsidRDefault="003B1DB1" w14:paraId="190A2664" w14:textId="77777777">
      <w:pPr>
        <w:numPr>
          <w:ilvl w:val="0"/>
          <w:numId w:val="1"/>
        </w:numPr>
      </w:pPr>
      <w:r>
        <w:t xml:space="preserve">Any development application filed pursuant to a notice of intent must be submitted for filing in competition with an initial preliminary permit application not later than 120 days after </w:t>
      </w:r>
      <w:r>
        <w:t>the prescribed intervention deadline.</w:t>
      </w:r>
    </w:p>
    <w:p w:rsidR="006A5EC4" w:rsidRDefault="003B1DB1" w14:paraId="356F93FC" w14:textId="77777777">
      <w:pPr>
        <w:ind w:left="-15"/>
      </w:pPr>
      <w:r>
        <w:t xml:space="preserve">(b) </w:t>
      </w:r>
      <w:r>
        <w:t>Deadlines for filing applications in competition with an initial development application.</w:t>
      </w:r>
      <w:r>
        <w:t xml:space="preserve"> (1) Any development application not filed pursuant to a notice of intent must be submitted for filing in competition with an</w:t>
      </w:r>
      <w:r>
        <w:t xml:space="preserve"> initial development application not later than the prescribed intervention deadline.</w:t>
      </w:r>
    </w:p>
    <w:p w:rsidR="006A5EC4" w:rsidRDefault="003B1DB1" w14:paraId="148CF33B" w14:textId="77777777">
      <w:pPr>
        <w:numPr>
          <w:ilvl w:val="0"/>
          <w:numId w:val="2"/>
        </w:numPr>
      </w:pPr>
      <w:r>
        <w:t>Any development application filed pursuant to a notice of intent must be submitted for filing in competition with an initial development application not later than 120 da</w:t>
      </w:r>
      <w:r>
        <w:t>ys after the prescribed intervention deadline.</w:t>
      </w:r>
    </w:p>
    <w:p w:rsidR="006A5EC4" w:rsidRDefault="003B1DB1" w14:paraId="7E5BD940" w14:textId="77777777">
      <w:pPr>
        <w:numPr>
          <w:ilvl w:val="0"/>
          <w:numId w:val="2"/>
        </w:numPr>
      </w:pPr>
      <w:r>
        <w:lastRenderedPageBreak/>
        <w:t xml:space="preserve">If the Commission has accepted an application for exemption of a project from licensing and the application has not yet been granted or denied, the applicant for exemption may submit a license application for </w:t>
      </w:r>
      <w:r>
        <w:t xml:space="preserve">the project if it is a qualified license applicant. The pending application for exemption from licensing will be considered withdrawn as of the date the Commission accepts the license application for filing. If a license application is accepted for filing </w:t>
      </w:r>
      <w:r>
        <w:t>under this provision, any qualified license applicant may submit a competing license application not later than the prescribed intervention deadline set for the license application.</w:t>
      </w:r>
    </w:p>
    <w:p w:rsidR="006A5EC4" w:rsidRDefault="003B1DB1" w14:paraId="24AA5CA5" w14:textId="77777777">
      <w:pPr>
        <w:numPr>
          <w:ilvl w:val="0"/>
          <w:numId w:val="2"/>
        </w:numPr>
      </w:pPr>
      <w:r>
        <w:t>Any preliminary permit application must be submitted for filing in competi</w:t>
      </w:r>
      <w:r>
        <w:t>tion with an initial development application not later than the deadlines prescribed in paragraphs (a)(1) and (a)(2) for the submission of preliminary permit applications filed in competition with an initial preliminary permit application.</w:t>
      </w:r>
    </w:p>
    <w:p w:rsidR="006A5EC4" w:rsidRDefault="003B1DB1" w14:paraId="36B0EB1A" w14:textId="77777777">
      <w:pPr>
        <w:ind w:left="-15"/>
      </w:pPr>
      <w:r>
        <w:t xml:space="preserve">(c) </w:t>
      </w:r>
      <w:r>
        <w:t>Notices of intent.</w:t>
      </w:r>
      <w:r>
        <w:t xml:space="preserve"> (1) Any notice of intent to file an application in competition with an initial preliminary permit or an initial development application must be submitted for filing not later than the prescribed intervention deadline for the initial appl</w:t>
      </w:r>
      <w:r>
        <w:t>ication.</w:t>
      </w:r>
    </w:p>
    <w:p w:rsidR="006A5EC4" w:rsidRDefault="003B1DB1" w14:paraId="3C381106" w14:textId="77777777">
      <w:pPr>
        <w:ind w:left="520" w:firstLine="0"/>
      </w:pPr>
      <w:r>
        <w:t>(2) A notice of intent must include:</w:t>
      </w:r>
    </w:p>
    <w:p w:rsidR="006A5EC4" w:rsidRDefault="003B1DB1" w14:paraId="4DF1DF15" w14:textId="77777777">
      <w:pPr>
        <w:numPr>
          <w:ilvl w:val="0"/>
          <w:numId w:val="3"/>
        </w:numPr>
      </w:pPr>
      <w:r>
        <w:t>The exact name, business address, and telephone number of the prospective applicant; and</w:t>
      </w:r>
    </w:p>
    <w:p w:rsidR="006A5EC4" w:rsidRDefault="003B1DB1" w14:paraId="5308028B" w14:textId="77777777">
      <w:pPr>
        <w:numPr>
          <w:ilvl w:val="0"/>
          <w:numId w:val="3"/>
        </w:numPr>
      </w:pPr>
      <w:r>
        <w:t>An unequivocal statement of intent to submit a preliminary permit application or a development application (specify which</w:t>
      </w:r>
      <w:r>
        <w:t xml:space="preserve"> type of application).</w:t>
      </w:r>
    </w:p>
    <w:p w:rsidR="006A5EC4" w:rsidRDefault="003B1DB1" w14:paraId="75566722" w14:textId="77777777">
      <w:pPr>
        <w:ind w:left="-15"/>
      </w:pPr>
      <w:r>
        <w:t xml:space="preserve">(d) </w:t>
      </w:r>
      <w:r>
        <w:t>Requirements for competing applications.</w:t>
      </w:r>
      <w:r>
        <w:t xml:space="preserve"> (1) Any competing application must:</w:t>
      </w:r>
    </w:p>
    <w:p w:rsidR="006A5EC4" w:rsidRDefault="003B1DB1" w14:paraId="0EBF7EFD" w14:textId="77777777">
      <w:pPr>
        <w:numPr>
          <w:ilvl w:val="0"/>
          <w:numId w:val="4"/>
        </w:numPr>
      </w:pPr>
      <w:r>
        <w:t>Conform to all requirements for filing an initial application; and</w:t>
      </w:r>
    </w:p>
    <w:p w:rsidR="006A5EC4" w:rsidRDefault="003B1DB1" w14:paraId="6377584B" w14:textId="77777777">
      <w:pPr>
        <w:numPr>
          <w:ilvl w:val="0"/>
          <w:numId w:val="4"/>
        </w:numPr>
      </w:pPr>
      <w:r>
        <w:t>Include proof of service of a copy of the competing application on the person(s) desi</w:t>
      </w:r>
      <w:r>
        <w:t>gnated in the public notice of the initial application for service of pleadings, documents, or communications concerning the initial application.</w:t>
      </w:r>
    </w:p>
    <w:p w:rsidR="006A5EC4" w:rsidRDefault="003B1DB1" w14:paraId="748331C6" w14:textId="77777777">
      <w:pPr>
        <w:ind w:left="-15"/>
      </w:pPr>
      <w:r>
        <w:t xml:space="preserve">(2) </w:t>
      </w:r>
      <w:r>
        <w:t>Comparisons of plans of development.</w:t>
      </w:r>
      <w:r>
        <w:t xml:space="preserve"> (</w:t>
      </w:r>
      <w:proofErr w:type="spellStart"/>
      <w:r>
        <w:t>i</w:t>
      </w:r>
      <w:proofErr w:type="spellEnd"/>
      <w:r>
        <w:t>) After the deadline for filing applications in competition against</w:t>
      </w:r>
      <w:r>
        <w:t xml:space="preserve"> an initial development application has expired, the Commission will notify each license and exemption applicant of the identity of the other applicants.</w:t>
      </w:r>
    </w:p>
    <w:p w:rsidR="006A5EC4" w:rsidRDefault="003B1DB1" w14:paraId="681974C9" w14:textId="77777777">
      <w:pPr>
        <w:numPr>
          <w:ilvl w:val="0"/>
          <w:numId w:val="5"/>
        </w:numPr>
      </w:pPr>
      <w:r>
        <w:t>Not later than 14 days after the Commission serves the notification described in paragraph (d)(2)(</w:t>
      </w:r>
      <w:proofErr w:type="spellStart"/>
      <w:r>
        <w:t>i</w:t>
      </w:r>
      <w:proofErr w:type="spellEnd"/>
      <w:r>
        <w:t>) o</w:t>
      </w:r>
      <w:r>
        <w:t>f this section, if a license or exemption applicant has not already done so, it must serve a copy of its application on each of the other license and exemption applicants.</w:t>
      </w:r>
    </w:p>
    <w:p w:rsidR="006A5EC4" w:rsidRDefault="003B1DB1" w14:paraId="33A2269A" w14:textId="77777777">
      <w:pPr>
        <w:numPr>
          <w:ilvl w:val="0"/>
          <w:numId w:val="5"/>
        </w:numPr>
      </w:pPr>
      <w:r>
        <w:lastRenderedPageBreak/>
        <w:t>Not later than 60 days after the Commission serves the notification described in par</w:t>
      </w:r>
      <w:r>
        <w:t>agraph (d)(2)(</w:t>
      </w:r>
      <w:proofErr w:type="spellStart"/>
      <w:r>
        <w:t>i</w:t>
      </w:r>
      <w:proofErr w:type="spellEnd"/>
      <w:r>
        <w:t>) of this section, each license and exemption applicant must file with the Commission a detailed and complete statement of how its plans are as well or better adapted than are the plans of each of the other license and exemption applicants t</w:t>
      </w:r>
      <w:r>
        <w:t>o develop, conserve, and utilize in the public interest the water resources of the region. These statements should be supported by any technical analyses that the applicant deems appropriate to support its proposed plans of development.</w:t>
      </w:r>
    </w:p>
    <w:p w:rsidR="006A5EC4" w:rsidRDefault="003B1DB1" w14:paraId="6EAFA4C7" w14:textId="77777777">
      <w:pPr>
        <w:spacing w:after="234" w:line="259" w:lineRule="auto"/>
        <w:ind w:firstLine="0"/>
      </w:pPr>
      <w:r>
        <w:rPr>
          <w:sz w:val="24"/>
        </w:rPr>
        <w:t xml:space="preserve">[Order 413, 50 FR 11680, Mar. 25, 1985; 50 FR 23947, June 7, 1985] </w:t>
      </w:r>
    </w:p>
    <w:p w:rsidR="006A5EC4" w:rsidRDefault="003B1DB1" w14:paraId="63516765" w14:textId="77777777">
      <w:pPr>
        <w:spacing w:after="0" w:line="259" w:lineRule="auto"/>
        <w:ind w:firstLine="0"/>
      </w:pPr>
      <w:r>
        <w:rPr>
          <w:color w:val="3E71AE"/>
          <w:sz w:val="19"/>
        </w:rPr>
        <w:t>Need assistance?</w:t>
      </w:r>
    </w:p>
    <w:sectPr w:rsidR="006A5EC4">
      <w:headerReference w:type="even" r:id="rId10"/>
      <w:headerReference w:type="default" r:id="rId11"/>
      <w:footerReference w:type="even" r:id="rId12"/>
      <w:footerReference w:type="default" r:id="rId13"/>
      <w:headerReference w:type="first" r:id="rId14"/>
      <w:footerReference w:type="first" r:id="rId15"/>
      <w:pgSz w:w="12240" w:h="15840"/>
      <w:pgMar w:top="1171" w:right="1270" w:bottom="1650"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E948A" w14:textId="77777777" w:rsidR="00000000" w:rsidRDefault="003B1DB1">
      <w:pPr>
        <w:spacing w:after="0" w:line="240" w:lineRule="auto"/>
      </w:pPr>
      <w:r>
        <w:separator/>
      </w:r>
    </w:p>
  </w:endnote>
  <w:endnote w:type="continuationSeparator" w:id="0">
    <w:p w14:paraId="02957AE3" w14:textId="77777777" w:rsidR="00000000" w:rsidRDefault="003B1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6A572" w14:textId="77777777" w:rsidR="006A5EC4" w:rsidRDefault="003B1DB1">
    <w:pPr>
      <w:spacing w:after="0" w:line="259" w:lineRule="auto"/>
      <w:ind w:left="-180" w:right="-190" w:firstLine="0"/>
      <w:jc w:val="both"/>
    </w:pPr>
    <w:r>
      <w:rPr>
        <w:sz w:val="24"/>
      </w:rPr>
      <w:t>https://www.ecfr.gov/cgi-b</w:t>
    </w:r>
    <w:r>
      <w:rPr>
        <w:sz w:val="24"/>
      </w:rPr>
      <w:t>in/text-idx?SID=ec8920cf7f3ab3d46c3a91e00101721d&amp;mc=tru... 5/18/2021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92F99" w14:textId="77777777" w:rsidR="006A5EC4" w:rsidRDefault="003B1DB1">
    <w:pPr>
      <w:spacing w:after="0" w:line="259" w:lineRule="auto"/>
      <w:ind w:left="-180" w:right="-190" w:firstLine="0"/>
      <w:jc w:val="both"/>
    </w:pPr>
    <w:r>
      <w:rPr>
        <w:sz w:val="24"/>
      </w:rPr>
      <w:t>https://www.ecfr.gov/cgi-bin/text-idx?SID=ec8920cf7f3ab3d46c3a91e00101721d&amp;mc=tru... 5/18/2021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B3521" w14:textId="77777777" w:rsidR="006A5EC4" w:rsidRDefault="003B1DB1">
    <w:pPr>
      <w:spacing w:after="0" w:line="259" w:lineRule="auto"/>
      <w:ind w:left="-180" w:right="-190" w:firstLine="0"/>
      <w:jc w:val="both"/>
    </w:pPr>
    <w:r>
      <w:rPr>
        <w:sz w:val="24"/>
      </w:rPr>
      <w:t>https://www.ecfr.gov/cgi-bin/text-idx?SID=ec8920cf7f3ab3d46c3a91e00101721d&amp;mc=tru... 5/18/</w:t>
    </w:r>
    <w:r>
      <w:rPr>
        <w:sz w:val="24"/>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C7E03" w14:textId="77777777" w:rsidR="00000000" w:rsidRDefault="003B1DB1">
      <w:pPr>
        <w:spacing w:after="0" w:line="240" w:lineRule="auto"/>
      </w:pPr>
      <w:r>
        <w:separator/>
      </w:r>
    </w:p>
  </w:footnote>
  <w:footnote w:type="continuationSeparator" w:id="0">
    <w:p w14:paraId="03677F69" w14:textId="77777777" w:rsidR="00000000" w:rsidRDefault="003B1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BD2BF" w14:textId="77777777" w:rsidR="006A5EC4" w:rsidRDefault="003B1DB1">
    <w:pPr>
      <w:tabs>
        <w:tab w:val="right" w:pos="9710"/>
      </w:tabs>
      <w:spacing w:after="0" w:line="259" w:lineRule="auto"/>
      <w:ind w:left="-180" w:right="-190"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53DC0" w14:textId="77777777" w:rsidR="006A5EC4" w:rsidRDefault="003B1DB1">
    <w:pPr>
      <w:tabs>
        <w:tab w:val="right" w:pos="9710"/>
      </w:tabs>
      <w:spacing w:after="0" w:line="259" w:lineRule="auto"/>
      <w:ind w:left="-180" w:right="-190"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9268D" w14:textId="77777777" w:rsidR="006A5EC4" w:rsidRDefault="003B1DB1">
    <w:pPr>
      <w:tabs>
        <w:tab w:val="right" w:pos="9710"/>
      </w:tabs>
      <w:spacing w:after="0" w:line="259" w:lineRule="auto"/>
      <w:ind w:left="-180" w:right="-190"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2FF"/>
    <w:multiLevelType w:val="hybridMultilevel"/>
    <w:tmpl w:val="F5B253BE"/>
    <w:lvl w:ilvl="0" w:tplc="35F4342C">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302A7C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124E2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B5EE7A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0892F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7AD2E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6E068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008AF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D0AEC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7722BD9"/>
    <w:multiLevelType w:val="hybridMultilevel"/>
    <w:tmpl w:val="A5423FDE"/>
    <w:lvl w:ilvl="0" w:tplc="8F26370E">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CC148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6E0BF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D2C5D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0EBB0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943FE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49A99A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2C511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108B0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EA93A1D"/>
    <w:multiLevelType w:val="hybridMultilevel"/>
    <w:tmpl w:val="6DC834F6"/>
    <w:lvl w:ilvl="0" w:tplc="3C004D90">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92ACD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A2DDA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1A0E2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DC01A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EA5C2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621E4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62D69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D4D36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2686EEF"/>
    <w:multiLevelType w:val="hybridMultilevel"/>
    <w:tmpl w:val="51B89768"/>
    <w:lvl w:ilvl="0" w:tplc="E11C9938">
      <w:start w:val="1"/>
      <w:numFmt w:val="lowerRoman"/>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C834D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32366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8238C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BA161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06ABC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54E17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02955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B324BD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6777135B"/>
    <w:multiLevelType w:val="hybridMultilevel"/>
    <w:tmpl w:val="73C6E3BC"/>
    <w:lvl w:ilvl="0" w:tplc="2DA47636">
      <w:start w:val="2"/>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B18588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BE194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084F6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3E0E9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2C0E9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8AE39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AAAD7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664BA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EC4"/>
    <w:rsid w:val="003B1DB1"/>
    <w:rsid w:val="006A5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5FDF"/>
  <w15:docId w15:val="{533DE625-43F7-4C1C-A6B2-196238B8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9ACDED-9BEB-43FC-875D-F89839DF2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41D06-E4D8-495B-A808-A378B0D7412B}">
  <ds:schemaRefs>
    <ds:schemaRef ds:uri="http://schemas.microsoft.com/sharepoint/v3/contenttype/forms"/>
  </ds:schemaRefs>
</ds:datastoreItem>
</file>

<file path=customXml/itemProps3.xml><?xml version="1.0" encoding="utf-8"?>
<ds:datastoreItem xmlns:ds="http://schemas.openxmlformats.org/officeDocument/2006/customXml" ds:itemID="{8ECA5CC1-0B5D-4CBE-A278-49E9A3C9DBE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4393</Characters>
  <Application>Microsoft Office Word</Application>
  <DocSecurity>0</DocSecurity>
  <Lines>77</Lines>
  <Paragraphs>20</Paragraphs>
  <ScaleCrop>false</ScaleCrop>
  <Company>Federal Energy Regulatory Commission</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https://www.ecfr.gov/cgi-bin/text-idx?SID=ec8920cf7f3ab3d46c3a9</dc:title>
  <dc:subject/>
  <dc:creator>jnsed34</dc:creator>
  <cp:keywords/>
  <cp:lastModifiedBy>Jean Sonneman</cp:lastModifiedBy>
  <cp:revision>2</cp:revision>
  <dcterms:created xsi:type="dcterms:W3CDTF">2021-05-18T18:13:00Z</dcterms:created>
  <dcterms:modified xsi:type="dcterms:W3CDTF">2021-05-18T18:13:00Z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