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7552" w:rsidRDefault="007A6D74" w14:paraId="53F9470A" w14:textId="77777777">
      <w:pPr>
        <w:tabs>
          <w:tab w:val="right" w:pos="10080"/>
        </w:tabs>
        <w:spacing w:after="1026" w:line="265" w:lineRule="auto"/>
        <w:ind w:left="-15" w:right="-15" w:firstLine="0"/>
      </w:pPr>
      <w:bookmarkStart w:name="_GoBack" w:id="0"/>
      <w:bookmarkEnd w:id="0"/>
      <w:r>
        <w:rPr>
          <w:sz w:val="24"/>
        </w:rPr>
        <w:t>Electronic Code of Federal Regulations (</w:t>
      </w:r>
      <w:proofErr w:type="spellStart"/>
      <w:r>
        <w:rPr>
          <w:sz w:val="24"/>
        </w:rPr>
        <w:t>eCFR</w:t>
      </w:r>
      <w:proofErr w:type="spellEnd"/>
      <w:r>
        <w:rPr>
          <w:sz w:val="24"/>
        </w:rPr>
        <w:t>)</w:t>
      </w:r>
      <w:r>
        <w:rPr>
          <w:sz w:val="24"/>
        </w:rPr>
        <w:tab/>
        <w:t>Page 1 of 2</w:t>
      </w:r>
    </w:p>
    <w:p w:rsidR="00D67552" w:rsidRDefault="007A6D74" w14:paraId="1D272CB7" w14:textId="77777777">
      <w:pPr>
        <w:spacing w:after="337" w:line="259" w:lineRule="auto"/>
        <w:ind w:firstLine="0"/>
      </w:pPr>
      <w:r>
        <w:rPr>
          <w:color w:val="575757"/>
          <w:sz w:val="32"/>
        </w:rPr>
        <w:t>ELECTRONIC CODE OF FEDERAL REGULATIONS</w:t>
      </w:r>
    </w:p>
    <w:p w:rsidR="00D67552" w:rsidRDefault="007A6D74" w14:paraId="02EB3968" w14:textId="77777777">
      <w:pPr>
        <w:spacing w:after="523" w:line="259" w:lineRule="auto"/>
        <w:ind w:left="1197" w:firstLine="0"/>
      </w:pPr>
      <w:r>
        <w:rPr>
          <w:color w:val="FF0000"/>
          <w:sz w:val="32"/>
        </w:rPr>
        <w:t>e-CFR data is current as of May 17, 2021</w:t>
      </w:r>
    </w:p>
    <w:p w:rsidR="00D67552" w:rsidRDefault="007A6D74" w14:paraId="150604DB" w14:textId="77777777">
      <w:pPr>
        <w:spacing w:after="482" w:line="265" w:lineRule="auto"/>
        <w:ind w:left="175" w:hanging="1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16</w:t>
      </w:r>
      <w:r>
        <w:t xml:space="preserve"> → </w:t>
      </w:r>
      <w:r>
        <w:rPr>
          <w:color w:val="3E71AE"/>
        </w:rPr>
        <w:t>Subpart A</w:t>
      </w:r>
      <w:r>
        <w:t xml:space="preserve"> → §16.4</w:t>
      </w:r>
    </w:p>
    <w:p w:rsidR="00D67552" w:rsidRDefault="007A6D74" w14:paraId="22F4F046" w14:textId="77777777">
      <w:pPr>
        <w:spacing w:after="11"/>
        <w:ind w:left="165" w:right="88" w:firstLine="0"/>
      </w:pPr>
      <w:r>
        <w:t xml:space="preserve">Title 18: Conservation of Power and Water Resources </w:t>
      </w:r>
    </w:p>
    <w:p w:rsidR="00D67552" w:rsidRDefault="007A6D74" w14:paraId="29B26614" w14:textId="77777777">
      <w:pPr>
        <w:spacing w:after="0" w:line="265" w:lineRule="auto"/>
        <w:ind w:left="175" w:hanging="10"/>
      </w:pPr>
      <w:r>
        <w:rPr>
          <w:color w:val="3E71AE"/>
        </w:rPr>
        <w:t xml:space="preserve">PART 16—PROCEDURES RELATING TO TAKEOVER AND RELICENSING OF </w:t>
      </w:r>
    </w:p>
    <w:p w:rsidR="00D67552" w:rsidRDefault="007A6D74" w14:paraId="3C02CD08" w14:textId="77777777">
      <w:pPr>
        <w:spacing w:after="0" w:line="265" w:lineRule="auto"/>
        <w:ind w:left="175" w:hanging="10"/>
      </w:pPr>
      <w:r>
        <w:rPr>
          <w:color w:val="3E71AE"/>
        </w:rPr>
        <w:t xml:space="preserve">LICENSED PROJECTS </w:t>
      </w:r>
    </w:p>
    <w:p w:rsidR="00D67552" w:rsidRDefault="007A6D74" w14:paraId="5280757C" w14:textId="77777777">
      <w:pPr>
        <w:spacing w:after="0" w:line="265" w:lineRule="auto"/>
        <w:ind w:left="175" w:hanging="10"/>
      </w:pPr>
      <w:r>
        <w:rPr>
          <w:color w:val="3E71AE"/>
        </w:rPr>
        <w:t>Subpart A—General Provisions</w:t>
      </w:r>
    </w:p>
    <w:p w:rsidR="00D67552" w:rsidRDefault="007A6D74" w14:paraId="2527FE20" w14:textId="77777777">
      <w:pPr>
        <w:spacing w:after="246" w:line="259" w:lineRule="auto"/>
        <w:ind w:firstLine="0"/>
      </w:pPr>
      <w:r>
        <w:rPr>
          <w:rFonts w:ascii="Calibri" w:hAnsi="Calibri" w:eastAsia="Calibri" w:cs="Calibri"/>
          <w:noProof/>
          <w:sz w:val="22"/>
        </w:rPr>
        <mc:AlternateContent>
          <mc:Choice Requires="wpg">
            <w:drawing>
              <wp:inline distT="0" distB="0" distL="0" distR="0" wp14:anchorId="637EF105" wp14:editId="17F13917">
                <wp:extent cx="6172200" cy="19050"/>
                <wp:effectExtent l="0" t="0" r="0" b="0"/>
                <wp:docPr id="1066" name="Group 1066"/>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1066"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D67552" w:rsidRDefault="007A6D74" w14:paraId="0A4CD092" w14:textId="77777777">
      <w:pPr>
        <w:spacing w:after="234" w:line="259" w:lineRule="auto"/>
        <w:ind w:firstLine="0"/>
      </w:pPr>
      <w:r>
        <w:t>§16.4   Acceleration of a license expiration date.</w:t>
      </w:r>
    </w:p>
    <w:p w:rsidR="00D67552" w:rsidRDefault="007A6D74" w14:paraId="3FEA1455" w14:textId="77777777">
      <w:pPr>
        <w:ind w:left="165" w:right="88"/>
      </w:pPr>
      <w:r>
        <w:t xml:space="preserve">(a) </w:t>
      </w:r>
      <w:r>
        <w:t>Request for acceleration.</w:t>
      </w:r>
      <w:r>
        <w:t xml:space="preserve"> (1) A licens</w:t>
      </w:r>
      <w:r>
        <w:t>ee may file with the Commission, in accordance with the formal filing requirements in subpart T of part 385 of this chapter, a written request for acceleration of the expiration date of its existing license, containing the statements and information specif</w:t>
      </w:r>
      <w:r>
        <w:t xml:space="preserve">ied in §16.6(b) and a detailed explanation of the basis for the acceleration request. </w:t>
      </w:r>
    </w:p>
    <w:p w:rsidR="00D67552" w:rsidRDefault="007A6D74" w14:paraId="121AC990" w14:textId="77777777">
      <w:pPr>
        <w:ind w:left="165" w:right="88"/>
      </w:pPr>
      <w:r>
        <w:t>(2) If the Commission grants the request for acceleration pursuant to paragraph (c), the Commission will deem the request for acceleration to be a notice of intent under</w:t>
      </w:r>
      <w:r>
        <w:t xml:space="preserve"> §16.6 and, unless the Commission directs otherwise, the licensee shall make available the information specified in §16.7 no later than 90 days from the date that the Commission grants the request for acceleration. </w:t>
      </w:r>
    </w:p>
    <w:p w:rsidR="00D67552" w:rsidRDefault="007A6D74" w14:paraId="28B35422" w14:textId="77777777">
      <w:pPr>
        <w:ind w:left="165" w:right="88"/>
      </w:pPr>
      <w:r>
        <w:t xml:space="preserve">(b) </w:t>
      </w:r>
      <w:r>
        <w:t>Notice of request for acceleration.</w:t>
      </w:r>
      <w:r>
        <w:t xml:space="preserve"> </w:t>
      </w:r>
      <w:r>
        <w:t xml:space="preserve">(1) Upon receipt of a request for acceleration, the Commission will give notice of the licensee's request and provide a </w:t>
      </w:r>
    </w:p>
    <w:p w:rsidR="00D67552" w:rsidRDefault="007A6D74" w14:paraId="02AF6663" w14:textId="77777777">
      <w:pPr>
        <w:ind w:left="165" w:right="88"/>
      </w:pPr>
      <w:r>
        <w:t xml:space="preserve">45-day period for comments by interested persons by: </w:t>
      </w:r>
    </w:p>
    <w:p w:rsidR="00D67552" w:rsidRDefault="007A6D74" w14:paraId="1DF782C3" w14:textId="77777777">
      <w:pPr>
        <w:numPr>
          <w:ilvl w:val="0"/>
          <w:numId w:val="1"/>
        </w:numPr>
        <w:ind w:right="88"/>
      </w:pPr>
      <w:r>
        <w:t>Publishing notice in the F</w:t>
      </w:r>
      <w:r>
        <w:rPr>
          <w:sz w:val="22"/>
        </w:rPr>
        <w:t>EDERAL</w:t>
      </w:r>
      <w:r>
        <w:t xml:space="preserve"> R</w:t>
      </w:r>
      <w:r>
        <w:rPr>
          <w:sz w:val="22"/>
        </w:rPr>
        <w:t>EGISTER</w:t>
      </w:r>
      <w:r>
        <w:t>;</w:t>
      </w:r>
    </w:p>
    <w:p w:rsidR="00D67552" w:rsidRDefault="007A6D74" w14:paraId="3B603F6B" w14:textId="77777777">
      <w:pPr>
        <w:numPr>
          <w:ilvl w:val="0"/>
          <w:numId w:val="1"/>
        </w:numPr>
        <w:ind w:right="88"/>
      </w:pPr>
      <w:r>
        <w:t xml:space="preserve">Publishing notice once in a daily or weekly newspaper published in the county or counties in which the project or any part thereof or the lands affected thereby are situated; and </w:t>
      </w:r>
    </w:p>
    <w:p w:rsidR="00D67552" w:rsidRDefault="007A6D74" w14:paraId="766DCEC6" w14:textId="77777777">
      <w:pPr>
        <w:numPr>
          <w:ilvl w:val="0"/>
          <w:numId w:val="1"/>
        </w:numPr>
        <w:ind w:right="88"/>
      </w:pPr>
      <w:r>
        <w:t>Notifying appropriate Federal, state, and interstate resource agencies and I</w:t>
      </w:r>
      <w:r>
        <w:t>ndian tribes by mail.</w:t>
      </w:r>
    </w:p>
    <w:p w:rsidR="00D67552" w:rsidRDefault="007A6D74" w14:paraId="6DA27923" w14:textId="77777777">
      <w:pPr>
        <w:spacing w:after="0" w:line="483" w:lineRule="auto"/>
        <w:ind w:left="0" w:firstLine="700"/>
        <w:jc w:val="both"/>
      </w:pPr>
      <w:r>
        <w:t>(2) The notice issued pursuant to paragraphs (1) (</w:t>
      </w:r>
      <w:proofErr w:type="spellStart"/>
      <w:r>
        <w:t>i</w:t>
      </w:r>
      <w:proofErr w:type="spellEnd"/>
      <w:r>
        <w:t xml:space="preserve">) and (ii) and the written notice given pursuant to paragraph (1)(iii) will be considered as fulfilling the notice provisions of §16.6(d) should the Commission grant the acceleration </w:t>
      </w:r>
      <w:r>
        <w:t xml:space="preserve">request and will include an explanation of the basis </w:t>
      </w:r>
      <w:r>
        <w:lastRenderedPageBreak/>
        <w:t xml:space="preserve">for the licensee's acceleration request. </w:t>
      </w:r>
      <w:r>
        <w:rPr>
          <w:sz w:val="24"/>
        </w:rPr>
        <w:t>https://www.ecfr.gov/cgi-bin/text-idx?SID=f918bfb594fc609e336deb79f61f7c71&amp;mc=tru... 5/19/2021</w:t>
      </w:r>
    </w:p>
    <w:p w:rsidR="00D67552" w:rsidRDefault="007A6D74" w14:paraId="0D0E339F" w14:textId="77777777">
      <w:pPr>
        <w:tabs>
          <w:tab w:val="right" w:pos="10080"/>
        </w:tabs>
        <w:spacing w:after="847" w:line="265" w:lineRule="auto"/>
        <w:ind w:left="-15" w:right="-15" w:firstLine="0"/>
      </w:pPr>
      <w:r>
        <w:rPr>
          <w:sz w:val="24"/>
        </w:rPr>
        <w:t>Electronic Code of Federal Regulations (</w:t>
      </w:r>
      <w:proofErr w:type="spellStart"/>
      <w:r>
        <w:rPr>
          <w:sz w:val="24"/>
        </w:rPr>
        <w:t>eCFR</w:t>
      </w:r>
      <w:proofErr w:type="spellEnd"/>
      <w:r>
        <w:rPr>
          <w:sz w:val="24"/>
        </w:rPr>
        <w:t>)</w:t>
      </w:r>
      <w:r>
        <w:rPr>
          <w:sz w:val="24"/>
        </w:rPr>
        <w:tab/>
        <w:t>Page 2 of 2</w:t>
      </w:r>
    </w:p>
    <w:p w:rsidR="00D67552" w:rsidRDefault="007A6D74" w14:paraId="74DF10A2" w14:textId="77777777">
      <w:pPr>
        <w:ind w:left="165" w:right="88"/>
      </w:pPr>
      <w:r>
        <w:t xml:space="preserve">(c) </w:t>
      </w:r>
      <w:r>
        <w:t>Commi</w:t>
      </w:r>
      <w:r>
        <w:t>ssion order.</w:t>
      </w:r>
      <w:r>
        <w:t xml:space="preserve"> If the Commission determines it is in the public interest, the Commission will issue an order accelerating the expiration date of the license to not less than five years and 90 days from the date of the Commission order. </w:t>
      </w:r>
    </w:p>
    <w:p w:rsidR="00D67552" w:rsidRDefault="007A6D74" w14:paraId="2C8E07B2" w14:textId="77777777">
      <w:pPr>
        <w:spacing w:after="13046" w:line="259" w:lineRule="auto"/>
        <w:ind w:firstLine="0"/>
      </w:pPr>
      <w:r>
        <w:rPr>
          <w:color w:val="3E71AE"/>
          <w:sz w:val="19"/>
        </w:rPr>
        <w:t>Need assistance?</w:t>
      </w:r>
    </w:p>
    <w:p w:rsidR="00D67552" w:rsidRDefault="007A6D74" w14:paraId="5FCA006B" w14:textId="77777777">
      <w:pPr>
        <w:tabs>
          <w:tab w:val="right" w:pos="10080"/>
        </w:tabs>
        <w:spacing w:after="5" w:line="265" w:lineRule="auto"/>
        <w:ind w:left="-15" w:right="-15" w:firstLine="0"/>
      </w:pPr>
      <w:r>
        <w:rPr>
          <w:sz w:val="24"/>
        </w:rPr>
        <w:lastRenderedPageBreak/>
        <w:t>http</w:t>
      </w:r>
      <w:r>
        <w:rPr>
          <w:sz w:val="24"/>
        </w:rPr>
        <w:t>s://www.ecfr.gov/cgi-bin/text-idx?SID=f918bfb594fc609e336deb79f61f7c71&amp;mc=tru...</w:t>
      </w:r>
      <w:r>
        <w:rPr>
          <w:sz w:val="24"/>
        </w:rPr>
        <w:tab/>
        <w:t>5/19/2021</w:t>
      </w:r>
    </w:p>
    <w:sectPr w:rsidR="00D67552">
      <w:pgSz w:w="12240" w:h="15840"/>
      <w:pgMar w:top="47" w:right="1080" w:bottom="1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E36C13"/>
    <w:multiLevelType w:val="hybridMultilevel"/>
    <w:tmpl w:val="BCA45EF0"/>
    <w:lvl w:ilvl="0" w:tplc="AB9046EE">
      <w:start w:val="1"/>
      <w:numFmt w:val="lowerRoman"/>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A6AD9B0">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94498BC">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04C5E4C">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2747C3A">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F26F38C">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984FEBA">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B70D26C">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6EE2392">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552"/>
    <w:rsid w:val="007A6D74"/>
    <w:rsid w:val="00D67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7AFE2"/>
  <w15:docId w15:val="{964CFD6A-6B64-4267-949E-F0E7C860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8" w:line="249" w:lineRule="auto"/>
      <w:ind w:left="180"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154B2E-D605-4A88-A0EC-254379D48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67D138-54CD-417D-9827-B5CEFB7514D6}">
  <ds:schemaRefs>
    <ds:schemaRef ds:uri="http://schemas.microsoft.com/sharepoint/v3/contenttype/forms"/>
  </ds:schemaRefs>
</ds:datastoreItem>
</file>

<file path=customXml/itemProps3.xml><?xml version="1.0" encoding="utf-8"?>
<ds:datastoreItem xmlns:ds="http://schemas.openxmlformats.org/officeDocument/2006/customXml" ds:itemID="{8E8C1CFB-8E97-4942-8D34-DF63EB762B36}">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087c83cf-0993-4cd6-bfdc-b1c6ea4d56ce"/>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382</Words>
  <Characters>2179</Characters>
  <Application>Microsoft Office Word</Application>
  <DocSecurity>0</DocSecurity>
  <Lines>18</Lines>
  <Paragraphs>5</Paragraphs>
  <ScaleCrop>false</ScaleCrop>
  <Company>Federal Energy Regulatory Commission</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https://www.ecfr.gov/cgi-bin/text-idx?SID=f918bfb594fc609e336de</dc:title>
  <dc:subject/>
  <dc:creator>jnsed34</dc:creator>
  <cp:keywords/>
  <cp:lastModifiedBy>Jean Sonneman</cp:lastModifiedBy>
  <cp:revision>2</cp:revision>
  <dcterms:created xsi:type="dcterms:W3CDTF">2021-05-19T12:46:00Z</dcterms:created>
  <dcterms:modified xsi:type="dcterms:W3CDTF">2021-05-19T12:46:00Z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