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82" w:rsidRDefault="001D712C" w14:paraId="2444F4E7" w14:textId="77777777">
      <w:pPr>
        <w:tabs>
          <w:tab w:val="right" w:pos="10080"/>
        </w:tabs>
        <w:spacing w:after="1026" w:line="265" w:lineRule="auto"/>
        <w:ind w:left="-15" w:right="-15"/>
      </w:pPr>
      <w:r>
        <w:rPr>
          <w:rFonts w:ascii="Times New Roman" w:hAnsi="Times New Roman" w:eastAsia="Times New Roman" w:cs="Times New Roman"/>
          <w:sz w:val="24"/>
        </w:rPr>
        <w:t>Electronic Code of Federal Regulations (eCFR)</w:t>
      </w:r>
      <w:r>
        <w:rPr>
          <w:rFonts w:ascii="Times New Roman" w:hAnsi="Times New Roman" w:eastAsia="Times New Roman" w:cs="Times New Roman"/>
          <w:sz w:val="24"/>
        </w:rPr>
        <w:tab/>
        <w:t>Page 1 of 1</w:t>
      </w:r>
    </w:p>
    <w:p w:rsidR="00337782" w:rsidRDefault="001D712C" w14:paraId="04741744" w14:textId="77777777">
      <w:pPr>
        <w:spacing w:after="337"/>
        <w:ind w:left="180"/>
      </w:pPr>
      <w:r>
        <w:rPr>
          <w:rFonts w:ascii="Times New Roman" w:hAnsi="Times New Roman" w:eastAsia="Times New Roman" w:cs="Times New Roman"/>
          <w:color w:val="575757"/>
          <w:sz w:val="32"/>
        </w:rPr>
        <w:t>ELECTRONIC CODE OF FEDERAL REGULATIONS</w:t>
      </w:r>
    </w:p>
    <w:p w:rsidR="00337782" w:rsidRDefault="001D712C" w14:paraId="74AD3AE8" w14:textId="77777777">
      <w:pPr>
        <w:spacing w:after="523"/>
        <w:ind w:left="1197"/>
      </w:pPr>
      <w:r>
        <w:rPr>
          <w:rFonts w:ascii="Times New Roman" w:hAnsi="Times New Roman" w:eastAsia="Times New Roman" w:cs="Times New Roman"/>
          <w:color w:val="FF0000"/>
          <w:sz w:val="32"/>
        </w:rPr>
        <w:t>e-CFR data is current as of May 17, 2021</w:t>
      </w:r>
    </w:p>
    <w:p w:rsidR="00337782" w:rsidRDefault="001D712C" w14:paraId="34B9C0C1" w14:textId="77777777">
      <w:pPr>
        <w:spacing w:after="500" w:line="249" w:lineRule="auto"/>
        <w:ind w:left="175" w:hanging="10"/>
      </w:pPr>
      <w:bookmarkStart w:name="_GoBack" w:id="0"/>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16</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B</w:t>
      </w:r>
      <w:r>
        <w:rPr>
          <w:rFonts w:ascii="Times New Roman" w:hAnsi="Times New Roman" w:eastAsia="Times New Roman" w:cs="Times New Roman"/>
          <w:sz w:val="26"/>
        </w:rPr>
        <w:t xml:space="preserve"> → §16.12</w:t>
      </w:r>
    </w:p>
    <w:bookmarkEnd w:id="0"/>
    <w:p w:rsidR="00337782" w:rsidRDefault="001D712C" w14:paraId="55248A4C" w14:textId="77777777">
      <w:pPr>
        <w:spacing w:after="11" w:line="249" w:lineRule="auto"/>
        <w:ind w:left="165" w:right="89"/>
      </w:pPr>
      <w:r>
        <w:rPr>
          <w:rFonts w:ascii="Times New Roman" w:hAnsi="Times New Roman" w:eastAsia="Times New Roman" w:cs="Times New Roman"/>
          <w:sz w:val="26"/>
        </w:rPr>
        <w:t xml:space="preserve">Title 18: Conservation of Power and Water Resources </w:t>
      </w:r>
    </w:p>
    <w:p w:rsidR="00337782" w:rsidRDefault="001D712C" w14:paraId="75DA6BCF" w14:textId="77777777">
      <w:pPr>
        <w:spacing w:after="11" w:line="249" w:lineRule="auto"/>
        <w:ind w:left="175" w:hanging="10"/>
      </w:pPr>
      <w:r>
        <w:rPr>
          <w:rFonts w:ascii="Times New Roman" w:hAnsi="Times New Roman" w:eastAsia="Times New Roman" w:cs="Times New Roman"/>
          <w:color w:val="3E71AE"/>
          <w:sz w:val="26"/>
        </w:rPr>
        <w:t xml:space="preserve">PART 16—PROCEDURES RELATING TO TAKEOVER AND RELICENSING OF </w:t>
      </w:r>
    </w:p>
    <w:p w:rsidR="00337782" w:rsidRDefault="001D712C" w14:paraId="5766DB1C" w14:textId="77777777">
      <w:pPr>
        <w:spacing w:after="11" w:line="249" w:lineRule="auto"/>
        <w:ind w:left="175" w:hanging="10"/>
      </w:pPr>
      <w:r>
        <w:rPr>
          <w:rFonts w:ascii="Times New Roman" w:hAnsi="Times New Roman" w:eastAsia="Times New Roman" w:cs="Times New Roman"/>
          <w:color w:val="3E71AE"/>
          <w:sz w:val="26"/>
        </w:rPr>
        <w:t xml:space="preserve">LICENSED PROJECTS </w:t>
      </w:r>
    </w:p>
    <w:p w:rsidR="00337782" w:rsidRDefault="001D712C" w14:paraId="1FF0A534" w14:textId="77777777">
      <w:pPr>
        <w:spacing w:after="11" w:line="249" w:lineRule="auto"/>
        <w:ind w:left="175" w:hanging="10"/>
      </w:pPr>
      <w:r>
        <w:rPr>
          <w:rFonts w:ascii="Times New Roman" w:hAnsi="Times New Roman" w:eastAsia="Times New Roman" w:cs="Times New Roman"/>
          <w:color w:val="3E71AE"/>
          <w:sz w:val="26"/>
        </w:rPr>
        <w:t>Subpart B—Applications for Projects Subject to Sections 14 and 15 of the Federal Power Act</w:t>
      </w:r>
    </w:p>
    <w:p w:rsidR="00337782" w:rsidRDefault="001D712C" w14:paraId="6DFE822C" w14:textId="77777777">
      <w:pPr>
        <w:spacing w:after="244"/>
        <w:ind w:left="180"/>
      </w:pPr>
      <w:r>
        <w:rPr>
          <w:noProof/>
        </w:rPr>
        <mc:AlternateContent>
          <mc:Choice Requires="wpg">
            <w:drawing>
              <wp:inline distT="0" distB="0" distL="0" distR="0" wp14:anchorId="7876C557" wp14:editId="7F7D96D5">
                <wp:extent cx="6172200" cy="19050"/>
                <wp:effectExtent l="0" t="0" r="0" b="0"/>
                <wp:docPr id="567" name="Group 56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67"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337782" w:rsidRDefault="001D712C" w14:paraId="57D4BA5C" w14:textId="77777777">
      <w:pPr>
        <w:spacing w:after="260" w:line="238" w:lineRule="auto"/>
        <w:ind w:left="180" w:right="17"/>
      </w:pPr>
      <w:r>
        <w:rPr>
          <w:rFonts w:ascii="Times New Roman" w:hAnsi="Times New Roman" w:eastAsia="Times New Roman" w:cs="Times New Roman"/>
          <w:sz w:val="26"/>
        </w:rPr>
        <w:t>§16.12   Application for exempt</w:t>
      </w:r>
      <w:r>
        <w:rPr>
          <w:rFonts w:ascii="Times New Roman" w:hAnsi="Times New Roman" w:eastAsia="Times New Roman" w:cs="Times New Roman"/>
          <w:sz w:val="26"/>
        </w:rPr>
        <w:t>ion from licensing by a licensee whose license is subject to sections 14 and 15 of the Federal Power Act.</w:t>
      </w:r>
    </w:p>
    <w:p w:rsidR="00337782" w:rsidRDefault="001D712C" w14:paraId="16FE3650" w14:textId="77777777">
      <w:pPr>
        <w:numPr>
          <w:ilvl w:val="0"/>
          <w:numId w:val="1"/>
        </w:numPr>
        <w:spacing w:after="247" w:line="249" w:lineRule="auto"/>
        <w:ind w:right="89" w:firstLine="510"/>
      </w:pPr>
      <w:r>
        <w:rPr>
          <w:rFonts w:ascii="Times New Roman" w:hAnsi="Times New Roman" w:eastAsia="Times New Roman" w:cs="Times New Roman"/>
          <w:sz w:val="26"/>
        </w:rPr>
        <w:t xml:space="preserve">An existing licensee whose license is subject to sections 14 and 15 of the Federal Power Act may apply for an exemption for the project. </w:t>
      </w:r>
    </w:p>
    <w:p w:rsidR="00337782" w:rsidRDefault="001D712C" w14:paraId="31765B34" w14:textId="77777777">
      <w:pPr>
        <w:numPr>
          <w:ilvl w:val="0"/>
          <w:numId w:val="1"/>
        </w:numPr>
        <w:spacing w:after="0" w:line="249" w:lineRule="auto"/>
        <w:ind w:right="89" w:firstLine="510"/>
      </w:pPr>
      <w:r>
        <w:rPr>
          <w:rFonts w:ascii="Times New Roman" w:hAnsi="Times New Roman" w:eastAsia="Times New Roman" w:cs="Times New Roman"/>
          <w:sz w:val="26"/>
        </w:rPr>
        <w:t>An applicant</w:t>
      </w:r>
      <w:r>
        <w:rPr>
          <w:rFonts w:ascii="Times New Roman" w:hAnsi="Times New Roman" w:eastAsia="Times New Roman" w:cs="Times New Roman"/>
          <w:sz w:val="26"/>
        </w:rPr>
        <w:t xml:space="preserve"> for an exemption under paragraph (a) must meet the requirements of subpart K or subpart J of part 4 of this chapter, and §§16.5, 16.6, 16.7, 16.8, 16.9(b) (1), (2) (except the requirement to comply with §§4.41, 4.51, or </w:t>
      </w:r>
    </w:p>
    <w:p w:rsidR="00337782" w:rsidRDefault="001D712C" w14:paraId="24959FF3" w14:textId="77777777">
      <w:pPr>
        <w:spacing w:after="247" w:line="249" w:lineRule="auto"/>
        <w:ind w:left="165" w:right="89"/>
      </w:pPr>
      <w:r>
        <w:rPr>
          <w:rFonts w:ascii="Times New Roman" w:hAnsi="Times New Roman" w:eastAsia="Times New Roman" w:cs="Times New Roman"/>
          <w:sz w:val="26"/>
        </w:rPr>
        <w:t xml:space="preserve">4.61 of this chapter), 16.9(c), 16.10(a), 16.10(b), and 16.10(d). </w:t>
      </w:r>
    </w:p>
    <w:p w:rsidR="00337782" w:rsidRDefault="001D712C" w14:paraId="1B2600C0" w14:textId="77777777">
      <w:pPr>
        <w:numPr>
          <w:ilvl w:val="0"/>
          <w:numId w:val="1"/>
        </w:numPr>
        <w:spacing w:after="247" w:line="249" w:lineRule="auto"/>
        <w:ind w:right="89" w:firstLine="510"/>
      </w:pPr>
      <w:r>
        <w:rPr>
          <w:rFonts w:ascii="Times New Roman" w:hAnsi="Times New Roman" w:eastAsia="Times New Roman" w:cs="Times New Roman"/>
          <w:sz w:val="26"/>
        </w:rPr>
        <w:t xml:space="preserve">The Commission will process an application by an existing licensee for an exemption for the project in accordance with §§16.9(b)(3), 16.9(b)(4), and 16.9(d). </w:t>
      </w:r>
    </w:p>
    <w:p w:rsidR="00337782" w:rsidRDefault="001D712C" w14:paraId="1BF78691" w14:textId="77777777">
      <w:pPr>
        <w:numPr>
          <w:ilvl w:val="0"/>
          <w:numId w:val="1"/>
        </w:numPr>
        <w:spacing w:after="247" w:line="249" w:lineRule="auto"/>
        <w:ind w:right="89" w:firstLine="510"/>
      </w:pPr>
      <w:r>
        <w:rPr>
          <w:rFonts w:ascii="Times New Roman" w:hAnsi="Times New Roman" w:eastAsia="Times New Roman" w:cs="Times New Roman"/>
          <w:sz w:val="26"/>
        </w:rPr>
        <w:t>If a license application is fi</w:t>
      </w:r>
      <w:r>
        <w:rPr>
          <w:rFonts w:ascii="Times New Roman" w:hAnsi="Times New Roman" w:eastAsia="Times New Roman" w:cs="Times New Roman"/>
          <w:sz w:val="26"/>
        </w:rPr>
        <w:t>led in competition with an application for exemption filed by the existing licensee, the Commission will decide among the competing applications in accordance with the standards of §16.13 and not in accordance with the provisions of §4.37(d)(2) of this cha</w:t>
      </w:r>
      <w:r>
        <w:rPr>
          <w:rFonts w:ascii="Times New Roman" w:hAnsi="Times New Roman" w:eastAsia="Times New Roman" w:cs="Times New Roman"/>
          <w:sz w:val="26"/>
        </w:rPr>
        <w:t xml:space="preserve">pter. </w:t>
      </w:r>
    </w:p>
    <w:p w:rsidR="00337782" w:rsidRDefault="001D712C" w14:paraId="01F220BA" w14:textId="77777777">
      <w:pPr>
        <w:spacing w:after="0"/>
        <w:ind w:left="175" w:hanging="10"/>
      </w:pPr>
      <w:r>
        <w:rPr>
          <w:rFonts w:ascii="Times New Roman" w:hAnsi="Times New Roman" w:eastAsia="Times New Roman" w:cs="Times New Roman"/>
          <w:sz w:val="24"/>
        </w:rPr>
        <w:t xml:space="preserve">[Order 513, 54 FR 23806, June 2, 1989, as amended by Order 699, 72 FR 45324, Aug. 14, </w:t>
      </w:r>
    </w:p>
    <w:p w:rsidR="00337782" w:rsidRDefault="001D712C" w14:paraId="40DE2DF4" w14:textId="77777777">
      <w:pPr>
        <w:spacing w:after="234"/>
        <w:ind w:left="175" w:hanging="10"/>
      </w:pPr>
      <w:r>
        <w:rPr>
          <w:rFonts w:ascii="Times New Roman" w:hAnsi="Times New Roman" w:eastAsia="Times New Roman" w:cs="Times New Roman"/>
          <w:sz w:val="24"/>
        </w:rPr>
        <w:t>2007]</w:t>
      </w:r>
    </w:p>
    <w:p w:rsidR="00337782" w:rsidRDefault="001D712C" w14:paraId="2695ADD4" w14:textId="77777777">
      <w:pPr>
        <w:spacing w:after="3288"/>
        <w:ind w:left="180"/>
      </w:pPr>
      <w:r>
        <w:rPr>
          <w:rFonts w:ascii="Times New Roman" w:hAnsi="Times New Roman" w:eastAsia="Times New Roman" w:cs="Times New Roman"/>
          <w:color w:val="3E71AE"/>
          <w:sz w:val="19"/>
        </w:rPr>
        <w:t>Need assistance?</w:t>
      </w:r>
    </w:p>
    <w:p w:rsidR="00337782" w:rsidRDefault="001D712C" w14:paraId="573A73BC"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https://www.ecfr.gov/cgi-bin/text-idx?SID=f918bfb594fc609e336deb79f61f7c71&amp;mc=tru...</w:t>
      </w:r>
      <w:r>
        <w:rPr>
          <w:rFonts w:ascii="Times New Roman" w:hAnsi="Times New Roman" w:eastAsia="Times New Roman" w:cs="Times New Roman"/>
          <w:sz w:val="24"/>
        </w:rPr>
        <w:tab/>
        <w:t>5/19/2021</w:t>
      </w:r>
    </w:p>
    <w:sectPr w:rsidR="00337782">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B46AF"/>
    <w:multiLevelType w:val="hybridMultilevel"/>
    <w:tmpl w:val="E11C9152"/>
    <w:lvl w:ilvl="0" w:tplc="9A8A1046">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6650E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4807E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5CB03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065FF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CA68A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E661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36B7B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6667A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82"/>
    <w:rsid w:val="0001627B"/>
    <w:rsid w:val="001D712C"/>
    <w:rsid w:val="0033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C003"/>
  <w15:docId w15:val="{9913F79A-54C1-4269-A923-6A1E3C59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6F034-C951-4422-8A08-99277A471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C900D-4626-4E38-8DF1-242C94AA559C}">
  <ds:schemaRefs>
    <ds:schemaRef ds:uri="http://schemas.microsoft.com/sharepoint/v3/contenttype/forms"/>
  </ds:schemaRefs>
</ds:datastoreItem>
</file>

<file path=customXml/itemProps3.xml><?xml version="1.0" encoding="utf-8"?>
<ds:datastoreItem xmlns:ds="http://schemas.openxmlformats.org/officeDocument/2006/customXml" ds:itemID="{963271A8-06AC-412C-AD9D-4EEB892AC91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0</DocSecurity>
  <Lines>11</Lines>
  <Paragraphs>3</Paragraphs>
  <ScaleCrop>false</ScaleCrop>
  <Company>Federal Energy Regulatory Commission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3</cp:revision>
  <dcterms:created xsi:type="dcterms:W3CDTF">2021-05-19T14:46:00Z</dcterms:created>
  <dcterms:modified xsi:type="dcterms:W3CDTF">2021-05-19T14:47:00Z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