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C68" w:rsidRDefault="00AD31FB" w14:paraId="2C853CA2"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BB0C68" w:rsidRDefault="00AD31FB" w14:paraId="0E73E786" w14:textId="77777777">
      <w:pPr>
        <w:spacing w:after="337" w:line="259" w:lineRule="auto"/>
        <w:ind w:firstLine="0"/>
      </w:pPr>
      <w:r>
        <w:rPr>
          <w:color w:val="575757"/>
          <w:sz w:val="32"/>
        </w:rPr>
        <w:t>ELECTRONIC CODE OF FEDERAL REGULATIONS</w:t>
      </w:r>
    </w:p>
    <w:p w:rsidR="00BB0C68" w:rsidRDefault="00AD31FB" w14:paraId="0F85BCE6" w14:textId="77777777">
      <w:pPr>
        <w:spacing w:after="523" w:line="259" w:lineRule="auto"/>
        <w:ind w:left="1197" w:firstLine="0"/>
      </w:pPr>
      <w:r>
        <w:rPr>
          <w:color w:val="FF0000"/>
          <w:sz w:val="32"/>
        </w:rPr>
        <w:t>e-CFR data is current as of May 28, 2021</w:t>
      </w:r>
    </w:p>
    <w:p w:rsidR="00BB0C68" w:rsidRDefault="00AD31FB" w14:paraId="18AC8665"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7</w:t>
      </w:r>
      <w:r>
        <w:t xml:space="preserve"> → §7.8</w:t>
      </w:r>
    </w:p>
    <w:p w:rsidR="00BB0C68" w:rsidRDefault="00AD31FB" w14:paraId="2DAC8511" w14:textId="77777777">
      <w:pPr>
        <w:spacing w:after="11"/>
        <w:ind w:left="165" w:right="147" w:firstLine="0"/>
      </w:pPr>
      <w:r>
        <w:t xml:space="preserve">Title 18: Conservation of Power and Water Resources </w:t>
      </w:r>
    </w:p>
    <w:p w:rsidR="00BB0C68" w:rsidRDefault="00AD31FB" w14:paraId="4E79B5BE" w14:textId="77777777">
      <w:pPr>
        <w:pStyle w:val="Heading1"/>
        <w:ind w:left="175"/>
      </w:pPr>
      <w:r>
        <w:t>PART 7—EXPEDITED LICENSING PROCESS FOR QUALIFYING NON-FEDERAL HYDROPOWER PROJECTS AT EXISTING NONPOWERED DAMS AND FOR CLOSED-LOOP PUMPED STORAGE PROJECTS</w:t>
      </w:r>
    </w:p>
    <w:p w:rsidR="00BB0C68" w:rsidRDefault="00AD31FB" w14:paraId="2E3E0853"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26DD5EC6" wp14:editId="158998D1">
                <wp:extent cx="6172200" cy="19050"/>
                <wp:effectExtent l="0" t="0" r="0" b="0"/>
                <wp:docPr id="1088" name="Group 1088"/>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088"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BB0C68" w:rsidRDefault="00AD31FB" w14:paraId="1CD22AE0" w14:textId="77777777">
      <w:pPr>
        <w:spacing w:after="234" w:line="259" w:lineRule="auto"/>
        <w:ind w:firstLine="0"/>
      </w:pPr>
      <w:r>
        <w:t>§7.8   Other provisions.</w:t>
      </w:r>
    </w:p>
    <w:p w:rsidR="00BB0C68" w:rsidRDefault="00AD31FB" w14:paraId="45C39B3B" w14:textId="77777777">
      <w:pPr>
        <w:numPr>
          <w:ilvl w:val="0"/>
          <w:numId w:val="1"/>
        </w:numPr>
        <w:ind w:right="147"/>
      </w:pPr>
      <w:r>
        <w:t xml:space="preserve">Except for provisions </w:t>
      </w:r>
      <w:r>
        <w:t>required by statute, the Director may waive or modify any of the provisions of this part for good cause.</w:t>
      </w:r>
    </w:p>
    <w:p w:rsidR="00BB0C68" w:rsidRDefault="00AD31FB" w14:paraId="7C2707B0" w14:textId="77777777">
      <w:pPr>
        <w:numPr>
          <w:ilvl w:val="0"/>
          <w:numId w:val="1"/>
        </w:numPr>
        <w:ind w:right="147"/>
      </w:pPr>
      <w:r>
        <w:t xml:space="preserve">Late-filed recommendations by fish and wildlife agencies pursuant to the Fish and Wildlife Coordination Act and section 10(j) of the Federal Power Act </w:t>
      </w:r>
      <w:r>
        <w:t xml:space="preserve">for the protection, mitigation of damages to, and enhancement of fish and wildlife affected by the development, operation, and management of the proposed project and </w:t>
      </w:r>
      <w:proofErr w:type="spellStart"/>
      <w:r>
        <w:t>latefiled</w:t>
      </w:r>
      <w:proofErr w:type="spellEnd"/>
      <w:r>
        <w:t xml:space="preserve"> terms and conditions or prescriptions filed pursuant to sections 4(e) and 18 of </w:t>
      </w:r>
      <w:r>
        <w:t xml:space="preserve">the Federal Power Act, respectively, may be considered by the Commission as cause to remove the application from the expedited licensing process. If the Director determines that late-filed recommendations, terms and conditions, or prescriptions are likely </w:t>
      </w:r>
      <w:r>
        <w:t>to prevent the Commission from issuing a final licensing decision within two years from application receipt, the Director will notify the applicant that the application will no longer be processed under the expedited licensing process under this part and t</w:t>
      </w:r>
      <w:r>
        <w:t>hat further processing of the application will proceed under 18 CFR parts 4 and 5, as applicable.</w:t>
      </w:r>
    </w:p>
    <w:p w:rsidR="00BB0C68" w:rsidRDefault="00AD31FB" w14:paraId="005EE24D" w14:textId="77777777">
      <w:pPr>
        <w:numPr>
          <w:ilvl w:val="0"/>
          <w:numId w:val="1"/>
        </w:numPr>
        <w:ind w:right="147"/>
      </w:pPr>
      <w:r>
        <w:t>License conditions and required findings.</w:t>
      </w:r>
      <w:r>
        <w:t xml:space="preserve"> (1) All licenses shall be issued on the conditions specified in section 10 of the Federal Power Act and such other c</w:t>
      </w:r>
      <w:r>
        <w:t>onditions as the Commission determines are lawful and in the public interest.</w:t>
      </w:r>
    </w:p>
    <w:p w:rsidR="00BB0C68" w:rsidRDefault="00AD31FB" w14:paraId="531C6516" w14:textId="77777777">
      <w:pPr>
        <w:numPr>
          <w:ilvl w:val="0"/>
          <w:numId w:val="2"/>
        </w:numPr>
        <w:ind w:right="147"/>
      </w:pPr>
      <w:r>
        <w:t xml:space="preserve">Subject to paragraph (b) of this section, fish and wildlife conditions shall be based on recommendations timely received from the fish and wildlife agencies pursuant to the Fish </w:t>
      </w:r>
      <w:r>
        <w:t>and Wildlife Coordination Act.</w:t>
      </w:r>
    </w:p>
    <w:p w:rsidR="00BB0C68" w:rsidRDefault="00AD31FB" w14:paraId="035ED0EB" w14:textId="77777777">
      <w:pPr>
        <w:numPr>
          <w:ilvl w:val="0"/>
          <w:numId w:val="2"/>
        </w:numPr>
        <w:spacing w:after="5" w:line="467" w:lineRule="auto"/>
        <w:ind w:right="147"/>
      </w:pPr>
      <w:r>
        <w:t xml:space="preserve">The Commission will consider the timely recommendations of resource agencies, other governmental units, and members of the public, and the timely recommendations (including fish and wildlife recommendations) of Indian Tribes </w:t>
      </w:r>
      <w:r>
        <w:t xml:space="preserve">affected by the project. </w:t>
      </w:r>
      <w:r>
        <w:rPr>
          <w:sz w:val="24"/>
        </w:rPr>
        <w:lastRenderedPageBreak/>
        <w:t>https://www.ecfr.gov/cgi-bin/text-idx?SID=35278e4cab9656bf88cbdbdbe062c6e7&amp;mc=tru... 6/2/2021</w:t>
      </w:r>
    </w:p>
    <w:p w:rsidR="00BB0C68" w:rsidRDefault="00AD31FB" w14:paraId="678173A7" w14:textId="77777777">
      <w:pPr>
        <w:tabs>
          <w:tab w:val="right" w:pos="10080"/>
        </w:tabs>
        <w:spacing w:after="847" w:line="265" w:lineRule="auto"/>
        <w:ind w:left="-15" w:right="-15" w:firstLine="0"/>
      </w:pPr>
      <w:r>
        <w:rPr>
          <w:sz w:val="24"/>
        </w:rPr>
        <w:t>Electronic Code of Federal Regulations (</w:t>
      </w:r>
      <w:proofErr w:type="spellStart"/>
      <w:r>
        <w:rPr>
          <w:sz w:val="24"/>
        </w:rPr>
        <w:t>eCFR</w:t>
      </w:r>
      <w:proofErr w:type="spellEnd"/>
      <w:r>
        <w:rPr>
          <w:sz w:val="24"/>
        </w:rPr>
        <w:t>)</w:t>
      </w:r>
      <w:r>
        <w:rPr>
          <w:sz w:val="24"/>
        </w:rPr>
        <w:tab/>
        <w:t>Page 2 of 2</w:t>
      </w:r>
    </w:p>
    <w:p w:rsidR="00BB0C68" w:rsidRDefault="00AD31FB" w14:paraId="6C3EB4EB" w14:textId="77777777">
      <w:pPr>
        <w:numPr>
          <w:ilvl w:val="0"/>
          <w:numId w:val="2"/>
        </w:numPr>
        <w:ind w:right="147"/>
      </w:pPr>
      <w:r>
        <w:t>Licenses for a project located within any Federal reservation shall be issued only after the findings required by, and subject to, any conditions that may be filed pursuant to section 4(e) of the Federal Power Act.</w:t>
      </w:r>
    </w:p>
    <w:p w:rsidR="00BB0C68" w:rsidRDefault="00AD31FB" w14:paraId="3CAF80C0" w14:textId="77777777">
      <w:pPr>
        <w:numPr>
          <w:ilvl w:val="0"/>
          <w:numId w:val="2"/>
        </w:numPr>
        <w:spacing w:after="260" w:line="238" w:lineRule="auto"/>
        <w:ind w:right="147"/>
      </w:pPr>
      <w:r>
        <w:t>The Commission will require the construct</w:t>
      </w:r>
      <w:r>
        <w:t>ion, maintenance, and operation of such fishways as may be prescribed by the Secretary of Commerce or the Secretary of the Interior, as appropriate, pursuant to section 18 of the Federal Power Act.</w:t>
      </w:r>
    </w:p>
    <w:p w:rsidR="00BB0C68" w:rsidRDefault="00AD31FB" w14:paraId="33EB1673" w14:textId="77777777">
      <w:pPr>
        <w:spacing w:after="11591" w:line="259" w:lineRule="auto"/>
        <w:ind w:firstLine="0"/>
      </w:pPr>
      <w:r>
        <w:rPr>
          <w:color w:val="3E71AE"/>
          <w:sz w:val="19"/>
        </w:rPr>
        <w:t>Need assistance?</w:t>
      </w:r>
    </w:p>
    <w:p w:rsidR="00BB0C68" w:rsidRDefault="00AD31FB" w14:paraId="5CC9054E" w14:textId="77777777">
      <w:pPr>
        <w:tabs>
          <w:tab w:val="right" w:pos="10080"/>
        </w:tabs>
        <w:spacing w:after="5" w:line="265" w:lineRule="auto"/>
        <w:ind w:left="-15" w:right="-15" w:firstLine="0"/>
      </w:pPr>
      <w:r>
        <w:rPr>
          <w:sz w:val="24"/>
        </w:rPr>
        <w:lastRenderedPageBreak/>
        <w:t>https://www.ecfr.gov/cgi-bin/text-idx?SID</w:t>
      </w:r>
      <w:r>
        <w:rPr>
          <w:sz w:val="24"/>
        </w:rPr>
        <w:t>=35278e4cab9656bf88cbdbdbe062c6e7&amp;mc=tru...</w:t>
      </w:r>
      <w:r>
        <w:rPr>
          <w:sz w:val="24"/>
        </w:rPr>
        <w:tab/>
        <w:t>6/2/2021</w:t>
      </w:r>
    </w:p>
    <w:sectPr w:rsidR="00BB0C68">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71C77"/>
    <w:multiLevelType w:val="hybridMultilevel"/>
    <w:tmpl w:val="5548386C"/>
    <w:lvl w:ilvl="0" w:tplc="150A83A0">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AE1054">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5268C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4A05F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344510">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A6C518">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26FB24">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708C18">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7C7F22">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3C43E1F"/>
    <w:multiLevelType w:val="hybridMultilevel"/>
    <w:tmpl w:val="D2C68682"/>
    <w:lvl w:ilvl="0" w:tplc="9822FFE6">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4418EC">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625DD4">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B4F4D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BA440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B42AE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F46CE8">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1EB45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8240AC">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68"/>
    <w:rsid w:val="00AD31FB"/>
    <w:rsid w:val="00BB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3536"/>
  <w15:docId w15:val="{69F4BACE-B6FA-4FCB-A9AA-90A4A7E5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9" w:lineRule="auto"/>
      <w:ind w:left="180" w:firstLine="5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line="249" w:lineRule="auto"/>
      <w:ind w:left="235" w:hanging="10"/>
      <w:outlineLvl w:val="0"/>
    </w:pPr>
    <w:rPr>
      <w:rFonts w:ascii="Times New Roman" w:eastAsia="Times New Roman" w:hAnsi="Times New Roman" w:cs="Times New Roman"/>
      <w:color w:val="3E71A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3E71A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02262-CD8D-4B5B-90EC-5FD98DE4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FC6BB-01A4-40DE-8A0F-6C7C071D7975}">
  <ds:schemaRefs>
    <ds:schemaRef ds:uri="http://schemas.microsoft.com/sharepoint/v3/contenttype/forms"/>
  </ds:schemaRefs>
</ds:datastoreItem>
</file>

<file path=customXml/itemProps3.xml><?xml version="1.0" encoding="utf-8"?>
<ds:datastoreItem xmlns:ds="http://schemas.openxmlformats.org/officeDocument/2006/customXml" ds:itemID="{1A26D875-DD37-4245-BF1C-0F90E825A64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87c83cf-0993-4cd6-bfdc-b1c6ea4d56c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2536</Characters>
  <Application>Microsoft Office Word</Application>
  <DocSecurity>0</DocSecurity>
  <Lines>21</Lines>
  <Paragraphs>5</Paragraphs>
  <ScaleCrop>false</ScaleCrop>
  <Company>Federal Energy Regulatory Commission</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https://www.ecfr.gov/cgi-bin/text-idx?SID=35278e4cab9656bf88cbd</dc:title>
  <dc:subject/>
  <dc:creator>jnsed34</dc:creator>
  <cp:keywords/>
  <cp:lastModifiedBy>Jean Sonneman</cp:lastModifiedBy>
  <cp:revision>2</cp:revision>
  <dcterms:created xsi:type="dcterms:W3CDTF">2021-06-02T15:02:00Z</dcterms:created>
  <dcterms:modified xsi:type="dcterms:W3CDTF">2021-06-02T15:02:00Z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