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C84" w:rsidP="00D77C84" w:rsidRDefault="00D77C84" w14:paraId="491DDED8" w14:textId="77777777">
      <w:pPr>
        <w:outlineLvl w:val="0"/>
        <w:rPr>
          <w:szCs w:val="26"/>
        </w:rPr>
      </w:pPr>
      <w:bookmarkStart w:name="_GoBack" w:id="0"/>
      <w:bookmarkEnd w:id="0"/>
      <w:r>
        <w:rPr>
          <w:szCs w:val="26"/>
        </w:rPr>
        <w:t xml:space="preserve">  </w:t>
      </w:r>
      <w:r>
        <w:rPr>
          <w:szCs w:val="26"/>
        </w:rPr>
        <w:tab/>
      </w:r>
      <w:r>
        <w:rPr>
          <w:szCs w:val="26"/>
        </w:rPr>
        <w:tab/>
      </w:r>
      <w:r>
        <w:rPr>
          <w:szCs w:val="26"/>
        </w:rPr>
        <w:tab/>
      </w:r>
      <w:r>
        <w:rPr>
          <w:szCs w:val="26"/>
        </w:rPr>
        <w:tab/>
      </w:r>
      <w:r>
        <w:rPr>
          <w:szCs w:val="26"/>
        </w:rPr>
        <w:tab/>
      </w:r>
      <w:r w:rsidR="001A3AC7">
        <w:rPr>
          <w:szCs w:val="26"/>
        </w:rPr>
        <w:t>151 FERC ¶ 61,228</w:t>
      </w:r>
    </w:p>
    <w:p w:rsidRPr="00D43FAB" w:rsidR="005813D9" w:rsidP="00297A0D" w:rsidRDefault="005813D9" w14:paraId="491DDED9" w14:textId="77777777">
      <w:pPr>
        <w:jc w:val="center"/>
        <w:outlineLvl w:val="0"/>
        <w:rPr>
          <w:szCs w:val="26"/>
        </w:rPr>
      </w:pPr>
      <w:r w:rsidRPr="00D43FAB">
        <w:rPr>
          <w:szCs w:val="26"/>
        </w:rPr>
        <w:t>UNITED STATES OF AMERICA</w:t>
      </w:r>
    </w:p>
    <w:p w:rsidRPr="00D43FAB" w:rsidR="005813D9" w:rsidP="00297A0D" w:rsidRDefault="005813D9" w14:paraId="491DDEDA" w14:textId="77777777">
      <w:pPr>
        <w:jc w:val="center"/>
        <w:rPr>
          <w:szCs w:val="26"/>
        </w:rPr>
      </w:pPr>
      <w:r w:rsidRPr="00D43FAB">
        <w:rPr>
          <w:szCs w:val="26"/>
        </w:rPr>
        <w:t>FEDERAL ENERGY REGULATORY COMMISSION</w:t>
      </w:r>
    </w:p>
    <w:p w:rsidRPr="00D43FAB" w:rsidR="005813D9" w:rsidP="00297A0D" w:rsidRDefault="005813D9" w14:paraId="491DDEDB" w14:textId="77777777">
      <w:pPr>
        <w:rPr>
          <w:szCs w:val="26"/>
        </w:rPr>
      </w:pPr>
    </w:p>
    <w:p w:rsidRPr="001A3AC7" w:rsidR="001A3AC7" w:rsidP="001A3AC7" w:rsidRDefault="001A3AC7" w14:paraId="491DDEDC" w14:textId="77777777">
      <w:pPr>
        <w:ind w:left="1440" w:hanging="1440"/>
        <w:rPr>
          <w:szCs w:val="26"/>
        </w:rPr>
      </w:pPr>
      <w:r w:rsidRPr="001A3AC7">
        <w:rPr>
          <w:szCs w:val="26"/>
        </w:rPr>
        <w:t>Before Commissioners:  Norman C. Bay, Chairman;</w:t>
      </w:r>
    </w:p>
    <w:p w:rsidRPr="001A3AC7" w:rsidR="001A3AC7" w:rsidP="001A3AC7" w:rsidRDefault="001A3AC7" w14:paraId="491DDEDD" w14:textId="77777777">
      <w:pPr>
        <w:ind w:left="1440" w:hanging="1440"/>
        <w:rPr>
          <w:szCs w:val="26"/>
        </w:rPr>
      </w:pPr>
      <w:r w:rsidRPr="001A3AC7">
        <w:rPr>
          <w:szCs w:val="26"/>
        </w:rPr>
        <w:t xml:space="preserve">                                        Philip D. Moeller, Cheryl A. LaFleur,</w:t>
      </w:r>
    </w:p>
    <w:p w:rsidR="005813D9" w:rsidP="001A3AC7" w:rsidRDefault="001A3AC7" w14:paraId="491DDEDE" w14:textId="77777777">
      <w:pPr>
        <w:ind w:left="1440" w:hanging="1440"/>
        <w:rPr>
          <w:szCs w:val="26"/>
        </w:rPr>
      </w:pPr>
      <w:r w:rsidRPr="001A3AC7">
        <w:rPr>
          <w:szCs w:val="26"/>
        </w:rPr>
        <w:t xml:space="preserve">                                        Tony Clark, and Colette D. Honorable.</w:t>
      </w:r>
    </w:p>
    <w:p w:rsidRPr="00D43FAB" w:rsidR="001A3AC7" w:rsidP="001A3AC7" w:rsidRDefault="001A3AC7" w14:paraId="491DDEDF" w14:textId="77777777">
      <w:pPr>
        <w:ind w:left="1440" w:hanging="1440"/>
        <w:rPr>
          <w:szCs w:val="2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5932"/>
        <w:gridCol w:w="1536"/>
        <w:gridCol w:w="1892"/>
      </w:tblGrid>
      <w:tr w:rsidRPr="00D43FAB" w:rsidR="005813D9" w:rsidTr="00A9663A" w14:paraId="491DDEE3" w14:textId="77777777">
        <w:tc>
          <w:tcPr>
            <w:tcW w:w="6088" w:type="dxa"/>
            <w:shd w:val="clear" w:color="auto" w:fill="auto"/>
          </w:tcPr>
          <w:p w:rsidRPr="00D43FAB" w:rsidR="005813D9" w:rsidP="00FC2D9C" w:rsidRDefault="005813D9" w14:paraId="491DDEE0" w14:textId="77777777">
            <w:pPr>
              <w:rPr>
                <w:szCs w:val="26"/>
              </w:rPr>
            </w:pPr>
            <w:r w:rsidRPr="00D43FAB">
              <w:rPr>
                <w:szCs w:val="26"/>
              </w:rPr>
              <w:t>Soldier Canyon Filter Plant</w:t>
            </w:r>
          </w:p>
        </w:tc>
        <w:tc>
          <w:tcPr>
            <w:tcW w:w="1560" w:type="dxa"/>
            <w:shd w:val="clear" w:color="auto" w:fill="auto"/>
          </w:tcPr>
          <w:p w:rsidRPr="00D43FAB" w:rsidR="005813D9" w:rsidP="00FC2D9C" w:rsidRDefault="005813D9" w14:paraId="491DDEE1" w14:textId="77777777">
            <w:pPr>
              <w:tabs>
                <w:tab w:val="left" w:pos="720"/>
                <w:tab w:val="left" w:pos="1440"/>
                <w:tab w:val="left" w:pos="2880"/>
                <w:tab w:val="left" w:pos="4320"/>
                <w:tab w:val="left" w:pos="5040"/>
                <w:tab w:val="left" w:pos="5760"/>
                <w:tab w:val="left" w:pos="6480"/>
                <w:tab w:val="left" w:pos="7200"/>
              </w:tabs>
              <w:jc w:val="right"/>
              <w:rPr>
                <w:szCs w:val="26"/>
              </w:rPr>
            </w:pPr>
            <w:r w:rsidRPr="00D43FAB">
              <w:rPr>
                <w:szCs w:val="26"/>
              </w:rPr>
              <w:t xml:space="preserve">Docket No. </w:t>
            </w:r>
          </w:p>
        </w:tc>
        <w:tc>
          <w:tcPr>
            <w:tcW w:w="1928" w:type="dxa"/>
            <w:shd w:val="clear" w:color="auto" w:fill="auto"/>
            <w:tcMar>
              <w:left w:w="144" w:type="dxa"/>
            </w:tcMar>
          </w:tcPr>
          <w:p w:rsidRPr="00D43FAB" w:rsidR="005813D9" w:rsidP="009C1A05" w:rsidRDefault="005813D9" w14:paraId="491DDEE2" w14:textId="77777777">
            <w:pPr>
              <w:tabs>
                <w:tab w:val="left" w:pos="720"/>
                <w:tab w:val="left" w:pos="1440"/>
                <w:tab w:val="left" w:pos="2880"/>
                <w:tab w:val="left" w:pos="4320"/>
                <w:tab w:val="left" w:pos="5040"/>
                <w:tab w:val="left" w:pos="5760"/>
                <w:tab w:val="left" w:pos="6480"/>
                <w:tab w:val="left" w:pos="7200"/>
              </w:tabs>
              <w:ind w:left="-141"/>
              <w:rPr>
                <w:szCs w:val="26"/>
              </w:rPr>
            </w:pPr>
            <w:r w:rsidRPr="00D43FAB">
              <w:rPr>
                <w:szCs w:val="26"/>
              </w:rPr>
              <w:t xml:space="preserve"> CD15-18-001 </w:t>
            </w:r>
          </w:p>
        </w:tc>
      </w:tr>
    </w:tbl>
    <w:p w:rsidRPr="00D43FAB" w:rsidR="005813D9" w:rsidP="00297A0D" w:rsidRDefault="005813D9" w14:paraId="491DDEE4" w14:textId="77777777">
      <w:pPr>
        <w:rPr>
          <w:szCs w:val="26"/>
        </w:rPr>
      </w:pPr>
    </w:p>
    <w:p w:rsidRPr="00D43FAB" w:rsidR="005813D9" w:rsidP="00A9663A" w:rsidRDefault="005813D9" w14:paraId="491DDEE5" w14:textId="77777777">
      <w:pPr>
        <w:pStyle w:val="FERCparanumber"/>
        <w:numPr>
          <w:ilvl w:val="0"/>
          <w:numId w:val="0"/>
        </w:numPr>
        <w:jc w:val="center"/>
        <w:rPr>
          <w:caps/>
          <w:szCs w:val="26"/>
        </w:rPr>
      </w:pPr>
      <w:r w:rsidRPr="00D43FAB">
        <w:rPr>
          <w:caps/>
          <w:szCs w:val="26"/>
        </w:rPr>
        <w:t xml:space="preserve">Order </w:t>
      </w:r>
      <w:r>
        <w:rPr>
          <w:caps/>
          <w:szCs w:val="26"/>
        </w:rPr>
        <w:t>GRANTING</w:t>
      </w:r>
      <w:r w:rsidRPr="00D43FAB">
        <w:rPr>
          <w:caps/>
          <w:szCs w:val="26"/>
        </w:rPr>
        <w:t xml:space="preserve"> Rehearing</w:t>
      </w:r>
    </w:p>
    <w:p w:rsidRPr="00D43FAB" w:rsidR="005813D9" w:rsidP="00A359EA" w:rsidRDefault="005813D9" w14:paraId="491DDEE6" w14:textId="77777777">
      <w:pPr>
        <w:widowControl/>
        <w:jc w:val="center"/>
        <w:rPr>
          <w:szCs w:val="26"/>
        </w:rPr>
      </w:pPr>
      <w:r w:rsidRPr="00D43FAB">
        <w:rPr>
          <w:szCs w:val="26"/>
        </w:rPr>
        <w:t>(</w:t>
      </w:r>
      <w:r w:rsidR="001A3AC7">
        <w:rPr>
          <w:szCs w:val="26"/>
        </w:rPr>
        <w:t>Issued June 18, 2015</w:t>
      </w:r>
      <w:r w:rsidRPr="00D43FAB">
        <w:rPr>
          <w:szCs w:val="26"/>
        </w:rPr>
        <w:t>)</w:t>
      </w:r>
    </w:p>
    <w:p w:rsidRPr="00D43FAB" w:rsidR="005813D9" w:rsidP="00A359EA" w:rsidRDefault="005813D9" w14:paraId="491DDEE7" w14:textId="77777777">
      <w:pPr>
        <w:widowControl/>
        <w:rPr>
          <w:szCs w:val="26"/>
        </w:rPr>
      </w:pPr>
    </w:p>
    <w:p w:rsidR="005813D9" w:rsidP="00D43FAB" w:rsidRDefault="005813D9" w14:paraId="491DDEE8" w14:textId="77777777">
      <w:pPr>
        <w:pStyle w:val="FERCparanumber"/>
      </w:pPr>
      <w:r w:rsidRPr="00D43FAB">
        <w:t xml:space="preserve">On February 20, 2015, Soldier Canyon Filter Plant (Soldier Canyon) filed a request for rehearing of </w:t>
      </w:r>
      <w:r>
        <w:t xml:space="preserve">Commission staff’s </w:t>
      </w:r>
      <w:r w:rsidR="00D85664">
        <w:t xml:space="preserve">January 23, 2015 </w:t>
      </w:r>
      <w:r>
        <w:t xml:space="preserve">determination that </w:t>
      </w:r>
      <w:r w:rsidRPr="00D43FAB">
        <w:t>the proposed Soldier Canyon Micro Hydro Facility (Soldier Canyon Facility)</w:t>
      </w:r>
      <w:r>
        <w:t xml:space="preserve"> does not meet the requirements of section 30(a) of the Federal Power Act (FPA) and thus is required to be licensed</w:t>
      </w:r>
      <w:r w:rsidRPr="00D43FAB">
        <w:t xml:space="preserve">.  As discussed below, we </w:t>
      </w:r>
      <w:r>
        <w:t xml:space="preserve">grant </w:t>
      </w:r>
      <w:r w:rsidRPr="00D43FAB">
        <w:t xml:space="preserve">rehearing. </w:t>
      </w:r>
    </w:p>
    <w:p w:rsidRPr="00BC0585" w:rsidR="005813D9" w:rsidP="005813D9" w:rsidRDefault="001A3AC7" w14:paraId="491DDEE9" w14:textId="77777777">
      <w:pPr>
        <w:pStyle w:val="FERCparanumber"/>
        <w:numPr>
          <w:ilvl w:val="0"/>
          <w:numId w:val="0"/>
        </w:numPr>
        <w:rPr>
          <w:b/>
          <w:u w:val="single"/>
        </w:rPr>
      </w:pPr>
      <w:r w:rsidRPr="00BC0585">
        <w:rPr>
          <w:b/>
          <w:u w:val="single"/>
        </w:rPr>
        <w:t>Background</w:t>
      </w:r>
    </w:p>
    <w:p w:rsidR="00BE4FBC" w:rsidP="00BE4FBC" w:rsidRDefault="00473915" w14:paraId="491DDEEA" w14:textId="77777777">
      <w:pPr>
        <w:pStyle w:val="FERCparanumber"/>
      </w:pPr>
      <w:r>
        <w:t>S</w:t>
      </w:r>
      <w:r w:rsidRPr="0043055D">
        <w:t>ection 30 of the FPA</w:t>
      </w:r>
      <w:r w:rsidR="00BE4FBC">
        <w:t xml:space="preserve"> </w:t>
      </w:r>
      <w:r>
        <w:t xml:space="preserve">authorizes the </w:t>
      </w:r>
      <w:r w:rsidRPr="0043055D">
        <w:t xml:space="preserve">Commission to </w:t>
      </w:r>
      <w:r w:rsidR="00BE4FBC">
        <w:t>issue</w:t>
      </w:r>
      <w:r>
        <w:t xml:space="preserve"> </w:t>
      </w:r>
      <w:r w:rsidRPr="0043055D">
        <w:t>exempt</w:t>
      </w:r>
      <w:r>
        <w:t>ion</w:t>
      </w:r>
      <w:r w:rsidR="00BE4FBC">
        <w:t>s</w:t>
      </w:r>
      <w:r>
        <w:t xml:space="preserve"> </w:t>
      </w:r>
      <w:r w:rsidRPr="0043055D">
        <w:t xml:space="preserve">from the licensing requirements of Part I of the FPA </w:t>
      </w:r>
      <w:r>
        <w:t>for small conduit hydroelectric facilities</w:t>
      </w:r>
      <w:r w:rsidR="00BE4FBC">
        <w:t xml:space="preserve">.  To qualify, a facility (existing or proposed) must: </w:t>
      </w:r>
    </w:p>
    <w:p w:rsidR="00BE4FBC" w:rsidP="00BE4FBC" w:rsidRDefault="00473915" w14:paraId="491DDEEB" w14:textId="77777777">
      <w:pPr>
        <w:pStyle w:val="FERCparanumber"/>
        <w:numPr>
          <w:ilvl w:val="0"/>
          <w:numId w:val="31"/>
        </w:numPr>
      </w:pPr>
      <w:r>
        <w:t>not includ</w:t>
      </w:r>
      <w:r w:rsidR="00BE4FBC">
        <w:t>e</w:t>
      </w:r>
      <w:r>
        <w:t xml:space="preserve"> any dam or other impoundment</w:t>
      </w:r>
      <w:r w:rsidR="00BE4FBC">
        <w:t>;</w:t>
      </w:r>
      <w:r>
        <w:t xml:space="preserve"> </w:t>
      </w:r>
    </w:p>
    <w:p w:rsidR="00BE4FBC" w:rsidP="00BE4FBC" w:rsidRDefault="00BE4FBC" w14:paraId="491DDEEC" w14:textId="77777777">
      <w:pPr>
        <w:pStyle w:val="FERCparanumber"/>
        <w:numPr>
          <w:ilvl w:val="0"/>
          <w:numId w:val="31"/>
        </w:numPr>
      </w:pPr>
      <w:r>
        <w:t xml:space="preserve">be </w:t>
      </w:r>
      <w:r w:rsidR="00473915">
        <w:t>constructed, operated, or maintained for the generation of electric power</w:t>
      </w:r>
      <w:r>
        <w:t xml:space="preserve">; </w:t>
      </w:r>
      <w:r w:rsidR="00473915">
        <w:t xml:space="preserve"> </w:t>
      </w:r>
    </w:p>
    <w:p w:rsidR="00BE4FBC" w:rsidP="00BE4FBC" w:rsidRDefault="00BE4FBC" w14:paraId="491DDEED" w14:textId="77777777">
      <w:pPr>
        <w:pStyle w:val="FERCparanumber"/>
        <w:numPr>
          <w:ilvl w:val="0"/>
          <w:numId w:val="31"/>
        </w:numPr>
      </w:pPr>
      <w:r>
        <w:t>use</w:t>
      </w:r>
      <w:r w:rsidR="00473915">
        <w:t xml:space="preserve"> for such generation only the hydroelectric potential of a manmade conduit; and</w:t>
      </w:r>
    </w:p>
    <w:p w:rsidR="00473915" w:rsidP="00BE4FBC" w:rsidRDefault="00473915" w14:paraId="491DDEEE" w14:textId="77777777">
      <w:pPr>
        <w:pStyle w:val="FERCparanumber"/>
        <w:numPr>
          <w:ilvl w:val="0"/>
          <w:numId w:val="31"/>
        </w:numPr>
      </w:pPr>
      <w:r>
        <w:t>ha</w:t>
      </w:r>
      <w:r w:rsidR="00BE4FBC">
        <w:t>ve</w:t>
      </w:r>
      <w:r>
        <w:t xml:space="preserve"> an installed capacity that does not exceed 40 megawatts (MW).</w:t>
      </w:r>
      <w:r w:rsidRPr="008856A8">
        <w:rPr>
          <w:rStyle w:val="FootnoteReference"/>
        </w:rPr>
        <w:footnoteReference w:id="2"/>
      </w:r>
      <w:r>
        <w:t xml:space="preserve"> </w:t>
      </w:r>
    </w:p>
    <w:p w:rsidR="00BE4FBC" w:rsidP="00BE4FBC" w:rsidRDefault="00BE4FBC" w14:paraId="491DDEEF" w14:textId="77777777">
      <w:pPr>
        <w:pStyle w:val="FERCparanumber"/>
        <w:numPr>
          <w:ilvl w:val="0"/>
          <w:numId w:val="0"/>
        </w:numPr>
      </w:pPr>
      <w:r>
        <w:lastRenderedPageBreak/>
        <w:t>A “conduit” is “any tunnel, canal, pipeline, aqueduct, flume, ditch, or similar manmade water conveyance that is operated for the distribution of water for agricultural, municipal, or industrial consumption and not primarily for the generation of electricity.”</w:t>
      </w:r>
      <w:r>
        <w:rPr>
          <w:rStyle w:val="FootnoteReference"/>
        </w:rPr>
        <w:footnoteReference w:id="3"/>
      </w:r>
      <w:r>
        <w:t xml:space="preserve">  </w:t>
      </w:r>
    </w:p>
    <w:p w:rsidR="00420C70" w:rsidP="00350DC4" w:rsidRDefault="00473915" w14:paraId="491DDEF0" w14:textId="240AF680">
      <w:pPr>
        <w:pStyle w:val="FERCparanumber"/>
      </w:pPr>
      <w:r>
        <w:t>T</w:t>
      </w:r>
      <w:r w:rsidRPr="00D43FAB">
        <w:t>he Hydropower Regulatory Efficiency Act of 2013 (</w:t>
      </w:r>
      <w:r>
        <w:t>2013 Act</w:t>
      </w:r>
      <w:r w:rsidRPr="00D43FAB">
        <w:t>)</w:t>
      </w:r>
      <w:r>
        <w:rPr>
          <w:rStyle w:val="FootnoteReference"/>
        </w:rPr>
        <w:footnoteReference w:id="4"/>
      </w:r>
      <w:r w:rsidRPr="00D43FAB">
        <w:t xml:space="preserve"> </w:t>
      </w:r>
      <w:r>
        <w:t xml:space="preserve">amended section 30 to create a subset of these small conduit facilities that are </w:t>
      </w:r>
      <w:r w:rsidR="00F52073">
        <w:t xml:space="preserve">categorically </w:t>
      </w:r>
      <w:r w:rsidRPr="00D43FAB">
        <w:t>exclude</w:t>
      </w:r>
      <w:r>
        <w:t>d</w:t>
      </w:r>
      <w:r w:rsidRPr="00D43FAB">
        <w:t xml:space="preserve"> </w:t>
      </w:r>
      <w:r>
        <w:t>from the licensing and exemption requirements of the FPA.</w:t>
      </w:r>
      <w:r w:rsidR="00215697">
        <w:rPr>
          <w:rStyle w:val="FootnoteReference"/>
        </w:rPr>
        <w:footnoteReference w:id="5"/>
      </w:r>
      <w:r>
        <w:t xml:space="preserve">  </w:t>
      </w:r>
      <w:r w:rsidR="007037C5">
        <w:t>These</w:t>
      </w:r>
      <w:r>
        <w:t xml:space="preserve"> </w:t>
      </w:r>
      <w:r w:rsidR="007037C5">
        <w:t>“</w:t>
      </w:r>
      <w:r>
        <w:t>qualify</w:t>
      </w:r>
      <w:r w:rsidR="007037C5">
        <w:t>ing conduit hydropower facilities”</w:t>
      </w:r>
      <w:r w:rsidR="00704465">
        <w:t xml:space="preserve"> </w:t>
      </w:r>
      <w:r>
        <w:t>must</w:t>
      </w:r>
      <w:r w:rsidR="00215697">
        <w:t xml:space="preserve"> meet the requirements for a small conduit facility and in addition must</w:t>
      </w:r>
      <w:r w:rsidR="00420C70">
        <w:t>:</w:t>
      </w:r>
    </w:p>
    <w:p w:rsidR="00420C70" w:rsidP="00420C70" w:rsidRDefault="00473915" w14:paraId="491DDEF1" w14:textId="77777777">
      <w:pPr>
        <w:pStyle w:val="FERCparanumber"/>
        <w:numPr>
          <w:ilvl w:val="0"/>
          <w:numId w:val="32"/>
        </w:numPr>
      </w:pPr>
      <w:r>
        <w:t>be located on a non-federal</w:t>
      </w:r>
      <w:r w:rsidR="00215697">
        <w:t>ly-owned</w:t>
      </w:r>
      <w:r>
        <w:t xml:space="preserve"> conduit</w:t>
      </w:r>
      <w:r w:rsidR="00420C70">
        <w:t>;</w:t>
      </w:r>
      <w:r>
        <w:t xml:space="preserve"> </w:t>
      </w:r>
    </w:p>
    <w:p w:rsidR="00420C70" w:rsidP="00420C70" w:rsidRDefault="00420C70" w14:paraId="491DDEF2" w14:textId="77777777">
      <w:pPr>
        <w:pStyle w:val="FERCparanumber"/>
        <w:numPr>
          <w:ilvl w:val="0"/>
          <w:numId w:val="32"/>
        </w:numPr>
      </w:pPr>
      <w:r>
        <w:t xml:space="preserve">have a proposed installed capacity that does not </w:t>
      </w:r>
      <w:r w:rsidR="00473915">
        <w:t>exceed 5 MW</w:t>
      </w:r>
      <w:r>
        <w:t>; and</w:t>
      </w:r>
    </w:p>
    <w:p w:rsidR="00420C70" w:rsidP="00420C70" w:rsidRDefault="00350DC4" w14:paraId="491DDEF3" w14:textId="77777777">
      <w:pPr>
        <w:pStyle w:val="FERCparanumber"/>
        <w:numPr>
          <w:ilvl w:val="0"/>
          <w:numId w:val="32"/>
        </w:numPr>
      </w:pPr>
      <w:r>
        <w:t>be proposed for construction and,</w:t>
      </w:r>
      <w:r>
        <w:rPr>
          <w:bCs/>
          <w:color w:val="222222"/>
          <w:szCs w:val="26"/>
        </w:rPr>
        <w:t xml:space="preserve"> </w:t>
      </w:r>
      <w:r w:rsidR="00473915">
        <w:rPr>
          <w:bCs/>
          <w:color w:val="222222"/>
          <w:szCs w:val="26"/>
        </w:rPr>
        <w:t xml:space="preserve">as of the date of enactment of the 2013 Act, </w:t>
      </w:r>
      <w:r w:rsidRPr="00D43FAB" w:rsidR="00473915">
        <w:t xml:space="preserve">not </w:t>
      </w:r>
      <w:r w:rsidR="00473915">
        <w:t xml:space="preserve">be </w:t>
      </w:r>
      <w:r w:rsidRPr="00D43FAB" w:rsidR="00473915">
        <w:t>licensed under, or exempted from</w:t>
      </w:r>
      <w:r w:rsidR="00473915">
        <w:t>,</w:t>
      </w:r>
      <w:r w:rsidRPr="00D43FAB" w:rsidR="00473915">
        <w:t xml:space="preserve"> the licens</w:t>
      </w:r>
      <w:r w:rsidR="00473915">
        <w:t>ing</w:t>
      </w:r>
      <w:r w:rsidRPr="00D43FAB" w:rsidR="00473915">
        <w:t xml:space="preserve"> requirements </w:t>
      </w:r>
      <w:r w:rsidR="00473915">
        <w:t>of Part I of the FPA.</w:t>
      </w:r>
      <w:r w:rsidR="00473915">
        <w:rPr>
          <w:rStyle w:val="FootnoteReference"/>
        </w:rPr>
        <w:footnoteReference w:id="6"/>
      </w:r>
      <w:r w:rsidR="00473915">
        <w:t xml:space="preserve">  </w:t>
      </w:r>
    </w:p>
    <w:p w:rsidR="00931749" w:rsidP="006243E6" w:rsidRDefault="00931749" w14:paraId="491DDEF4" w14:textId="77777777">
      <w:pPr>
        <w:pStyle w:val="FERCparanumber"/>
      </w:pPr>
      <w:r w:rsidRPr="00D43FAB">
        <w:t xml:space="preserve">On January 23, 2015, Soldier Canyon filed a Notice of Intent </w:t>
      </w:r>
      <w:r>
        <w:t>for</w:t>
      </w:r>
      <w:r w:rsidRPr="00D43FAB">
        <w:t xml:space="preserve"> </w:t>
      </w:r>
      <w:r>
        <w:t>its</w:t>
      </w:r>
      <w:r w:rsidRPr="00D43FAB">
        <w:t xml:space="preserve"> proposed Soldier Canyon Facility</w:t>
      </w:r>
      <w:r>
        <w:t xml:space="preserve">, to be located on a water supply pipeline near Fort Collins, Colorado.  The Notice of Intent sought a determination that the project meets the requirements of section 30(a) of the FPA and thus is </w:t>
      </w:r>
      <w:r w:rsidR="006513B1">
        <w:t>excluded from the licensing requirements of the FPA.</w:t>
      </w:r>
    </w:p>
    <w:p w:rsidRPr="00D43FAB" w:rsidR="005813D9" w:rsidP="006243E6" w:rsidRDefault="005F6067" w14:paraId="491DDEF5" w14:textId="77777777">
      <w:pPr>
        <w:pStyle w:val="FERCparanumber"/>
      </w:pPr>
      <w:r>
        <w:lastRenderedPageBreak/>
        <w:t xml:space="preserve">The proposed facility </w:t>
      </w:r>
      <w:r w:rsidRPr="00D43FAB" w:rsidR="005813D9">
        <w:t xml:space="preserve">would be located on </w:t>
      </w:r>
      <w:r w:rsidR="005813D9">
        <w:t>the</w:t>
      </w:r>
      <w:r w:rsidRPr="00D43FAB" w:rsidR="005813D9">
        <w:t xml:space="preserve"> 36-inch-diameter</w:t>
      </w:r>
      <w:r w:rsidR="005813D9">
        <w:t xml:space="preserve"> Soldier Canyon P</w:t>
      </w:r>
      <w:r w:rsidRPr="00D43FAB" w:rsidR="005813D9">
        <w:t>ipeline</w:t>
      </w:r>
      <w:r>
        <w:t xml:space="preserve">, which </w:t>
      </w:r>
      <w:r w:rsidR="007037C5">
        <w:t xml:space="preserve">is connected to a secondary outlet of Horsetooth Reservoir through Soldier Canyon Dam.  The pipeline </w:t>
      </w:r>
      <w:r w:rsidRPr="00D43FAB" w:rsidR="005813D9">
        <w:t xml:space="preserve">draws water from the bottom of Horsetooth Reservoir </w:t>
      </w:r>
      <w:r w:rsidR="005813D9">
        <w:t xml:space="preserve">and delivers it to </w:t>
      </w:r>
      <w:r w:rsidRPr="00D43FAB" w:rsidR="005813D9">
        <w:t>the Soldier Canyon Filter Plant</w:t>
      </w:r>
      <w:r w:rsidR="005813D9">
        <w:t xml:space="preserve"> for treatment and distribution to water users</w:t>
      </w:r>
      <w:r w:rsidRPr="00D43FAB" w:rsidR="005813D9">
        <w:t>.</w:t>
      </w:r>
      <w:r w:rsidR="005813D9">
        <w:t xml:space="preserve">  A</w:t>
      </w:r>
      <w:r w:rsidRPr="00D43FAB" w:rsidR="005813D9">
        <w:t>n existing pressure</w:t>
      </w:r>
      <w:r w:rsidR="005813D9">
        <w:t>-</w:t>
      </w:r>
      <w:r w:rsidRPr="00D43FAB" w:rsidR="005813D9">
        <w:t xml:space="preserve">reducing vault </w:t>
      </w:r>
      <w:r w:rsidR="00397EB8">
        <w:t xml:space="preserve">is located </w:t>
      </w:r>
      <w:r w:rsidR="009E0E3F">
        <w:t xml:space="preserve">about 1200 feet downstream of the dam, </w:t>
      </w:r>
      <w:r w:rsidR="00397EB8">
        <w:t xml:space="preserve">and </w:t>
      </w:r>
      <w:r w:rsidR="009E0E3F">
        <w:t xml:space="preserve">it </w:t>
      </w:r>
      <w:r w:rsidRPr="00D43FAB" w:rsidR="005813D9">
        <w:t xml:space="preserve">dissipates </w:t>
      </w:r>
      <w:r w:rsidR="005813D9">
        <w:t xml:space="preserve">the pipeline’s water </w:t>
      </w:r>
      <w:r w:rsidRPr="00D43FAB" w:rsidR="005813D9">
        <w:t xml:space="preserve">pressure before </w:t>
      </w:r>
      <w:r w:rsidR="005813D9">
        <w:t xml:space="preserve">the water enters </w:t>
      </w:r>
      <w:r w:rsidRPr="00D43FAB" w:rsidR="005813D9">
        <w:t>the Soldier Canyon Filter Plant for treatment.</w:t>
      </w:r>
      <w:r w:rsidR="00323D14">
        <w:t xml:space="preserve">  </w:t>
      </w:r>
      <w:r w:rsidR="005813D9">
        <w:t xml:space="preserve">Soldier Canyon proposes to construct a 12-foot by </w:t>
      </w:r>
      <w:r w:rsidR="006268A8">
        <w:t xml:space="preserve">  </w:t>
      </w:r>
      <w:r w:rsidR="005813D9">
        <w:t xml:space="preserve">12-foot buried powerhouse adjacent to the pressure-reducing vault.  The new powerhouse, which would contain </w:t>
      </w:r>
      <w:r w:rsidRPr="00D43FAB" w:rsidR="005813D9">
        <w:t>one 100-kilowatt turbine-generator unit</w:t>
      </w:r>
      <w:r w:rsidR="005813D9">
        <w:t xml:space="preserve">, would take water from the pipeline, bypassing the pressure-reducing vault, and return it to the pipeline downstream of the vault. </w:t>
      </w:r>
      <w:r w:rsidRPr="00D43FAB" w:rsidR="005813D9">
        <w:t xml:space="preserve">  </w:t>
      </w:r>
    </w:p>
    <w:p w:rsidRPr="00D43FAB" w:rsidR="005813D9" w:rsidP="00D43FAB" w:rsidRDefault="00931749" w14:paraId="491DDEF6" w14:textId="77777777">
      <w:pPr>
        <w:pStyle w:val="FERCparanumber"/>
      </w:pPr>
      <w:r w:rsidRPr="00D43FAB">
        <w:t xml:space="preserve">On February 6, 2015, Commission staff </w:t>
      </w:r>
      <w:r>
        <w:t xml:space="preserve">rejected the </w:t>
      </w:r>
      <w:r w:rsidRPr="00D43FAB">
        <w:t>Notice of Intent</w:t>
      </w:r>
      <w:r>
        <w:t xml:space="preserve">, concluding that </w:t>
      </w:r>
      <w:r w:rsidRPr="00D43FAB">
        <w:rPr>
          <w:bCs/>
          <w:color w:val="000000"/>
        </w:rPr>
        <w:t xml:space="preserve">the proposed </w:t>
      </w:r>
      <w:r w:rsidR="00397EB8">
        <w:rPr>
          <w:bCs/>
          <w:color w:val="000000"/>
        </w:rPr>
        <w:t>facility</w:t>
      </w:r>
      <w:r w:rsidRPr="00D43FAB">
        <w:rPr>
          <w:bCs/>
          <w:color w:val="000000"/>
        </w:rPr>
        <w:t xml:space="preserve"> would rely entirely upon the hydroelectric potential created by </w:t>
      </w:r>
      <w:r w:rsidR="00397EB8">
        <w:rPr>
          <w:bCs/>
          <w:color w:val="000000"/>
        </w:rPr>
        <w:t>Horsetooth Dam</w:t>
      </w:r>
      <w:r w:rsidRPr="00D43FAB">
        <w:rPr>
          <w:bCs/>
          <w:color w:val="000000"/>
        </w:rPr>
        <w:t xml:space="preserve"> rather than </w:t>
      </w:r>
      <w:r>
        <w:rPr>
          <w:bCs/>
          <w:color w:val="000000"/>
        </w:rPr>
        <w:t xml:space="preserve">by </w:t>
      </w:r>
      <w:r w:rsidRPr="00D43FAB">
        <w:rPr>
          <w:bCs/>
          <w:color w:val="000000"/>
        </w:rPr>
        <w:t>the conduit</w:t>
      </w:r>
      <w:r>
        <w:rPr>
          <w:bCs/>
          <w:color w:val="000000"/>
        </w:rPr>
        <w:t>, and thus does not comply with FPA section</w:t>
      </w:r>
      <w:r w:rsidR="00397EB8">
        <w:rPr>
          <w:bCs/>
          <w:color w:val="000000"/>
        </w:rPr>
        <w:t> </w:t>
      </w:r>
      <w:r>
        <w:rPr>
          <w:bCs/>
          <w:color w:val="000000"/>
        </w:rPr>
        <w:t>30(a)</w:t>
      </w:r>
      <w:r w:rsidRPr="00D43FAB">
        <w:t>.</w:t>
      </w:r>
    </w:p>
    <w:p w:rsidRPr="00D43FAB" w:rsidR="005813D9" w:rsidP="00D43FAB" w:rsidRDefault="005813D9" w14:paraId="491DDEF7" w14:textId="77777777">
      <w:pPr>
        <w:pStyle w:val="FERCparanumber"/>
      </w:pPr>
      <w:r w:rsidRPr="00D43FAB">
        <w:t>On February 20, 2015, Soldier Canyon requested rehearing of the rejection of its Notice of Intent</w:t>
      </w:r>
      <w:r>
        <w:t>, contending that Commission staff erred in its determination</w:t>
      </w:r>
      <w:r w:rsidRPr="00D43FAB">
        <w:t xml:space="preserve">.  </w:t>
      </w:r>
    </w:p>
    <w:p w:rsidRPr="00BC0585" w:rsidR="005813D9" w:rsidP="005813D9" w:rsidRDefault="007C302A" w14:paraId="491DDEF8" w14:textId="77777777">
      <w:pPr>
        <w:spacing w:after="240"/>
        <w:rPr>
          <w:b/>
          <w:szCs w:val="26"/>
          <w:u w:val="single"/>
        </w:rPr>
      </w:pPr>
      <w:r w:rsidRPr="00BC0585">
        <w:rPr>
          <w:b/>
          <w:szCs w:val="26"/>
          <w:u w:val="single"/>
        </w:rPr>
        <w:t xml:space="preserve">Discussion </w:t>
      </w:r>
    </w:p>
    <w:p w:rsidRPr="00D43FAB" w:rsidR="00DC1E88" w:rsidP="00DC1E88" w:rsidRDefault="00DC1E88" w14:paraId="491DDEF9" w14:textId="77777777">
      <w:pPr>
        <w:pStyle w:val="FERCparanumber"/>
      </w:pPr>
      <w:r w:rsidRPr="00D43FAB">
        <w:t xml:space="preserve">On rehearing, Soldier Canyon contends that, though the FPA requires the exclusion of dams from </w:t>
      </w:r>
      <w:r>
        <w:t xml:space="preserve">qualifying </w:t>
      </w:r>
      <w:r w:rsidRPr="00D43FAB">
        <w:t>facilities, it does not require the exclusion of facilities that use hydroelectric potential that is in part created by a dam</w:t>
      </w:r>
      <w:r>
        <w:t>, provided that the conduit is non-federally owned</w:t>
      </w:r>
      <w:r w:rsidRPr="00D43FAB">
        <w:t>.</w:t>
      </w:r>
      <w:r w:rsidRPr="00D43FAB">
        <w:rPr>
          <w:rStyle w:val="FootnoteReference"/>
        </w:rPr>
        <w:footnoteReference w:id="7"/>
      </w:r>
      <w:r w:rsidRPr="00D43FAB">
        <w:t xml:space="preserve">  </w:t>
      </w:r>
      <w:r w:rsidR="00E3154E">
        <w:t>It</w:t>
      </w:r>
      <w:r w:rsidRPr="00283353" w:rsidR="00E3154E">
        <w:rPr>
          <w:szCs w:val="26"/>
        </w:rPr>
        <w:t xml:space="preserve"> </w:t>
      </w:r>
      <w:r w:rsidR="00E3154E">
        <w:rPr>
          <w:szCs w:val="26"/>
        </w:rPr>
        <w:t xml:space="preserve">contends that the statutory requirement of FPA section 30(a) that a qualifying facility is “a facility (not including any dam or other impoundment)” that generates power using “only the hydroelectric potential of a non-federally owned conduit” requires only that the generation </w:t>
      </w:r>
      <w:r w:rsidR="00E3154E">
        <w:rPr>
          <w:i/>
          <w:szCs w:val="26"/>
        </w:rPr>
        <w:t>facility</w:t>
      </w:r>
      <w:r w:rsidR="00E3154E">
        <w:rPr>
          <w:szCs w:val="26"/>
        </w:rPr>
        <w:t xml:space="preserve"> not include a dam.  It does not exclude a hydro facility that uses the</w:t>
      </w:r>
      <w:r w:rsidRPr="0002205D" w:rsidR="00E3154E">
        <w:rPr>
          <w:szCs w:val="26"/>
        </w:rPr>
        <w:t xml:space="preserve"> </w:t>
      </w:r>
      <w:r w:rsidR="00E3154E">
        <w:rPr>
          <w:szCs w:val="26"/>
        </w:rPr>
        <w:t xml:space="preserve">hydroelectric potential of a conduit, </w:t>
      </w:r>
      <w:r w:rsidR="00F52073">
        <w:rPr>
          <w:szCs w:val="26"/>
        </w:rPr>
        <w:t xml:space="preserve">where the potential </w:t>
      </w:r>
      <w:r w:rsidR="00E3154E">
        <w:rPr>
          <w:szCs w:val="26"/>
        </w:rPr>
        <w:t>is in part created by the elevation of a dammed reservoir from which the conduit collects water, provided however that the conduit i</w:t>
      </w:r>
      <w:r w:rsidR="00601B43">
        <w:rPr>
          <w:szCs w:val="26"/>
        </w:rPr>
        <w:t>s</w:t>
      </w:r>
      <w:r w:rsidR="00E3154E">
        <w:rPr>
          <w:szCs w:val="26"/>
        </w:rPr>
        <w:t xml:space="preserve"> </w:t>
      </w:r>
      <w:r w:rsidR="00E3154E">
        <w:rPr>
          <w:i/>
          <w:szCs w:val="26"/>
        </w:rPr>
        <w:t xml:space="preserve">non-federally </w:t>
      </w:r>
      <w:r w:rsidR="00E3154E">
        <w:rPr>
          <w:szCs w:val="26"/>
        </w:rPr>
        <w:t xml:space="preserve">owned.  </w:t>
      </w:r>
      <w:r w:rsidR="001E12F8">
        <w:t xml:space="preserve">Soldier Canyon states that requiring a facility to use </w:t>
      </w:r>
      <w:r w:rsidRPr="001E12F8" w:rsidR="001E12F8">
        <w:rPr>
          <w:i/>
        </w:rPr>
        <w:t>solely</w:t>
      </w:r>
      <w:r w:rsidR="001E12F8">
        <w:t xml:space="preserve"> the hydroelectric potential of a conduit alone would restrict the application of this exemption to a very small number of projects, contrary to Congress’ intent.</w:t>
      </w:r>
      <w:r w:rsidR="001E12F8">
        <w:rPr>
          <w:rStyle w:val="FootnoteReference"/>
        </w:rPr>
        <w:footnoteReference w:id="8"/>
      </w:r>
      <w:r w:rsidR="001E12F8">
        <w:t xml:space="preserve">  </w:t>
      </w:r>
      <w:r w:rsidRPr="00D43FAB">
        <w:t xml:space="preserve">Soldier Canyon concludes that, since the proposed Soldier Canyon Facility does not include a dam and uses the hydroelectric potential of a non-federally </w:t>
      </w:r>
      <w:r w:rsidRPr="00D43FAB">
        <w:lastRenderedPageBreak/>
        <w:t>owned conduit, regardless of whether it also derives potential from the elevation of a dammed reservoir, the facility satisfies the qualifying criteria.</w:t>
      </w:r>
      <w:r w:rsidR="00E3154E">
        <w:rPr>
          <w:rStyle w:val="FootnoteReference"/>
        </w:rPr>
        <w:footnoteReference w:id="9"/>
      </w:r>
      <w:r w:rsidR="001E12F8">
        <w:t xml:space="preserve"> </w:t>
      </w:r>
    </w:p>
    <w:p w:rsidRPr="00215697" w:rsidR="006513B1" w:rsidP="006513B1" w:rsidRDefault="00BB6FCC" w14:paraId="491DDEFA" w14:textId="77777777">
      <w:pPr>
        <w:pStyle w:val="FERCparanumber"/>
        <w:rPr>
          <w:b/>
          <w:szCs w:val="26"/>
          <w:u w:val="single"/>
        </w:rPr>
      </w:pPr>
      <w:r>
        <w:t xml:space="preserve">We agree.  </w:t>
      </w:r>
      <w:r w:rsidR="00B14E58">
        <w:t>As noted above, i</w:t>
      </w:r>
      <w:r w:rsidR="006513B1">
        <w:t xml:space="preserve">n </w:t>
      </w:r>
      <w:r>
        <w:t xml:space="preserve">this key </w:t>
      </w:r>
      <w:r w:rsidR="006513B1">
        <w:t>respect the statutory requirements are the same for qualifying conduit facilities (i.e., those excluded from the licensing requirements of the FPA) and small conduit facilities (i.e., those eligible for an exemption authorization from the Commission).</w:t>
      </w:r>
      <w:r w:rsidR="006513B1">
        <w:rPr>
          <w:rStyle w:val="FootnoteReference"/>
        </w:rPr>
        <w:footnoteReference w:id="10"/>
      </w:r>
      <w:r>
        <w:t xml:space="preserve">  The Commission has administered the small conduit exemption program for over 35 years, </w:t>
      </w:r>
      <w:r w:rsidR="003B1E59">
        <w:t>and</w:t>
      </w:r>
      <w:r>
        <w:t xml:space="preserve"> a review of the Commission</w:t>
      </w:r>
      <w:r w:rsidR="00F71FC3">
        <w:t xml:space="preserve">’s implementation of </w:t>
      </w:r>
      <w:r>
        <w:t>the provisions at issue here supports Soldier Canyon’s argument.</w:t>
      </w:r>
      <w:r w:rsidR="00C57E56">
        <w:rPr>
          <w:rStyle w:val="FootnoteReference"/>
        </w:rPr>
        <w:footnoteReference w:id="11"/>
      </w:r>
      <w:r>
        <w:t xml:space="preserve">  </w:t>
      </w:r>
      <w:r w:rsidR="006513B1">
        <w:t xml:space="preserve">      </w:t>
      </w:r>
    </w:p>
    <w:p w:rsidR="00FB0B79" w:rsidP="006513B1" w:rsidRDefault="00FB0B79" w14:paraId="491DDEFB" w14:textId="77777777">
      <w:pPr>
        <w:pStyle w:val="FERCparanumber"/>
        <w:widowControl w:val="0"/>
        <w:spacing w:after="260"/>
      </w:pPr>
      <w:r>
        <w:t xml:space="preserve">As pertinent here, </w:t>
      </w:r>
      <w:r w:rsidR="00412619">
        <w:t xml:space="preserve">when promulgating the </w:t>
      </w:r>
      <w:r w:rsidRPr="0043055D" w:rsidR="006513B1">
        <w:t>regulations</w:t>
      </w:r>
      <w:r w:rsidR="006513B1">
        <w:t xml:space="preserve"> implementing </w:t>
      </w:r>
      <w:r>
        <w:t>small conduit facility exemptions</w:t>
      </w:r>
      <w:r w:rsidR="001E12F8">
        <w:t xml:space="preserve"> in 1980</w:t>
      </w:r>
      <w:r w:rsidR="00412619">
        <w:t xml:space="preserve">, the Commission defined </w:t>
      </w:r>
      <w:r>
        <w:t xml:space="preserve">an exempt facility as one that </w:t>
      </w:r>
    </w:p>
    <w:p w:rsidR="00FB0B79" w:rsidP="00412619" w:rsidRDefault="00FB0B79" w14:paraId="491DDEFC" w14:textId="77777777">
      <w:pPr>
        <w:pStyle w:val="BlockIndent"/>
      </w:pPr>
      <w:r>
        <w:t xml:space="preserve">utilizes for electric power generation the hydroelectric potential of a conduit; … </w:t>
      </w:r>
      <w:r w:rsidRPr="00DC1E88">
        <w:rPr>
          <w:i/>
        </w:rPr>
        <w:t>is not an integral part of a dam</w:t>
      </w:r>
      <w:r>
        <w:t xml:space="preserve">; and … does not rely on construction of a dam which construction will create </w:t>
      </w:r>
      <w:r w:rsidRPr="008159B5">
        <w:rPr>
          <w:i/>
        </w:rPr>
        <w:t>any portion of the hydrostatic head</w:t>
      </w:r>
      <w:r>
        <w:t xml:space="preserve"> that the facility uses for power generation, </w:t>
      </w:r>
      <w:r w:rsidRPr="00412619">
        <w:rPr>
          <w:i/>
        </w:rPr>
        <w:t>unless that construction would occur for agricultural, municipal, or industrial consumptive purposes even if hydroelectric generating facilitie</w:t>
      </w:r>
      <w:r w:rsidRPr="00412619" w:rsidR="00412619">
        <w:rPr>
          <w:i/>
        </w:rPr>
        <w:t>s</w:t>
      </w:r>
      <w:r w:rsidRPr="00412619">
        <w:rPr>
          <w:i/>
        </w:rPr>
        <w:t xml:space="preserve"> were not installed. </w:t>
      </w:r>
      <w:r w:rsidR="00412619">
        <w:t>[Emphasis added.]</w:t>
      </w:r>
      <w:r w:rsidR="00412619">
        <w:rPr>
          <w:rStyle w:val="FootnoteReference"/>
        </w:rPr>
        <w:footnoteReference w:id="12"/>
      </w:r>
      <w:r>
        <w:t xml:space="preserve"> </w:t>
      </w:r>
    </w:p>
    <w:p w:rsidR="008159B5" w:rsidP="006513B1" w:rsidRDefault="00DC1E88" w14:paraId="491DDEFD" w14:textId="77777777">
      <w:pPr>
        <w:pStyle w:val="FERCparanumber"/>
        <w:rPr>
          <w:szCs w:val="26"/>
        </w:rPr>
      </w:pPr>
      <w:r w:rsidRPr="008159B5">
        <w:rPr>
          <w:szCs w:val="26"/>
        </w:rPr>
        <w:lastRenderedPageBreak/>
        <w:t xml:space="preserve">In promulgating these regulations, the Commission </w:t>
      </w:r>
      <w:r w:rsidR="008159B5">
        <w:rPr>
          <w:szCs w:val="26"/>
        </w:rPr>
        <w:t>stated that, by requiring that a small conduit facility not be:</w:t>
      </w:r>
    </w:p>
    <w:p w:rsidR="00E96CB5" w:rsidP="004035E7" w:rsidRDefault="008159B5" w14:paraId="491DDEFE" w14:textId="77777777">
      <w:pPr>
        <w:pStyle w:val="BlockIndent"/>
      </w:pPr>
      <w:r>
        <w:t xml:space="preserve">an integral part of a dam, … a facility will not be disqualified unless the powerhouse [of the small conduit facility] and the dam together form a physically and functionally indivisible unit for the impoundment of water….  </w:t>
      </w:r>
    </w:p>
    <w:p w:rsidRPr="00E96CB5" w:rsidR="00E96CB5" w:rsidP="00E96CB5" w:rsidRDefault="00E96CB5" w14:paraId="491DDEFF" w14:textId="77777777">
      <w:pPr>
        <w:ind w:left="1440" w:right="1440"/>
      </w:pPr>
      <w:r>
        <w:t>The underlying reason for the exemption is to encourage development of power facilities associated with development of industrial, municipal, or agricultural water supply, where hydroelectric energy can be developed incidentally to the primary purpose of the conduit, i.e., water distribution.</w:t>
      </w:r>
    </w:p>
    <w:p w:rsidRPr="00E96CB5" w:rsidR="00E96CB5" w:rsidP="00E96CB5" w:rsidRDefault="00E96CB5" w14:paraId="491DDF00" w14:textId="77777777"/>
    <w:p w:rsidRPr="008159B5" w:rsidR="006513B1" w:rsidP="004035E7" w:rsidRDefault="008159B5" w14:paraId="491DDF01" w14:textId="77777777">
      <w:pPr>
        <w:pStyle w:val="BlockIndent"/>
        <w:rPr>
          <w:szCs w:val="26"/>
        </w:rPr>
      </w:pPr>
      <w:r>
        <w:t>There is no indication in the legislative history of PURPA that Congress intended to</w:t>
      </w:r>
      <w:r w:rsidR="004035E7">
        <w:t xml:space="preserve"> p</w:t>
      </w:r>
      <w:r>
        <w:t xml:space="preserve">reclude an exemption unless the facility itself were </w:t>
      </w:r>
      <w:r w:rsidR="004035E7">
        <w:t>structurally integrated with the dam or the dam created or enlarged an impoundment for hydroelectric generating purposes and this rule would not permit an exemption in those circumstances.</w:t>
      </w:r>
      <w:r w:rsidR="004035E7">
        <w:rPr>
          <w:rStyle w:val="FootnoteReference"/>
        </w:rPr>
        <w:footnoteReference w:id="13"/>
      </w:r>
      <w:r>
        <w:rPr>
          <w:szCs w:val="26"/>
        </w:rPr>
        <w:t xml:space="preserve">    </w:t>
      </w:r>
    </w:p>
    <w:p w:rsidR="00E96CB5" w:rsidP="00DC1E88" w:rsidRDefault="00071E85" w14:paraId="491DDF02" w14:textId="77777777">
      <w:pPr>
        <w:pStyle w:val="FERCparanumber"/>
      </w:pPr>
      <w:r>
        <w:t xml:space="preserve">In </w:t>
      </w:r>
      <w:r>
        <w:rPr>
          <w:i/>
          <w:szCs w:val="26"/>
        </w:rPr>
        <w:t>Hy Power Energy Company</w:t>
      </w:r>
      <w:r>
        <w:rPr>
          <w:szCs w:val="26"/>
        </w:rPr>
        <w:t xml:space="preserve"> the Commission explained that “a conduit project can use the hydrostatic head of a dam</w:t>
      </w:r>
      <w:r w:rsidRPr="00071E85">
        <w:rPr>
          <w:szCs w:val="26"/>
        </w:rPr>
        <w:t xml:space="preserve"> </w:t>
      </w:r>
      <w:r>
        <w:rPr>
          <w:szCs w:val="26"/>
        </w:rPr>
        <w:t>so long as it does not rely upon the construction of a dam, which construction would create any portion of the hydrostatic head that the facility uses for power generation, unless that construction would occur for agricultural, municipal, or industrial consumptive purposes even if the hydroelectric generating facilities were not installed.”</w:t>
      </w:r>
      <w:r>
        <w:rPr>
          <w:rStyle w:val="FootnoteReference"/>
        </w:rPr>
        <w:footnoteReference w:id="14"/>
      </w:r>
    </w:p>
    <w:p w:rsidR="0040240A" w:rsidP="00DC1E88" w:rsidRDefault="0054589A" w14:paraId="491DDF03" w14:textId="77777777">
      <w:pPr>
        <w:pStyle w:val="FERCparanumber"/>
      </w:pPr>
      <w:r>
        <w:t xml:space="preserve">In determining whether a proposed </w:t>
      </w:r>
      <w:r w:rsidR="007037C5">
        <w:t xml:space="preserve">qualifying </w:t>
      </w:r>
      <w:r>
        <w:t xml:space="preserve">conduit </w:t>
      </w:r>
      <w:r w:rsidR="007037C5">
        <w:t xml:space="preserve">hydropower </w:t>
      </w:r>
      <w:r>
        <w:t xml:space="preserve">facility meets the requirement of FPA section 30(a) that it use </w:t>
      </w:r>
      <w:r>
        <w:rPr>
          <w:szCs w:val="26"/>
        </w:rPr>
        <w:t xml:space="preserve">“only the hydroelectric potential of a non-federally owned conduit” and (if it meets the other section 30(a) requirements) is thus excluded from the licensing </w:t>
      </w:r>
      <w:r w:rsidR="0040240A">
        <w:rPr>
          <w:szCs w:val="26"/>
        </w:rPr>
        <w:t xml:space="preserve">requirements of </w:t>
      </w:r>
      <w:r w:rsidR="001C7B3D">
        <w:rPr>
          <w:szCs w:val="26"/>
        </w:rPr>
        <w:t>the FPA</w:t>
      </w:r>
      <w:r>
        <w:rPr>
          <w:szCs w:val="26"/>
        </w:rPr>
        <w:t xml:space="preserve">, we </w:t>
      </w:r>
      <w:r w:rsidR="004035E7">
        <w:t xml:space="preserve">see no reason to apply a different, more stringent standard </w:t>
      </w:r>
      <w:r w:rsidR="00AD60A9">
        <w:t xml:space="preserve">than </w:t>
      </w:r>
      <w:r w:rsidR="00A745A3">
        <w:t xml:space="preserve">was established in 1980 </w:t>
      </w:r>
      <w:r w:rsidR="00AD60A9">
        <w:t xml:space="preserve">for small conduit facility </w:t>
      </w:r>
      <w:r w:rsidR="00AD60A9">
        <w:lastRenderedPageBreak/>
        <w:t>exemptions.</w:t>
      </w:r>
      <w:r w:rsidR="0040240A">
        <w:t xml:space="preserve">  </w:t>
      </w:r>
      <w:r w:rsidR="001C7B3D">
        <w:t>We view s</w:t>
      </w:r>
      <w:r w:rsidR="0040240A">
        <w:t>mall conduit facilities and qualifying conduits</w:t>
      </w:r>
      <w:r w:rsidR="001C7B3D">
        <w:t xml:space="preserve"> as simply generating hydroelectricity by using the water within a conduit operated for the distribution of water for agricultural, municipal, or industrial consumption and not primarily for the generation of electricity.  Whether, or in what </w:t>
      </w:r>
      <w:r w:rsidR="009B7541">
        <w:t>pro</w:t>
      </w:r>
      <w:r w:rsidR="001C7B3D">
        <w:t xml:space="preserve">portion, the </w:t>
      </w:r>
      <w:r w:rsidR="009B7541">
        <w:t xml:space="preserve">conduit’s ability to generate </w:t>
      </w:r>
      <w:r w:rsidR="001C7B3D">
        <w:t>hydropower is due to the conduit’s gradient</w:t>
      </w:r>
      <w:r w:rsidR="009B7541">
        <w:t xml:space="preserve"> or </w:t>
      </w:r>
      <w:r w:rsidR="001C7B3D">
        <w:t xml:space="preserve">the head from </w:t>
      </w:r>
      <w:r w:rsidR="009B7541">
        <w:t>an</w:t>
      </w:r>
      <w:r w:rsidR="001C7B3D">
        <w:t xml:space="preserve"> upstream dam</w:t>
      </w:r>
      <w:r w:rsidR="009B7541">
        <w:t xml:space="preserve"> is not relevant.</w:t>
      </w:r>
      <w:r w:rsidR="009B7541">
        <w:rPr>
          <w:rStyle w:val="FootnoteReference"/>
        </w:rPr>
        <w:footnoteReference w:id="15"/>
      </w:r>
      <w:r w:rsidR="009B7541">
        <w:t xml:space="preserve">  </w:t>
      </w:r>
      <w:r w:rsidR="001C7B3D">
        <w:t xml:space="preserve">  </w:t>
      </w:r>
      <w:r w:rsidR="00372F61">
        <w:t xml:space="preserve">  </w:t>
      </w:r>
    </w:p>
    <w:p w:rsidR="00AD60A9" w:rsidP="00DC1E88" w:rsidRDefault="00372F61" w14:paraId="491DDF04" w14:textId="77777777">
      <w:pPr>
        <w:pStyle w:val="FERCparanumber"/>
      </w:pPr>
      <w:r>
        <w:t xml:space="preserve">Soldier Canyon’s proposed facility would be located adjacent to, and essentially replace, a </w:t>
      </w:r>
      <w:r w:rsidRPr="00D43FAB">
        <w:t>pressure</w:t>
      </w:r>
      <w:r>
        <w:t>-</w:t>
      </w:r>
      <w:r w:rsidRPr="00D43FAB">
        <w:t xml:space="preserve">reducing vault </w:t>
      </w:r>
      <w:r>
        <w:t>located about 1200 feet downstream of Horsetooth dam</w:t>
      </w:r>
      <w:r w:rsidRPr="00D43FAB">
        <w:t>.</w:t>
      </w:r>
      <w:r>
        <w:t xml:space="preserve">  A new buried powerhouse</w:t>
      </w:r>
      <w:r w:rsidR="0050099F">
        <w:t xml:space="preserve"> </w:t>
      </w:r>
      <w:r>
        <w:t>would take water from the pipeline, bypassing the pressure-reducing vault, and return it to the pipeline downstream of the vault</w:t>
      </w:r>
      <w:r w:rsidR="0050099F">
        <w:t>.  Under these facts, the Soldier Canyon facility meets the requirement of FPA section 30(a) that it not include a dam or other impoundment and that it use the hydroelectric potential of the conduit, which is not federally-owned.</w:t>
      </w:r>
      <w:r w:rsidR="00A745A3">
        <w:t xml:space="preserve">   </w:t>
      </w:r>
      <w:r w:rsidR="0050099F">
        <w:t xml:space="preserve">      </w:t>
      </w:r>
      <w:r>
        <w:t xml:space="preserve">   </w:t>
      </w:r>
      <w:r w:rsidR="00AD60A9">
        <w:t xml:space="preserve">  </w:t>
      </w:r>
    </w:p>
    <w:p w:rsidR="005813D9" w:rsidP="00D43FAB" w:rsidRDefault="00AD60A9" w14:paraId="491DDF05" w14:textId="77777777">
      <w:pPr>
        <w:pStyle w:val="FERCparanumber"/>
      </w:pPr>
      <w:r>
        <w:t>For the above reasons, we grant rehearing and reinstate Soldier Canyon’s Notice of Intent.</w:t>
      </w:r>
      <w:r w:rsidR="002336F4">
        <w:rPr>
          <w:rStyle w:val="FootnoteReference"/>
        </w:rPr>
        <w:footnoteReference w:id="16"/>
      </w:r>
      <w:r>
        <w:t xml:space="preserve">  In addition, </w:t>
      </w:r>
      <w:r w:rsidR="00763ADA">
        <w:t xml:space="preserve">it is our preliminary determination </w:t>
      </w:r>
      <w:r>
        <w:t>that the proposed project described in the Notice of Intent meets the criteria of FPA section 30(a) for a qualifying conduit facility</w:t>
      </w:r>
      <w:r w:rsidR="00763ADA">
        <w:t xml:space="preserve">.  Commission staff will issue </w:t>
      </w:r>
      <w:r w:rsidR="000C5990">
        <w:t xml:space="preserve">public </w:t>
      </w:r>
      <w:r w:rsidR="00763ADA">
        <w:t>notice of this preliminary determination, as required by section 30(a)(2)(B)</w:t>
      </w:r>
      <w:r w:rsidR="000C5990">
        <w:t>, and thereafter issue a final determination.</w:t>
      </w:r>
      <w:r w:rsidR="00763ADA">
        <w:t xml:space="preserve">  </w:t>
      </w:r>
      <w:r>
        <w:t xml:space="preserve">    </w:t>
      </w:r>
      <w:r w:rsidR="004035E7">
        <w:t xml:space="preserve">  </w:t>
      </w:r>
      <w:r w:rsidR="005813D9">
        <w:t xml:space="preserve"> </w:t>
      </w:r>
    </w:p>
    <w:p w:rsidRPr="00D43FAB" w:rsidR="005813D9" w:rsidP="00297A0D" w:rsidRDefault="005813D9" w14:paraId="491DDF06" w14:textId="77777777">
      <w:pPr>
        <w:outlineLvl w:val="0"/>
        <w:rPr>
          <w:szCs w:val="26"/>
        </w:rPr>
      </w:pPr>
      <w:r w:rsidRPr="00D43FAB">
        <w:rPr>
          <w:szCs w:val="26"/>
          <w:u w:val="single"/>
        </w:rPr>
        <w:t>The Commission orders</w:t>
      </w:r>
      <w:r w:rsidRPr="00D43FAB">
        <w:rPr>
          <w:szCs w:val="26"/>
        </w:rPr>
        <w:t>:</w:t>
      </w:r>
    </w:p>
    <w:p w:rsidRPr="007D0373" w:rsidR="005813D9" w:rsidP="00297A0D" w:rsidRDefault="005813D9" w14:paraId="491DDF07" w14:textId="77777777">
      <w:pPr>
        <w:rPr>
          <w:szCs w:val="26"/>
        </w:rPr>
      </w:pPr>
    </w:p>
    <w:p w:rsidR="00AD60A9" w:rsidP="001364B6" w:rsidRDefault="00AD60A9" w14:paraId="491DDF08" w14:textId="77777777">
      <w:pPr>
        <w:pStyle w:val="BodyText"/>
        <w:spacing w:after="240"/>
        <w:ind w:firstLine="720"/>
        <w:rPr>
          <w:szCs w:val="26"/>
        </w:rPr>
      </w:pPr>
      <w:r>
        <w:rPr>
          <w:szCs w:val="26"/>
        </w:rPr>
        <w:t xml:space="preserve">(A)  </w:t>
      </w:r>
      <w:r w:rsidR="005813D9">
        <w:rPr>
          <w:szCs w:val="26"/>
        </w:rPr>
        <w:t>Soldier Canyon Filter Plant’s February 20, 2015</w:t>
      </w:r>
      <w:r w:rsidRPr="007D0373" w:rsidR="005813D9">
        <w:rPr>
          <w:szCs w:val="26"/>
        </w:rPr>
        <w:t xml:space="preserve"> </w:t>
      </w:r>
      <w:r w:rsidR="005813D9">
        <w:rPr>
          <w:szCs w:val="26"/>
        </w:rPr>
        <w:t xml:space="preserve">request for rehearing of the February 6, 2015 letter rejecting </w:t>
      </w:r>
      <w:r>
        <w:rPr>
          <w:szCs w:val="26"/>
        </w:rPr>
        <w:t>its</w:t>
      </w:r>
      <w:r w:rsidR="005813D9">
        <w:rPr>
          <w:szCs w:val="26"/>
        </w:rPr>
        <w:t xml:space="preserve"> Notice of Intent to Construct a Qualifying Conduit Hydropower Facility is </w:t>
      </w:r>
      <w:r w:rsidR="00DC1E88">
        <w:rPr>
          <w:szCs w:val="26"/>
        </w:rPr>
        <w:t xml:space="preserve">granted, and </w:t>
      </w:r>
      <w:r>
        <w:rPr>
          <w:szCs w:val="26"/>
        </w:rPr>
        <w:t>the Notice of Intent is reinstated.</w:t>
      </w:r>
    </w:p>
    <w:p w:rsidR="00AD60A9" w:rsidP="001364B6" w:rsidRDefault="00AD60A9" w14:paraId="491DDF09" w14:textId="77777777">
      <w:pPr>
        <w:pStyle w:val="BodyText"/>
        <w:spacing w:after="240"/>
        <w:ind w:firstLine="720"/>
      </w:pPr>
      <w:r>
        <w:rPr>
          <w:szCs w:val="26"/>
        </w:rPr>
        <w:t xml:space="preserve">(B)  </w:t>
      </w:r>
      <w:r w:rsidRPr="007D0373" w:rsidR="005813D9">
        <w:rPr>
          <w:szCs w:val="26"/>
        </w:rPr>
        <w:t xml:space="preserve"> </w:t>
      </w:r>
      <w:r w:rsidR="000C5990">
        <w:rPr>
          <w:szCs w:val="26"/>
        </w:rPr>
        <w:t xml:space="preserve">It is preliminarily determined that </w:t>
      </w:r>
      <w:r>
        <w:rPr>
          <w:szCs w:val="26"/>
        </w:rPr>
        <w:t xml:space="preserve">Soldier Canyon Filter Plant’s </w:t>
      </w:r>
      <w:r w:rsidRPr="00D43FAB">
        <w:t>proposed Soldier Canyon Micro Hydro Facility</w:t>
      </w:r>
      <w:r>
        <w:t xml:space="preserve"> meets the qualifying criteria of section 30(a) of the Federal Power Act and is not required to be licensed under Part I of the FPA.</w:t>
      </w:r>
    </w:p>
    <w:p w:rsidR="006268A8" w:rsidP="001364B6" w:rsidRDefault="006268A8" w14:paraId="491DDF0A" w14:textId="77777777">
      <w:pPr>
        <w:pStyle w:val="BodyText"/>
        <w:spacing w:after="240"/>
        <w:ind w:firstLine="720"/>
      </w:pPr>
    </w:p>
    <w:p w:rsidR="000C5990" w:rsidP="001364B6" w:rsidRDefault="00AD60A9" w14:paraId="491DDF0B" w14:textId="77777777">
      <w:pPr>
        <w:pStyle w:val="BodyText"/>
        <w:spacing w:after="240"/>
        <w:ind w:firstLine="720"/>
      </w:pPr>
      <w:r>
        <w:lastRenderedPageBreak/>
        <w:t xml:space="preserve">(C)  </w:t>
      </w:r>
      <w:r w:rsidR="000C5990">
        <w:t>Upon issuance of this order, Commission staff will issue public notice of the preliminary determination set forth in Ordering Paragraph (B).</w:t>
      </w:r>
    </w:p>
    <w:p w:rsidR="005813D9" w:rsidP="00297A0D" w:rsidRDefault="005813D9" w14:paraId="491DDF0C" w14:textId="77777777">
      <w:pPr>
        <w:rPr>
          <w:szCs w:val="26"/>
        </w:rPr>
      </w:pPr>
      <w:r w:rsidRPr="007D0373">
        <w:rPr>
          <w:szCs w:val="26"/>
        </w:rPr>
        <w:t>By the Commission.</w:t>
      </w:r>
    </w:p>
    <w:p w:rsidRPr="007D0373" w:rsidR="006268A8" w:rsidP="00297A0D" w:rsidRDefault="006268A8" w14:paraId="491DDF0D" w14:textId="77777777">
      <w:pPr>
        <w:rPr>
          <w:szCs w:val="26"/>
        </w:rPr>
      </w:pPr>
    </w:p>
    <w:p w:rsidR="005813D9" w:rsidP="006268A8" w:rsidRDefault="006268A8" w14:paraId="491DDF0E" w14:textId="77777777">
      <w:pPr>
        <w:widowControl/>
        <w:rPr>
          <w:szCs w:val="26"/>
        </w:rPr>
      </w:pPr>
      <w:r>
        <w:rPr>
          <w:szCs w:val="26"/>
        </w:rPr>
        <w:t xml:space="preserve">( </w:t>
      </w:r>
      <w:r w:rsidRPr="006268A8">
        <w:rPr>
          <w:szCs w:val="26"/>
        </w:rPr>
        <w:t>S E A L )</w:t>
      </w:r>
    </w:p>
    <w:p w:rsidR="006268A8" w:rsidP="006268A8" w:rsidRDefault="006268A8" w14:paraId="491DDF0F" w14:textId="77777777">
      <w:pPr>
        <w:widowControl/>
        <w:rPr>
          <w:szCs w:val="26"/>
        </w:rPr>
      </w:pPr>
    </w:p>
    <w:p w:rsidRPr="006268A8" w:rsidR="006268A8" w:rsidP="006268A8" w:rsidRDefault="006268A8" w14:paraId="491DDF10" w14:textId="77777777">
      <w:pPr>
        <w:widowControl/>
        <w:rPr>
          <w:szCs w:val="26"/>
        </w:rPr>
      </w:pPr>
    </w:p>
    <w:p w:rsidR="005813D9" w:rsidP="00544032" w:rsidRDefault="005813D9" w14:paraId="491DDF11" w14:textId="77777777">
      <w:pPr>
        <w:widowControl/>
        <w:rPr>
          <w:szCs w:val="26"/>
        </w:rPr>
      </w:pPr>
    </w:p>
    <w:p w:rsidR="005813D9" w:rsidP="00544032" w:rsidRDefault="005813D9" w14:paraId="491DDF12" w14:textId="77777777">
      <w:pPr>
        <w:widowControl/>
        <w:rPr>
          <w:szCs w:val="26"/>
        </w:rPr>
      </w:pPr>
    </w:p>
    <w:p w:rsidR="005813D9" w:rsidP="006268A8" w:rsidRDefault="005813D9" w14:paraId="491DDF13" w14:textId="77777777">
      <w:pPr>
        <w:widowControl/>
        <w:rPr>
          <w:szCs w:val="26"/>
        </w:rPr>
      </w:pPr>
    </w:p>
    <w:p w:rsidR="006268A8" w:rsidP="006268A8" w:rsidRDefault="006268A8" w14:paraId="491DDF14" w14:textId="77777777">
      <w:pPr>
        <w:widowControl/>
        <w:rPr>
          <w:szCs w:val="26"/>
        </w:rPr>
      </w:pPr>
    </w:p>
    <w:p w:rsidRPr="006268A8" w:rsidR="006268A8" w:rsidP="006268A8" w:rsidRDefault="006268A8" w14:paraId="491DDF15" w14:textId="77777777">
      <w:pPr>
        <w:widowControl/>
        <w:ind w:firstLine="2174"/>
        <w:jc w:val="center"/>
      </w:pPr>
      <w:r w:rsidRPr="006268A8">
        <w:t>Kimberly D. Bose,</w:t>
      </w:r>
    </w:p>
    <w:p w:rsidRPr="006268A8" w:rsidR="006268A8" w:rsidP="006268A8" w:rsidRDefault="006268A8" w14:paraId="491DDF16" w14:textId="77777777">
      <w:pPr>
        <w:widowControl/>
        <w:ind w:firstLine="2174"/>
        <w:jc w:val="center"/>
      </w:pPr>
      <w:r w:rsidRPr="006268A8">
        <w:t>Secretary.</w:t>
      </w:r>
    </w:p>
    <w:p w:rsidRPr="007D0373" w:rsidR="006268A8" w:rsidP="006268A8" w:rsidRDefault="006268A8" w14:paraId="491DDF17" w14:textId="77777777">
      <w:pPr>
        <w:widowControl/>
        <w:rPr>
          <w:szCs w:val="26"/>
        </w:rPr>
      </w:pPr>
    </w:p>
    <w:sectPr w:rsidRPr="007D0373" w:rsidR="006268A8" w:rsidSect="00C0301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DDF1B" w14:textId="77777777" w:rsidR="0098456E" w:rsidRDefault="0098456E">
      <w:r>
        <w:separator/>
      </w:r>
    </w:p>
  </w:endnote>
  <w:endnote w:type="continuationSeparator" w:id="0">
    <w:p w14:paraId="491DDF1C" w14:textId="77777777" w:rsidR="0098456E" w:rsidRDefault="0098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F19FD" w14:textId="77777777" w:rsidR="00671994" w:rsidRDefault="00671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5060D" w14:textId="77777777" w:rsidR="00671994" w:rsidRDefault="00671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3255" w14:textId="77777777" w:rsidR="00671994" w:rsidRDefault="00671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DDF18" w14:textId="77777777" w:rsidR="0098456E" w:rsidRDefault="0098456E">
      <w:r>
        <w:separator/>
      </w:r>
    </w:p>
  </w:footnote>
  <w:footnote w:type="continuationSeparator" w:id="0">
    <w:p w14:paraId="491DDF19" w14:textId="77777777" w:rsidR="0098456E" w:rsidRDefault="0098456E">
      <w:r>
        <w:continuationSeparator/>
      </w:r>
    </w:p>
  </w:footnote>
  <w:footnote w:type="continuationNotice" w:id="1">
    <w:p w14:paraId="491DDF1A" w14:textId="77777777" w:rsidR="0098456E" w:rsidRPr="005813D9" w:rsidRDefault="0098456E" w:rsidP="005813D9">
      <w:pPr>
        <w:pStyle w:val="Footer"/>
      </w:pPr>
      <w:r w:rsidRPr="005813D9">
        <w:rPr>
          <w:i/>
        </w:rPr>
        <w:t>(continued ...)</w:t>
      </w:r>
    </w:p>
  </w:footnote>
  <w:footnote w:id="2">
    <w:p w14:paraId="491DDF1E" w14:textId="77777777" w:rsidR="00473915" w:rsidRDefault="00473915" w:rsidP="00473915">
      <w:pPr>
        <w:pStyle w:val="FootnoteText"/>
      </w:pPr>
      <w:r w:rsidRPr="008856A8">
        <w:rPr>
          <w:rStyle w:val="FootnoteReference"/>
        </w:rPr>
        <w:footnoteRef/>
      </w:r>
      <w:r>
        <w:t xml:space="preserve"> 16 U.S.C. § 823</w:t>
      </w:r>
      <w:r w:rsidR="00F52073">
        <w:t>a</w:t>
      </w:r>
      <w:r>
        <w:t xml:space="preserve">(b) (2012), </w:t>
      </w:r>
      <w:r>
        <w:rPr>
          <w:bCs/>
          <w:color w:val="000000"/>
          <w:szCs w:val="26"/>
        </w:rPr>
        <w:t xml:space="preserve">amended by the </w:t>
      </w:r>
      <w:r w:rsidR="00420C70" w:rsidRPr="00D43FAB">
        <w:t>Hydropower Regulatory Efficiency Act of 2013</w:t>
      </w:r>
      <w:r w:rsidR="00420C70">
        <w:t xml:space="preserve"> (2013 Act), </w:t>
      </w:r>
      <w:r w:rsidR="00420C70">
        <w:rPr>
          <w:bCs/>
          <w:color w:val="222222"/>
          <w:szCs w:val="26"/>
        </w:rPr>
        <w:t xml:space="preserve">Pub. L. 113-23, § </w:t>
      </w:r>
      <w:r w:rsidR="00420C70" w:rsidRPr="00287F90">
        <w:rPr>
          <w:bCs/>
          <w:color w:val="222222"/>
          <w:szCs w:val="26"/>
        </w:rPr>
        <w:t>4,</w:t>
      </w:r>
      <w:r w:rsidR="00420C70">
        <w:rPr>
          <w:bCs/>
          <w:color w:val="222222"/>
          <w:szCs w:val="26"/>
        </w:rPr>
        <w:t xml:space="preserve"> 27 Stat. 493 (2013).</w:t>
      </w:r>
      <w:r>
        <w:rPr>
          <w:bCs/>
          <w:color w:val="222222"/>
          <w:szCs w:val="26"/>
        </w:rPr>
        <w:t xml:space="preserve">  Section 30 was enacted in 1978 by </w:t>
      </w:r>
      <w:r w:rsidR="00FE4A8A">
        <w:rPr>
          <w:bCs/>
          <w:color w:val="222222"/>
          <w:szCs w:val="26"/>
        </w:rPr>
        <w:t xml:space="preserve">the Public Utility Regulatory Policies Act, </w:t>
      </w:r>
      <w:r>
        <w:rPr>
          <w:bCs/>
          <w:color w:val="222222"/>
          <w:szCs w:val="26"/>
        </w:rPr>
        <w:t xml:space="preserve">Pub. L. 95-617.  </w:t>
      </w:r>
      <w:r w:rsidR="00FE4A8A">
        <w:rPr>
          <w:bCs/>
          <w:color w:val="222222"/>
          <w:szCs w:val="26"/>
        </w:rPr>
        <w:t xml:space="preserve">As enacted, </w:t>
      </w:r>
      <w:r>
        <w:rPr>
          <w:bCs/>
          <w:color w:val="222222"/>
          <w:szCs w:val="26"/>
        </w:rPr>
        <w:t xml:space="preserve">a small conduit facility could not exceed 15 MW and could not be located on federal lands.  Section 30 was amended in 1986 by </w:t>
      </w:r>
      <w:r w:rsidR="00FE4A8A">
        <w:rPr>
          <w:bCs/>
          <w:color w:val="222222"/>
          <w:szCs w:val="26"/>
        </w:rPr>
        <w:t xml:space="preserve">the Electric Consumers Protection Act, </w:t>
      </w:r>
      <w:r>
        <w:rPr>
          <w:bCs/>
          <w:color w:val="222222"/>
          <w:szCs w:val="26"/>
        </w:rPr>
        <w:t xml:space="preserve">Pub. L. </w:t>
      </w:r>
      <w:r w:rsidR="006268A8">
        <w:rPr>
          <w:bCs/>
          <w:color w:val="222222"/>
          <w:szCs w:val="26"/>
        </w:rPr>
        <w:t xml:space="preserve">    </w:t>
      </w:r>
      <w:r>
        <w:rPr>
          <w:bCs/>
          <w:color w:val="222222"/>
          <w:szCs w:val="26"/>
        </w:rPr>
        <w:t>99-495 to increase</w:t>
      </w:r>
      <w:r w:rsidR="00420C70">
        <w:rPr>
          <w:bCs/>
          <w:color w:val="222222"/>
          <w:szCs w:val="26"/>
        </w:rPr>
        <w:t>,</w:t>
      </w:r>
      <w:r>
        <w:rPr>
          <w:bCs/>
          <w:color w:val="222222"/>
          <w:szCs w:val="26"/>
        </w:rPr>
        <w:t xml:space="preserve"> from 15 to 40 MW, the maximum allowable capacity for small conduit facilities owned by state or local governments.     </w:t>
      </w:r>
    </w:p>
  </w:footnote>
  <w:footnote w:id="3">
    <w:p w14:paraId="491DDF1F" w14:textId="77777777" w:rsidR="00BE4FBC" w:rsidRDefault="00BE4FBC">
      <w:pPr>
        <w:pStyle w:val="FootnoteText"/>
      </w:pPr>
      <w:r>
        <w:rPr>
          <w:rStyle w:val="FootnoteReference"/>
        </w:rPr>
        <w:footnoteRef/>
      </w:r>
      <w:r>
        <w:t xml:space="preserve"> Section 30(a)(3)(A) of the FPA, 16 U.S.C. § 823</w:t>
      </w:r>
      <w:r w:rsidR="00F52073">
        <w:t>a</w:t>
      </w:r>
      <w:r>
        <w:t xml:space="preserve">(a) (2012), as </w:t>
      </w:r>
      <w:r>
        <w:rPr>
          <w:bCs/>
          <w:color w:val="000000"/>
          <w:szCs w:val="26"/>
        </w:rPr>
        <w:t xml:space="preserve">amended by the </w:t>
      </w:r>
      <w:r w:rsidRPr="00D43FAB">
        <w:t>2013</w:t>
      </w:r>
      <w:r w:rsidR="00420C70">
        <w:t xml:space="preserve"> Act</w:t>
      </w:r>
      <w:r>
        <w:t xml:space="preserve">, </w:t>
      </w:r>
      <w:r>
        <w:rPr>
          <w:bCs/>
          <w:color w:val="222222"/>
          <w:szCs w:val="26"/>
        </w:rPr>
        <w:t xml:space="preserve">Pub. L. 113-23, § </w:t>
      </w:r>
      <w:r w:rsidRPr="0000257A">
        <w:rPr>
          <w:bCs/>
          <w:color w:val="222222"/>
          <w:szCs w:val="26"/>
        </w:rPr>
        <w:t>4,</w:t>
      </w:r>
      <w:r>
        <w:rPr>
          <w:bCs/>
          <w:color w:val="222222"/>
          <w:szCs w:val="26"/>
        </w:rPr>
        <w:t xml:space="preserve"> 27 Stat. 493 (2013).</w:t>
      </w:r>
    </w:p>
  </w:footnote>
  <w:footnote w:id="4">
    <w:p w14:paraId="491DDF20" w14:textId="77777777" w:rsidR="00473915" w:rsidRDefault="00473915" w:rsidP="00473915">
      <w:pPr>
        <w:pStyle w:val="FootnoteText"/>
      </w:pPr>
      <w:r>
        <w:rPr>
          <w:rStyle w:val="FootnoteReference"/>
        </w:rPr>
        <w:footnoteRef/>
      </w:r>
      <w:r>
        <w:t xml:space="preserve"> </w:t>
      </w:r>
      <w:r>
        <w:rPr>
          <w:bCs/>
          <w:color w:val="222222"/>
          <w:szCs w:val="26"/>
        </w:rPr>
        <w:t>Pub. L. 113-23, § 4, 127 Stat. 493 (2013).</w:t>
      </w:r>
    </w:p>
  </w:footnote>
  <w:footnote w:id="5">
    <w:p w14:paraId="491DDF21" w14:textId="77777777" w:rsidR="00215697" w:rsidRDefault="00215697">
      <w:pPr>
        <w:pStyle w:val="FootnoteText"/>
      </w:pPr>
      <w:r>
        <w:rPr>
          <w:rStyle w:val="FootnoteReference"/>
        </w:rPr>
        <w:footnoteRef/>
      </w:r>
      <w:r>
        <w:t xml:space="preserve"> To </w:t>
      </w:r>
      <w:r w:rsidRPr="00D43FAB">
        <w:t xml:space="preserve">obtain this exclusion from licensing, an applicant must file a Notice of Intent </w:t>
      </w:r>
      <w:r>
        <w:t xml:space="preserve">to </w:t>
      </w:r>
      <w:r w:rsidRPr="00D43FAB">
        <w:t xml:space="preserve">demonstrate that the proposed facility meets the </w:t>
      </w:r>
      <w:r>
        <w:t xml:space="preserve">statutory </w:t>
      </w:r>
      <w:r w:rsidRPr="00D43FAB">
        <w:t xml:space="preserve">criteria.  Commission staff then makes a preliminary determination on whether the proposal satisfies the requirements of </w:t>
      </w:r>
      <w:r>
        <w:t xml:space="preserve">section 30(a) </w:t>
      </w:r>
      <w:r w:rsidRPr="00D43FAB">
        <w:t xml:space="preserve">and gives </w:t>
      </w:r>
      <w:r>
        <w:t>the public an opportunity t</w:t>
      </w:r>
      <w:r w:rsidRPr="00D43FAB">
        <w:t xml:space="preserve">o contest </w:t>
      </w:r>
      <w:r>
        <w:t>the preliminary determination</w:t>
      </w:r>
      <w:r w:rsidRPr="00D43FAB">
        <w:t>.  If Commission staff determines that the facility meets the qualifying criteria, it issues a letter stating that the facility is not required to be licensed under Part I of the FPA.</w:t>
      </w:r>
    </w:p>
  </w:footnote>
  <w:footnote w:id="6">
    <w:p w14:paraId="491DDF22" w14:textId="77777777" w:rsidR="00473915" w:rsidRDefault="00473915" w:rsidP="00473915">
      <w:pPr>
        <w:pStyle w:val="FootnoteText"/>
      </w:pPr>
      <w:r>
        <w:rPr>
          <w:rStyle w:val="FootnoteReference"/>
        </w:rPr>
        <w:footnoteRef/>
      </w:r>
      <w:r>
        <w:t xml:space="preserve"> </w:t>
      </w:r>
      <w:r>
        <w:rPr>
          <w:bCs/>
          <w:color w:val="000000"/>
          <w:szCs w:val="26"/>
        </w:rPr>
        <w:t>1</w:t>
      </w:r>
      <w:r>
        <w:rPr>
          <w:bCs/>
          <w:color w:val="222222"/>
          <w:szCs w:val="26"/>
        </w:rPr>
        <w:t xml:space="preserve">6 U.S.C. § 823a (2012), </w:t>
      </w:r>
      <w:r>
        <w:rPr>
          <w:bCs/>
          <w:color w:val="000000"/>
          <w:szCs w:val="26"/>
        </w:rPr>
        <w:t xml:space="preserve">amended by the 2013 Act, </w:t>
      </w:r>
      <w:r>
        <w:rPr>
          <w:bCs/>
          <w:color w:val="222222"/>
          <w:szCs w:val="26"/>
        </w:rPr>
        <w:t xml:space="preserve">Pub. L. 113-23, § 4, 127 Stat. 493 (2013).  </w:t>
      </w:r>
    </w:p>
  </w:footnote>
  <w:footnote w:id="7">
    <w:p w14:paraId="491DDF23" w14:textId="77777777" w:rsidR="00DC1E88" w:rsidRDefault="00DC1E88" w:rsidP="00DC1E88">
      <w:pPr>
        <w:pStyle w:val="FootnoteText"/>
      </w:pPr>
      <w:r w:rsidRPr="00D43FAB">
        <w:rPr>
          <w:rStyle w:val="FootnoteReference"/>
        </w:rPr>
        <w:footnoteRef/>
      </w:r>
      <w:r>
        <w:t xml:space="preserve"> Request for Rehearing at 11.</w:t>
      </w:r>
    </w:p>
  </w:footnote>
  <w:footnote w:id="8">
    <w:p w14:paraId="491DDF24" w14:textId="77777777" w:rsidR="001E12F8" w:rsidRDefault="001E12F8">
      <w:pPr>
        <w:pStyle w:val="FootnoteText"/>
      </w:pPr>
      <w:r>
        <w:rPr>
          <w:rStyle w:val="FootnoteReference"/>
        </w:rPr>
        <w:footnoteRef/>
      </w:r>
      <w:r>
        <w:t xml:space="preserve"> In essence, Soldier Canyon states that applying such a strict standard would require that, in every instance, any dam-related pipeline pressure would need to be dissipated (i.e., broken to atmospheric pressure) prior to the water being entrained in the conduit.  </w:t>
      </w:r>
      <w:r>
        <w:rPr>
          <w:i/>
        </w:rPr>
        <w:t>Id.</w:t>
      </w:r>
      <w:r>
        <w:t xml:space="preserve"> at 11-12.   </w:t>
      </w:r>
    </w:p>
  </w:footnote>
  <w:footnote w:id="9">
    <w:p w14:paraId="491DDF25" w14:textId="77777777" w:rsidR="00E3154E" w:rsidRPr="00D85664" w:rsidRDefault="00E3154E">
      <w:pPr>
        <w:pStyle w:val="FootnoteText"/>
      </w:pPr>
      <w:r>
        <w:rPr>
          <w:rStyle w:val="FootnoteReference"/>
        </w:rPr>
        <w:footnoteRef/>
      </w:r>
      <w:r>
        <w:t xml:space="preserve"> </w:t>
      </w:r>
      <w:r w:rsidR="00D85664">
        <w:rPr>
          <w:i/>
        </w:rPr>
        <w:t>Id.</w:t>
      </w:r>
      <w:r w:rsidR="001E12F8">
        <w:rPr>
          <w:i/>
        </w:rPr>
        <w:t xml:space="preserve"> </w:t>
      </w:r>
      <w:r w:rsidR="001E12F8">
        <w:t>at 11.</w:t>
      </w:r>
      <w:r w:rsidR="00D85664">
        <w:t xml:space="preserve">    </w:t>
      </w:r>
    </w:p>
  </w:footnote>
  <w:footnote w:id="10">
    <w:p w14:paraId="491DDF26" w14:textId="77777777" w:rsidR="006513B1" w:rsidRDefault="006513B1" w:rsidP="006513B1">
      <w:pPr>
        <w:pStyle w:val="FootnoteText"/>
      </w:pPr>
      <w:r>
        <w:rPr>
          <w:rStyle w:val="FootnoteReference"/>
        </w:rPr>
        <w:footnoteRef/>
      </w:r>
      <w:r>
        <w:t xml:space="preserve"> The differences, which are not relevant to this case, are (1) the maximum allowable size of the project (40 MW versus 5 MW), (2) whether the conduit is federally owned, and (3) whether the project is existing or proposed.</w:t>
      </w:r>
    </w:p>
  </w:footnote>
  <w:footnote w:id="11">
    <w:p w14:paraId="491DDF27" w14:textId="77777777" w:rsidR="00C57E56" w:rsidRDefault="00C57E56">
      <w:pPr>
        <w:pStyle w:val="FootnoteText"/>
      </w:pPr>
      <w:r>
        <w:rPr>
          <w:rStyle w:val="FootnoteReference"/>
        </w:rPr>
        <w:footnoteRef/>
      </w:r>
      <w:r>
        <w:t xml:space="preserve"> In September 2014, the Commission promulgated regulations</w:t>
      </w:r>
      <w:r w:rsidR="00ED2F81">
        <w:t xml:space="preserve">, which became effective February 23, 2015, </w:t>
      </w:r>
      <w:r>
        <w:t>defining a “qualifying conduit hydropower facility”</w:t>
      </w:r>
      <w:r w:rsidR="00ED2F81">
        <w:t xml:space="preserve"> at section 4.30(b)(26) of the regulations.  </w:t>
      </w:r>
      <w:r w:rsidR="00ED2F81">
        <w:rPr>
          <w:i/>
        </w:rPr>
        <w:t xml:space="preserve">See Revisions and Technical Corrections to Conform the Commission’s Regulations to the Hydropower Regulatory Efficiency Act of 2013, </w:t>
      </w:r>
      <w:r w:rsidR="00ED2F81">
        <w:t xml:space="preserve">Order No. 800, </w:t>
      </w:r>
      <w:r w:rsidR="00ED2F81" w:rsidRPr="00E96CB5">
        <w:rPr>
          <w:szCs w:val="26"/>
        </w:rPr>
        <w:t>FERC Stats. &amp; Regs.</w:t>
      </w:r>
      <w:r w:rsidR="00ED2F81">
        <w:rPr>
          <w:szCs w:val="26"/>
        </w:rPr>
        <w:t xml:space="preserve">, Regulations Preambles </w:t>
      </w:r>
      <w:r w:rsidR="00ED2F81" w:rsidRPr="00E96CB5">
        <w:rPr>
          <w:szCs w:val="26"/>
        </w:rPr>
        <w:t>¶</w:t>
      </w:r>
      <w:r w:rsidR="00ED2F81">
        <w:rPr>
          <w:szCs w:val="26"/>
        </w:rPr>
        <w:t> </w:t>
      </w:r>
      <w:r w:rsidR="00ED2F81" w:rsidRPr="00E96CB5">
        <w:rPr>
          <w:szCs w:val="26"/>
        </w:rPr>
        <w:t>3</w:t>
      </w:r>
      <w:r w:rsidR="00ED2F81">
        <w:rPr>
          <w:szCs w:val="26"/>
        </w:rPr>
        <w:t>1,358 (2014)</w:t>
      </w:r>
      <w:r w:rsidR="00ED2F81" w:rsidRPr="00E96CB5">
        <w:rPr>
          <w:szCs w:val="26"/>
        </w:rPr>
        <w:t>.</w:t>
      </w:r>
      <w:r w:rsidR="00ED2F81">
        <w:rPr>
          <w:szCs w:val="26"/>
        </w:rPr>
        <w:t xml:space="preserve">  Although the </w:t>
      </w:r>
      <w:r>
        <w:t xml:space="preserve">definition is in pertinent respects similar to the </w:t>
      </w:r>
      <w:r w:rsidR="00ED2F81">
        <w:t>Commission’s definition of a “small conduit hydroelectric facility,” we do not look to it in this case because it was not in effect when Soldier Canyon filed its Notice of Intent in January 2015.</w:t>
      </w:r>
      <w:r>
        <w:t xml:space="preserve"> </w:t>
      </w:r>
    </w:p>
  </w:footnote>
  <w:footnote w:id="12">
    <w:p w14:paraId="491DDF28" w14:textId="77777777" w:rsidR="00412619" w:rsidRPr="00412619" w:rsidRDefault="00412619">
      <w:pPr>
        <w:pStyle w:val="FootnoteText"/>
      </w:pPr>
      <w:r>
        <w:rPr>
          <w:rStyle w:val="FootnoteReference"/>
        </w:rPr>
        <w:footnoteRef/>
      </w:r>
      <w:r>
        <w:t xml:space="preserve"> </w:t>
      </w:r>
      <w:r>
        <w:rPr>
          <w:i/>
        </w:rPr>
        <w:t>See</w:t>
      </w:r>
      <w:r>
        <w:t xml:space="preserve"> 18 C.F.R. </w:t>
      </w:r>
      <w:r w:rsidR="00DC1E88">
        <w:rPr>
          <w:bCs/>
          <w:color w:val="222222"/>
          <w:szCs w:val="26"/>
        </w:rPr>
        <w:t>§ </w:t>
      </w:r>
      <w:r>
        <w:t xml:space="preserve">4.91(f) (1981), originating in 45 </w:t>
      </w:r>
      <w:r w:rsidRPr="007C302A">
        <w:t>Fed. Reg</w:t>
      </w:r>
      <w:r>
        <w:rPr>
          <w:i/>
        </w:rPr>
        <w:t>.</w:t>
      </w:r>
      <w:r>
        <w:t xml:space="preserve"> 28,085 (Apr. 28, 1980).  </w:t>
      </w:r>
      <w:r w:rsidR="00DC1E88">
        <w:t xml:space="preserve">The provisions </w:t>
      </w:r>
      <w:r w:rsidR="002B77E9">
        <w:t xml:space="preserve">were renumbered over the years, </w:t>
      </w:r>
      <w:r w:rsidR="007950A2">
        <w:t>most recently in 2014 (effective February</w:t>
      </w:r>
      <w:r w:rsidR="002B77E9">
        <w:t xml:space="preserve"> 23, 2015)</w:t>
      </w:r>
      <w:r w:rsidR="00DC1E88">
        <w:t xml:space="preserve">.  </w:t>
      </w:r>
      <w:r w:rsidR="00DC1E88">
        <w:rPr>
          <w:i/>
        </w:rPr>
        <w:t>See</w:t>
      </w:r>
      <w:r w:rsidR="00FE4A8A">
        <w:rPr>
          <w:i/>
        </w:rPr>
        <w:t xml:space="preserve"> </w:t>
      </w:r>
      <w:r w:rsidR="00526A02">
        <w:rPr>
          <w:i/>
        </w:rPr>
        <w:t>id.</w:t>
      </w:r>
      <w:r w:rsidR="002B77E9">
        <w:rPr>
          <w:szCs w:val="26"/>
        </w:rPr>
        <w:t xml:space="preserve">  The definition is now </w:t>
      </w:r>
      <w:r w:rsidR="00C57E56">
        <w:rPr>
          <w:szCs w:val="26"/>
        </w:rPr>
        <w:t xml:space="preserve">found </w:t>
      </w:r>
      <w:r w:rsidR="002B77E9">
        <w:rPr>
          <w:szCs w:val="26"/>
        </w:rPr>
        <w:t>in 4.30(b)(</w:t>
      </w:r>
      <w:r w:rsidR="00C57E56">
        <w:rPr>
          <w:szCs w:val="26"/>
        </w:rPr>
        <w:t>30).</w:t>
      </w:r>
      <w:r w:rsidR="00DC1E88">
        <w:t xml:space="preserve"> </w:t>
      </w:r>
    </w:p>
  </w:footnote>
  <w:footnote w:id="13">
    <w:p w14:paraId="491DDF29" w14:textId="77777777" w:rsidR="004035E7" w:rsidRPr="002D420C" w:rsidRDefault="004035E7">
      <w:pPr>
        <w:pStyle w:val="FootnoteText"/>
      </w:pPr>
      <w:r>
        <w:rPr>
          <w:rStyle w:val="FootnoteReference"/>
        </w:rPr>
        <w:footnoteRef/>
      </w:r>
      <w:r>
        <w:t xml:space="preserve"> </w:t>
      </w:r>
      <w:r w:rsidR="00E96CB5">
        <w:rPr>
          <w:i/>
        </w:rPr>
        <w:t>Exemptions of Small Conduit Hydroelectric Facilities From Part I of the Federal Power Act,</w:t>
      </w:r>
      <w:r w:rsidR="00E96CB5">
        <w:t xml:space="preserve"> Order No. 76, </w:t>
      </w:r>
      <w:r w:rsidR="00E96CB5" w:rsidRPr="00E96CB5">
        <w:rPr>
          <w:szCs w:val="26"/>
        </w:rPr>
        <w:t>FERC Stats. &amp; Regs.</w:t>
      </w:r>
      <w:r w:rsidR="00E96CB5">
        <w:rPr>
          <w:szCs w:val="26"/>
        </w:rPr>
        <w:t>, Regulations Preambles 1977-1985</w:t>
      </w:r>
      <w:r w:rsidR="00E96CB5" w:rsidRPr="00E96CB5">
        <w:rPr>
          <w:szCs w:val="26"/>
        </w:rPr>
        <w:t xml:space="preserve"> ¶</w:t>
      </w:r>
      <w:r w:rsidR="002D420C">
        <w:rPr>
          <w:szCs w:val="26"/>
        </w:rPr>
        <w:t> </w:t>
      </w:r>
      <w:r w:rsidR="00E96CB5" w:rsidRPr="00E96CB5">
        <w:rPr>
          <w:szCs w:val="26"/>
        </w:rPr>
        <w:t>3</w:t>
      </w:r>
      <w:r w:rsidR="00E96CB5">
        <w:rPr>
          <w:szCs w:val="26"/>
        </w:rPr>
        <w:t>0,146, at 31,002 (1980)</w:t>
      </w:r>
      <w:r w:rsidR="00E96CB5" w:rsidRPr="00E96CB5">
        <w:rPr>
          <w:szCs w:val="26"/>
        </w:rPr>
        <w:t>.</w:t>
      </w:r>
      <w:r w:rsidR="002D420C">
        <w:rPr>
          <w:szCs w:val="26"/>
        </w:rPr>
        <w:t xml:space="preserve">  </w:t>
      </w:r>
      <w:r w:rsidR="002D420C">
        <w:rPr>
          <w:i/>
          <w:szCs w:val="26"/>
        </w:rPr>
        <w:t>See, e.g.</w:t>
      </w:r>
      <w:r w:rsidR="00071E85">
        <w:rPr>
          <w:i/>
          <w:szCs w:val="26"/>
        </w:rPr>
        <w:t>,</w:t>
      </w:r>
      <w:r w:rsidR="002D420C">
        <w:rPr>
          <w:i/>
          <w:szCs w:val="26"/>
        </w:rPr>
        <w:t xml:space="preserve"> North Side Canal Co.,</w:t>
      </w:r>
      <w:r w:rsidR="009004F3">
        <w:rPr>
          <w:szCs w:val="26"/>
        </w:rPr>
        <w:t xml:space="preserve"> </w:t>
      </w:r>
      <w:r w:rsidR="002D420C">
        <w:rPr>
          <w:szCs w:val="26"/>
        </w:rPr>
        <w:t xml:space="preserve">67 FERC </w:t>
      </w:r>
      <w:r w:rsidR="002D420C" w:rsidRPr="00E96CB5">
        <w:rPr>
          <w:szCs w:val="26"/>
        </w:rPr>
        <w:t>¶</w:t>
      </w:r>
      <w:r w:rsidR="002D420C">
        <w:rPr>
          <w:szCs w:val="26"/>
        </w:rPr>
        <w:t> 61,040 (1994) (proposed project that included a</w:t>
      </w:r>
      <w:r w:rsidR="00597F3A">
        <w:rPr>
          <w:szCs w:val="26"/>
        </w:rPr>
        <w:t xml:space="preserve"> power canal that created a headpond with over 100 acre feet of storage amounted to construction of a dam </w:t>
      </w:r>
      <w:r w:rsidR="002D420C">
        <w:rPr>
          <w:szCs w:val="26"/>
        </w:rPr>
        <w:t xml:space="preserve">for hydropower generation purposes </w:t>
      </w:r>
      <w:r w:rsidR="00597F3A">
        <w:rPr>
          <w:szCs w:val="26"/>
        </w:rPr>
        <w:t xml:space="preserve">and thus </w:t>
      </w:r>
      <w:r w:rsidR="002D420C">
        <w:rPr>
          <w:szCs w:val="26"/>
        </w:rPr>
        <w:t>did not q</w:t>
      </w:r>
      <w:r w:rsidR="00A745A3">
        <w:rPr>
          <w:szCs w:val="26"/>
        </w:rPr>
        <w:t xml:space="preserve">ualify for a conduit exemption).    </w:t>
      </w:r>
      <w:r w:rsidR="002D420C">
        <w:rPr>
          <w:szCs w:val="26"/>
        </w:rPr>
        <w:t xml:space="preserve">   </w:t>
      </w:r>
    </w:p>
  </w:footnote>
  <w:footnote w:id="14">
    <w:p w14:paraId="491DDF2A" w14:textId="77777777" w:rsidR="00071E85" w:rsidRDefault="00071E85">
      <w:pPr>
        <w:pStyle w:val="FootnoteText"/>
      </w:pPr>
      <w:r>
        <w:rPr>
          <w:rStyle w:val="FootnoteReference"/>
        </w:rPr>
        <w:footnoteRef/>
      </w:r>
      <w:r>
        <w:t xml:space="preserve"> </w:t>
      </w:r>
      <w:r>
        <w:rPr>
          <w:i/>
          <w:szCs w:val="26"/>
        </w:rPr>
        <w:t>Hy Power Energy Co.,</w:t>
      </w:r>
      <w:r w:rsidRPr="002D420C">
        <w:rPr>
          <w:szCs w:val="26"/>
        </w:rPr>
        <w:t xml:space="preserve"> </w:t>
      </w:r>
      <w:r>
        <w:rPr>
          <w:szCs w:val="26"/>
        </w:rPr>
        <w:t xml:space="preserve">79 FERC </w:t>
      </w:r>
      <w:r w:rsidRPr="00E96CB5">
        <w:rPr>
          <w:szCs w:val="26"/>
        </w:rPr>
        <w:t>¶</w:t>
      </w:r>
      <w:r w:rsidR="009004F3">
        <w:rPr>
          <w:szCs w:val="26"/>
        </w:rPr>
        <w:t> 61,060, at 61,273 n</w:t>
      </w:r>
      <w:r w:rsidR="007B09E3">
        <w:rPr>
          <w:szCs w:val="26"/>
        </w:rPr>
        <w:t>.</w:t>
      </w:r>
      <w:r>
        <w:rPr>
          <w:szCs w:val="26"/>
        </w:rPr>
        <w:t>6 (1997).</w:t>
      </w:r>
    </w:p>
  </w:footnote>
  <w:footnote w:id="15">
    <w:p w14:paraId="491DDF2B" w14:textId="77777777" w:rsidR="009B7541" w:rsidRPr="009B7541" w:rsidRDefault="009B7541">
      <w:pPr>
        <w:pStyle w:val="FootnoteText"/>
      </w:pPr>
      <w:r>
        <w:rPr>
          <w:rStyle w:val="FootnoteReference"/>
        </w:rPr>
        <w:footnoteRef/>
      </w:r>
      <w:r>
        <w:t xml:space="preserve"> If </w:t>
      </w:r>
      <w:r w:rsidR="005F35DE">
        <w:t xml:space="preserve">a conduit facility </w:t>
      </w:r>
      <w:r>
        <w:t xml:space="preserve">would rely on </w:t>
      </w:r>
      <w:r w:rsidRPr="000803BC">
        <w:rPr>
          <w:color w:val="000000"/>
        </w:rPr>
        <w:t>construction of a dam, which construction w</w:t>
      </w:r>
      <w:r>
        <w:rPr>
          <w:color w:val="000000"/>
        </w:rPr>
        <w:t>ould</w:t>
      </w:r>
      <w:r w:rsidRPr="000803BC">
        <w:rPr>
          <w:color w:val="000000"/>
        </w:rPr>
        <w:t xml:space="preserve"> create any portion of the hydrostatic head that the facility </w:t>
      </w:r>
      <w:r w:rsidR="005F35DE">
        <w:rPr>
          <w:color w:val="000000"/>
        </w:rPr>
        <w:t>would use</w:t>
      </w:r>
      <w:r w:rsidRPr="000803BC">
        <w:rPr>
          <w:color w:val="000000"/>
        </w:rPr>
        <w:t xml:space="preserve"> for power generation</w:t>
      </w:r>
      <w:r>
        <w:rPr>
          <w:color w:val="000000"/>
        </w:rPr>
        <w:t>, th</w:t>
      </w:r>
      <w:r w:rsidR="00287F90">
        <w:rPr>
          <w:color w:val="000000"/>
        </w:rPr>
        <w:t>e</w:t>
      </w:r>
      <w:r w:rsidRPr="000803BC">
        <w:rPr>
          <w:color w:val="000000"/>
        </w:rPr>
        <w:t xml:space="preserve"> construction </w:t>
      </w:r>
      <w:r>
        <w:rPr>
          <w:color w:val="000000"/>
        </w:rPr>
        <w:t xml:space="preserve">must be </w:t>
      </w:r>
      <w:r w:rsidRPr="000803BC">
        <w:rPr>
          <w:color w:val="000000"/>
        </w:rPr>
        <w:t>for agricultural, municipal, or industrial consumptive purposes even if hydroelectric generating facilities were not installed</w:t>
      </w:r>
      <w:r>
        <w:rPr>
          <w:color w:val="000000"/>
        </w:rPr>
        <w:t xml:space="preserve">. </w:t>
      </w:r>
      <w:r w:rsidR="006268A8">
        <w:rPr>
          <w:color w:val="000000"/>
        </w:rPr>
        <w:t xml:space="preserve">    </w:t>
      </w:r>
      <w:r>
        <w:rPr>
          <w:color w:val="000000"/>
        </w:rPr>
        <w:t xml:space="preserve"> </w:t>
      </w:r>
      <w:r w:rsidR="005F35DE">
        <w:rPr>
          <w:i/>
          <w:color w:val="000000"/>
        </w:rPr>
        <w:t>See</w:t>
      </w:r>
      <w:r w:rsidR="005F35DE">
        <w:rPr>
          <w:color w:val="000000"/>
        </w:rPr>
        <w:t xml:space="preserve"> </w:t>
      </w:r>
      <w:r>
        <w:rPr>
          <w:color w:val="000000"/>
        </w:rPr>
        <w:t>18</w:t>
      </w:r>
      <w:r w:rsidR="005F35DE">
        <w:rPr>
          <w:color w:val="000000"/>
        </w:rPr>
        <w:t> </w:t>
      </w:r>
      <w:r>
        <w:rPr>
          <w:color w:val="000000"/>
        </w:rPr>
        <w:t xml:space="preserve">C.F.R. </w:t>
      </w:r>
      <w:r>
        <w:rPr>
          <w:bCs/>
          <w:color w:val="222222"/>
          <w:szCs w:val="26"/>
        </w:rPr>
        <w:t>§ 4.30(b)(</w:t>
      </w:r>
      <w:r w:rsidR="00BC0585">
        <w:rPr>
          <w:bCs/>
          <w:color w:val="222222"/>
          <w:szCs w:val="26"/>
        </w:rPr>
        <w:t>30)(v) (2014</w:t>
      </w:r>
      <w:r w:rsidR="005F35DE">
        <w:rPr>
          <w:bCs/>
          <w:color w:val="222222"/>
          <w:szCs w:val="26"/>
        </w:rPr>
        <w:t>).</w:t>
      </w:r>
    </w:p>
  </w:footnote>
  <w:footnote w:id="16">
    <w:p w14:paraId="491DDF2C" w14:textId="77777777" w:rsidR="002336F4" w:rsidRDefault="002336F4">
      <w:pPr>
        <w:pStyle w:val="FootnoteText"/>
      </w:pPr>
      <w:r>
        <w:rPr>
          <w:rStyle w:val="FootnoteReference"/>
        </w:rPr>
        <w:footnoteRef/>
      </w:r>
      <w:r>
        <w:t xml:space="preserve"> Because we are granting rehearing, we need not address Soldier Canyon’s other arguments its raises on rehearing.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272E1" w14:textId="77777777" w:rsidR="00671994" w:rsidRDefault="00671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DDF1D" w14:textId="77777777" w:rsidR="00692769" w:rsidRDefault="00723333" w:rsidP="00723333">
    <w:pPr>
      <w:pStyle w:val="Header"/>
      <w:spacing w:after="240"/>
    </w:pPr>
    <w:r>
      <w:t>Docket No.</w:t>
    </w:r>
    <w:r w:rsidR="00412619">
      <w:t xml:space="preserve"> CD15-18-001</w:t>
    </w:r>
    <w:r>
      <w:t xml:space="preserve">  </w:t>
    </w:r>
    <w:r>
      <w:tab/>
    </w:r>
    <w:r>
      <w:fldChar w:fldCharType="begin"/>
    </w:r>
    <w:r>
      <w:instrText xml:space="preserve"> PAGE  \* MERGEFORMAT </w:instrText>
    </w:r>
    <w:r>
      <w:fldChar w:fldCharType="separate"/>
    </w:r>
    <w:r w:rsidR="00704465">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83BD" w14:textId="77777777" w:rsidR="00671994" w:rsidRDefault="00671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DF65BE7"/>
    <w:multiLevelType w:val="hybridMultilevel"/>
    <w:tmpl w:val="D54A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3" w15:restartNumberingAfterBreak="0">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5E1279"/>
    <w:multiLevelType w:val="hybridMultilevel"/>
    <w:tmpl w:val="2C58BB6A"/>
    <w:lvl w:ilvl="0" w:tplc="4128F0B0">
      <w:start w:val="1"/>
      <w:numFmt w:val="upperRoman"/>
      <w:lvlText w:val="%1."/>
      <w:lvlJc w:val="left"/>
      <w:pPr>
        <w:ind w:left="1080" w:hanging="720"/>
      </w:pPr>
      <w:rPr>
        <w:rFonts w:hint="default"/>
      </w:rPr>
    </w:lvl>
    <w:lvl w:ilvl="1" w:tplc="7DC68C06">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55DC7"/>
    <w:multiLevelType w:val="hybridMultilevel"/>
    <w:tmpl w:val="50CA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202536"/>
    <w:multiLevelType w:val="multilevel"/>
    <w:tmpl w:val="7C647CE6"/>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8" w15:restartNumberingAfterBreak="0">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A602A1"/>
    <w:multiLevelType w:val="hybridMultilevel"/>
    <w:tmpl w:val="11E8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E4DD3"/>
    <w:multiLevelType w:val="hybridMultilevel"/>
    <w:tmpl w:val="09D465FC"/>
    <w:lvl w:ilvl="0" w:tplc="12A839C2">
      <w:start w:val="1"/>
      <w:numFmt w:val="decimal"/>
      <w:pStyle w:val="FERCparanumber"/>
      <w:lvlText w:val="%1."/>
      <w:lvlJc w:val="left"/>
      <w:pPr>
        <w:tabs>
          <w:tab w:val="num" w:pos="720"/>
        </w:tabs>
        <w:ind w:left="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8"/>
  </w:num>
  <w:num w:numId="3">
    <w:abstractNumId w:val="19"/>
  </w:num>
  <w:num w:numId="4">
    <w:abstractNumId w:val="13"/>
  </w:num>
  <w:num w:numId="5">
    <w:abstractNumId w:val="22"/>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20"/>
  </w:num>
  <w:num w:numId="27">
    <w:abstractNumId w:val="12"/>
  </w:num>
  <w:num w:numId="28">
    <w:abstractNumId w:val="17"/>
  </w:num>
  <w:num w:numId="29">
    <w:abstractNumId w:val="14"/>
  </w:num>
  <w:num w:numId="30">
    <w:abstractNumId w:val="15"/>
  </w:num>
  <w:num w:numId="31">
    <w:abstractNumId w:val="1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D9"/>
    <w:rsid w:val="0000257A"/>
    <w:rsid w:val="00003B3F"/>
    <w:rsid w:val="000060FC"/>
    <w:rsid w:val="00006E79"/>
    <w:rsid w:val="00007013"/>
    <w:rsid w:val="0001111E"/>
    <w:rsid w:val="00015BA4"/>
    <w:rsid w:val="00017BC9"/>
    <w:rsid w:val="00020927"/>
    <w:rsid w:val="0002205D"/>
    <w:rsid w:val="0002233B"/>
    <w:rsid w:val="000306AF"/>
    <w:rsid w:val="00033A3C"/>
    <w:rsid w:val="000354F3"/>
    <w:rsid w:val="00036021"/>
    <w:rsid w:val="00042BCC"/>
    <w:rsid w:val="00044589"/>
    <w:rsid w:val="000476EF"/>
    <w:rsid w:val="0005406C"/>
    <w:rsid w:val="00055B09"/>
    <w:rsid w:val="00060AEC"/>
    <w:rsid w:val="00061F05"/>
    <w:rsid w:val="000630E3"/>
    <w:rsid w:val="00063363"/>
    <w:rsid w:val="00064148"/>
    <w:rsid w:val="00064D88"/>
    <w:rsid w:val="0006768F"/>
    <w:rsid w:val="00071E85"/>
    <w:rsid w:val="00094059"/>
    <w:rsid w:val="000964CE"/>
    <w:rsid w:val="000973D0"/>
    <w:rsid w:val="000A500F"/>
    <w:rsid w:val="000B32DC"/>
    <w:rsid w:val="000B3933"/>
    <w:rsid w:val="000B5FB2"/>
    <w:rsid w:val="000B7DB5"/>
    <w:rsid w:val="000C5990"/>
    <w:rsid w:val="000D376F"/>
    <w:rsid w:val="000D6533"/>
    <w:rsid w:val="000D709F"/>
    <w:rsid w:val="000E019F"/>
    <w:rsid w:val="000E0D77"/>
    <w:rsid w:val="000E314D"/>
    <w:rsid w:val="000E5DA1"/>
    <w:rsid w:val="000E6E42"/>
    <w:rsid w:val="000E733C"/>
    <w:rsid w:val="000F1A65"/>
    <w:rsid w:val="000F40DE"/>
    <w:rsid w:val="00101744"/>
    <w:rsid w:val="00107D5A"/>
    <w:rsid w:val="0011005F"/>
    <w:rsid w:val="001128A5"/>
    <w:rsid w:val="0011549F"/>
    <w:rsid w:val="0011560A"/>
    <w:rsid w:val="00122EF4"/>
    <w:rsid w:val="001278B8"/>
    <w:rsid w:val="00127B80"/>
    <w:rsid w:val="00130484"/>
    <w:rsid w:val="0013289A"/>
    <w:rsid w:val="00135393"/>
    <w:rsid w:val="0014077F"/>
    <w:rsid w:val="00144766"/>
    <w:rsid w:val="001450B0"/>
    <w:rsid w:val="00145BF3"/>
    <w:rsid w:val="001460E5"/>
    <w:rsid w:val="00146A35"/>
    <w:rsid w:val="00147246"/>
    <w:rsid w:val="001541A7"/>
    <w:rsid w:val="0015507A"/>
    <w:rsid w:val="001619AF"/>
    <w:rsid w:val="00162576"/>
    <w:rsid w:val="00162FBB"/>
    <w:rsid w:val="00164E6C"/>
    <w:rsid w:val="001701EA"/>
    <w:rsid w:val="001722E3"/>
    <w:rsid w:val="00173678"/>
    <w:rsid w:val="00176FE3"/>
    <w:rsid w:val="00177390"/>
    <w:rsid w:val="00183FD6"/>
    <w:rsid w:val="001853F5"/>
    <w:rsid w:val="00196908"/>
    <w:rsid w:val="001A12DE"/>
    <w:rsid w:val="001A3237"/>
    <w:rsid w:val="001A3AC7"/>
    <w:rsid w:val="001A4C5E"/>
    <w:rsid w:val="001A509E"/>
    <w:rsid w:val="001A5D72"/>
    <w:rsid w:val="001A68C8"/>
    <w:rsid w:val="001B4D9E"/>
    <w:rsid w:val="001C139A"/>
    <w:rsid w:val="001C17A3"/>
    <w:rsid w:val="001C2ADC"/>
    <w:rsid w:val="001C5E36"/>
    <w:rsid w:val="001C7B3D"/>
    <w:rsid w:val="001D0604"/>
    <w:rsid w:val="001D089C"/>
    <w:rsid w:val="001D3568"/>
    <w:rsid w:val="001D6113"/>
    <w:rsid w:val="001D75C1"/>
    <w:rsid w:val="001D7F9B"/>
    <w:rsid w:val="001E12F8"/>
    <w:rsid w:val="001E1B1A"/>
    <w:rsid w:val="001E21EE"/>
    <w:rsid w:val="001E2D62"/>
    <w:rsid w:val="001E4A71"/>
    <w:rsid w:val="001F2EEF"/>
    <w:rsid w:val="001F3934"/>
    <w:rsid w:val="001F7FC3"/>
    <w:rsid w:val="00200B82"/>
    <w:rsid w:val="00202422"/>
    <w:rsid w:val="00204512"/>
    <w:rsid w:val="00206D7D"/>
    <w:rsid w:val="002106AD"/>
    <w:rsid w:val="00214C9E"/>
    <w:rsid w:val="00215697"/>
    <w:rsid w:val="00215AC5"/>
    <w:rsid w:val="00215DA9"/>
    <w:rsid w:val="002246EF"/>
    <w:rsid w:val="002336F4"/>
    <w:rsid w:val="0023489A"/>
    <w:rsid w:val="002375ED"/>
    <w:rsid w:val="00240066"/>
    <w:rsid w:val="002426C3"/>
    <w:rsid w:val="0024311F"/>
    <w:rsid w:val="00243A8E"/>
    <w:rsid w:val="00252420"/>
    <w:rsid w:val="00252506"/>
    <w:rsid w:val="0025400C"/>
    <w:rsid w:val="002553AC"/>
    <w:rsid w:val="00255663"/>
    <w:rsid w:val="0025783E"/>
    <w:rsid w:val="0026424F"/>
    <w:rsid w:val="00264564"/>
    <w:rsid w:val="00266808"/>
    <w:rsid w:val="002747B3"/>
    <w:rsid w:val="002756B8"/>
    <w:rsid w:val="00277D1A"/>
    <w:rsid w:val="00280451"/>
    <w:rsid w:val="0028132C"/>
    <w:rsid w:val="00281B3C"/>
    <w:rsid w:val="00282B1D"/>
    <w:rsid w:val="00282D15"/>
    <w:rsid w:val="00283353"/>
    <w:rsid w:val="002852E3"/>
    <w:rsid w:val="0028697E"/>
    <w:rsid w:val="002875D8"/>
    <w:rsid w:val="00287F90"/>
    <w:rsid w:val="00291716"/>
    <w:rsid w:val="002959F3"/>
    <w:rsid w:val="002A5520"/>
    <w:rsid w:val="002B0506"/>
    <w:rsid w:val="002B0C7A"/>
    <w:rsid w:val="002B4436"/>
    <w:rsid w:val="002B6530"/>
    <w:rsid w:val="002B77E9"/>
    <w:rsid w:val="002B7D27"/>
    <w:rsid w:val="002C1C5D"/>
    <w:rsid w:val="002C3700"/>
    <w:rsid w:val="002C4EF3"/>
    <w:rsid w:val="002C566E"/>
    <w:rsid w:val="002D1319"/>
    <w:rsid w:val="002D1796"/>
    <w:rsid w:val="002D420C"/>
    <w:rsid w:val="002D52AE"/>
    <w:rsid w:val="002D7D08"/>
    <w:rsid w:val="002E1E26"/>
    <w:rsid w:val="002E4290"/>
    <w:rsid w:val="002E6453"/>
    <w:rsid w:val="002E6C23"/>
    <w:rsid w:val="002E7495"/>
    <w:rsid w:val="002E770C"/>
    <w:rsid w:val="002F2C6F"/>
    <w:rsid w:val="002F59AF"/>
    <w:rsid w:val="00301152"/>
    <w:rsid w:val="003023C7"/>
    <w:rsid w:val="00302619"/>
    <w:rsid w:val="00303ECA"/>
    <w:rsid w:val="00311B1B"/>
    <w:rsid w:val="00320784"/>
    <w:rsid w:val="00323D14"/>
    <w:rsid w:val="003303B3"/>
    <w:rsid w:val="0033292D"/>
    <w:rsid w:val="003350BC"/>
    <w:rsid w:val="0033571D"/>
    <w:rsid w:val="0034165E"/>
    <w:rsid w:val="00350924"/>
    <w:rsid w:val="00350DC4"/>
    <w:rsid w:val="00352C04"/>
    <w:rsid w:val="0035446A"/>
    <w:rsid w:val="00354CA4"/>
    <w:rsid w:val="00356443"/>
    <w:rsid w:val="00356DE0"/>
    <w:rsid w:val="003616F2"/>
    <w:rsid w:val="003618AE"/>
    <w:rsid w:val="00372F61"/>
    <w:rsid w:val="003734FE"/>
    <w:rsid w:val="00380088"/>
    <w:rsid w:val="00381F65"/>
    <w:rsid w:val="00382564"/>
    <w:rsid w:val="00385471"/>
    <w:rsid w:val="00385528"/>
    <w:rsid w:val="00386BAB"/>
    <w:rsid w:val="00387B47"/>
    <w:rsid w:val="00387FB2"/>
    <w:rsid w:val="00395734"/>
    <w:rsid w:val="00395E13"/>
    <w:rsid w:val="00397EB8"/>
    <w:rsid w:val="003A16CB"/>
    <w:rsid w:val="003A1859"/>
    <w:rsid w:val="003A1A81"/>
    <w:rsid w:val="003A21F0"/>
    <w:rsid w:val="003A3A1A"/>
    <w:rsid w:val="003A7663"/>
    <w:rsid w:val="003B0BF6"/>
    <w:rsid w:val="003B1E59"/>
    <w:rsid w:val="003B624D"/>
    <w:rsid w:val="003B708B"/>
    <w:rsid w:val="003C31A8"/>
    <w:rsid w:val="003D3C82"/>
    <w:rsid w:val="003D3EF2"/>
    <w:rsid w:val="003E36DD"/>
    <w:rsid w:val="003E5C8D"/>
    <w:rsid w:val="003F011D"/>
    <w:rsid w:val="003F0247"/>
    <w:rsid w:val="003F590E"/>
    <w:rsid w:val="003F6EDE"/>
    <w:rsid w:val="0040233E"/>
    <w:rsid w:val="0040240A"/>
    <w:rsid w:val="004035E7"/>
    <w:rsid w:val="00410457"/>
    <w:rsid w:val="00412619"/>
    <w:rsid w:val="00420C70"/>
    <w:rsid w:val="004210A2"/>
    <w:rsid w:val="00423354"/>
    <w:rsid w:val="00426D49"/>
    <w:rsid w:val="0043382D"/>
    <w:rsid w:val="0043427F"/>
    <w:rsid w:val="00435317"/>
    <w:rsid w:val="00435F5E"/>
    <w:rsid w:val="00436E45"/>
    <w:rsid w:val="00443B68"/>
    <w:rsid w:val="004441D5"/>
    <w:rsid w:val="00444FC9"/>
    <w:rsid w:val="004456FB"/>
    <w:rsid w:val="004457FF"/>
    <w:rsid w:val="0044670E"/>
    <w:rsid w:val="00447165"/>
    <w:rsid w:val="004504FE"/>
    <w:rsid w:val="00450972"/>
    <w:rsid w:val="00453AA9"/>
    <w:rsid w:val="0045406D"/>
    <w:rsid w:val="004561CC"/>
    <w:rsid w:val="00456DF6"/>
    <w:rsid w:val="00461B52"/>
    <w:rsid w:val="0046225D"/>
    <w:rsid w:val="004675D3"/>
    <w:rsid w:val="00472AED"/>
    <w:rsid w:val="00472C0E"/>
    <w:rsid w:val="00473915"/>
    <w:rsid w:val="00476E2C"/>
    <w:rsid w:val="00481C81"/>
    <w:rsid w:val="00493467"/>
    <w:rsid w:val="0049353F"/>
    <w:rsid w:val="004943A1"/>
    <w:rsid w:val="00494BF5"/>
    <w:rsid w:val="00495B6D"/>
    <w:rsid w:val="00495D49"/>
    <w:rsid w:val="004A0C80"/>
    <w:rsid w:val="004A2E84"/>
    <w:rsid w:val="004B460F"/>
    <w:rsid w:val="004B4F19"/>
    <w:rsid w:val="004B5B9D"/>
    <w:rsid w:val="004C5DA2"/>
    <w:rsid w:val="004D0548"/>
    <w:rsid w:val="004D543A"/>
    <w:rsid w:val="004D723B"/>
    <w:rsid w:val="004E021C"/>
    <w:rsid w:val="004E0FFD"/>
    <w:rsid w:val="004E1EEC"/>
    <w:rsid w:val="004E50F6"/>
    <w:rsid w:val="004F0FB4"/>
    <w:rsid w:val="004F3359"/>
    <w:rsid w:val="00500594"/>
    <w:rsid w:val="0050099F"/>
    <w:rsid w:val="00502A03"/>
    <w:rsid w:val="00510866"/>
    <w:rsid w:val="005120DC"/>
    <w:rsid w:val="00512F51"/>
    <w:rsid w:val="0052383E"/>
    <w:rsid w:val="00526A02"/>
    <w:rsid w:val="00530096"/>
    <w:rsid w:val="00531C65"/>
    <w:rsid w:val="005334B1"/>
    <w:rsid w:val="0053381C"/>
    <w:rsid w:val="00537319"/>
    <w:rsid w:val="0053745E"/>
    <w:rsid w:val="00540649"/>
    <w:rsid w:val="00542F37"/>
    <w:rsid w:val="0054589A"/>
    <w:rsid w:val="00546996"/>
    <w:rsid w:val="0055424A"/>
    <w:rsid w:val="00554A45"/>
    <w:rsid w:val="00555578"/>
    <w:rsid w:val="00556EBF"/>
    <w:rsid w:val="0056269C"/>
    <w:rsid w:val="005662D9"/>
    <w:rsid w:val="00567458"/>
    <w:rsid w:val="00570E0E"/>
    <w:rsid w:val="00572737"/>
    <w:rsid w:val="0057509C"/>
    <w:rsid w:val="00576F39"/>
    <w:rsid w:val="00576F77"/>
    <w:rsid w:val="00577AED"/>
    <w:rsid w:val="005813D9"/>
    <w:rsid w:val="00585DED"/>
    <w:rsid w:val="00587397"/>
    <w:rsid w:val="00597BE5"/>
    <w:rsid w:val="00597F3A"/>
    <w:rsid w:val="005A0791"/>
    <w:rsid w:val="005A1771"/>
    <w:rsid w:val="005A2D11"/>
    <w:rsid w:val="005A3527"/>
    <w:rsid w:val="005A4BB1"/>
    <w:rsid w:val="005A77EE"/>
    <w:rsid w:val="005B19E1"/>
    <w:rsid w:val="005B5552"/>
    <w:rsid w:val="005B7E3F"/>
    <w:rsid w:val="005C3676"/>
    <w:rsid w:val="005C403F"/>
    <w:rsid w:val="005C4D56"/>
    <w:rsid w:val="005C5EC8"/>
    <w:rsid w:val="005C6149"/>
    <w:rsid w:val="005C7358"/>
    <w:rsid w:val="005D36C6"/>
    <w:rsid w:val="005E0B8C"/>
    <w:rsid w:val="005E1AA5"/>
    <w:rsid w:val="005E77AD"/>
    <w:rsid w:val="005F037C"/>
    <w:rsid w:val="005F25F1"/>
    <w:rsid w:val="005F29EC"/>
    <w:rsid w:val="005F35DE"/>
    <w:rsid w:val="005F4EDB"/>
    <w:rsid w:val="005F6067"/>
    <w:rsid w:val="005F6418"/>
    <w:rsid w:val="005F7F0D"/>
    <w:rsid w:val="00601B43"/>
    <w:rsid w:val="00601E43"/>
    <w:rsid w:val="00604FE9"/>
    <w:rsid w:val="00605E2F"/>
    <w:rsid w:val="0060755E"/>
    <w:rsid w:val="00610202"/>
    <w:rsid w:val="0061075E"/>
    <w:rsid w:val="00614B9A"/>
    <w:rsid w:val="00617427"/>
    <w:rsid w:val="006268A8"/>
    <w:rsid w:val="006330EA"/>
    <w:rsid w:val="00636C6F"/>
    <w:rsid w:val="00640844"/>
    <w:rsid w:val="00641534"/>
    <w:rsid w:val="006513B1"/>
    <w:rsid w:val="00656F9C"/>
    <w:rsid w:val="006575F9"/>
    <w:rsid w:val="006630B7"/>
    <w:rsid w:val="0066511C"/>
    <w:rsid w:val="00666626"/>
    <w:rsid w:val="006667AE"/>
    <w:rsid w:val="00671994"/>
    <w:rsid w:val="00676722"/>
    <w:rsid w:val="00676EFA"/>
    <w:rsid w:val="00677583"/>
    <w:rsid w:val="00680B5A"/>
    <w:rsid w:val="0068394F"/>
    <w:rsid w:val="00686DC3"/>
    <w:rsid w:val="006925A1"/>
    <w:rsid w:val="00692769"/>
    <w:rsid w:val="00693007"/>
    <w:rsid w:val="006960C2"/>
    <w:rsid w:val="006A0444"/>
    <w:rsid w:val="006A57D4"/>
    <w:rsid w:val="006B19A6"/>
    <w:rsid w:val="006C1639"/>
    <w:rsid w:val="006C3221"/>
    <w:rsid w:val="006E031B"/>
    <w:rsid w:val="006E1532"/>
    <w:rsid w:val="006E1C49"/>
    <w:rsid w:val="006E28A5"/>
    <w:rsid w:val="006E5AF2"/>
    <w:rsid w:val="006F18D5"/>
    <w:rsid w:val="006F3629"/>
    <w:rsid w:val="006F3994"/>
    <w:rsid w:val="006F62EE"/>
    <w:rsid w:val="007037C5"/>
    <w:rsid w:val="00704465"/>
    <w:rsid w:val="00706F67"/>
    <w:rsid w:val="0070707C"/>
    <w:rsid w:val="00707F34"/>
    <w:rsid w:val="00712AF9"/>
    <w:rsid w:val="007232DD"/>
    <w:rsid w:val="00723333"/>
    <w:rsid w:val="00723A08"/>
    <w:rsid w:val="007251C1"/>
    <w:rsid w:val="00726AB4"/>
    <w:rsid w:val="00730373"/>
    <w:rsid w:val="00731A9B"/>
    <w:rsid w:val="00734A04"/>
    <w:rsid w:val="00744876"/>
    <w:rsid w:val="00745DCF"/>
    <w:rsid w:val="00750123"/>
    <w:rsid w:val="00751675"/>
    <w:rsid w:val="00755061"/>
    <w:rsid w:val="007571B8"/>
    <w:rsid w:val="007605A6"/>
    <w:rsid w:val="007612C7"/>
    <w:rsid w:val="00761496"/>
    <w:rsid w:val="00763AB9"/>
    <w:rsid w:val="00763ADA"/>
    <w:rsid w:val="0076521A"/>
    <w:rsid w:val="00765527"/>
    <w:rsid w:val="00765D80"/>
    <w:rsid w:val="00766734"/>
    <w:rsid w:val="00766EED"/>
    <w:rsid w:val="007672A3"/>
    <w:rsid w:val="00767DDD"/>
    <w:rsid w:val="00775174"/>
    <w:rsid w:val="00777A8A"/>
    <w:rsid w:val="00780B6B"/>
    <w:rsid w:val="00784577"/>
    <w:rsid w:val="007902D3"/>
    <w:rsid w:val="007950A2"/>
    <w:rsid w:val="007974D5"/>
    <w:rsid w:val="00797B72"/>
    <w:rsid w:val="007A1743"/>
    <w:rsid w:val="007A684A"/>
    <w:rsid w:val="007B06D8"/>
    <w:rsid w:val="007B09E3"/>
    <w:rsid w:val="007B1D95"/>
    <w:rsid w:val="007B224A"/>
    <w:rsid w:val="007B3D9E"/>
    <w:rsid w:val="007B684F"/>
    <w:rsid w:val="007C07A4"/>
    <w:rsid w:val="007C1419"/>
    <w:rsid w:val="007C302A"/>
    <w:rsid w:val="007C7542"/>
    <w:rsid w:val="007D0129"/>
    <w:rsid w:val="007D4408"/>
    <w:rsid w:val="007D5651"/>
    <w:rsid w:val="007D5813"/>
    <w:rsid w:val="007D7692"/>
    <w:rsid w:val="007E1F86"/>
    <w:rsid w:val="007E26D4"/>
    <w:rsid w:val="007E4499"/>
    <w:rsid w:val="007E5582"/>
    <w:rsid w:val="007E6EC4"/>
    <w:rsid w:val="007E784B"/>
    <w:rsid w:val="007F026A"/>
    <w:rsid w:val="007F5B13"/>
    <w:rsid w:val="00800DA5"/>
    <w:rsid w:val="0080177E"/>
    <w:rsid w:val="0080457E"/>
    <w:rsid w:val="00814337"/>
    <w:rsid w:val="008159B5"/>
    <w:rsid w:val="008161C6"/>
    <w:rsid w:val="0082141E"/>
    <w:rsid w:val="008218E9"/>
    <w:rsid w:val="00823B3F"/>
    <w:rsid w:val="0082741E"/>
    <w:rsid w:val="00827F8F"/>
    <w:rsid w:val="00832487"/>
    <w:rsid w:val="0083383A"/>
    <w:rsid w:val="00834CCC"/>
    <w:rsid w:val="00836C1A"/>
    <w:rsid w:val="008414A3"/>
    <w:rsid w:val="00841F97"/>
    <w:rsid w:val="008437B4"/>
    <w:rsid w:val="00844606"/>
    <w:rsid w:val="00852557"/>
    <w:rsid w:val="00857315"/>
    <w:rsid w:val="00861ED1"/>
    <w:rsid w:val="00862A00"/>
    <w:rsid w:val="00864064"/>
    <w:rsid w:val="008716BA"/>
    <w:rsid w:val="00872517"/>
    <w:rsid w:val="0087529D"/>
    <w:rsid w:val="00876A75"/>
    <w:rsid w:val="008776B4"/>
    <w:rsid w:val="008803E8"/>
    <w:rsid w:val="008823F6"/>
    <w:rsid w:val="00882F9A"/>
    <w:rsid w:val="008852CB"/>
    <w:rsid w:val="00885696"/>
    <w:rsid w:val="0088645D"/>
    <w:rsid w:val="008869A8"/>
    <w:rsid w:val="00893545"/>
    <w:rsid w:val="00895DEE"/>
    <w:rsid w:val="00896950"/>
    <w:rsid w:val="008A2BA0"/>
    <w:rsid w:val="008A3608"/>
    <w:rsid w:val="008A6D34"/>
    <w:rsid w:val="008A6F07"/>
    <w:rsid w:val="008A7EBF"/>
    <w:rsid w:val="008C127E"/>
    <w:rsid w:val="008D6DF8"/>
    <w:rsid w:val="008D6E09"/>
    <w:rsid w:val="008F0280"/>
    <w:rsid w:val="008F3326"/>
    <w:rsid w:val="008F35CE"/>
    <w:rsid w:val="008F7061"/>
    <w:rsid w:val="009004F3"/>
    <w:rsid w:val="00901B84"/>
    <w:rsid w:val="009052C9"/>
    <w:rsid w:val="00906095"/>
    <w:rsid w:val="00907891"/>
    <w:rsid w:val="00911681"/>
    <w:rsid w:val="0091237B"/>
    <w:rsid w:val="00916F9D"/>
    <w:rsid w:val="0092158A"/>
    <w:rsid w:val="00926267"/>
    <w:rsid w:val="00931749"/>
    <w:rsid w:val="009322F4"/>
    <w:rsid w:val="009354C2"/>
    <w:rsid w:val="00937667"/>
    <w:rsid w:val="00944A60"/>
    <w:rsid w:val="009450DA"/>
    <w:rsid w:val="009503C6"/>
    <w:rsid w:val="009545B4"/>
    <w:rsid w:val="00955701"/>
    <w:rsid w:val="009558F3"/>
    <w:rsid w:val="00961780"/>
    <w:rsid w:val="00972AAC"/>
    <w:rsid w:val="0097498F"/>
    <w:rsid w:val="009766EB"/>
    <w:rsid w:val="009770AA"/>
    <w:rsid w:val="0098456E"/>
    <w:rsid w:val="009963AE"/>
    <w:rsid w:val="00997F5D"/>
    <w:rsid w:val="009A1C9E"/>
    <w:rsid w:val="009A2444"/>
    <w:rsid w:val="009A2AE8"/>
    <w:rsid w:val="009A37C2"/>
    <w:rsid w:val="009A7C54"/>
    <w:rsid w:val="009B0E7F"/>
    <w:rsid w:val="009B7541"/>
    <w:rsid w:val="009B7AE7"/>
    <w:rsid w:val="009B7D12"/>
    <w:rsid w:val="009C1EC8"/>
    <w:rsid w:val="009C34B8"/>
    <w:rsid w:val="009C52B0"/>
    <w:rsid w:val="009E0976"/>
    <w:rsid w:val="009E0E3F"/>
    <w:rsid w:val="009E3279"/>
    <w:rsid w:val="009E74EC"/>
    <w:rsid w:val="009F64CC"/>
    <w:rsid w:val="009F6F90"/>
    <w:rsid w:val="009F7845"/>
    <w:rsid w:val="00A050F9"/>
    <w:rsid w:val="00A05180"/>
    <w:rsid w:val="00A1021A"/>
    <w:rsid w:val="00A152AE"/>
    <w:rsid w:val="00A236C8"/>
    <w:rsid w:val="00A2517A"/>
    <w:rsid w:val="00A27804"/>
    <w:rsid w:val="00A30B24"/>
    <w:rsid w:val="00A30BCA"/>
    <w:rsid w:val="00A30DA2"/>
    <w:rsid w:val="00A30DAD"/>
    <w:rsid w:val="00A31D97"/>
    <w:rsid w:val="00A32891"/>
    <w:rsid w:val="00A34988"/>
    <w:rsid w:val="00A40C40"/>
    <w:rsid w:val="00A45077"/>
    <w:rsid w:val="00A509AD"/>
    <w:rsid w:val="00A51AA5"/>
    <w:rsid w:val="00A54FE6"/>
    <w:rsid w:val="00A5652D"/>
    <w:rsid w:val="00A60B91"/>
    <w:rsid w:val="00A64EF9"/>
    <w:rsid w:val="00A67E7C"/>
    <w:rsid w:val="00A717E0"/>
    <w:rsid w:val="00A722CB"/>
    <w:rsid w:val="00A7447E"/>
    <w:rsid w:val="00A745A3"/>
    <w:rsid w:val="00A74CC8"/>
    <w:rsid w:val="00A75A54"/>
    <w:rsid w:val="00A85234"/>
    <w:rsid w:val="00A878C3"/>
    <w:rsid w:val="00A94540"/>
    <w:rsid w:val="00A94C8B"/>
    <w:rsid w:val="00A96723"/>
    <w:rsid w:val="00AA7390"/>
    <w:rsid w:val="00AB089B"/>
    <w:rsid w:val="00AB16BD"/>
    <w:rsid w:val="00AB1A40"/>
    <w:rsid w:val="00AB2BD5"/>
    <w:rsid w:val="00AB4491"/>
    <w:rsid w:val="00AB53F7"/>
    <w:rsid w:val="00AB60D7"/>
    <w:rsid w:val="00AC060A"/>
    <w:rsid w:val="00AC1654"/>
    <w:rsid w:val="00AC4D29"/>
    <w:rsid w:val="00AD2FFD"/>
    <w:rsid w:val="00AD5047"/>
    <w:rsid w:val="00AD5620"/>
    <w:rsid w:val="00AD60A9"/>
    <w:rsid w:val="00AD75AA"/>
    <w:rsid w:val="00AE12C7"/>
    <w:rsid w:val="00AE217F"/>
    <w:rsid w:val="00AE2AF2"/>
    <w:rsid w:val="00AE457D"/>
    <w:rsid w:val="00AE55C0"/>
    <w:rsid w:val="00AE617C"/>
    <w:rsid w:val="00AF0A6E"/>
    <w:rsid w:val="00AF1D9D"/>
    <w:rsid w:val="00AF59E1"/>
    <w:rsid w:val="00AF6DFA"/>
    <w:rsid w:val="00B00791"/>
    <w:rsid w:val="00B06834"/>
    <w:rsid w:val="00B070B7"/>
    <w:rsid w:val="00B072C8"/>
    <w:rsid w:val="00B118F2"/>
    <w:rsid w:val="00B13E21"/>
    <w:rsid w:val="00B14E58"/>
    <w:rsid w:val="00B16BCF"/>
    <w:rsid w:val="00B22A30"/>
    <w:rsid w:val="00B2403C"/>
    <w:rsid w:val="00B2426C"/>
    <w:rsid w:val="00B247B1"/>
    <w:rsid w:val="00B277BB"/>
    <w:rsid w:val="00B30196"/>
    <w:rsid w:val="00B3544A"/>
    <w:rsid w:val="00B44677"/>
    <w:rsid w:val="00B46D7E"/>
    <w:rsid w:val="00B47977"/>
    <w:rsid w:val="00B61DED"/>
    <w:rsid w:val="00B63C36"/>
    <w:rsid w:val="00B65B55"/>
    <w:rsid w:val="00B70C77"/>
    <w:rsid w:val="00B75E3A"/>
    <w:rsid w:val="00B763F1"/>
    <w:rsid w:val="00B77873"/>
    <w:rsid w:val="00B802A1"/>
    <w:rsid w:val="00B84CED"/>
    <w:rsid w:val="00B86965"/>
    <w:rsid w:val="00B923EE"/>
    <w:rsid w:val="00BA0FE6"/>
    <w:rsid w:val="00BA1434"/>
    <w:rsid w:val="00BA23E3"/>
    <w:rsid w:val="00BA26E9"/>
    <w:rsid w:val="00BA6703"/>
    <w:rsid w:val="00BB272B"/>
    <w:rsid w:val="00BB558D"/>
    <w:rsid w:val="00BB5AB5"/>
    <w:rsid w:val="00BB6FCC"/>
    <w:rsid w:val="00BB7AC9"/>
    <w:rsid w:val="00BC02B9"/>
    <w:rsid w:val="00BC0585"/>
    <w:rsid w:val="00BD2B87"/>
    <w:rsid w:val="00BD33D5"/>
    <w:rsid w:val="00BD38C9"/>
    <w:rsid w:val="00BD6329"/>
    <w:rsid w:val="00BD64F5"/>
    <w:rsid w:val="00BE0FDE"/>
    <w:rsid w:val="00BE140B"/>
    <w:rsid w:val="00BE2100"/>
    <w:rsid w:val="00BE4FBC"/>
    <w:rsid w:val="00BE5080"/>
    <w:rsid w:val="00BF2DF8"/>
    <w:rsid w:val="00BF4F90"/>
    <w:rsid w:val="00C0003C"/>
    <w:rsid w:val="00C014F6"/>
    <w:rsid w:val="00C01DA2"/>
    <w:rsid w:val="00C03015"/>
    <w:rsid w:val="00C04438"/>
    <w:rsid w:val="00C04BFE"/>
    <w:rsid w:val="00C06C1B"/>
    <w:rsid w:val="00C07E8D"/>
    <w:rsid w:val="00C11B80"/>
    <w:rsid w:val="00C16CFA"/>
    <w:rsid w:val="00C20D04"/>
    <w:rsid w:val="00C21D9F"/>
    <w:rsid w:val="00C22E39"/>
    <w:rsid w:val="00C23226"/>
    <w:rsid w:val="00C2391F"/>
    <w:rsid w:val="00C315B9"/>
    <w:rsid w:val="00C31BFE"/>
    <w:rsid w:val="00C325B1"/>
    <w:rsid w:val="00C34176"/>
    <w:rsid w:val="00C35CF5"/>
    <w:rsid w:val="00C360CF"/>
    <w:rsid w:val="00C367F9"/>
    <w:rsid w:val="00C4261F"/>
    <w:rsid w:val="00C43F02"/>
    <w:rsid w:val="00C45720"/>
    <w:rsid w:val="00C5256F"/>
    <w:rsid w:val="00C54098"/>
    <w:rsid w:val="00C574CB"/>
    <w:rsid w:val="00C57E56"/>
    <w:rsid w:val="00C608E1"/>
    <w:rsid w:val="00C658BA"/>
    <w:rsid w:val="00C673F9"/>
    <w:rsid w:val="00C67E23"/>
    <w:rsid w:val="00C72A7C"/>
    <w:rsid w:val="00C7399D"/>
    <w:rsid w:val="00C7695A"/>
    <w:rsid w:val="00C76DCE"/>
    <w:rsid w:val="00C7728C"/>
    <w:rsid w:val="00C802C1"/>
    <w:rsid w:val="00C822C2"/>
    <w:rsid w:val="00C85D63"/>
    <w:rsid w:val="00C86407"/>
    <w:rsid w:val="00C9149E"/>
    <w:rsid w:val="00C948F4"/>
    <w:rsid w:val="00C95242"/>
    <w:rsid w:val="00C966FA"/>
    <w:rsid w:val="00C96AD2"/>
    <w:rsid w:val="00CA199C"/>
    <w:rsid w:val="00CA4DFC"/>
    <w:rsid w:val="00CB1209"/>
    <w:rsid w:val="00CB3BBD"/>
    <w:rsid w:val="00CB5D7C"/>
    <w:rsid w:val="00CB7B52"/>
    <w:rsid w:val="00CC2BB7"/>
    <w:rsid w:val="00CD24EE"/>
    <w:rsid w:val="00CD2859"/>
    <w:rsid w:val="00CD5047"/>
    <w:rsid w:val="00CE0BFD"/>
    <w:rsid w:val="00CE4DE3"/>
    <w:rsid w:val="00CE5A75"/>
    <w:rsid w:val="00CF15D4"/>
    <w:rsid w:val="00CF59F1"/>
    <w:rsid w:val="00D00F19"/>
    <w:rsid w:val="00D00F99"/>
    <w:rsid w:val="00D026CF"/>
    <w:rsid w:val="00D030A0"/>
    <w:rsid w:val="00D1062D"/>
    <w:rsid w:val="00D13958"/>
    <w:rsid w:val="00D15898"/>
    <w:rsid w:val="00D169AE"/>
    <w:rsid w:val="00D17C3F"/>
    <w:rsid w:val="00D2376A"/>
    <w:rsid w:val="00D24990"/>
    <w:rsid w:val="00D258EC"/>
    <w:rsid w:val="00D25FF9"/>
    <w:rsid w:val="00D27403"/>
    <w:rsid w:val="00D305C0"/>
    <w:rsid w:val="00D3301D"/>
    <w:rsid w:val="00D35EEF"/>
    <w:rsid w:val="00D405E9"/>
    <w:rsid w:val="00D43BC8"/>
    <w:rsid w:val="00D463C2"/>
    <w:rsid w:val="00D5082E"/>
    <w:rsid w:val="00D54FA2"/>
    <w:rsid w:val="00D55B21"/>
    <w:rsid w:val="00D566A9"/>
    <w:rsid w:val="00D615FF"/>
    <w:rsid w:val="00D67F2F"/>
    <w:rsid w:val="00D73C44"/>
    <w:rsid w:val="00D77C84"/>
    <w:rsid w:val="00D811FB"/>
    <w:rsid w:val="00D8140E"/>
    <w:rsid w:val="00D83AF9"/>
    <w:rsid w:val="00D85664"/>
    <w:rsid w:val="00D85C63"/>
    <w:rsid w:val="00D93E04"/>
    <w:rsid w:val="00DA0D86"/>
    <w:rsid w:val="00DA12E3"/>
    <w:rsid w:val="00DA2267"/>
    <w:rsid w:val="00DA455A"/>
    <w:rsid w:val="00DA7990"/>
    <w:rsid w:val="00DB292C"/>
    <w:rsid w:val="00DB3338"/>
    <w:rsid w:val="00DB674A"/>
    <w:rsid w:val="00DB7508"/>
    <w:rsid w:val="00DB7789"/>
    <w:rsid w:val="00DC034C"/>
    <w:rsid w:val="00DC1E88"/>
    <w:rsid w:val="00DC1EE7"/>
    <w:rsid w:val="00DC2CE0"/>
    <w:rsid w:val="00DC2ED9"/>
    <w:rsid w:val="00DC30CC"/>
    <w:rsid w:val="00DC3F09"/>
    <w:rsid w:val="00DC49B5"/>
    <w:rsid w:val="00DD2C64"/>
    <w:rsid w:val="00DD5B6C"/>
    <w:rsid w:val="00DD6F64"/>
    <w:rsid w:val="00DD7707"/>
    <w:rsid w:val="00DE0986"/>
    <w:rsid w:val="00DE2557"/>
    <w:rsid w:val="00DE3E2B"/>
    <w:rsid w:val="00DE4B34"/>
    <w:rsid w:val="00DE635F"/>
    <w:rsid w:val="00DF0B39"/>
    <w:rsid w:val="00DF0CB9"/>
    <w:rsid w:val="00DF5DDB"/>
    <w:rsid w:val="00E04992"/>
    <w:rsid w:val="00E04CFE"/>
    <w:rsid w:val="00E14A60"/>
    <w:rsid w:val="00E14F22"/>
    <w:rsid w:val="00E16A64"/>
    <w:rsid w:val="00E20B75"/>
    <w:rsid w:val="00E24691"/>
    <w:rsid w:val="00E3154E"/>
    <w:rsid w:val="00E358A2"/>
    <w:rsid w:val="00E408C4"/>
    <w:rsid w:val="00E44066"/>
    <w:rsid w:val="00E5096F"/>
    <w:rsid w:val="00E524EF"/>
    <w:rsid w:val="00E54A4F"/>
    <w:rsid w:val="00E674AE"/>
    <w:rsid w:val="00E75A6B"/>
    <w:rsid w:val="00E7774A"/>
    <w:rsid w:val="00E83E2E"/>
    <w:rsid w:val="00E87CDF"/>
    <w:rsid w:val="00E9151D"/>
    <w:rsid w:val="00E9182F"/>
    <w:rsid w:val="00E92139"/>
    <w:rsid w:val="00E93235"/>
    <w:rsid w:val="00E93B37"/>
    <w:rsid w:val="00E96CB5"/>
    <w:rsid w:val="00E97212"/>
    <w:rsid w:val="00E9773F"/>
    <w:rsid w:val="00EA11AB"/>
    <w:rsid w:val="00EA3B0E"/>
    <w:rsid w:val="00EA6359"/>
    <w:rsid w:val="00EB1D78"/>
    <w:rsid w:val="00EB2E2E"/>
    <w:rsid w:val="00EB6D73"/>
    <w:rsid w:val="00EC0650"/>
    <w:rsid w:val="00EC39CD"/>
    <w:rsid w:val="00EC6E3A"/>
    <w:rsid w:val="00ED2F81"/>
    <w:rsid w:val="00ED7C7F"/>
    <w:rsid w:val="00EE4898"/>
    <w:rsid w:val="00EF07EC"/>
    <w:rsid w:val="00EF38D3"/>
    <w:rsid w:val="00EF79E4"/>
    <w:rsid w:val="00F00411"/>
    <w:rsid w:val="00F117A6"/>
    <w:rsid w:val="00F11FC1"/>
    <w:rsid w:val="00F12F8F"/>
    <w:rsid w:val="00F13C63"/>
    <w:rsid w:val="00F158AD"/>
    <w:rsid w:val="00F20575"/>
    <w:rsid w:val="00F20C03"/>
    <w:rsid w:val="00F23BB5"/>
    <w:rsid w:val="00F2787D"/>
    <w:rsid w:val="00F30BE7"/>
    <w:rsid w:val="00F31058"/>
    <w:rsid w:val="00F325E9"/>
    <w:rsid w:val="00F32664"/>
    <w:rsid w:val="00F32B30"/>
    <w:rsid w:val="00F331BD"/>
    <w:rsid w:val="00F33561"/>
    <w:rsid w:val="00F37057"/>
    <w:rsid w:val="00F37FCB"/>
    <w:rsid w:val="00F41D1B"/>
    <w:rsid w:val="00F476DC"/>
    <w:rsid w:val="00F50502"/>
    <w:rsid w:val="00F52073"/>
    <w:rsid w:val="00F5585D"/>
    <w:rsid w:val="00F5769D"/>
    <w:rsid w:val="00F60EBC"/>
    <w:rsid w:val="00F610F0"/>
    <w:rsid w:val="00F702D6"/>
    <w:rsid w:val="00F71FC3"/>
    <w:rsid w:val="00F730B3"/>
    <w:rsid w:val="00F816D2"/>
    <w:rsid w:val="00F840E4"/>
    <w:rsid w:val="00F854B1"/>
    <w:rsid w:val="00F9087D"/>
    <w:rsid w:val="00F910F7"/>
    <w:rsid w:val="00F95625"/>
    <w:rsid w:val="00F96041"/>
    <w:rsid w:val="00F9624D"/>
    <w:rsid w:val="00F97367"/>
    <w:rsid w:val="00FA1311"/>
    <w:rsid w:val="00FA3139"/>
    <w:rsid w:val="00FA69A4"/>
    <w:rsid w:val="00FA7419"/>
    <w:rsid w:val="00FB0B79"/>
    <w:rsid w:val="00FB47F9"/>
    <w:rsid w:val="00FB561E"/>
    <w:rsid w:val="00FB781F"/>
    <w:rsid w:val="00FB7CBD"/>
    <w:rsid w:val="00FD169E"/>
    <w:rsid w:val="00FD6DC4"/>
    <w:rsid w:val="00FE2EBA"/>
    <w:rsid w:val="00FE4A8A"/>
    <w:rsid w:val="00FE6E2A"/>
    <w:rsid w:val="00FF294E"/>
    <w:rsid w:val="00FF3034"/>
    <w:rsid w:val="00FF447F"/>
    <w:rsid w:val="00FF6C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491DDED8"/>
  <w15:docId w15:val="{57356BF7-74E6-4CE2-9E24-3E0E40C9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EA) Char,fnt Char,Footnote Text (EIS) Char,Footnote text (EA),fnt,Footnote Text (EIS),Footnote Text Char1"/>
    <w:basedOn w:val="Normal"/>
    <w:link w:val="FootnoteTextChar"/>
    <w:uiPriority w:val="99"/>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basedOn w:val="DefaultParagraphFont"/>
    <w:uiPriority w:val="99"/>
    <w:rsid w:val="00723333"/>
    <w:rPr>
      <w:sz w:val="26"/>
      <w:lang w:bidi="ar-SA"/>
    </w:rPr>
  </w:style>
  <w:style w:type="character" w:customStyle="1" w:styleId="FootnoteTextChar">
    <w:name w:val="Footnote Text Char"/>
    <w:aliases w:val="Footnote text (EA) Char Char,fnt Char Char,Footnote Text (EIS) Char Char,Footnote text (EA) Char1,fnt Char1,Footnote Text (EIS) Char1,Footnote Text Char1 Char"/>
    <w:basedOn w:val="DefaultParagraphFont"/>
    <w:link w:val="FootnoteText"/>
    <w:uiPriority w:val="99"/>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CommentReference">
    <w:name w:val="annotation reference"/>
    <w:basedOn w:val="DefaultParagraphFont"/>
    <w:uiPriority w:val="99"/>
    <w:semiHidden/>
    <w:unhideWhenUsed/>
    <w:rsid w:val="005813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FC88C-0F5A-421D-ABAF-AE4127C00AF6}">
  <ds:schemaRefs>
    <ds:schemaRef ds:uri="http://schemas.microsoft.com/sharepoint/v3/contenttype/forms"/>
  </ds:schemaRefs>
</ds:datastoreItem>
</file>

<file path=customXml/itemProps2.xml><?xml version="1.0" encoding="utf-8"?>
<ds:datastoreItem xmlns:ds="http://schemas.openxmlformats.org/officeDocument/2006/customXml" ds:itemID="{964F91D6-FA9C-4DDD-93C9-3AE2DA41431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87c83cf-0993-4cd6-bfdc-b1c6ea4d56ce"/>
    <ds:schemaRef ds:uri="http://www.w3.org/XML/1998/namespace"/>
    <ds:schemaRef ds:uri="http://purl.org/dc/dcmitype/"/>
  </ds:schemaRefs>
</ds:datastoreItem>
</file>

<file path=customXml/itemProps3.xml><?xml version="1.0" encoding="utf-8"?>
<ds:datastoreItem xmlns:ds="http://schemas.openxmlformats.org/officeDocument/2006/customXml" ds:itemID="{89E50DDF-BF4C-4656-9F9E-5A479B537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23814C-3000-4F05-8F0E-5C4E14C6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1558</Words>
  <Characters>8886</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CD15-18- Soldier Canyon Filter Plant</vt:lpstr>
    </vt:vector>
  </TitlesOfParts>
  <Manager/>
  <Company/>
  <LinksUpToDate>false</LinksUpToDate>
  <CharactersWithSpaces>10424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2015-06-17T16:55:00Z</cp:lastPrinted>
  <dcterms:created xsi:type="dcterms:W3CDTF">2021-05-20T17:49:00Z</dcterms:created>
  <dcterms:modified xsi:type="dcterms:W3CDTF">2021-05-20T17:49:00Z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Jean.Sonneman@ferc.gov</vt:lpwstr>
  </property>
  <property fmtid="{D5CDD505-2E9C-101B-9397-08002B2CF9AE}" pid="5" name="MSIP_Label_6155a89b-0f08-4a93-8ea2-8a916d6643b5_SetDate">
    <vt:lpwstr>2021-05-20T17:46:53.7380451Z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d3e0944b-e2d3-4b89-b2b6-3d7faa240816</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y fmtid="{D5CDD505-2E9C-101B-9397-08002B2CF9AE}" pid="11" name="ContentTypeId">
    <vt:lpwstr>0x0101003EEAC7F601CD76438313764BE493CC4F</vt:lpwstr>
  </property>
</Properties>
</file>