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672" w:rsidRDefault="008D20BF" w14:paraId="64E112CB" w14:textId="77777777">
      <w:pPr>
        <w:tabs>
          <w:tab w:val="right" w:pos="10080"/>
        </w:tabs>
        <w:spacing w:after="1026" w:line="265" w:lineRule="auto"/>
        <w:ind w:left="-15" w:right="-15" w:firstLine="0"/>
      </w:pPr>
      <w:bookmarkStart w:name="_GoBack" w:id="0"/>
      <w:bookmarkEnd w:id="0"/>
      <w:r>
        <w:rPr>
          <w:sz w:val="24"/>
        </w:rPr>
        <w:t>Electronic Code of Federal Regulations (</w:t>
      </w:r>
      <w:proofErr w:type="spellStart"/>
      <w:r>
        <w:rPr>
          <w:sz w:val="24"/>
        </w:rPr>
        <w:t>eCFR</w:t>
      </w:r>
      <w:proofErr w:type="spellEnd"/>
      <w:r>
        <w:rPr>
          <w:sz w:val="24"/>
        </w:rPr>
        <w:t>)</w:t>
      </w:r>
      <w:r>
        <w:rPr>
          <w:sz w:val="24"/>
        </w:rPr>
        <w:tab/>
        <w:t>Page 1 of 1</w:t>
      </w:r>
    </w:p>
    <w:p w:rsidR="00511672" w:rsidRDefault="008D20BF" w14:paraId="299AEFCE" w14:textId="77777777">
      <w:pPr>
        <w:spacing w:after="337" w:line="259" w:lineRule="auto"/>
        <w:ind w:firstLine="0"/>
      </w:pPr>
      <w:r>
        <w:rPr>
          <w:color w:val="575757"/>
          <w:sz w:val="32"/>
        </w:rPr>
        <w:t>ELECTRONIC CODE OF FEDERAL REGULATIONS</w:t>
      </w:r>
    </w:p>
    <w:p w:rsidR="00511672" w:rsidRDefault="008D20BF" w14:paraId="37EE878E" w14:textId="77777777">
      <w:pPr>
        <w:spacing w:after="523" w:line="259" w:lineRule="auto"/>
        <w:ind w:left="1197" w:firstLine="0"/>
      </w:pPr>
      <w:r>
        <w:rPr>
          <w:color w:val="FF0000"/>
          <w:sz w:val="32"/>
        </w:rPr>
        <w:t>e-CFR data is current as of May 14, 2021</w:t>
      </w:r>
    </w:p>
    <w:p w:rsidR="00511672" w:rsidRDefault="008D20BF" w14:paraId="54D324A2" w14:textId="77777777">
      <w:pPr>
        <w:spacing w:after="482" w:line="265" w:lineRule="auto"/>
        <w:ind w:left="175" w:hanging="10"/>
      </w:pPr>
      <w:r>
        <w:rPr>
          <w:color w:val="3E71AE"/>
        </w:rPr>
        <w:t>Title 18</w:t>
      </w:r>
      <w:r>
        <w:t xml:space="preserve"> → </w:t>
      </w:r>
      <w:r>
        <w:rPr>
          <w:color w:val="3E71AE"/>
        </w:rPr>
        <w:t>Chapter I</w:t>
      </w:r>
      <w:r>
        <w:t xml:space="preserve"> → </w:t>
      </w:r>
      <w:r>
        <w:rPr>
          <w:color w:val="3E71AE"/>
        </w:rPr>
        <w:t>Subchapter A</w:t>
      </w:r>
      <w:r>
        <w:t xml:space="preserve"> → </w:t>
      </w:r>
      <w:r>
        <w:rPr>
          <w:color w:val="3E71AE"/>
        </w:rPr>
        <w:t>Part 2</w:t>
      </w:r>
      <w:r>
        <w:t xml:space="preserve"> → §2.19</w:t>
      </w:r>
    </w:p>
    <w:p w:rsidR="00511672" w:rsidRDefault="008D20BF" w14:paraId="433130B8" w14:textId="77777777">
      <w:pPr>
        <w:spacing w:after="11"/>
        <w:ind w:left="165" w:right="174" w:firstLine="0"/>
      </w:pPr>
      <w:r>
        <w:t xml:space="preserve">Title 18: Conservation of Power and Water Resources </w:t>
      </w:r>
    </w:p>
    <w:p w:rsidR="00511672" w:rsidRDefault="008D20BF" w14:paraId="5126E2D3" w14:textId="77777777">
      <w:pPr>
        <w:spacing w:after="0" w:line="265" w:lineRule="auto"/>
        <w:ind w:left="175" w:hanging="10"/>
      </w:pPr>
      <w:r>
        <w:rPr>
          <w:color w:val="3E71AE"/>
        </w:rPr>
        <w:t>PART 2—GENERAL POLICY AND INTERPRETATIONS</w:t>
      </w:r>
    </w:p>
    <w:p w:rsidR="00511672" w:rsidRDefault="008D20BF" w14:paraId="5BD8ACA4" w14:textId="77777777">
      <w:pPr>
        <w:spacing w:after="248" w:line="259" w:lineRule="auto"/>
        <w:ind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CD61476" wp14:editId="1BDBD626">
                <wp:extent cx="6172200" cy="19050"/>
                <wp:effectExtent l="0" t="0" r="0" b="0"/>
                <wp:docPr id="554" name="Group 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4" style="width:486pt;height:1.5pt;mso-position-horizontal-relative:char;mso-position-vertical-relative:line" coordsize="61722,190" o:spid="_x0000_s1026" w14:anchorId="0B4838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">
                <v:shape id="Shape 10" style="position:absolute;width:61722;height:190;visibility:visible;mso-wrap-style:square;v-text-anchor:top" coordsize="6172200,19050" o:spid="_x0000_s1027" fillcolor="#696969" stroked="f" strokeweight="0" path="m,l6172200,r-9525,9525l9525,9525,,190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">
                  <v:stroke miterlimit="83231f" joinstyle="miter"/>
                  <v:path textboxrect="0,0,6172200,19050" arrowok="t"/>
                </v:shape>
                <v:shape id="Shape 11" style="position:absolute;width:61722;height:190;visibility:visible;mso-wrap-style:square;v-text-anchor:top" coordsize="6172200,19050" o:spid="_x0000_s1028" fillcolor="#f0f0f0" stroked="f" strokeweight="0" path="m6172200,r,19050l,19050,9525,9525r6153150,l6172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">
                  <v:stroke miterlimit="83231f" joinstyle="miter"/>
                  <v:path textboxrect="0,0,6172200,19050" arrowok="t"/>
                </v:shape>
                <w10:anchorlock/>
              </v:group>
            </w:pict>
          </mc:Fallback>
        </mc:AlternateContent>
      </w:r>
    </w:p>
    <w:p w:rsidR="00511672" w:rsidRDefault="008D20BF" w14:paraId="2263F050" w14:textId="77777777">
      <w:pPr>
        <w:spacing w:after="234" w:line="259" w:lineRule="auto"/>
        <w:ind w:firstLine="0"/>
      </w:pPr>
      <w:r>
        <w:t>§2.19   State and Federal comprehensive plans.</w:t>
      </w:r>
    </w:p>
    <w:p w:rsidR="00511672" w:rsidRDefault="008D20BF" w14:paraId="6F06F3A4" w14:textId="77777777">
      <w:pPr>
        <w:ind w:left="165" w:right="174"/>
      </w:pPr>
      <w:r>
        <w:t>(a) In determining whether the proposed hydroelectric project is best adapted to a comprehensive plan under section (10)(a)(1) of the Federal Power Act for improving or developing a waterway, the Commission will consider the extent to which the project is consistent with a comprehensive plan (where one exists) for improving, developing, or conserving a waterway or waterways affected by the project that is prepared by:</w:t>
      </w:r>
    </w:p>
    <w:p w:rsidR="00511672" w:rsidRDefault="008D20BF" w14:paraId="78BDDED3" w14:textId="77777777">
      <w:pPr>
        <w:numPr>
          <w:ilvl w:val="0"/>
          <w:numId w:val="1"/>
        </w:numPr>
        <w:ind w:right="174"/>
      </w:pPr>
      <w:r>
        <w:t>An agency established pursuant to Federal law that has the authority to prepare such a plan, or</w:t>
      </w:r>
    </w:p>
    <w:p w:rsidR="00511672" w:rsidRDefault="008D20BF" w14:paraId="271A356C" w14:textId="77777777">
      <w:pPr>
        <w:numPr>
          <w:ilvl w:val="0"/>
          <w:numId w:val="1"/>
        </w:numPr>
        <w:ind w:right="174"/>
      </w:pPr>
      <w:r>
        <w:t>A state agency, of the state in which the facility is or will be located, authorized to conduct such planning pursuant to state law.</w:t>
      </w:r>
    </w:p>
    <w:p w:rsidR="00511672" w:rsidRDefault="008D20BF" w14:paraId="338031F3" w14:textId="77777777">
      <w:pPr>
        <w:ind w:left="165" w:right="174"/>
      </w:pPr>
      <w:r>
        <w:t>(b) The Commission will treat as a state or Federal comprehensive plan a plan that:</w:t>
      </w:r>
    </w:p>
    <w:p w:rsidR="00511672" w:rsidRDefault="008D20BF" w14:paraId="5808F637" w14:textId="77777777">
      <w:pPr>
        <w:numPr>
          <w:ilvl w:val="0"/>
          <w:numId w:val="2"/>
        </w:numPr>
        <w:ind w:right="174"/>
      </w:pPr>
      <w:r>
        <w:t>Is a comprehensive study of one or more of the beneficial uses of a waterway or waterways;</w:t>
      </w:r>
    </w:p>
    <w:p w:rsidR="00511672" w:rsidRDefault="008D20BF" w14:paraId="6ADA8BFF" w14:textId="77777777">
      <w:pPr>
        <w:numPr>
          <w:ilvl w:val="0"/>
          <w:numId w:val="2"/>
        </w:numPr>
        <w:ind w:right="174"/>
      </w:pPr>
      <w:r>
        <w:t>Includes a description of the standards applied, the data relied upon, and the methodology used in preparing the plan; and</w:t>
      </w:r>
    </w:p>
    <w:p w:rsidR="00511672" w:rsidRDefault="008D20BF" w14:paraId="5D39A4AE" w14:textId="77777777">
      <w:pPr>
        <w:numPr>
          <w:ilvl w:val="0"/>
          <w:numId w:val="2"/>
        </w:numPr>
        <w:spacing w:after="2243" w:line="517" w:lineRule="auto"/>
        <w:ind w:right="174"/>
      </w:pPr>
      <w:r>
        <w:t>Is filed with the Secretary of the Commission.</w:t>
      </w:r>
      <w:r>
        <w:rPr>
          <w:sz w:val="24"/>
        </w:rPr>
        <w:t xml:space="preserve">[Order 481-A, 53 FR 15804, May 4, 1988] </w:t>
      </w:r>
      <w:r>
        <w:rPr>
          <w:color w:val="3E71AE"/>
          <w:sz w:val="19"/>
        </w:rPr>
        <w:t>Need assistance?</w:t>
      </w:r>
    </w:p>
    <w:p w:rsidR="00511672" w:rsidRDefault="008D20BF" w14:paraId="076F888C" w14:textId="77777777">
      <w:pPr>
        <w:tabs>
          <w:tab w:val="right" w:pos="10080"/>
        </w:tabs>
        <w:spacing w:after="5" w:line="265" w:lineRule="auto"/>
        <w:ind w:left="-15" w:right="-15" w:firstLine="0"/>
      </w:pPr>
      <w:r>
        <w:rPr>
          <w:sz w:val="24"/>
        </w:rPr>
        <w:lastRenderedPageBreak/>
        <w:t>https://www.ecfr.gov/cgi-bin/text-idx?SID=bade9abddc96df59270ac6fdf25eb47d&amp;mc=tru...</w:t>
      </w:r>
      <w:r>
        <w:rPr>
          <w:sz w:val="24"/>
        </w:rPr>
        <w:tab/>
        <w:t>5/18/2021</w:t>
      </w:r>
    </w:p>
    <w:sectPr w:rsidR="00511672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A179F"/>
    <w:multiLevelType w:val="hybridMultilevel"/>
    <w:tmpl w:val="C1F2DC22"/>
    <w:lvl w:ilvl="0" w:tplc="9ADC84CA">
      <w:start w:val="1"/>
      <w:numFmt w:val="decimal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805ABE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1CC8F2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DCEA20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C2F4AA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8448B6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5A53F8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4A6392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42F8EA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E978B1"/>
    <w:multiLevelType w:val="hybridMultilevel"/>
    <w:tmpl w:val="DAD236EE"/>
    <w:lvl w:ilvl="0" w:tplc="BDFC092A">
      <w:start w:val="1"/>
      <w:numFmt w:val="decimal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EA34DE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16D84C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D61C9A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3905612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58B192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C816C2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46E000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CE8D2E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72"/>
    <w:rsid w:val="00511672"/>
    <w:rsid w:val="006C42E1"/>
    <w:rsid w:val="008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41CAE"/>
  <w15:docId w15:val="{533DE625-43F7-4C1C-A6B2-196238B8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9" w:line="249" w:lineRule="auto"/>
      <w:ind w:left="180" w:firstLine="5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ADE9C7-992E-43F0-A363-672CBF9967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4D104-1DFC-46F4-83B6-6B5DF37AC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C4A86-8B5D-48BA-B307-1F3AA380C1B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087c83cf-0993-4cd6-bfdc-b1c6ea4d56c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Company>Federal Energy Regulatory Commission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https://www.ecfr.gov/cgi-bin/text-idx?SID=bade9abddc96df59270ac</dc:title>
  <dc:subject/>
  <dc:creator>jnsed34</dc:creator>
  <cp:keywords/>
  <cp:lastModifiedBy>Jean Sonneman</cp:lastModifiedBy>
  <cp:revision>2</cp:revision>
  <dcterms:created xsi:type="dcterms:W3CDTF">2021-05-20T18:46:00Z</dcterms:created>
  <dcterms:modified xsi:type="dcterms:W3CDTF">2021-05-20T18:46:00Z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