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46F" w:rsidRDefault="00792A02" w14:paraId="593982D0" w14:textId="77777777">
      <w:pPr>
        <w:tabs>
          <w:tab w:val="right" w:pos="10080"/>
        </w:tabs>
        <w:spacing w:after="1026" w:line="265" w:lineRule="auto"/>
        <w:ind w:left="-15" w:right="-15" w:firstLine="0"/>
      </w:pPr>
      <w:bookmarkStart w:name="_GoBack" w:id="0"/>
      <w:bookmarkEnd w:id="0"/>
      <w:r>
        <w:rPr>
          <w:sz w:val="24"/>
        </w:rPr>
        <w:t>Electronic Code of Federal Regulations (</w:t>
      </w:r>
      <w:proofErr w:type="spellStart"/>
      <w:r>
        <w:rPr>
          <w:sz w:val="24"/>
        </w:rPr>
        <w:t>eCFR</w:t>
      </w:r>
      <w:proofErr w:type="spellEnd"/>
      <w:r>
        <w:rPr>
          <w:sz w:val="24"/>
        </w:rPr>
        <w:t>)</w:t>
      </w:r>
      <w:r>
        <w:rPr>
          <w:sz w:val="24"/>
        </w:rPr>
        <w:tab/>
        <w:t>Page 1 of 2</w:t>
      </w:r>
    </w:p>
    <w:p w:rsidR="005B546F" w:rsidRDefault="00792A02" w14:paraId="0E5C3C1C" w14:textId="77777777">
      <w:pPr>
        <w:spacing w:after="337" w:line="259" w:lineRule="auto"/>
        <w:ind w:firstLine="0"/>
      </w:pPr>
      <w:r>
        <w:rPr>
          <w:color w:val="575757"/>
          <w:sz w:val="32"/>
        </w:rPr>
        <w:t>ELECTRONIC CODE OF FEDERAL REGULATIONS</w:t>
      </w:r>
    </w:p>
    <w:p w:rsidR="005B546F" w:rsidRDefault="00792A02" w14:paraId="037AA9C9" w14:textId="77777777">
      <w:pPr>
        <w:spacing w:after="523" w:line="259" w:lineRule="auto"/>
        <w:ind w:left="1197" w:firstLine="0"/>
      </w:pPr>
      <w:r>
        <w:rPr>
          <w:color w:val="FF0000"/>
          <w:sz w:val="32"/>
        </w:rPr>
        <w:t>e-CFR data is current as of May 19, 2021</w:t>
      </w:r>
    </w:p>
    <w:p w:rsidR="005B546F" w:rsidRDefault="00792A02" w14:paraId="13D02C8F" w14:textId="77777777">
      <w:pPr>
        <w:spacing w:after="482" w:line="265" w:lineRule="auto"/>
        <w:ind w:left="175" w:hanging="10"/>
      </w:pPr>
      <w:r>
        <w:rPr>
          <w:color w:val="3E71AE"/>
        </w:rPr>
        <w:t>Title 18</w:t>
      </w:r>
      <w:r>
        <w:t xml:space="preserve"> → </w:t>
      </w:r>
      <w:r>
        <w:rPr>
          <w:color w:val="3E71AE"/>
        </w:rPr>
        <w:t>Chapter I</w:t>
      </w:r>
      <w:r>
        <w:t xml:space="preserve"> → </w:t>
      </w:r>
      <w:r>
        <w:rPr>
          <w:color w:val="3E71AE"/>
        </w:rPr>
        <w:t>Subchapter B</w:t>
      </w:r>
      <w:r>
        <w:t xml:space="preserve"> → </w:t>
      </w:r>
      <w:r>
        <w:rPr>
          <w:color w:val="3E71AE"/>
        </w:rPr>
        <w:t>Part 4</w:t>
      </w:r>
      <w:r>
        <w:t xml:space="preserve"> → </w:t>
      </w:r>
      <w:r>
        <w:rPr>
          <w:color w:val="3E71AE"/>
        </w:rPr>
        <w:t>Subpart J</w:t>
      </w:r>
      <w:r>
        <w:t xml:space="preserve"> → §4.93</w:t>
      </w:r>
    </w:p>
    <w:p w:rsidR="005B546F" w:rsidRDefault="00792A02" w14:paraId="344A27B1" w14:textId="77777777">
      <w:pPr>
        <w:spacing w:after="11"/>
        <w:ind w:left="165" w:right="117" w:firstLine="0"/>
      </w:pPr>
      <w:r>
        <w:t xml:space="preserve">Title 18: Conservation of Power and Water Resources </w:t>
      </w:r>
    </w:p>
    <w:p w:rsidR="005B546F" w:rsidRDefault="00792A02" w14:paraId="1BE17E8E" w14:textId="77777777">
      <w:pPr>
        <w:spacing w:after="0" w:line="265" w:lineRule="auto"/>
        <w:ind w:left="175" w:hanging="10"/>
      </w:pPr>
      <w:r>
        <w:rPr>
          <w:color w:val="3E71AE"/>
        </w:rPr>
        <w:t xml:space="preserve">PART 4—LICENSES, PERMITS, EXEMPTIONS, AND DETERMINATION OF </w:t>
      </w:r>
    </w:p>
    <w:p w:rsidR="005B546F" w:rsidRDefault="00792A02" w14:paraId="34C0CB7A" w14:textId="77777777">
      <w:pPr>
        <w:spacing w:after="0" w:line="265" w:lineRule="auto"/>
        <w:ind w:left="175" w:hanging="10"/>
      </w:pPr>
      <w:r>
        <w:rPr>
          <w:color w:val="3E71AE"/>
        </w:rPr>
        <w:t xml:space="preserve">PROJECT COSTS </w:t>
      </w:r>
    </w:p>
    <w:p w:rsidR="005B546F" w:rsidRDefault="00792A02" w14:paraId="634AE282" w14:textId="77777777">
      <w:pPr>
        <w:spacing w:after="0" w:line="265" w:lineRule="auto"/>
        <w:ind w:left="175" w:hanging="10"/>
      </w:pPr>
      <w:r>
        <w:rPr>
          <w:color w:val="3E71AE"/>
        </w:rPr>
        <w:t>Subpart J—Exemption of Small Conduit Hydroelectric Facilities</w:t>
      </w:r>
    </w:p>
    <w:p w:rsidR="005B546F" w:rsidRDefault="00792A02" w14:paraId="4AE0713D" w14:textId="77777777">
      <w:pPr>
        <w:spacing w:after="246" w:line="259" w:lineRule="auto"/>
        <w:ind w:firstLine="0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618C68FE" wp14:editId="62A4CBD0">
                <wp:extent cx="6172200" cy="19050"/>
                <wp:effectExtent l="0" t="0" r="0" b="0"/>
                <wp:docPr id="1218" name="Group 1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19050"/>
                          <a:chOff x="0" y="0"/>
                          <a:chExt cx="6172200" cy="1905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172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 h="1905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  <a:lnTo>
                                  <a:pt x="6162675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6172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 h="19050">
                                <a:moveTo>
                                  <a:pt x="6172200" y="0"/>
                                </a:moveTo>
                                <a:lnTo>
                                  <a:pt x="61722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9525"/>
                                </a:lnTo>
                                <a:lnTo>
                                  <a:pt x="6162675" y="9525"/>
                                </a:lnTo>
                                <a:lnTo>
                                  <a:pt x="6172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18" style="width:486pt;height:1.5pt;mso-position-horizontal-relative:char;mso-position-vertical-relative:line" coordsize="61722,190">
                <v:shape id="Shape 10" style="position:absolute;width:61722;height:190;left:0;top:0;" coordsize="6172200,19050" path="m0,0l6172200,0l6162675,9525l9525,9525l0,19050l0,0x">
                  <v:stroke on="false" weight="0pt" color="#000000" opacity="0" miterlimit="10" joinstyle="miter" endcap="flat"/>
                  <v:fill on="true" color="#696969"/>
                </v:shape>
                <v:shape id="Shape 11" style="position:absolute;width:61722;height:190;left:0;top:0;" coordsize="6172200,19050" path="m6172200,0l6172200,19050l0,19050l9525,9525l6162675,9525l6172200,0x">
                  <v:stroke on="false" weight="0pt" color="#000000" opacity="0" miterlimit="10" joinstyle="miter" endcap="flat"/>
                  <v:fill on="true" color="#f0f0f0"/>
                </v:shape>
              </v:group>
            </w:pict>
          </mc:Fallback>
        </mc:AlternateContent>
      </w:r>
    </w:p>
    <w:p w:rsidR="005B546F" w:rsidRDefault="00792A02" w14:paraId="1F650D19" w14:textId="77777777">
      <w:pPr>
        <w:spacing w:after="234" w:line="259" w:lineRule="auto"/>
        <w:ind w:firstLine="0"/>
      </w:pPr>
      <w:r>
        <w:t>§4.93   Action on exemption applications.</w:t>
      </w:r>
    </w:p>
    <w:p w:rsidR="005B546F" w:rsidRDefault="00792A02" w14:paraId="02B44D0E" w14:textId="77777777">
      <w:pPr>
        <w:numPr>
          <w:ilvl w:val="0"/>
          <w:numId w:val="1"/>
        </w:numPr>
        <w:ind w:right="117"/>
      </w:pPr>
      <w:r>
        <w:t>An application for exe</w:t>
      </w:r>
      <w:r>
        <w:t>mption that does not meet the eligibility requirements of §4.30(b)(30)(iv) may be accepted, provided the application has been accompanied by a request for waiver under §4.92(a)(1) and the waiver request has not been denied. Acceptance of an application tha</w:t>
      </w:r>
      <w:r>
        <w:t>t has been accompanied by a request for waiver under §4.92(a)(1) does not constitute a ruling on the waiver request, unless expressly stated in the acceptance.</w:t>
      </w:r>
    </w:p>
    <w:p w:rsidR="005B546F" w:rsidRDefault="00792A02" w14:paraId="59FCC4D0" w14:textId="77777777">
      <w:pPr>
        <w:numPr>
          <w:ilvl w:val="0"/>
          <w:numId w:val="1"/>
        </w:numPr>
        <w:ind w:right="117"/>
      </w:pPr>
      <w:r>
        <w:t>The Commission will circulate a notice of application for exemption to interested agencies and I</w:t>
      </w:r>
      <w:r>
        <w:t xml:space="preserve">ndian tribes at the time the applicant is notified that the application is accepted for filing. </w:t>
      </w:r>
    </w:p>
    <w:p w:rsidR="005B546F" w:rsidRDefault="00792A02" w14:paraId="51173847" w14:textId="77777777">
      <w:pPr>
        <w:numPr>
          <w:ilvl w:val="0"/>
          <w:numId w:val="1"/>
        </w:numPr>
        <w:ind w:right="117"/>
      </w:pPr>
      <w:r>
        <w:t xml:space="preserve">In granting an exemption the Commission may prescribe terms or conditions in addition to those set forth in §4.94, in order to: </w:t>
      </w:r>
    </w:p>
    <w:p w:rsidR="005B546F" w:rsidRDefault="00792A02" w14:paraId="02D6EF09" w14:textId="77777777">
      <w:pPr>
        <w:numPr>
          <w:ilvl w:val="0"/>
          <w:numId w:val="2"/>
        </w:numPr>
        <w:ind w:right="117"/>
      </w:pPr>
      <w:r>
        <w:t xml:space="preserve">Protect the quality or quantity of the related water supply for agricultural, municipal, or industrial consumption; </w:t>
      </w:r>
    </w:p>
    <w:p w:rsidR="005B546F" w:rsidRDefault="00792A02" w14:paraId="0A9CEDAF" w14:textId="77777777">
      <w:pPr>
        <w:numPr>
          <w:ilvl w:val="0"/>
          <w:numId w:val="2"/>
        </w:numPr>
        <w:ind w:right="117"/>
      </w:pPr>
      <w:r>
        <w:t xml:space="preserve">Otherwise protect life, health, or property; </w:t>
      </w:r>
    </w:p>
    <w:p w:rsidR="005B546F" w:rsidRDefault="00792A02" w14:paraId="41571C02" w14:textId="77777777">
      <w:pPr>
        <w:numPr>
          <w:ilvl w:val="0"/>
          <w:numId w:val="2"/>
        </w:numPr>
        <w:ind w:right="117"/>
      </w:pPr>
      <w:r>
        <w:t xml:space="preserve">Avoid or mitigate adverse environmental impact; or </w:t>
      </w:r>
    </w:p>
    <w:p w:rsidR="005B546F" w:rsidRDefault="00792A02" w14:paraId="45DA437F" w14:textId="77777777">
      <w:pPr>
        <w:numPr>
          <w:ilvl w:val="0"/>
          <w:numId w:val="2"/>
        </w:numPr>
        <w:ind w:right="117"/>
      </w:pPr>
      <w:r>
        <w:t>Conserve, develop, or utilize in the publ</w:t>
      </w:r>
      <w:r>
        <w:t xml:space="preserve">ic interest the water power resources of the region. </w:t>
      </w:r>
    </w:p>
    <w:p w:rsidR="005B546F" w:rsidRDefault="00792A02" w14:paraId="615C3454" w14:textId="77777777">
      <w:pPr>
        <w:ind w:left="165" w:right="117"/>
      </w:pPr>
      <w:r>
        <w:t xml:space="preserve">(d) </w:t>
      </w:r>
      <w:r>
        <w:t>Conversion to license application.</w:t>
      </w:r>
      <w:r>
        <w:t xml:space="preserve"> (1) If an application for exemption under this subpart is denied by the Commission, the applicant may convert the exemption application into an application for lic</w:t>
      </w:r>
      <w:r>
        <w:t xml:space="preserve">ense for the hydroelectric project. </w:t>
      </w:r>
    </w:p>
    <w:p w:rsidR="005B546F" w:rsidRDefault="00792A02" w14:paraId="29506883" w14:textId="77777777">
      <w:pPr>
        <w:spacing w:after="11"/>
        <w:ind w:left="700" w:right="117" w:firstLine="0"/>
      </w:pPr>
      <w:r>
        <w:t xml:space="preserve">(2) The applicant must provide the Commission with written notification, within </w:t>
      </w:r>
    </w:p>
    <w:p w:rsidR="005B546F" w:rsidRDefault="00792A02" w14:paraId="0CC635F2" w14:textId="77777777">
      <w:pPr>
        <w:spacing w:after="878"/>
        <w:ind w:left="165" w:right="117" w:firstLine="0"/>
      </w:pPr>
      <w:r>
        <w:t xml:space="preserve">30 days after the date of issuance of the order denying exemption, that it intends to </w:t>
      </w:r>
    </w:p>
    <w:p w:rsidR="005B546F" w:rsidRDefault="00792A02" w14:paraId="2B103BEA" w14:textId="77777777">
      <w:pPr>
        <w:spacing w:after="847" w:line="265" w:lineRule="auto"/>
        <w:ind w:left="-5" w:right="-15" w:hanging="10"/>
      </w:pPr>
      <w:r>
        <w:rPr>
          <w:sz w:val="24"/>
        </w:rPr>
        <w:lastRenderedPageBreak/>
        <w:t>https://www.ecfr.gov/cgi-bin/text-idx?SID=af806083b</w:t>
      </w:r>
      <w:r>
        <w:rPr>
          <w:sz w:val="24"/>
        </w:rPr>
        <w:t>65205d2aeaa18ae475d429a&amp;mc=tr...</w:t>
      </w:r>
      <w:r>
        <w:rPr>
          <w:sz w:val="24"/>
        </w:rPr>
        <w:tab/>
        <w:t>5/21/2021 Electronic Code of Federal Regulations (</w:t>
      </w:r>
      <w:proofErr w:type="spellStart"/>
      <w:r>
        <w:rPr>
          <w:sz w:val="24"/>
        </w:rPr>
        <w:t>eCFR</w:t>
      </w:r>
      <w:proofErr w:type="spellEnd"/>
      <w:r>
        <w:rPr>
          <w:sz w:val="24"/>
        </w:rPr>
        <w:t>)</w:t>
      </w:r>
      <w:r>
        <w:rPr>
          <w:sz w:val="24"/>
        </w:rPr>
        <w:tab/>
        <w:t>Page 2 of 2</w:t>
      </w:r>
    </w:p>
    <w:p w:rsidR="005B546F" w:rsidRDefault="00792A02" w14:paraId="28D73FEC" w14:textId="77777777">
      <w:pPr>
        <w:ind w:left="165" w:right="117" w:firstLine="0"/>
      </w:pPr>
      <w:r>
        <w:t>convert the exemption application into a license application. The applicant must submit to the Commission, no later than 90 days after the date of issuance</w:t>
      </w:r>
      <w:r>
        <w:t xml:space="preserve"> of the order denying exemption, additional information that is necessary to conform the exemption application to the relevant regulations for a license application. </w:t>
      </w:r>
    </w:p>
    <w:p w:rsidR="005B546F" w:rsidRDefault="00792A02" w14:paraId="64BC1840" w14:textId="77777777">
      <w:pPr>
        <w:ind w:left="165" w:right="117"/>
      </w:pPr>
      <w:r>
        <w:t>(3) If all the information timely submitted is found sufficient, together with the applic</w:t>
      </w:r>
      <w:r>
        <w:t xml:space="preserve">ation for exemption, to conform to the relevant regulations for a license application, the converted application will be considered </w:t>
      </w:r>
      <w:r>
        <w:t>accepted for filing</w:t>
      </w:r>
      <w:r>
        <w:t xml:space="preserve"> as of the date that the exemption application was accepted for filing.</w:t>
      </w:r>
    </w:p>
    <w:p w:rsidR="005B546F" w:rsidRDefault="00792A02" w14:paraId="1EFB2F16" w14:textId="77777777">
      <w:pPr>
        <w:spacing w:after="0" w:line="259" w:lineRule="auto"/>
        <w:ind w:left="175" w:hanging="10"/>
      </w:pPr>
      <w:r>
        <w:rPr>
          <w:sz w:val="24"/>
        </w:rPr>
        <w:t xml:space="preserve">[Order 76, 45 FR 28090, Apr. 28, </w:t>
      </w:r>
      <w:r>
        <w:rPr>
          <w:sz w:val="24"/>
        </w:rPr>
        <w:t xml:space="preserve">1980, as amended by Order 413, 50 FR 11687, Mar. 25, </w:t>
      </w:r>
    </w:p>
    <w:p w:rsidR="005B546F" w:rsidRDefault="00792A02" w14:paraId="254A1EAF" w14:textId="77777777">
      <w:pPr>
        <w:spacing w:after="0" w:line="259" w:lineRule="auto"/>
        <w:ind w:left="175" w:hanging="10"/>
      </w:pPr>
      <w:r>
        <w:rPr>
          <w:sz w:val="24"/>
        </w:rPr>
        <w:t xml:space="preserve">1985; Order 533, 56 FR 23153, May 20, 1991; Order 2002, 68 FR 51121, Aug. 25, 2003; </w:t>
      </w:r>
    </w:p>
    <w:p w:rsidR="005B546F" w:rsidRDefault="00792A02" w14:paraId="2787E230" w14:textId="77777777">
      <w:pPr>
        <w:spacing w:after="9934" w:line="567" w:lineRule="auto"/>
        <w:ind w:left="175" w:right="5327" w:hanging="10"/>
      </w:pPr>
      <w:r>
        <w:rPr>
          <w:sz w:val="24"/>
        </w:rPr>
        <w:t xml:space="preserve">Order 800, 79 FR 59110, Oct. 1, 2014] </w:t>
      </w:r>
      <w:r>
        <w:rPr>
          <w:color w:val="3E71AE"/>
          <w:sz w:val="19"/>
        </w:rPr>
        <w:t>Need assistance?</w:t>
      </w:r>
    </w:p>
    <w:p w:rsidR="005B546F" w:rsidRDefault="00792A02" w14:paraId="22FD1146" w14:textId="77777777">
      <w:pPr>
        <w:tabs>
          <w:tab w:val="right" w:pos="10080"/>
        </w:tabs>
        <w:spacing w:after="5" w:line="265" w:lineRule="auto"/>
        <w:ind w:left="-15" w:right="-15" w:firstLine="0"/>
      </w:pPr>
      <w:r>
        <w:rPr>
          <w:sz w:val="24"/>
        </w:rPr>
        <w:lastRenderedPageBreak/>
        <w:t>https://www.ecfr.gov/cgi-bin/text-</w:t>
      </w:r>
      <w:r>
        <w:rPr>
          <w:sz w:val="24"/>
        </w:rPr>
        <w:t>idx?SID=af806083b65205d2aeaa18ae475d429a&amp;mc=tr...</w:t>
      </w:r>
      <w:r>
        <w:rPr>
          <w:sz w:val="24"/>
        </w:rPr>
        <w:tab/>
        <w:t>5/21/2021</w:t>
      </w:r>
    </w:p>
    <w:sectPr w:rsidR="005B546F">
      <w:pgSz w:w="12240" w:h="15840"/>
      <w:pgMar w:top="47" w:right="1080" w:bottom="1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80394"/>
    <w:multiLevelType w:val="hybridMultilevel"/>
    <w:tmpl w:val="F20EB8C2"/>
    <w:lvl w:ilvl="0" w:tplc="70B09552">
      <w:start w:val="1"/>
      <w:numFmt w:val="lowerLetter"/>
      <w:lvlText w:val="(%1)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B8E5BDC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006F972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4321640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C0638B6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A4E6650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5A0CB02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2D8F424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E5C1DA8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C01ABA"/>
    <w:multiLevelType w:val="hybridMultilevel"/>
    <w:tmpl w:val="2576AC02"/>
    <w:lvl w:ilvl="0" w:tplc="5484DC1A">
      <w:start w:val="1"/>
      <w:numFmt w:val="decimal"/>
      <w:lvlText w:val="(%1)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A54F4B2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1D8CDF8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266FC46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F1C2422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DF6A48C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9C6E162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110EECC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5C68A36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46F"/>
    <w:rsid w:val="005B546F"/>
    <w:rsid w:val="0079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EAF25"/>
  <w15:docId w15:val="{614CF85F-B4E4-41C7-8853-68481CC2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7" w:line="249" w:lineRule="auto"/>
      <w:ind w:left="180" w:firstLine="51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EAC7F601CD76438313764BE493CC4F" ma:contentTypeVersion="6" ma:contentTypeDescription="Create a new document." ma:contentTypeScope="" ma:versionID="f517e9b7ca6c7492c414f7d5fcac3330">
  <xsd:schema xmlns:xsd="http://www.w3.org/2001/XMLSchema" xmlns:xs="http://www.w3.org/2001/XMLSchema" xmlns:p="http://schemas.microsoft.com/office/2006/metadata/properties" xmlns:ns3="087c83cf-0993-4cd6-bfdc-b1c6ea4d56ce" targetNamespace="http://schemas.microsoft.com/office/2006/metadata/properties" ma:root="true" ma:fieldsID="8a2ac875463418fbe98dc29aeb6316f8" ns3:_="">
    <xsd:import namespace="087c83cf-0993-4cd6-bfdc-b1c6ea4d56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c83cf-0993-4cd6-bfdc-b1c6ea4d56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B77FEE-2873-4B7E-BE55-3F16F8A24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c83cf-0993-4cd6-bfdc-b1c6ea4d56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542A9D-509C-4B80-9D2A-3EAF1AFDA0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552645-FEEF-4B8B-B87A-440D5E497DBF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087c83cf-0993-4cd6-bfdc-b1c6ea4d56c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2571</Characters>
  <Application>Microsoft Office Word</Application>
  <DocSecurity>0</DocSecurity>
  <Lines>21</Lines>
  <Paragraphs>6</Paragraphs>
  <ScaleCrop>false</ScaleCrop>
  <Company>Federal Energy Regulatory Commission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https://www.ecfr.gov/cgi-bin/text-idx?SID=af806083b65205d2aeaa1</dc:title>
  <dc:subject/>
  <dc:creator>jnsed34</dc:creator>
  <cp:keywords/>
  <cp:lastModifiedBy>Jean Sonneman</cp:lastModifiedBy>
  <cp:revision>2</cp:revision>
  <dcterms:created xsi:type="dcterms:W3CDTF">2021-05-21T16:12:00Z</dcterms:created>
  <dcterms:modified xsi:type="dcterms:W3CDTF">2021-05-21T16:12:00Z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0x0101003EEAC7F601CD76438313764BE493CC4F</vt:lpwstr>
  </property>
</Properties>
</file>