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5A" w:rsidRDefault="0093374B" w14:paraId="2C373DFB" w14:textId="77777777">
      <w:pPr>
        <w:tabs>
          <w:tab w:val="right" w:pos="10080"/>
        </w:tabs>
        <w:spacing w:after="1026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53485A" w:rsidRDefault="0093374B" w14:paraId="5E5189C4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53485A" w:rsidRDefault="0093374B" w14:paraId="791F1E42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19, 2021</w:t>
      </w:r>
    </w:p>
    <w:p w:rsidR="0053485A" w:rsidRDefault="0093374B" w14:paraId="39D8C60F" w14:textId="77777777">
      <w:pPr>
        <w:spacing w:after="500" w:line="249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4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Subpart N</w:t>
      </w:r>
      <w:r>
        <w:rPr>
          <w:rFonts w:ascii="Times New Roman" w:hAnsi="Times New Roman" w:eastAsia="Times New Roman" w:cs="Times New Roman"/>
          <w:sz w:val="26"/>
        </w:rPr>
        <w:t xml:space="preserve"> → §4.400</w:t>
      </w:r>
    </w:p>
    <w:p w:rsidR="0053485A" w:rsidRDefault="0093374B" w14:paraId="4C32FF7F" w14:textId="77777777">
      <w:pPr>
        <w:spacing w:after="11" w:line="249" w:lineRule="auto"/>
        <w:ind w:left="175" w:hanging="10"/>
      </w:pPr>
      <w:r>
        <w:rPr>
          <w:rFonts w:ascii="Times New Roman" w:hAnsi="Times New Roman" w:eastAsia="Times New Roman" w:cs="Times New Roman"/>
          <w:sz w:val="26"/>
        </w:rPr>
        <w:t>Title 18: Con</w:t>
      </w:r>
      <w:bookmarkStart w:name="_GoBack" w:id="0"/>
      <w:bookmarkEnd w:id="0"/>
      <w:r>
        <w:rPr>
          <w:rFonts w:ascii="Times New Roman" w:hAnsi="Times New Roman" w:eastAsia="Times New Roman" w:cs="Times New Roman"/>
          <w:sz w:val="26"/>
        </w:rPr>
        <w:t xml:space="preserve">servation of Power and Water Resources </w:t>
      </w:r>
    </w:p>
    <w:p w:rsidR="0053485A" w:rsidRDefault="0093374B" w14:paraId="5B808101" w14:textId="77777777">
      <w:pPr>
        <w:spacing w:after="0" w:line="249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PART 4—LICENSES, PERMITS, EXEMPTIONS, AND DETERMINATION OF PROJECT COSTS </w:t>
      </w:r>
    </w:p>
    <w:p w:rsidR="0053485A" w:rsidRDefault="0093374B" w14:paraId="6BE1E358" w14:textId="77777777">
      <w:pPr>
        <w:spacing w:after="0" w:line="249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Subpart N—Notice of Intent To Construct Qualifying Conduit Hydropower Facilities</w:t>
      </w:r>
    </w:p>
    <w:p w:rsidR="0053485A" w:rsidRDefault="0093374B" w14:paraId="53DB9AF5" w14:textId="77777777">
      <w:pPr>
        <w:spacing w:after="246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5A905D8D" wp14:editId="6F61C183">
                <wp:extent cx="6172200" cy="19050"/>
                <wp:effectExtent l="0" t="0" r="0" b="0"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53485A" w:rsidRDefault="0093374B" w14:paraId="2AD489BD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§4.400   Applicability and purpose.</w:t>
      </w:r>
    </w:p>
    <w:p w:rsidR="0053485A" w:rsidRDefault="0093374B" w14:paraId="36B4DE3E" w14:textId="77777777">
      <w:pPr>
        <w:spacing w:after="230" w:line="249" w:lineRule="auto"/>
        <w:ind w:left="165" w:firstLine="520"/>
      </w:pPr>
      <w:r>
        <w:rPr>
          <w:rFonts w:ascii="Times New Roman" w:hAnsi="Times New Roman" w:eastAsia="Times New Roman" w:cs="Times New Roman"/>
          <w:sz w:val="26"/>
        </w:rPr>
        <w:t xml:space="preserve">This part </w:t>
      </w:r>
      <w:r>
        <w:rPr>
          <w:rFonts w:ascii="Times New Roman" w:hAnsi="Times New Roman" w:eastAsia="Times New Roman" w:cs="Times New Roman"/>
          <w:sz w:val="26"/>
        </w:rPr>
        <w:t xml:space="preserve">implements section 30(a) of the Federal Power Act, as amended, and provides procedures for obtaining a determination from the Commission that the facility to be constructed is a qualifying conduit hydropower facility, as defined in §4.30(b)(26), and thus, </w:t>
      </w:r>
      <w:r>
        <w:rPr>
          <w:rFonts w:ascii="Times New Roman" w:hAnsi="Times New Roman" w:eastAsia="Times New Roman" w:cs="Times New Roman"/>
          <w:sz w:val="26"/>
        </w:rPr>
        <w:t>is not required to be licensed under Part I of the FPA.</w:t>
      </w:r>
    </w:p>
    <w:p w:rsidR="0053485A" w:rsidRDefault="0093374B" w14:paraId="53BECE68" w14:textId="77777777">
      <w:pPr>
        <w:spacing w:after="0"/>
        <w:ind w:left="175" w:hanging="10"/>
      </w:pPr>
      <w:r>
        <w:rPr>
          <w:rFonts w:ascii="Times New Roman" w:hAnsi="Times New Roman" w:eastAsia="Times New Roman" w:cs="Times New Roman"/>
          <w:sz w:val="24"/>
        </w:rPr>
        <w:t xml:space="preserve">[Order 800, 79 FR 59111, Oct. 1, 2014, as amended by Order 857, 84 FR 7991, Mar. 6, </w:t>
      </w:r>
    </w:p>
    <w:p w:rsidR="0053485A" w:rsidRDefault="0093374B" w14:paraId="5A015C79" w14:textId="77777777">
      <w:pPr>
        <w:spacing w:after="234"/>
        <w:ind w:left="175" w:hanging="10"/>
      </w:pPr>
      <w:r>
        <w:rPr>
          <w:rFonts w:ascii="Times New Roman" w:hAnsi="Times New Roman" w:eastAsia="Times New Roman" w:cs="Times New Roman"/>
          <w:sz w:val="24"/>
        </w:rPr>
        <w:t>2019]</w:t>
      </w:r>
    </w:p>
    <w:p w:rsidR="0053485A" w:rsidRDefault="0093374B" w14:paraId="01456EFE" w14:textId="77777777">
      <w:pPr>
        <w:spacing w:after="7057"/>
        <w:ind w:left="180"/>
      </w:pP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53485A" w:rsidRDefault="0093374B" w14:paraId="5FBFC25D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https://www.ecfr.gov/cgi-bin/text-</w:t>
      </w:r>
      <w:r>
        <w:rPr>
          <w:rFonts w:ascii="Times New Roman" w:hAnsi="Times New Roman" w:eastAsia="Times New Roman" w:cs="Times New Roman"/>
          <w:sz w:val="24"/>
        </w:rPr>
        <w:t>idx?SID=f3cbb732c40f317393e72490c4db8308&amp;mc=tr...</w:t>
      </w:r>
      <w:r>
        <w:rPr>
          <w:rFonts w:ascii="Times New Roman" w:hAnsi="Times New Roman" w:eastAsia="Times New Roman" w:cs="Times New Roman"/>
          <w:sz w:val="24"/>
        </w:rPr>
        <w:tab/>
        <w:t>5/21/2021</w:t>
      </w:r>
    </w:p>
    <w:sectPr w:rsidR="0053485A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5A"/>
    <w:rsid w:val="0053485A"/>
    <w:rsid w:val="0093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3D27"/>
  <w15:docId w15:val="{C9F53404-E2F9-4ED9-8AC9-21B2C83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1ACFE-7B18-4314-B48E-9C1B15A4B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494B7-58C4-4215-992E-DBCB48811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21D38-AD9B-4EE0-9DC9-4C1E4882595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87c83cf-0993-4cd6-bfdc-b1c6ea4d56c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Federal Energy Regulatory Commission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https://www.ecfr.gov/cgi-bin/text-idx?SID=f3cbb732c40f317393e72</dc:title>
  <dc:subject/>
  <dc:creator>jnsed34</dc:creator>
  <cp:keywords/>
  <cp:lastModifiedBy>Jean Sonneman</cp:lastModifiedBy>
  <cp:revision>2</cp:revision>
  <dcterms:created xsi:type="dcterms:W3CDTF">2021-05-21T16:48:00Z</dcterms:created>
  <dcterms:modified xsi:type="dcterms:W3CDTF">2021-05-21T16:48:00Z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