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05F" w:rsidRDefault="007444C0" w14:paraId="150C5368" w14:textId="77777777">
      <w:pPr>
        <w:tabs>
          <w:tab w:val="right" w:pos="10080"/>
        </w:tabs>
        <w:spacing w:after="1026" w:line="265" w:lineRule="auto"/>
        <w:ind w:left="-15" w:right="-15" w:firstLine="0"/>
      </w:pPr>
      <w:r>
        <w:rPr>
          <w:sz w:val="24"/>
        </w:rPr>
        <w:t>Electronic Code of Federal Regulations (</w:t>
      </w:r>
      <w:proofErr w:type="spellStart"/>
      <w:r>
        <w:rPr>
          <w:sz w:val="24"/>
        </w:rPr>
        <w:t>eCFR</w:t>
      </w:r>
      <w:proofErr w:type="spellEnd"/>
      <w:r>
        <w:rPr>
          <w:sz w:val="24"/>
        </w:rPr>
        <w:t>)</w:t>
      </w:r>
      <w:r>
        <w:rPr>
          <w:sz w:val="24"/>
        </w:rPr>
        <w:tab/>
        <w:t>Page 1 of 2</w:t>
      </w:r>
    </w:p>
    <w:p w:rsidR="00A3305F" w:rsidRDefault="007444C0" w14:paraId="14E867B8" w14:textId="77777777">
      <w:pPr>
        <w:spacing w:after="337" w:line="259" w:lineRule="auto"/>
        <w:ind w:right="0" w:firstLine="0"/>
      </w:pPr>
      <w:r>
        <w:rPr>
          <w:color w:val="575757"/>
          <w:sz w:val="32"/>
        </w:rPr>
        <w:t>ELECTRONIC CODE OF FEDERAL REGULATIONS</w:t>
      </w:r>
    </w:p>
    <w:p w:rsidR="00A3305F" w:rsidRDefault="007444C0" w14:paraId="32DFB465" w14:textId="77777777">
      <w:pPr>
        <w:spacing w:after="523" w:line="259" w:lineRule="auto"/>
        <w:ind w:left="1197" w:right="0" w:firstLine="0"/>
      </w:pPr>
      <w:r>
        <w:rPr>
          <w:color w:val="FF0000"/>
          <w:sz w:val="32"/>
        </w:rPr>
        <w:t>e-CFR data is current as of May 19, 2021</w:t>
      </w:r>
    </w:p>
    <w:p w:rsidR="00A3305F" w:rsidRDefault="007444C0" w14:paraId="4B184328" w14:textId="77777777">
      <w:pPr>
        <w:spacing w:after="488" w:line="259" w:lineRule="auto"/>
        <w:ind w:left="225" w:right="0" w:firstLine="0"/>
      </w:pPr>
      <w:bookmarkStart w:name="_GoBack" w:id="0"/>
      <w:r>
        <w:rPr>
          <w:color w:val="3E71AE"/>
        </w:rPr>
        <w:t>Title 18</w:t>
      </w:r>
      <w:r>
        <w:t xml:space="preserve"> → </w:t>
      </w:r>
      <w:r>
        <w:rPr>
          <w:color w:val="3E71AE"/>
        </w:rPr>
        <w:t>Chapter I</w:t>
      </w:r>
      <w:r>
        <w:t xml:space="preserve"> → </w:t>
      </w:r>
      <w:r>
        <w:rPr>
          <w:color w:val="3E71AE"/>
        </w:rPr>
        <w:t>Subchapter B</w:t>
      </w:r>
      <w:r>
        <w:t xml:space="preserve"> → </w:t>
      </w:r>
      <w:r>
        <w:rPr>
          <w:color w:val="3E71AE"/>
        </w:rPr>
        <w:t>Part 5</w:t>
      </w:r>
      <w:r>
        <w:t xml:space="preserve"> → §5.16</w:t>
      </w:r>
    </w:p>
    <w:p w:rsidR="00A3305F" w:rsidRDefault="007444C0" w14:paraId="7CD545C5" w14:textId="77777777">
      <w:pPr>
        <w:spacing w:after="0"/>
        <w:ind w:left="165" w:firstLine="0"/>
      </w:pPr>
      <w:r>
        <w:t xml:space="preserve">Title 18: Conservation of Power and Water Resources </w:t>
      </w:r>
      <w:r>
        <w:rPr>
          <w:color w:val="3E71AE"/>
        </w:rPr>
        <w:t>PART 5—INTEGRATED LICENSE APPLICATION PROCESS</w:t>
      </w:r>
    </w:p>
    <w:p w:rsidR="00A3305F" w:rsidRDefault="007444C0" w14:paraId="1CE29A85" w14:textId="77777777">
      <w:pPr>
        <w:spacing w:after="248" w:line="259" w:lineRule="auto"/>
        <w:ind w:right="0" w:firstLine="0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2250EA0C" wp14:editId="152FA0C9">
                <wp:extent cx="6172200" cy="19050"/>
                <wp:effectExtent l="0" t="0" r="0" b="0"/>
                <wp:docPr id="1178" name="Group 1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19050"/>
                          <a:chOff x="0" y="0"/>
                          <a:chExt cx="6172200" cy="190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  <a:lnTo>
                                  <a:pt x="61626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6172200" y="0"/>
                                </a:moveTo>
                                <a:lnTo>
                                  <a:pt x="6172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6162675" y="9525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8" style="width:486pt;height:1.5pt;mso-position-horizontal-relative:char;mso-position-vertical-relative:line" coordsize="61722,190">
                <v:shape id="Shape 10" style="position:absolute;width:61722;height:190;left:0;top:0;" coordsize="6172200,19050" path="m0,0l6172200,0l6162675,9525l9525,9525l0,19050l0,0x">
                  <v:stroke on="false" weight="0pt" color="#000000" opacity="0" miterlimit="10" joinstyle="miter" endcap="flat"/>
                  <v:fill on="true" color="#696969"/>
                </v:shape>
                <v:shape id="Shape 11" style="position:absolute;width:61722;height:190;left:0;top:0;" coordsize="6172200,19050" path="m6172200,0l6172200,19050l0,19050l9525,9525l6162675,9525l6172200,0x">
                  <v:stroke on="false" weight="0pt" color="#000000" opacity="0" miterlimit="10" joinstyle="miter" endcap="flat"/>
                  <v:fill on="true" color="#f0f0f0"/>
                </v:shape>
              </v:group>
            </w:pict>
          </mc:Fallback>
        </mc:AlternateContent>
      </w:r>
    </w:p>
    <w:p w:rsidR="00A3305F" w:rsidRDefault="007444C0" w14:paraId="3C4E8ED9" w14:textId="77777777">
      <w:pPr>
        <w:spacing w:after="234" w:line="259" w:lineRule="auto"/>
        <w:ind w:right="0" w:firstLine="0"/>
      </w:pPr>
      <w:r>
        <w:t xml:space="preserve">§5.16   Preliminary </w:t>
      </w:r>
      <w:bookmarkEnd w:id="0"/>
      <w:r>
        <w:t>licensing proposal.</w:t>
      </w:r>
    </w:p>
    <w:p w:rsidR="00A3305F" w:rsidRDefault="007444C0" w14:paraId="2CCAECF4" w14:textId="77777777">
      <w:pPr>
        <w:numPr>
          <w:ilvl w:val="0"/>
          <w:numId w:val="1"/>
        </w:numPr>
        <w:ind w:right="175"/>
      </w:pPr>
      <w:r>
        <w:t xml:space="preserve">No later than 150 days prior to the deadline for filing a new or subsequent license application, if applicable, the </w:t>
      </w:r>
      <w:r>
        <w:t>potential applicant must file for comment a preliminary licensing proposal.</w:t>
      </w:r>
    </w:p>
    <w:p w:rsidR="00A3305F" w:rsidRDefault="007444C0" w14:paraId="7FF12979" w14:textId="77777777">
      <w:pPr>
        <w:numPr>
          <w:ilvl w:val="0"/>
          <w:numId w:val="1"/>
        </w:numPr>
        <w:ind w:right="175"/>
      </w:pPr>
      <w:r>
        <w:t>The preliminary licensing proposal must:</w:t>
      </w:r>
    </w:p>
    <w:p w:rsidR="00A3305F" w:rsidRDefault="007444C0" w14:paraId="61D1092E" w14:textId="77777777">
      <w:pPr>
        <w:numPr>
          <w:ilvl w:val="0"/>
          <w:numId w:val="2"/>
        </w:numPr>
        <w:ind w:right="175"/>
      </w:pPr>
      <w:r>
        <w:t>Clearly describe, as applicable, the existing and proposed project facilities, including project lands and waters;</w:t>
      </w:r>
    </w:p>
    <w:p w:rsidR="00A3305F" w:rsidRDefault="007444C0" w14:paraId="2B5A1E3A" w14:textId="77777777">
      <w:pPr>
        <w:numPr>
          <w:ilvl w:val="0"/>
          <w:numId w:val="2"/>
        </w:numPr>
        <w:ind w:right="175"/>
      </w:pPr>
      <w:r>
        <w:t>Clearly describe, as app</w:t>
      </w:r>
      <w:r>
        <w:t>licable, the existing and proposed project operation and maintenance plan, to include measures for protection, mitigation, and enhancement measures with respect to each resource affected by the project proposal; and</w:t>
      </w:r>
    </w:p>
    <w:p w:rsidR="00A3305F" w:rsidRDefault="007444C0" w14:paraId="3B465BDB" w14:textId="77777777">
      <w:pPr>
        <w:numPr>
          <w:ilvl w:val="0"/>
          <w:numId w:val="2"/>
        </w:numPr>
        <w:spacing w:after="260" w:line="238" w:lineRule="auto"/>
        <w:ind w:right="175"/>
      </w:pPr>
      <w:r>
        <w:t xml:space="preserve">Include the potential applicant's draft </w:t>
      </w:r>
      <w:r>
        <w:t>environmental analysis by resource area of the continuing and incremental impacts, if any, of its preliminary licensing proposal, including the results of its studies conducted under the approved study plan.</w:t>
      </w:r>
    </w:p>
    <w:p w:rsidR="00A3305F" w:rsidRDefault="007444C0" w14:paraId="153EB0A9" w14:textId="77777777">
      <w:pPr>
        <w:numPr>
          <w:ilvl w:val="0"/>
          <w:numId w:val="3"/>
        </w:numPr>
        <w:ind w:right="175"/>
      </w:pPr>
      <w:r>
        <w:t xml:space="preserve">A potential applicant may elect to file a draft license application which includes the contents of a license application required by §5.18 instead of the Preliminary Licensing Proposal. A potential applicant that elects to file a draft license application </w:t>
      </w:r>
      <w:r>
        <w:t>must include notice of its intent to do so in the updated study report required by §5.15(f).</w:t>
      </w:r>
    </w:p>
    <w:p w:rsidR="00A3305F" w:rsidRDefault="007444C0" w14:paraId="210BFD8B" w14:textId="77777777">
      <w:pPr>
        <w:numPr>
          <w:ilvl w:val="0"/>
          <w:numId w:val="3"/>
        </w:numPr>
        <w:ind w:right="175"/>
      </w:pPr>
      <w:r>
        <w:t xml:space="preserve">A potential applicant that has been designated as the Commission's </w:t>
      </w:r>
      <w:proofErr w:type="spellStart"/>
      <w:r>
        <w:t>nonFederal</w:t>
      </w:r>
      <w:proofErr w:type="spellEnd"/>
      <w:r>
        <w:t xml:space="preserve"> representative may include a draft Biological Assessment, draft Essential Fish Habita</w:t>
      </w:r>
      <w:r>
        <w:t>t Assessment, and draft Historic Properties Management Plan with its Preliminary Licensing Proposal or draft license application.</w:t>
      </w:r>
    </w:p>
    <w:p w:rsidR="00A3305F" w:rsidRDefault="007444C0" w14:paraId="640A6F2C" w14:textId="77777777">
      <w:pPr>
        <w:numPr>
          <w:ilvl w:val="0"/>
          <w:numId w:val="3"/>
        </w:numPr>
        <w:spacing w:after="11"/>
        <w:ind w:right="175"/>
      </w:pPr>
      <w:r>
        <w:t xml:space="preserve">Within 90 days of the date the potential applicant files the Preliminary </w:t>
      </w:r>
    </w:p>
    <w:p w:rsidR="00A3305F" w:rsidRDefault="007444C0" w14:paraId="7F57D53B" w14:textId="77777777">
      <w:pPr>
        <w:spacing w:after="839"/>
        <w:ind w:left="165" w:right="175" w:firstLine="0"/>
      </w:pPr>
      <w:r>
        <w:t>Licensing Proposal or draft license application, par</w:t>
      </w:r>
      <w:r>
        <w:t xml:space="preserve">ticipants and the Commission </w:t>
      </w:r>
    </w:p>
    <w:p w:rsidR="00A3305F" w:rsidRDefault="007444C0" w14:paraId="679C2800" w14:textId="77777777">
      <w:pPr>
        <w:spacing w:after="847" w:line="265" w:lineRule="auto"/>
        <w:ind w:left="-5" w:right="-15" w:hanging="10"/>
      </w:pPr>
      <w:r>
        <w:rPr>
          <w:sz w:val="24"/>
        </w:rPr>
        <w:t>https://www.ecfr.gov/cgi-bin/text-idx?SID=234c8133442ad847ec19497e03e08c18&amp;mc=tr...</w:t>
      </w:r>
      <w:r>
        <w:rPr>
          <w:sz w:val="24"/>
        </w:rPr>
        <w:tab/>
        <w:t>5/21/2021 Electronic Code of Federal Regulations (</w:t>
      </w:r>
      <w:proofErr w:type="spellStart"/>
      <w:r>
        <w:rPr>
          <w:sz w:val="24"/>
        </w:rPr>
        <w:t>eCFR</w:t>
      </w:r>
      <w:proofErr w:type="spellEnd"/>
      <w:r>
        <w:rPr>
          <w:sz w:val="24"/>
        </w:rPr>
        <w:t>)</w:t>
      </w:r>
      <w:r>
        <w:rPr>
          <w:sz w:val="24"/>
        </w:rPr>
        <w:tab/>
        <w:t>Page 2 of 2</w:t>
      </w:r>
    </w:p>
    <w:p w:rsidR="00A3305F" w:rsidRDefault="007444C0" w14:paraId="6CB773AB" w14:textId="77777777">
      <w:pPr>
        <w:ind w:left="165" w:right="175" w:firstLine="0"/>
      </w:pPr>
      <w:r>
        <w:lastRenderedPageBreak/>
        <w:t>staff may file comments on the Preliminary Licensing Proposal or draft app</w:t>
      </w:r>
      <w:r>
        <w:t>lication, which may include recommendations on whether the Commission should prepare an Environmental Assessment (with or without a draft Environmental Assessment) or an Environmental Impact Statement. Any participant whose comments request new information</w:t>
      </w:r>
      <w:r>
        <w:t>, studies, or other amendments to the approved study plan must include a demonstration of extraordinary circumstances, pursuant to the requirements of §5.15(f).</w:t>
      </w:r>
    </w:p>
    <w:p w:rsidR="00A3305F" w:rsidRDefault="007444C0" w14:paraId="54DD67FF" w14:textId="77777777">
      <w:pPr>
        <w:numPr>
          <w:ilvl w:val="0"/>
          <w:numId w:val="3"/>
        </w:numPr>
        <w:ind w:right="175"/>
      </w:pPr>
      <w:r>
        <w:t>A waiver of the requirement to file the Preliminary Licensing Proposal or draft license applica</w:t>
      </w:r>
      <w:r>
        <w:t>tion may be requested, based on a consensus of the participants in favor of such waiver.</w:t>
      </w:r>
    </w:p>
    <w:p w:rsidR="00A3305F" w:rsidRDefault="007444C0" w14:paraId="4CEB8BA9" w14:textId="77777777">
      <w:pPr>
        <w:spacing w:after="10694" w:line="259" w:lineRule="auto"/>
        <w:ind w:right="0" w:firstLine="0"/>
      </w:pPr>
      <w:r>
        <w:rPr>
          <w:color w:val="3E71AE"/>
          <w:sz w:val="19"/>
        </w:rPr>
        <w:t>Need assistance?</w:t>
      </w:r>
    </w:p>
    <w:p w:rsidR="00A3305F" w:rsidRDefault="007444C0" w14:paraId="0359AD10" w14:textId="77777777">
      <w:pPr>
        <w:tabs>
          <w:tab w:val="right" w:pos="10080"/>
        </w:tabs>
        <w:spacing w:after="5" w:line="265" w:lineRule="auto"/>
        <w:ind w:left="-15" w:right="-15" w:firstLine="0"/>
      </w:pPr>
      <w:r>
        <w:rPr>
          <w:sz w:val="24"/>
        </w:rPr>
        <w:t>https://www.ecfr.gov/cgi-bin/text-idx?SID=234c8133442ad847ec19497e03e08c18&amp;mc=tr...</w:t>
      </w:r>
      <w:r>
        <w:rPr>
          <w:sz w:val="24"/>
        </w:rPr>
        <w:tab/>
        <w:t>5/21/2021</w:t>
      </w:r>
    </w:p>
    <w:sectPr w:rsidR="00A3305F">
      <w:pgSz w:w="12240" w:h="15840"/>
      <w:pgMar w:top="47" w:right="1080" w:bottom="1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E72DE"/>
    <w:multiLevelType w:val="hybridMultilevel"/>
    <w:tmpl w:val="F8EC2446"/>
    <w:lvl w:ilvl="0" w:tplc="E1F882CE">
      <w:start w:val="3"/>
      <w:numFmt w:val="lowerLetter"/>
      <w:lvlText w:val="(%1)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58DB14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4E60A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2A8DDA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603962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2D2B9E6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AA2B440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B6C5152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FC07EE6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7A5A84"/>
    <w:multiLevelType w:val="hybridMultilevel"/>
    <w:tmpl w:val="60B09D20"/>
    <w:lvl w:ilvl="0" w:tplc="56DA6218">
      <w:start w:val="1"/>
      <w:numFmt w:val="decimal"/>
      <w:lvlText w:val="(%1)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99E3914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763508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7A3EB6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42F66E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096D176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100288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4A4774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FA4AE4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AA44C5"/>
    <w:multiLevelType w:val="hybridMultilevel"/>
    <w:tmpl w:val="EDF6B32A"/>
    <w:lvl w:ilvl="0" w:tplc="F1FC14B4">
      <w:start w:val="1"/>
      <w:numFmt w:val="lowerLetter"/>
      <w:lvlText w:val="(%1)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2E01C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F3C6A9C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60AD9C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5FEB02E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64968C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56842A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0EF176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F031C8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5F"/>
    <w:rsid w:val="007444C0"/>
    <w:rsid w:val="00A3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50BD"/>
  <w15:docId w15:val="{7511CABC-3A2E-4095-A215-CE77BA96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7" w:line="249" w:lineRule="auto"/>
      <w:ind w:left="180" w:right="2735" w:firstLine="5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C7F601CD76438313764BE493CC4F" ma:contentTypeVersion="6" ma:contentTypeDescription="Create a new document." ma:contentTypeScope="" ma:versionID="f517e9b7ca6c7492c414f7d5fcac3330">
  <xsd:schema xmlns:xsd="http://www.w3.org/2001/XMLSchema" xmlns:xs="http://www.w3.org/2001/XMLSchema" xmlns:p="http://schemas.microsoft.com/office/2006/metadata/properties" xmlns:ns3="087c83cf-0993-4cd6-bfdc-b1c6ea4d56ce" targetNamespace="http://schemas.microsoft.com/office/2006/metadata/properties" ma:root="true" ma:fieldsID="8a2ac875463418fbe98dc29aeb6316f8" ns3:_="">
    <xsd:import namespace="087c83cf-0993-4cd6-bfdc-b1c6ea4d56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83cf-0993-4cd6-bfdc-b1c6ea4d5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2761BC-8B30-4DAE-A4DE-C538C9C0A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c83cf-0993-4cd6-bfdc-b1c6ea4d5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8B8210-3506-4AD9-9BE5-C419D4BC5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BE778-18E6-435C-B2AA-E18EED26F0A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087c83cf-0993-4cd6-bfdc-b1c6ea4d56c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Company>Federal Energy Regulatory Commission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https://www.ecfr.gov/cgi-bin/text-idx?SID=234c8133442ad847ec194</dc:title>
  <dc:subject/>
  <dc:creator>jnsed34</dc:creator>
  <cp:keywords/>
  <cp:lastModifiedBy>Jean Sonneman</cp:lastModifiedBy>
  <cp:revision>2</cp:revision>
  <dcterms:created xsi:type="dcterms:W3CDTF">2021-05-21T18:02:00Z</dcterms:created>
  <dcterms:modified xsi:type="dcterms:W3CDTF">2021-05-21T18:02:00Z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0x0101003EEAC7F601CD76438313764BE493CC4F</vt:lpwstr>
  </property>
</Properties>
</file>