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3F" w:rsidRDefault="007D7507" w14:paraId="01DC0809"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1</w:t>
      </w:r>
    </w:p>
    <w:p w:rsidR="00F2603F" w:rsidRDefault="007D7507" w14:paraId="712D0407" w14:textId="77777777">
      <w:pPr>
        <w:spacing w:after="337" w:line="259" w:lineRule="auto"/>
        <w:ind w:right="0" w:firstLine="0"/>
      </w:pPr>
      <w:r>
        <w:rPr>
          <w:color w:val="575757"/>
          <w:sz w:val="32"/>
        </w:rPr>
        <w:t>ELECTRONIC CODE OF FEDERAL REGULATIONS</w:t>
      </w:r>
    </w:p>
    <w:p w:rsidR="00F2603F" w:rsidRDefault="007D7507" w14:paraId="67007AAD" w14:textId="77777777">
      <w:pPr>
        <w:spacing w:after="523" w:line="259" w:lineRule="auto"/>
        <w:ind w:left="1197" w:right="0" w:firstLine="0"/>
      </w:pPr>
      <w:r>
        <w:rPr>
          <w:color w:val="FF0000"/>
          <w:sz w:val="32"/>
        </w:rPr>
        <w:t>e-CFR data is current as of May 19, 2021</w:t>
      </w:r>
    </w:p>
    <w:p w:rsidR="00F2603F" w:rsidRDefault="007D7507" w14:paraId="186F329D"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§5.27</w:t>
      </w:r>
    </w:p>
    <w:p w:rsidR="00F2603F" w:rsidRDefault="007D7507" w14:paraId="7CF57CDC" w14:textId="77777777">
      <w:pPr>
        <w:spacing w:after="0"/>
        <w:ind w:left="165" w:firstLine="0"/>
      </w:pPr>
      <w:r>
        <w:t xml:space="preserve">Title 18: Conservation of Power and Water Resources </w:t>
      </w:r>
      <w:r>
        <w:rPr>
          <w:color w:val="3E71AE"/>
        </w:rPr>
        <w:t>PART 5—INTEGRATED LICENSE APPLICATION PROCESS</w:t>
      </w:r>
    </w:p>
    <w:p w:rsidR="00F2603F" w:rsidRDefault="007D7507" w14:paraId="70C3FD3A" w14:textId="77777777">
      <w:pPr>
        <w:spacing w:after="248" w:line="259" w:lineRule="auto"/>
        <w:ind w:right="0" w:firstLine="0"/>
      </w:pPr>
      <w:r>
        <w:rPr>
          <w:rFonts w:ascii="Calibri" w:hAnsi="Calibri" w:eastAsia="Calibri" w:cs="Calibri"/>
          <w:noProof/>
          <w:sz w:val="22"/>
        </w:rPr>
        <mc:AlternateContent>
          <mc:Choice Requires="wpg">
            <w:drawing>
              <wp:inline distT="0" distB="0" distL="0" distR="0" wp14:anchorId="10AE343B" wp14:editId="06166F4A">
                <wp:extent cx="6172200" cy="19050"/>
                <wp:effectExtent l="0" t="0" r="0" b="0"/>
                <wp:docPr id="573" name="Group 57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7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F2603F" w:rsidRDefault="007D7507" w14:paraId="29D69D45" w14:textId="77777777">
      <w:pPr>
        <w:spacing w:after="234" w:line="259" w:lineRule="auto"/>
        <w:ind w:right="0" w:firstLine="0"/>
      </w:pPr>
      <w:r>
        <w:t>§5.27   Amendment of application.</w:t>
      </w:r>
    </w:p>
    <w:p w:rsidR="00F2603F" w:rsidRDefault="007D7507" w14:paraId="295C3C01" w14:textId="77777777">
      <w:pPr>
        <w:numPr>
          <w:ilvl w:val="0"/>
          <w:numId w:val="1"/>
        </w:numPr>
        <w:ind w:right="175"/>
      </w:pPr>
      <w:r>
        <w:t>Procedures.</w:t>
      </w:r>
      <w:r>
        <w:t xml:space="preserve"> If an Applicant files an amendment to its application that would materially change the project's proposed plan</w:t>
      </w:r>
      <w:r>
        <w:t>s of development, as provided in §4.35 of this chapter, an agency, Indian tribe, or member of the public may modify the recommendations or terms and conditions or prescriptions it previously submitted to the Commission pursuant to §§5.20-5.26. Such modifie</w:t>
      </w:r>
      <w:r>
        <w:t>d recommendations, terms and conditions, or prescriptions must be filed no later than the due date specified by the Commission for comments on the amendment.</w:t>
      </w:r>
    </w:p>
    <w:p w:rsidR="00F2603F" w:rsidRDefault="007D7507" w14:paraId="5276C755" w14:textId="77777777">
      <w:pPr>
        <w:numPr>
          <w:ilvl w:val="0"/>
          <w:numId w:val="1"/>
        </w:numPr>
        <w:ind w:right="175"/>
      </w:pPr>
      <w:r>
        <w:t>Date of acceptance.</w:t>
      </w:r>
      <w:r>
        <w:t xml:space="preserve"> The date of acceptance of an amendment of application for an original license </w:t>
      </w:r>
      <w:r>
        <w:t>filed under this part is governed by the provisions of §4.35 of this chapter.</w:t>
      </w:r>
    </w:p>
    <w:p w:rsidR="00F2603F" w:rsidRDefault="007D7507" w14:paraId="31C9E0F8" w14:textId="77777777">
      <w:pPr>
        <w:numPr>
          <w:ilvl w:val="0"/>
          <w:numId w:val="1"/>
        </w:numPr>
        <w:ind w:right="175"/>
      </w:pPr>
      <w:r>
        <w:t>New and subsequent licenses.</w:t>
      </w:r>
      <w:r>
        <w:t xml:space="preserve"> The requirements of §4.35 of this chapter do not apply to an application for a new or subsequent license, except that the Commission will reissue a p</w:t>
      </w:r>
      <w:r>
        <w:t>ublic notice of the application in accordance with the provisions of §4.32(d)(2) of this chapter if a material amendment, as that term is used in §4.35(f) of this chapter, is filed.</w:t>
      </w:r>
    </w:p>
    <w:p w:rsidR="00F2603F" w:rsidRDefault="007D7507" w14:paraId="28C862D0" w14:textId="77777777">
      <w:pPr>
        <w:numPr>
          <w:ilvl w:val="0"/>
          <w:numId w:val="1"/>
        </w:numPr>
        <w:ind w:right="175"/>
      </w:pPr>
      <w:r>
        <w:t>Deadline.</w:t>
      </w:r>
      <w:r>
        <w:t xml:space="preserve"> All amendments to an application for a new or subsequent license</w:t>
      </w:r>
      <w:r>
        <w:t>, including the final amendment, must be filed with the Commission and served on all competing applicants no later than the date specified in the notice issued under §5.22.</w:t>
      </w:r>
    </w:p>
    <w:p w:rsidR="00F2603F" w:rsidRDefault="007D7507" w14:paraId="2A837B70" w14:textId="77777777">
      <w:pPr>
        <w:spacing w:after="2377" w:line="567" w:lineRule="auto"/>
        <w:ind w:right="1846" w:firstLine="0"/>
      </w:pPr>
      <w:r>
        <w:rPr>
          <w:sz w:val="24"/>
        </w:rPr>
        <w:t xml:space="preserve">[Order 2002, 68 FR 51121, Aug. 25, 2003; 68 FR 61743, Oct. 30, 2003] </w:t>
      </w:r>
      <w:r>
        <w:rPr>
          <w:color w:val="3E71AE"/>
          <w:sz w:val="19"/>
        </w:rPr>
        <w:t>Need assistanc</w:t>
      </w:r>
      <w:r>
        <w:rPr>
          <w:color w:val="3E71AE"/>
          <w:sz w:val="19"/>
        </w:rPr>
        <w:t>e?</w:t>
      </w:r>
    </w:p>
    <w:p w:rsidR="00F2603F" w:rsidRDefault="007D7507" w14:paraId="1123422B" w14:textId="77777777">
      <w:pPr>
        <w:tabs>
          <w:tab w:val="right" w:pos="10080"/>
        </w:tabs>
        <w:spacing w:after="5" w:line="265" w:lineRule="auto"/>
        <w:ind w:left="-15" w:right="-15" w:firstLine="0"/>
      </w:pPr>
      <w:r>
        <w:rPr>
          <w:sz w:val="24"/>
        </w:rPr>
        <w:lastRenderedPageBreak/>
        <w:t>https://www.ecfr.gov/cgi-bin/text-idx?SID=95ceba638fa00800a192b2709a1062b9&amp;mc=tr...</w:t>
      </w:r>
      <w:r>
        <w:rPr>
          <w:sz w:val="24"/>
        </w:rPr>
        <w:tab/>
        <w:t>5/21/2021</w:t>
      </w:r>
    </w:p>
    <w:sectPr w:rsidR="00F2603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5DBB"/>
    <w:multiLevelType w:val="hybridMultilevel"/>
    <w:tmpl w:val="4D704F82"/>
    <w:lvl w:ilvl="0" w:tplc="B9D0EA3A">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56A31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9AA60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486DB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A028C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23C2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E6834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4437E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C658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3F"/>
    <w:rsid w:val="007D7507"/>
    <w:rsid w:val="00F2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FF2A"/>
  <w15:docId w15:val="{7B89B1E9-D6C6-4A9C-8AF8-5A0E31CE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38"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7D8BC-5BC6-49FC-BF68-2C7FCEED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36A96-A915-42AF-B4A1-225611AA31FB}">
  <ds:schemaRefs>
    <ds:schemaRef ds:uri="http://schemas.microsoft.com/sharepoint/v3/contenttype/forms"/>
  </ds:schemaRefs>
</ds:datastoreItem>
</file>

<file path=customXml/itemProps3.xml><?xml version="1.0" encoding="utf-8"?>
<ds:datastoreItem xmlns:ds="http://schemas.openxmlformats.org/officeDocument/2006/customXml" ds:itemID="{9E946589-E940-4235-B5FA-58202DBFBB5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Company>Federal Energy Regulatory Commission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https://www.ecfr.gov/cgi-bin/text-idx?SID=95ceba638fa00800a192b</dc:title>
  <dc:subject/>
  <dc:creator>jnsed34</dc:creator>
  <cp:keywords/>
  <cp:lastModifiedBy>Jean Sonneman</cp:lastModifiedBy>
  <cp:revision>2</cp:revision>
  <dcterms:created xsi:type="dcterms:W3CDTF">2021-05-21T18:49:00Z</dcterms:created>
  <dcterms:modified xsi:type="dcterms:W3CDTF">2021-05-21T18:49:00Z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