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26139BC4">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B1030F">
        <w:rPr>
          <w:szCs w:val="26"/>
        </w:rPr>
        <w:t>8</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3713F6B4">
      <w:pPr>
        <w:jc w:val="center"/>
        <w:rPr>
          <w:szCs w:val="26"/>
        </w:rPr>
      </w:pPr>
      <w:r w:rsidRPr="007219DE">
        <w:rPr>
          <w:szCs w:val="26"/>
        </w:rPr>
        <w:t>COMMISSION INFORMATION COLLECTION ACTIVITIES (FERC-</w:t>
      </w:r>
      <w:r w:rsidR="00B1030F">
        <w:rPr>
          <w:szCs w:val="26"/>
        </w:rPr>
        <w:t>512</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7E4A0C" w:rsidP="0042066C" w:rsidRDefault="0042066C" w14:paraId="3897D0F9" w14:textId="33CC0DC8">
      <w:pPr>
        <w:jc w:val="center"/>
        <w:rPr>
          <w:szCs w:val="26"/>
        </w:rPr>
      </w:pPr>
      <w:r w:rsidRPr="0042066C">
        <w:rPr>
          <w:szCs w:val="26"/>
        </w:rPr>
        <w:t>(March 18, 2021)</w:t>
      </w:r>
    </w:p>
    <w:p w:rsidRPr="0042066C" w:rsidR="0042066C" w:rsidP="0042066C" w:rsidRDefault="0042066C" w14:paraId="36397F5C"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BE0529" w:rsidR="004E3713" w:rsidP="004E3713" w:rsidRDefault="00794663" w14:paraId="1F3AE735" w14:textId="07FFEE64">
      <w:pPr>
        <w:spacing w:line="480" w:lineRule="auto"/>
        <w:rPr>
          <w:rFonts w:eastAsia="Calibri"/>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 FERC-</w:t>
      </w:r>
      <w:r w:rsidR="00B1030F">
        <w:rPr>
          <w:szCs w:val="26"/>
        </w:rPr>
        <w:t>512</w:t>
      </w:r>
      <w:r w:rsidR="00423226">
        <w:rPr>
          <w:szCs w:val="26"/>
        </w:rPr>
        <w:t xml:space="preserve"> </w:t>
      </w:r>
      <w:r w:rsidRPr="00423226" w:rsidR="00423226">
        <w:t>(</w:t>
      </w:r>
      <w:r w:rsidR="00B1030F">
        <w:t>Preliminary Permit</w:t>
      </w:r>
      <w:r w:rsidRPr="00423226" w:rsidR="00423226">
        <w:rPr>
          <w:szCs w:val="26"/>
        </w:rPr>
        <w:t>)</w:t>
      </w:r>
      <w:r w:rsidR="00BE0529">
        <w:rPr>
          <w:szCs w:val="26"/>
        </w:rPr>
        <w:t>,</w:t>
      </w:r>
      <w:r w:rsidRPr="00BE0529" w:rsidR="00BE0529">
        <w:rPr>
          <w:rFonts w:eastAsia="Calibri"/>
          <w:szCs w:val="26"/>
        </w:rPr>
        <w:t xml:space="preserve"> which will be submitted to the Office of Management and Budget (OMB) for review.</w:t>
      </w:r>
      <w:r w:rsidR="00BE0529">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50D210B1">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w:t>
      </w:r>
      <w:r w:rsidR="00D31647">
        <w:rPr>
          <w:iCs/>
          <w:szCs w:val="26"/>
        </w:rPr>
        <w:t xml:space="preserve">FERC-512 </w:t>
      </w:r>
      <w:r w:rsidRPr="00BE0529" w:rsidR="00BE0529">
        <w:rPr>
          <w:iCs/>
          <w:szCs w:val="26"/>
        </w:rPr>
        <w:t xml:space="preserve">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B1030F">
        <w:rPr>
          <w:iCs/>
          <w:szCs w:val="26"/>
        </w:rPr>
        <w:t>073</w:t>
      </w:r>
      <w:r w:rsidRPr="00BE0529" w:rsidR="00BE0529">
        <w:rPr>
          <w:iCs/>
          <w:szCs w:val="26"/>
        </w:rPr>
        <w:t>) in the subject line of your comments.  Comments</w:t>
      </w:r>
      <w:r w:rsidRPr="00BE0529" w:rsidR="00BE0529">
        <w:rPr>
          <w:szCs w:val="26"/>
        </w:rPr>
        <w:t xml:space="preserve"> should be sent </w:t>
      </w:r>
      <w:bookmarkStart w:name="_Hlk35891527" w:id="0"/>
      <w:r w:rsidRPr="00BE0529" w:rsidR="00BE0529">
        <w:rPr>
          <w:szCs w:val="26"/>
        </w:rPr>
        <w:t>within 30 days of publication of this notice</w:t>
      </w:r>
      <w:r w:rsidR="00D31647">
        <w:rPr>
          <w:szCs w:val="26"/>
        </w:rPr>
        <w:t xml:space="preserve"> </w:t>
      </w:r>
      <w:r w:rsidRPr="00BE0529" w:rsidR="00BE0529">
        <w:rPr>
          <w:szCs w:val="26"/>
        </w:rPr>
        <w:t xml:space="preserve"> to </w:t>
      </w:r>
      <w:bookmarkStart w:name="_Hlk38028221" w:id="1"/>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0"/>
      <w:bookmarkEnd w:id="1"/>
    </w:p>
    <w:p w:rsidR="00D31647" w:rsidP="00D31647" w:rsidRDefault="00706C45" w14:paraId="1106585D" w14:textId="77777777">
      <w:pPr>
        <w:spacing w:line="480" w:lineRule="auto"/>
        <w:rPr>
          <w:szCs w:val="26"/>
        </w:rPr>
      </w:pPr>
      <w:r w:rsidRPr="00706C45">
        <w:rPr>
          <w:szCs w:val="26"/>
        </w:rPr>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B1030F">
        <w:rPr>
          <w:szCs w:val="26"/>
        </w:rPr>
        <w:t>8</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D31647" w:rsidR="00D31647" w:rsidP="00D31647" w:rsidRDefault="00D31647" w14:paraId="368E47D8" w14:textId="2560E38D">
      <w:pPr>
        <w:spacing w:line="480" w:lineRule="auto"/>
        <w:rPr>
          <w:szCs w:val="26"/>
        </w:rPr>
      </w:pPr>
      <w:r>
        <w:t xml:space="preserve">Electronic filing through </w:t>
      </w:r>
      <w:hyperlink w:history="1" r:id="rId13">
        <w:r w:rsidRPr="005728E4">
          <w:rPr>
            <w:rStyle w:val="Hyperlink"/>
          </w:rPr>
          <w:t>http://www.ferc.gov</w:t>
        </w:r>
      </w:hyperlink>
      <w:r>
        <w:t>, is preferred.</w:t>
      </w:r>
    </w:p>
    <w:p w:rsidR="00D31647" w:rsidP="00D31647" w:rsidRDefault="00D31647" w14:paraId="0B67009D" w14:textId="77777777">
      <w:pPr>
        <w:pStyle w:val="ListParagraph"/>
        <w:numPr>
          <w:ilvl w:val="0"/>
          <w:numId w:val="8"/>
        </w:numPr>
        <w:spacing w:line="480" w:lineRule="auto"/>
      </w:pPr>
      <w:r>
        <w:lastRenderedPageBreak/>
        <w:t>Electronic F</w:t>
      </w:r>
      <w:bookmarkStart w:name="_GoBack" w:id="2"/>
      <w:bookmarkEnd w:id="2"/>
      <w:r>
        <w:t xml:space="preserve">iling: Documents must be filed in acceptable native applications and print-to-PDF, but not in scanned or picture format. </w:t>
      </w:r>
    </w:p>
    <w:p w:rsidR="00D31647" w:rsidP="00D31647" w:rsidRDefault="00D31647" w14:paraId="098F4408" w14:textId="77777777">
      <w:pPr>
        <w:pStyle w:val="ListParagraph"/>
        <w:numPr>
          <w:ilvl w:val="0"/>
          <w:numId w:val="8"/>
        </w:numPr>
        <w:spacing w:line="480" w:lineRule="auto"/>
      </w:pPr>
      <w:r>
        <w:t>For those unable to file electronically, comments may be filed by USPS mail or by hand (including courier) delivery.</w:t>
      </w:r>
    </w:p>
    <w:p w:rsidR="00D31647" w:rsidP="00D31647" w:rsidRDefault="00D31647" w14:paraId="583194D6" w14:textId="77777777">
      <w:pPr>
        <w:pStyle w:val="ListParagraph"/>
        <w:numPr>
          <w:ilvl w:val="0"/>
          <w:numId w:val="8"/>
        </w:numPr>
        <w:spacing w:line="480" w:lineRule="auto"/>
      </w:pPr>
      <w:r>
        <w:t>Mail via U.S. Postal Service Only: Addressed to: Federal Energy Regulatory Commission, Secretary of the Commission, 888 First Street, N.E., Washington, DC 20426.</w:t>
      </w:r>
    </w:p>
    <w:p w:rsidRPr="007219DE" w:rsidR="00D31647" w:rsidP="00D31647" w:rsidRDefault="00D31647" w14:paraId="17ABD81B" w14:textId="0127BCD9">
      <w:pPr>
        <w:spacing w:line="480" w:lineRule="auto"/>
        <w:rPr>
          <w:szCs w:val="26"/>
        </w:rPr>
      </w:pPr>
      <w:r>
        <w:t>Hand (including courier) delivery: Deliver to: Federal Energy Regulatory Commission, 12225 Wilkins Avenue, Rockville, MD 20852.</w:t>
      </w:r>
    </w:p>
    <w:p w:rsidRPr="007219DE" w:rsidR="00910883" w:rsidP="004E3713" w:rsidRDefault="00910883" w14:paraId="7CAD82A3" w14:textId="77777777">
      <w:pPr>
        <w:rPr>
          <w:szCs w:val="26"/>
        </w:rPr>
      </w:pPr>
    </w:p>
    <w:p w:rsidRPr="00BE0529" w:rsidR="00BE0529" w:rsidP="00BE0529" w:rsidRDefault="00E4588B" w14:paraId="4DECCD60" w14:textId="7A0BC09C">
      <w:pPr>
        <w:spacing w:line="480" w:lineRule="auto"/>
        <w:rPr>
          <w:szCs w:val="26"/>
        </w:rPr>
      </w:pPr>
      <w:bookmarkStart w:name="OLE_LINK1" w:id="3"/>
      <w:r w:rsidRPr="007219DE">
        <w:rPr>
          <w:i/>
        </w:rPr>
        <w:t>Instructions</w:t>
      </w:r>
      <w:r w:rsidRPr="00E72628" w:rsidR="00E72628">
        <w:rPr>
          <w:iCs/>
        </w:rPr>
        <w:t>:</w:t>
      </w:r>
      <w:r w:rsidRPr="00BE0529" w:rsidR="00BE0529">
        <w:rPr>
          <w:i/>
        </w:rPr>
        <w:t xml:space="preserve"> </w:t>
      </w:r>
      <w:r w:rsidR="00FB1D8E">
        <w:rPr>
          <w:i/>
        </w:rPr>
        <w:t xml:space="preserve"> </w:t>
      </w:r>
      <w:r w:rsidRPr="00FA56BC" w:rsidR="00BE0529">
        <w:rPr>
          <w:iCs/>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4"/>
      <w:r w:rsidRPr="00BE0529">
        <w:t>must be formatted and filed in accordance with submission guidelines at</w:t>
      </w:r>
      <w:bookmarkEnd w:id="4"/>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17B4EAFC">
      <w:pPr>
        <w:spacing w:line="480" w:lineRule="auto"/>
      </w:pPr>
      <w:r w:rsidRPr="00BE0529">
        <w:rPr>
          <w:i/>
        </w:rPr>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57675D" w:rsidR="00D31647">
          <w:rPr>
            <w:rStyle w:val="Hyperlink"/>
          </w:rPr>
          <w:t>http://www.ferc.gov/docs-filing/docs-filing.asp</w:t>
        </w:r>
      </w:hyperlink>
      <w:r w:rsidR="00D31647">
        <w:rPr>
          <w:rStyle w:val="Hyperlink"/>
        </w:rPr>
        <w:t xml:space="preserve">. </w:t>
      </w:r>
    </w:p>
    <w:bookmarkEnd w:id="3"/>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496E14" w:rsidR="00B1030F" w:rsidP="00B1030F" w:rsidRDefault="00B1030F" w14:paraId="34C90729" w14:textId="77777777">
      <w:pPr>
        <w:spacing w:line="480" w:lineRule="auto"/>
        <w:rPr>
          <w:szCs w:val="26"/>
        </w:rPr>
      </w:pPr>
      <w:r w:rsidRPr="00496E14">
        <w:rPr>
          <w:b/>
          <w:szCs w:val="26"/>
        </w:rPr>
        <w:lastRenderedPageBreak/>
        <w:t>SUPPLEMENTARY INFORMATION:</w:t>
      </w:r>
      <w:r w:rsidRPr="00496E14">
        <w:rPr>
          <w:szCs w:val="26"/>
        </w:rPr>
        <w:t xml:space="preserve">  </w:t>
      </w:r>
    </w:p>
    <w:p w:rsidRPr="00496E14" w:rsidR="00B1030F" w:rsidP="00B1030F" w:rsidRDefault="00B1030F" w14:paraId="1F24841E" w14:textId="77777777">
      <w:pPr>
        <w:spacing w:line="480" w:lineRule="auto"/>
        <w:rPr>
          <w:color w:val="000000"/>
          <w:szCs w:val="26"/>
        </w:rPr>
      </w:pPr>
      <w:r w:rsidRPr="00496E14">
        <w:rPr>
          <w:i/>
          <w:szCs w:val="26"/>
        </w:rPr>
        <w:t xml:space="preserve">Title: </w:t>
      </w:r>
      <w:r w:rsidRPr="00496E14">
        <w:rPr>
          <w:szCs w:val="26"/>
        </w:rPr>
        <w:t xml:space="preserve">FERC-512, </w:t>
      </w:r>
      <w:r w:rsidRPr="00496E14">
        <w:rPr>
          <w:color w:val="000000"/>
          <w:szCs w:val="26"/>
        </w:rPr>
        <w:t>Preliminary Permit</w:t>
      </w:r>
    </w:p>
    <w:p w:rsidRPr="00496E14" w:rsidR="00B1030F" w:rsidP="00B1030F" w:rsidRDefault="00B1030F" w14:paraId="56ED2CAB" w14:textId="77777777">
      <w:pPr>
        <w:spacing w:line="480" w:lineRule="auto"/>
        <w:rPr>
          <w:szCs w:val="26"/>
        </w:rPr>
      </w:pPr>
      <w:r w:rsidRPr="00496E14">
        <w:rPr>
          <w:i/>
          <w:szCs w:val="26"/>
        </w:rPr>
        <w:t>OMB Control No.:</w:t>
      </w:r>
      <w:r w:rsidRPr="00496E14">
        <w:rPr>
          <w:szCs w:val="26"/>
        </w:rPr>
        <w:t xml:space="preserve"> 1902-0073</w:t>
      </w:r>
    </w:p>
    <w:p w:rsidRPr="00496E14" w:rsidR="00B1030F" w:rsidP="00B1030F" w:rsidRDefault="00B1030F" w14:paraId="63D777AE" w14:textId="2B697723">
      <w:pPr>
        <w:spacing w:line="480" w:lineRule="auto"/>
        <w:rPr>
          <w:szCs w:val="26"/>
        </w:rPr>
      </w:pPr>
      <w:r w:rsidRPr="00496E14">
        <w:rPr>
          <w:i/>
          <w:szCs w:val="26"/>
        </w:rPr>
        <w:t>Type of Request:</w:t>
      </w:r>
      <w:r w:rsidRPr="00496E14">
        <w:rPr>
          <w:szCs w:val="26"/>
        </w:rPr>
        <w:t xml:space="preserve"> Three-year approval of the FERC-512 information collection requirements, with no changes to the current reporting requirements</w:t>
      </w:r>
      <w:r w:rsidR="00D31647">
        <w:rPr>
          <w:szCs w:val="26"/>
        </w:rPr>
        <w:t xml:space="preserve"> i</w:t>
      </w:r>
      <w:r w:rsidR="008F7687">
        <w:rPr>
          <w:szCs w:val="26"/>
        </w:rPr>
        <w:t>n Docket No. IC21-8-000.</w:t>
      </w:r>
    </w:p>
    <w:p w:rsidRPr="00496E14" w:rsidR="00B1030F" w:rsidP="00B1030F" w:rsidRDefault="00B1030F" w14:paraId="5C174D10" w14:textId="77777777">
      <w:pPr>
        <w:spacing w:line="480" w:lineRule="auto"/>
        <w:rPr>
          <w:szCs w:val="26"/>
        </w:rPr>
      </w:pPr>
      <w:r w:rsidRPr="00496E14">
        <w:rPr>
          <w:i/>
          <w:szCs w:val="26"/>
        </w:rPr>
        <w:t xml:space="preserve">Abstract: </w:t>
      </w:r>
      <w:r w:rsidRPr="00496E14">
        <w:rPr>
          <w:szCs w:val="26"/>
        </w:rPr>
        <w:t>The Commission regulates nonfederal hydropower projects on navigable waters and federal lands pursuant to the Federal Power Act (FPA).</w:t>
      </w:r>
      <w:r w:rsidRPr="00496E14">
        <w:rPr>
          <w:rStyle w:val="FootnoteReference"/>
        </w:rPr>
        <w:footnoteReference w:id="2"/>
      </w:r>
      <w:r w:rsidRPr="00496E14">
        <w:rPr>
          <w:szCs w:val="26"/>
        </w:rPr>
        <w:t xml:space="preserve"> The FERC-512 is an application for a preliminary permit or to extend a preliminary permit term.  Preliminary permits, issued for up to four years, preserve the right of permit holders to have first priority in applying for a license for a project being studied, but do not authorize construction of any facilities.  Nor does a preliminary permit allow the use of eminent domain to acquire lands for the project.  The preliminary permits are issued pursuant to sections 4(f), 5, and 7 of the FPA.  Preliminary permits may be extended one time for up to four additional years, pursuant to section 5 of the FPA. The purpose of obtaining a preliminary permit is to maintain priority status for an application for a license while the applicant conducts site examinations and surveys to prepare maps, plans, specifications, and estimates.  This period of time also provides the applicant with the opportunity to conduct engineering, economic, and environmental feasibility studies in addition to making the financial arrangements for funding the construction of the project.  No other </w:t>
      </w:r>
      <w:r w:rsidRPr="00496E14">
        <w:rPr>
          <w:szCs w:val="26"/>
        </w:rPr>
        <w:lastRenderedPageBreak/>
        <w:t>application for a preliminary permit or application for license submitted by another party can be accepted during the permit term. The application for a preliminary permit is used by Commission staff to assess the scope of the proposed project, the technology to be used, and jurisdictional aspects of the project.  The staff assessment includes a review of the proposed hydro development for conflicts with other permits or existing projects and public notice of the application to solicit public and agency comments.</w:t>
      </w:r>
      <w:r w:rsidRPr="00496E14">
        <w:rPr>
          <w:szCs w:val="26"/>
          <w:shd w:val="clear" w:color="auto" w:fill="FFFFFF"/>
        </w:rPr>
        <w:t xml:space="preserve">  The application for a one-time extension, up to four years, of a preliminary permit is used by Commission staff to determine if a permittee has met the 2018 Water Infrastructure Act’s good faith and reasonable diligence standard.  </w:t>
      </w:r>
      <w:r w:rsidRPr="00496E14">
        <w:rPr>
          <w:szCs w:val="26"/>
        </w:rPr>
        <w:t xml:space="preserve">An application for a preliminary permit includes an initial statement and three numbered exhibits, per 18 CFR 4.81.  The initial statement includes information on the applicant, the project, the requested term of the permit, affected political jurisdictions, and a verification of the facts. </w:t>
      </w:r>
    </w:p>
    <w:p w:rsidR="00B1030F" w:rsidP="00B1030F" w:rsidRDefault="00B1030F" w14:paraId="04F44C83" w14:textId="22B3DE79">
      <w:pPr>
        <w:spacing w:line="480" w:lineRule="auto"/>
        <w:rPr>
          <w:iCs/>
          <w:szCs w:val="26"/>
        </w:rPr>
      </w:pPr>
      <w:r w:rsidRPr="00496E14">
        <w:rPr>
          <w:i/>
          <w:szCs w:val="26"/>
        </w:rPr>
        <w:t xml:space="preserve">Type of Respondents: </w:t>
      </w:r>
      <w:r w:rsidRPr="00496E14">
        <w:rPr>
          <w:iCs/>
          <w:szCs w:val="26"/>
        </w:rPr>
        <w:t>Business or other for-profit and not for-profit institutions</w:t>
      </w:r>
      <w:r w:rsidR="00CC0DAA">
        <w:rPr>
          <w:iCs/>
          <w:szCs w:val="26"/>
        </w:rPr>
        <w:t>.</w:t>
      </w:r>
    </w:p>
    <w:p w:rsidR="00CC0DAA" w:rsidP="00CC0DAA" w:rsidRDefault="00CC0DAA" w14:paraId="3974F04D" w14:textId="78D7C63C">
      <w:pPr>
        <w:spacing w:line="480" w:lineRule="auto"/>
        <w:rPr>
          <w:szCs w:val="26"/>
        </w:rPr>
      </w:pPr>
      <w:r w:rsidRPr="006E10F4">
        <w:rPr>
          <w:szCs w:val="26"/>
        </w:rPr>
        <w:t xml:space="preserve">In response to the Notice of Information Collection Request for </w:t>
      </w:r>
      <w:r>
        <w:rPr>
          <w:szCs w:val="26"/>
        </w:rPr>
        <w:t>c</w:t>
      </w:r>
      <w:r w:rsidRPr="006E10F4">
        <w:rPr>
          <w:szCs w:val="26"/>
        </w:rPr>
        <w:t xml:space="preserve">omments published in the Federal Register on </w:t>
      </w:r>
      <w:r w:rsidR="008F7687">
        <w:rPr>
          <w:szCs w:val="26"/>
        </w:rPr>
        <w:t xml:space="preserve">January </w:t>
      </w:r>
      <w:r w:rsidR="00511DC3">
        <w:rPr>
          <w:szCs w:val="26"/>
        </w:rPr>
        <w:t>11</w:t>
      </w:r>
      <w:r w:rsidR="008F7687">
        <w:rPr>
          <w:szCs w:val="26"/>
        </w:rPr>
        <w:t>, 2021</w:t>
      </w:r>
      <w:r w:rsidRPr="00F0669A">
        <w:rPr>
          <w:szCs w:val="26"/>
        </w:rPr>
        <w:t xml:space="preserve"> (</w:t>
      </w:r>
      <w:bookmarkStart w:name="_Hlk66811056" w:id="5"/>
      <w:r w:rsidRPr="008F7687" w:rsidR="008F7687">
        <w:rPr>
          <w:szCs w:val="26"/>
        </w:rPr>
        <w:t>86 FR 1957</w:t>
      </w:r>
      <w:r w:rsidRPr="00F0669A">
        <w:rPr>
          <w:szCs w:val="26"/>
        </w:rPr>
        <w:t>)</w:t>
      </w:r>
      <w:r w:rsidR="00511DC3">
        <w:rPr>
          <w:szCs w:val="26"/>
        </w:rPr>
        <w:t>,</w:t>
      </w:r>
      <w:r w:rsidRPr="006E10F4">
        <w:rPr>
          <w:szCs w:val="26"/>
        </w:rPr>
        <w:t xml:space="preserve"> </w:t>
      </w:r>
      <w:bookmarkEnd w:id="5"/>
      <w:r w:rsidRPr="006E10F4">
        <w:rPr>
          <w:szCs w:val="26"/>
        </w:rPr>
        <w:t xml:space="preserve">the Commission received </w:t>
      </w:r>
      <w:r>
        <w:rPr>
          <w:szCs w:val="26"/>
        </w:rPr>
        <w:t>no comments on the 60-day Paperwork Reduction Act notice.</w:t>
      </w:r>
      <w:r w:rsidRPr="006E10F4">
        <w:rPr>
          <w:szCs w:val="26"/>
        </w:rPr>
        <w:t xml:space="preserve"> </w:t>
      </w:r>
      <w:r>
        <w:rPr>
          <w:szCs w:val="26"/>
        </w:rPr>
        <w:t xml:space="preserve"> </w:t>
      </w:r>
    </w:p>
    <w:p w:rsidRPr="00496E14" w:rsidR="00B1030F" w:rsidP="00B1030F" w:rsidRDefault="00B1030F" w14:paraId="2B27EE12" w14:textId="77777777">
      <w:pPr>
        <w:spacing w:line="480" w:lineRule="auto"/>
        <w:rPr>
          <w:szCs w:val="26"/>
        </w:rPr>
      </w:pPr>
      <w:r w:rsidRPr="00496E14">
        <w:rPr>
          <w:i/>
          <w:szCs w:val="26"/>
        </w:rPr>
        <w:lastRenderedPageBreak/>
        <w:t>Estimate of Annual Burden</w:t>
      </w:r>
      <w:r w:rsidRPr="00496E14">
        <w:rPr>
          <w:rStyle w:val="FootnoteReference"/>
          <w:i/>
        </w:rPr>
        <w:footnoteReference w:id="3"/>
      </w:r>
      <w:r w:rsidRPr="00496E14">
        <w:rPr>
          <w:i/>
          <w:szCs w:val="26"/>
        </w:rPr>
        <w:t>and Cost</w:t>
      </w:r>
      <w:r w:rsidRPr="00496E14">
        <w:rPr>
          <w:rStyle w:val="FootnoteReference"/>
          <w:i/>
        </w:rPr>
        <w:footnoteReference w:id="4"/>
      </w:r>
      <w:r w:rsidRPr="00496E14">
        <w:rPr>
          <w:i/>
          <w:szCs w:val="26"/>
        </w:rPr>
        <w:t xml:space="preserve">: </w:t>
      </w:r>
      <w:r w:rsidRPr="00496E14">
        <w:rPr>
          <w:szCs w:val="26"/>
        </w:rPr>
        <w:t>The Commission estimates as shown below in the table:</w:t>
      </w: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0"/>
        <w:gridCol w:w="1632"/>
        <w:gridCol w:w="1531"/>
        <w:gridCol w:w="1404"/>
        <w:gridCol w:w="1257"/>
        <w:gridCol w:w="1404"/>
        <w:gridCol w:w="1531"/>
      </w:tblGrid>
      <w:tr w:rsidRPr="00496E14" w:rsidR="00B1030F" w:rsidTr="001F4A8E" w14:paraId="2AD8D499"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496E14" w:rsidR="00B1030F" w:rsidP="001F4A8E" w:rsidRDefault="00B1030F" w14:paraId="35E4F006" w14:textId="77777777">
            <w:pPr>
              <w:jc w:val="center"/>
              <w:rPr>
                <w:rFonts w:eastAsia="Calibri"/>
                <w:b/>
                <w:szCs w:val="26"/>
              </w:rPr>
            </w:pPr>
            <w:r w:rsidRPr="00496E14">
              <w:rPr>
                <w:rFonts w:eastAsia="Calibri"/>
                <w:b/>
                <w:szCs w:val="26"/>
              </w:rPr>
              <w:t>FERC-512: (Preliminary Permit</w:t>
            </w:r>
            <w:r w:rsidRPr="00496E14">
              <w:rPr>
                <w:b/>
                <w:bCs/>
                <w:color w:val="000000"/>
                <w:szCs w:val="26"/>
              </w:rPr>
              <w:t>)</w:t>
            </w:r>
          </w:p>
        </w:tc>
      </w:tr>
      <w:tr w:rsidRPr="00496E14" w:rsidR="00B1030F" w:rsidTr="001F4A8E" w14:paraId="1818D1F7" w14:textId="77777777">
        <w:trPr>
          <w:cantSplit/>
          <w:trHeight w:val="1907"/>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496E14" w:rsidR="00B1030F" w:rsidP="001F4A8E" w:rsidRDefault="00B1030F" w14:paraId="5B60B0D2" w14:textId="77777777">
            <w:pPr>
              <w:jc w:val="center"/>
              <w:rPr>
                <w:rFonts w:eastAsia="Calibri"/>
                <w:b/>
                <w:bCs/>
                <w:szCs w:val="26"/>
              </w:rPr>
            </w:pPr>
            <w:r w:rsidRPr="00496E14">
              <w:rPr>
                <w:rFonts w:eastAsia="Calibri"/>
                <w:szCs w:val="26"/>
              </w:rPr>
              <w:br/>
            </w:r>
            <w:r w:rsidRPr="00496E14">
              <w:rPr>
                <w:rFonts w:eastAsia="Calibri"/>
                <w:szCs w:val="26"/>
              </w:rPr>
              <w:br/>
            </w:r>
            <w:r w:rsidRPr="00496E14">
              <w:rPr>
                <w:rFonts w:eastAsia="Calibri"/>
                <w:szCs w:val="26"/>
              </w:rPr>
              <w:br/>
            </w:r>
            <w:r w:rsidRPr="00496E14">
              <w:rPr>
                <w:rFonts w:eastAsia="Calibri"/>
                <w:szCs w:val="26"/>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B1030F" w:rsidP="001F4A8E" w:rsidRDefault="00B1030F" w14:paraId="276C4DD2" w14:textId="77777777">
            <w:pPr>
              <w:jc w:val="center"/>
              <w:rPr>
                <w:rFonts w:eastAsia="Calibri"/>
                <w:b/>
                <w:szCs w:val="26"/>
              </w:rPr>
            </w:pPr>
            <w:r w:rsidRPr="00496E14">
              <w:rPr>
                <w:rFonts w:eastAsia="Calibri"/>
                <w:b/>
                <w:szCs w:val="26"/>
              </w:rPr>
              <w:t>Number of Respondents</w:t>
            </w:r>
            <w:r w:rsidRPr="00496E14">
              <w:rPr>
                <w:rFonts w:eastAsia="Calibri"/>
                <w:b/>
                <w:szCs w:val="26"/>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B1030F" w:rsidP="001F4A8E" w:rsidRDefault="00B1030F" w14:paraId="00F2297D" w14:textId="77777777">
            <w:pPr>
              <w:jc w:val="center"/>
              <w:rPr>
                <w:rFonts w:eastAsia="Calibri"/>
                <w:b/>
                <w:szCs w:val="26"/>
              </w:rPr>
            </w:pPr>
            <w:r w:rsidRPr="00496E14">
              <w:rPr>
                <w:rFonts w:eastAsia="Calibri"/>
                <w:b/>
                <w:szCs w:val="26"/>
              </w:rPr>
              <w:t>Annual Number of Responses per Respondent</w:t>
            </w:r>
          </w:p>
          <w:p w:rsidRPr="00496E14" w:rsidR="00B1030F" w:rsidP="001F4A8E" w:rsidRDefault="00B1030F" w14:paraId="652E5CBA" w14:textId="77777777">
            <w:pPr>
              <w:jc w:val="center"/>
              <w:rPr>
                <w:rFonts w:eastAsia="Calibri"/>
                <w:b/>
                <w:szCs w:val="26"/>
              </w:rPr>
            </w:pPr>
            <w:r w:rsidRPr="00496E14">
              <w:rPr>
                <w:rFonts w:eastAsia="Calibri"/>
                <w:b/>
                <w:szCs w:val="26"/>
              </w:rPr>
              <w:t>(2)</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B1030F" w:rsidP="001F4A8E" w:rsidRDefault="00B1030F" w14:paraId="3EA82DE1" w14:textId="77777777">
            <w:pPr>
              <w:jc w:val="center"/>
              <w:rPr>
                <w:rFonts w:eastAsia="Calibri"/>
                <w:b/>
                <w:szCs w:val="26"/>
              </w:rPr>
            </w:pPr>
            <w:r w:rsidRPr="00496E14">
              <w:rPr>
                <w:rFonts w:eastAsia="Calibri"/>
                <w:b/>
                <w:szCs w:val="26"/>
              </w:rPr>
              <w:t>Total Number of Responses (1)*(2)=(3)</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B1030F" w:rsidP="001F4A8E" w:rsidRDefault="00B1030F" w14:paraId="54F4DBAA" w14:textId="77777777">
            <w:pPr>
              <w:jc w:val="center"/>
              <w:rPr>
                <w:rFonts w:eastAsia="Calibri"/>
                <w:b/>
                <w:szCs w:val="26"/>
              </w:rPr>
            </w:pPr>
            <w:r w:rsidRPr="00496E14">
              <w:rPr>
                <w:rFonts w:eastAsia="Calibri"/>
                <w:b/>
                <w:szCs w:val="26"/>
              </w:rPr>
              <w:t>Average Burden Hours &amp; Cost Per Response</w:t>
            </w:r>
          </w:p>
          <w:p w:rsidRPr="00496E14" w:rsidR="00B1030F" w:rsidP="001F4A8E" w:rsidRDefault="00B1030F" w14:paraId="509BFB2C" w14:textId="77777777">
            <w:pPr>
              <w:jc w:val="center"/>
              <w:rPr>
                <w:rFonts w:eastAsia="Calibri"/>
                <w:b/>
                <w:szCs w:val="26"/>
              </w:rPr>
            </w:pPr>
            <w:r w:rsidRPr="00496E14">
              <w:rPr>
                <w:rFonts w:eastAsia="Calibri"/>
                <w:b/>
                <w:szCs w:val="26"/>
              </w:rPr>
              <w:t>(4)</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96E14" w:rsidR="00B1030F" w:rsidP="001F4A8E" w:rsidRDefault="00B1030F" w14:paraId="0AFFAED7" w14:textId="77777777">
            <w:pPr>
              <w:jc w:val="center"/>
              <w:rPr>
                <w:rFonts w:eastAsia="Calibri"/>
                <w:b/>
                <w:szCs w:val="26"/>
              </w:rPr>
            </w:pPr>
            <w:r w:rsidRPr="00496E14">
              <w:rPr>
                <w:rFonts w:eastAsia="Calibri"/>
                <w:b/>
                <w:szCs w:val="26"/>
              </w:rPr>
              <w:t>Total Annual Burden Hours &amp; Total Annual Cost</w:t>
            </w:r>
          </w:p>
          <w:p w:rsidRPr="00496E14" w:rsidR="00B1030F" w:rsidP="001F4A8E" w:rsidRDefault="00B1030F" w14:paraId="0DE31825" w14:textId="77777777">
            <w:pPr>
              <w:jc w:val="center"/>
              <w:rPr>
                <w:rFonts w:eastAsia="Calibri"/>
                <w:b/>
                <w:szCs w:val="26"/>
              </w:rPr>
            </w:pPr>
            <w:r w:rsidRPr="00496E14">
              <w:rPr>
                <w:rFonts w:eastAsia="Calibri"/>
                <w:b/>
                <w:szCs w:val="26"/>
              </w:rPr>
              <w:t>(3)*(4)=(5)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5C21F318" w14:textId="77777777">
            <w:pPr>
              <w:jc w:val="center"/>
              <w:rPr>
                <w:rFonts w:eastAsia="Calibri"/>
                <w:b/>
                <w:szCs w:val="26"/>
              </w:rPr>
            </w:pPr>
            <w:r w:rsidRPr="00496E14">
              <w:rPr>
                <w:rFonts w:eastAsia="Calibri"/>
                <w:b/>
                <w:szCs w:val="26"/>
              </w:rPr>
              <w:t>Average Annual Cost per Respondent</w:t>
            </w:r>
          </w:p>
          <w:p w:rsidRPr="00496E14" w:rsidR="00B1030F" w:rsidP="001F4A8E" w:rsidRDefault="00B1030F" w14:paraId="1D77CDA4" w14:textId="77777777">
            <w:pPr>
              <w:jc w:val="center"/>
              <w:rPr>
                <w:rFonts w:eastAsia="Calibri"/>
                <w:b/>
                <w:szCs w:val="26"/>
              </w:rPr>
            </w:pPr>
            <w:r w:rsidRPr="00496E14">
              <w:rPr>
                <w:rFonts w:eastAsia="Calibri"/>
                <w:b/>
                <w:szCs w:val="26"/>
              </w:rPr>
              <w:t>(5)÷(1)</w:t>
            </w:r>
          </w:p>
        </w:tc>
      </w:tr>
      <w:tr w:rsidRPr="00496E14" w:rsidR="00B1030F" w:rsidTr="001F4A8E" w14:paraId="4E9DDCF0" w14:textId="77777777">
        <w:trPr>
          <w:cantSplit/>
          <w:trHeight w:val="566"/>
        </w:trPr>
        <w:tc>
          <w:tcPr>
            <w:tcW w:w="579"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0B3BABDA" w14:textId="77777777">
            <w:pPr>
              <w:widowControl w:val="0"/>
              <w:autoSpaceDE w:val="0"/>
              <w:autoSpaceDN w:val="0"/>
              <w:adjustRightInd w:val="0"/>
              <w:jc w:val="right"/>
              <w:rPr>
                <w:szCs w:val="26"/>
              </w:rPr>
            </w:pPr>
            <w:r w:rsidRPr="00496E14">
              <w:rPr>
                <w:szCs w:val="26"/>
              </w:rPr>
              <w:t xml:space="preserve">Annual Reporting and Recordkeeping </w:t>
            </w:r>
          </w:p>
        </w:tc>
        <w:tc>
          <w:tcPr>
            <w:tcW w:w="789"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0B3C89BD" w14:textId="77777777">
            <w:pPr>
              <w:jc w:val="right"/>
              <w:rPr>
                <w:rFonts w:eastAsia="Calibri"/>
                <w:szCs w:val="26"/>
              </w:rPr>
            </w:pPr>
            <w:r w:rsidRPr="00496E14">
              <w:rPr>
                <w:rFonts w:eastAsia="Calibri"/>
                <w:szCs w:val="26"/>
              </w:rPr>
              <w:t>50</w:t>
            </w:r>
          </w:p>
          <w:p w:rsidRPr="00496E14" w:rsidR="00B1030F" w:rsidP="001F4A8E" w:rsidRDefault="00B1030F" w14:paraId="2C7CCC56" w14:textId="77777777">
            <w:pPr>
              <w:widowControl w:val="0"/>
              <w:autoSpaceDE w:val="0"/>
              <w:autoSpaceDN w:val="0"/>
              <w:adjustRightInd w:val="0"/>
              <w:jc w:val="right"/>
              <w:rPr>
                <w:szCs w:val="26"/>
              </w:rPr>
            </w:pPr>
          </w:p>
        </w:tc>
        <w:tc>
          <w:tcPr>
            <w:tcW w:w="704"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4AB7CD51" w14:textId="77777777">
            <w:pPr>
              <w:widowControl w:val="0"/>
              <w:autoSpaceDE w:val="0"/>
              <w:autoSpaceDN w:val="0"/>
              <w:adjustRightInd w:val="0"/>
              <w:jc w:val="right"/>
              <w:rPr>
                <w:szCs w:val="26"/>
              </w:rPr>
            </w:pPr>
            <w:r w:rsidRPr="00496E14">
              <w:rPr>
                <w:rFonts w:eastAsia="Calibri"/>
                <w:szCs w:val="26"/>
              </w:rPr>
              <w:t>1</w:t>
            </w:r>
          </w:p>
        </w:tc>
        <w:tc>
          <w:tcPr>
            <w:tcW w:w="646"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084C809C" w14:textId="77777777">
            <w:pPr>
              <w:widowControl w:val="0"/>
              <w:autoSpaceDE w:val="0"/>
              <w:autoSpaceDN w:val="0"/>
              <w:adjustRightInd w:val="0"/>
              <w:jc w:val="right"/>
              <w:rPr>
                <w:szCs w:val="26"/>
              </w:rPr>
            </w:pPr>
            <w:r w:rsidRPr="00496E14">
              <w:rPr>
                <w:rFonts w:eastAsia="Calibri"/>
                <w:szCs w:val="26"/>
              </w:rPr>
              <w:t>50</w:t>
            </w:r>
          </w:p>
        </w:tc>
        <w:tc>
          <w:tcPr>
            <w:tcW w:w="638"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79EE8E86" w14:textId="77777777">
            <w:pPr>
              <w:widowControl w:val="0"/>
              <w:autoSpaceDE w:val="0"/>
              <w:autoSpaceDN w:val="0"/>
              <w:adjustRightInd w:val="0"/>
              <w:jc w:val="right"/>
              <w:rPr>
                <w:szCs w:val="26"/>
              </w:rPr>
            </w:pPr>
            <w:r w:rsidRPr="00496E14">
              <w:rPr>
                <w:rFonts w:eastAsia="Calibri"/>
                <w:szCs w:val="26"/>
              </w:rPr>
              <w:t>24 hrs.; $1,992</w:t>
            </w:r>
          </w:p>
        </w:tc>
        <w:tc>
          <w:tcPr>
            <w:tcW w:w="941"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4FDEB12D" w14:textId="77777777">
            <w:pPr>
              <w:widowControl w:val="0"/>
              <w:autoSpaceDE w:val="0"/>
              <w:autoSpaceDN w:val="0"/>
              <w:adjustRightInd w:val="0"/>
              <w:ind w:left="-108"/>
              <w:jc w:val="right"/>
              <w:rPr>
                <w:szCs w:val="26"/>
              </w:rPr>
            </w:pPr>
            <w:r w:rsidRPr="00496E14">
              <w:rPr>
                <w:rFonts w:eastAsia="Calibri"/>
                <w:szCs w:val="26"/>
              </w:rPr>
              <w:t xml:space="preserve">1,200 hrs.; </w:t>
            </w:r>
            <w:r w:rsidRPr="00496E14">
              <w:rPr>
                <w:szCs w:val="26"/>
              </w:rPr>
              <w:t xml:space="preserve">$99,600 </w:t>
            </w:r>
          </w:p>
        </w:tc>
        <w:tc>
          <w:tcPr>
            <w:tcW w:w="704" w:type="pct"/>
            <w:tcBorders>
              <w:top w:val="single" w:color="auto" w:sz="4" w:space="0"/>
              <w:left w:val="single" w:color="auto" w:sz="4" w:space="0"/>
              <w:bottom w:val="single" w:color="auto" w:sz="4" w:space="0"/>
              <w:right w:val="single" w:color="auto" w:sz="4" w:space="0"/>
            </w:tcBorders>
          </w:tcPr>
          <w:p w:rsidRPr="00496E14" w:rsidR="00B1030F" w:rsidP="001F4A8E" w:rsidRDefault="00B1030F" w14:paraId="2D3FE6FD" w14:textId="77777777">
            <w:pPr>
              <w:jc w:val="right"/>
              <w:rPr>
                <w:rFonts w:eastAsia="Calibri"/>
                <w:szCs w:val="26"/>
              </w:rPr>
            </w:pPr>
            <w:r w:rsidRPr="00496E14">
              <w:rPr>
                <w:rFonts w:eastAsia="Calibri"/>
                <w:szCs w:val="26"/>
              </w:rPr>
              <w:t xml:space="preserve">$1,992 </w:t>
            </w:r>
          </w:p>
          <w:p w:rsidRPr="00496E14" w:rsidR="00B1030F" w:rsidP="001F4A8E" w:rsidRDefault="00B1030F" w14:paraId="078D3102" w14:textId="77777777">
            <w:pPr>
              <w:widowControl w:val="0"/>
              <w:autoSpaceDE w:val="0"/>
              <w:autoSpaceDN w:val="0"/>
              <w:adjustRightInd w:val="0"/>
              <w:ind w:left="-108"/>
              <w:jc w:val="right"/>
              <w:rPr>
                <w:szCs w:val="26"/>
              </w:rPr>
            </w:pPr>
          </w:p>
        </w:tc>
      </w:tr>
      <w:tr w:rsidRPr="00496E14" w:rsidR="00B1030F" w:rsidTr="001F4A8E" w14:paraId="002CFA6D" w14:textId="77777777">
        <w:trPr>
          <w:cantSplit/>
          <w:trHeight w:val="890"/>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496E14" w:rsidR="00B1030F" w:rsidP="001F4A8E" w:rsidRDefault="00B1030F" w14:paraId="1931BA68" w14:textId="77777777">
            <w:pPr>
              <w:widowControl w:val="0"/>
              <w:autoSpaceDE w:val="0"/>
              <w:autoSpaceDN w:val="0"/>
              <w:adjustRightInd w:val="0"/>
              <w:jc w:val="right"/>
              <w:rPr>
                <w:b/>
                <w:bCs/>
                <w:szCs w:val="26"/>
              </w:rPr>
            </w:pPr>
            <w:r w:rsidRPr="00496E14">
              <w:rPr>
                <w:b/>
                <w:bCs/>
                <w:szCs w:val="26"/>
              </w:rPr>
              <w:t>TOTAL FERC-512</w:t>
            </w:r>
          </w:p>
          <w:p w:rsidRPr="00496E14" w:rsidR="00B1030F" w:rsidP="001F4A8E" w:rsidRDefault="00B1030F" w14:paraId="23C8EBBE" w14:textId="77777777">
            <w:pPr>
              <w:widowControl w:val="0"/>
              <w:autoSpaceDE w:val="0"/>
              <w:autoSpaceDN w:val="0"/>
              <w:adjustRightInd w:val="0"/>
              <w:jc w:val="right"/>
              <w:rPr>
                <w:b/>
                <w:bCs/>
                <w:szCs w:val="26"/>
              </w:rPr>
            </w:pP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6E08A832" w14:textId="77777777">
            <w:pPr>
              <w:widowControl w:val="0"/>
              <w:autoSpaceDE w:val="0"/>
              <w:autoSpaceDN w:val="0"/>
              <w:adjustRightInd w:val="0"/>
              <w:jc w:val="right"/>
              <w:rPr>
                <w:b/>
                <w:bCs/>
                <w:szCs w:val="26"/>
              </w:rPr>
            </w:pPr>
            <w:r w:rsidRPr="00496E14">
              <w:rPr>
                <w:b/>
                <w:bCs/>
                <w:szCs w:val="26"/>
              </w:rPr>
              <w:t>50</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5D296DA3" w14:textId="77777777">
            <w:pPr>
              <w:widowControl w:val="0"/>
              <w:autoSpaceDE w:val="0"/>
              <w:autoSpaceDN w:val="0"/>
              <w:adjustRightInd w:val="0"/>
              <w:jc w:val="right"/>
              <w:rPr>
                <w:b/>
                <w:bCs/>
                <w:szCs w:val="26"/>
              </w:rPr>
            </w:pPr>
            <w:r w:rsidRPr="00496E14">
              <w:rPr>
                <w:b/>
                <w:bCs/>
                <w:szCs w:val="26"/>
              </w:rPr>
              <w:t>1</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19600093" w14:textId="77777777">
            <w:pPr>
              <w:widowControl w:val="0"/>
              <w:autoSpaceDE w:val="0"/>
              <w:autoSpaceDN w:val="0"/>
              <w:adjustRightInd w:val="0"/>
              <w:jc w:val="right"/>
              <w:rPr>
                <w:b/>
                <w:bCs/>
                <w:szCs w:val="26"/>
              </w:rPr>
            </w:pPr>
            <w:r w:rsidRPr="00496E14">
              <w:rPr>
                <w:b/>
                <w:bCs/>
                <w:szCs w:val="26"/>
              </w:rPr>
              <w:t>50</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1302D2A2" w14:textId="77777777">
            <w:pPr>
              <w:widowControl w:val="0"/>
              <w:autoSpaceDE w:val="0"/>
              <w:autoSpaceDN w:val="0"/>
              <w:adjustRightInd w:val="0"/>
              <w:jc w:val="right"/>
              <w:rPr>
                <w:b/>
                <w:bCs/>
                <w:szCs w:val="26"/>
              </w:rPr>
            </w:pPr>
            <w:r w:rsidRPr="00496E14">
              <w:rPr>
                <w:rFonts w:eastAsia="Calibri"/>
                <w:b/>
                <w:bCs/>
                <w:szCs w:val="26"/>
              </w:rPr>
              <w:t>24 hrs.; $1,992</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tcPr>
          <w:p w:rsidRPr="00496E14" w:rsidR="00B1030F" w:rsidP="001F4A8E" w:rsidRDefault="00B1030F" w14:paraId="6E575269" w14:textId="77777777">
            <w:pPr>
              <w:widowControl w:val="0"/>
              <w:autoSpaceDE w:val="0"/>
              <w:autoSpaceDN w:val="0"/>
              <w:adjustRightInd w:val="0"/>
              <w:ind w:left="-108"/>
              <w:jc w:val="right"/>
              <w:rPr>
                <w:b/>
                <w:bCs/>
                <w:szCs w:val="26"/>
              </w:rPr>
            </w:pPr>
            <w:r w:rsidRPr="00496E14">
              <w:rPr>
                <w:b/>
                <w:bCs/>
                <w:szCs w:val="26"/>
              </w:rPr>
              <w:t>1,200 hrs.; $99,600</w:t>
            </w:r>
          </w:p>
        </w:tc>
        <w:tc>
          <w:tcPr>
            <w:tcW w:w="704" w:type="pct"/>
            <w:tcBorders>
              <w:top w:val="single" w:color="auto" w:sz="4" w:space="0"/>
              <w:left w:val="single" w:color="auto" w:sz="4" w:space="0"/>
              <w:bottom w:val="single" w:color="auto" w:sz="4" w:space="0"/>
              <w:right w:val="single" w:color="auto" w:sz="4" w:space="0"/>
            </w:tcBorders>
            <w:shd w:val="clear" w:color="auto" w:fill="D9D9D9"/>
          </w:tcPr>
          <w:p w:rsidRPr="00496E14" w:rsidR="00B1030F" w:rsidP="001F4A8E" w:rsidRDefault="00B1030F" w14:paraId="270183E0" w14:textId="77777777">
            <w:pPr>
              <w:widowControl w:val="0"/>
              <w:autoSpaceDE w:val="0"/>
              <w:autoSpaceDN w:val="0"/>
              <w:adjustRightInd w:val="0"/>
              <w:ind w:left="-108"/>
              <w:jc w:val="right"/>
              <w:rPr>
                <w:b/>
                <w:bCs/>
                <w:szCs w:val="26"/>
              </w:rPr>
            </w:pPr>
            <w:r w:rsidRPr="00496E14">
              <w:rPr>
                <w:b/>
                <w:bCs/>
                <w:szCs w:val="26"/>
              </w:rPr>
              <w:t>$1,992</w:t>
            </w:r>
          </w:p>
        </w:tc>
      </w:tr>
    </w:tbl>
    <w:p w:rsidRPr="00496E14" w:rsidR="00B1030F" w:rsidP="00B1030F" w:rsidRDefault="00B1030F" w14:paraId="588FD71A" w14:textId="77777777">
      <w:pPr>
        <w:spacing w:line="480" w:lineRule="auto"/>
        <w:rPr>
          <w:szCs w:val="26"/>
        </w:rPr>
      </w:pPr>
    </w:p>
    <w:p w:rsidRPr="00496E14" w:rsidR="00B1030F" w:rsidP="00B1030F" w:rsidRDefault="00B1030F" w14:paraId="213BE06F" w14:textId="77777777">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496E14">
        <w:rPr>
          <w:szCs w:val="26"/>
        </w:rPr>
        <w:lastRenderedPageBreak/>
        <w:t xml:space="preserve">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57AEA" w14:textId="77777777" w:rsidR="008B2142" w:rsidRDefault="008B2142" w:rsidP="003B29FB">
      <w:r>
        <w:separator/>
      </w:r>
    </w:p>
  </w:endnote>
  <w:endnote w:type="continuationSeparator" w:id="0">
    <w:p w14:paraId="6DF8FE2D" w14:textId="77777777" w:rsidR="008B2142" w:rsidRDefault="008B2142" w:rsidP="003B29FB">
      <w:r>
        <w:continuationSeparator/>
      </w:r>
    </w:p>
  </w:endnote>
  <w:endnote w:type="continuationNotice" w:id="1">
    <w:p w14:paraId="0D64E886" w14:textId="77777777" w:rsidR="008B2142" w:rsidRDefault="008B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A43B" w14:textId="77777777" w:rsidR="0042066C" w:rsidRDefault="00420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F7D" w14:textId="77777777" w:rsidR="0042066C" w:rsidRDefault="00420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FDFC" w14:textId="77777777" w:rsidR="0042066C" w:rsidRDefault="0042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14C3E" w14:textId="77777777" w:rsidR="008B2142" w:rsidRDefault="008B2142" w:rsidP="003B29FB">
      <w:r>
        <w:separator/>
      </w:r>
    </w:p>
  </w:footnote>
  <w:footnote w:type="continuationSeparator" w:id="0">
    <w:p w14:paraId="3F2D2D6E" w14:textId="77777777" w:rsidR="008B2142" w:rsidRDefault="008B2142" w:rsidP="003B29FB">
      <w:r>
        <w:continuationSeparator/>
      </w:r>
    </w:p>
  </w:footnote>
  <w:footnote w:type="continuationNotice" w:id="1">
    <w:p w14:paraId="5454207A" w14:textId="77777777" w:rsidR="008B2142" w:rsidRDefault="008B2142"/>
  </w:footnote>
  <w:footnote w:id="2">
    <w:p w14:paraId="111DB7FA" w14:textId="77777777" w:rsidR="00B1030F" w:rsidRPr="00496E14" w:rsidRDefault="00B1030F" w:rsidP="00B1030F">
      <w:pPr>
        <w:pStyle w:val="FootnoteText"/>
        <w:rPr>
          <w:sz w:val="26"/>
          <w:szCs w:val="26"/>
        </w:rPr>
      </w:pPr>
      <w:r w:rsidRPr="00496E14">
        <w:rPr>
          <w:rStyle w:val="FootnoteReference"/>
        </w:rPr>
        <w:footnoteRef/>
      </w:r>
      <w:r w:rsidRPr="00496E14">
        <w:rPr>
          <w:sz w:val="26"/>
          <w:szCs w:val="26"/>
        </w:rPr>
        <w:t xml:space="preserve"> 16 USC §§791a-825r (2012).</w:t>
      </w:r>
    </w:p>
  </w:footnote>
  <w:footnote w:id="3">
    <w:p w14:paraId="3C27A765" w14:textId="77777777" w:rsidR="00B1030F" w:rsidRPr="00277B18" w:rsidRDefault="00B1030F" w:rsidP="00B1030F">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584DA2A9" w14:textId="77777777" w:rsidR="00B1030F" w:rsidRDefault="00B1030F" w:rsidP="00B1030F">
      <w:pPr>
        <w:pStyle w:val="FootnoteText"/>
      </w:pPr>
      <w:r>
        <w:rPr>
          <w:rStyle w:val="FootnoteReference"/>
        </w:rPr>
        <w:footnoteRef/>
      </w:r>
      <w:r>
        <w:t xml:space="preserve"> </w:t>
      </w:r>
      <w:bookmarkStart w:id="6" w:name="_Hlk53772401"/>
      <w:r w:rsidRPr="00010429">
        <w:rPr>
          <w:sz w:val="26"/>
          <w:szCs w:val="26"/>
        </w:rPr>
        <w:t xml:space="preserve">Commission staff estimates that the industry’s skill set and cost (for wages and benefits) for </w:t>
      </w:r>
      <w:r w:rsidRPr="002F3236">
        <w:rPr>
          <w:sz w:val="26"/>
          <w:szCs w:val="26"/>
        </w:rPr>
        <w:t>FERC-</w:t>
      </w:r>
      <w:r>
        <w:rPr>
          <w:sz w:val="26"/>
          <w:szCs w:val="26"/>
        </w:rPr>
        <w:t>512</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Pr>
          <w:sz w:val="26"/>
          <w:szCs w:val="26"/>
        </w:rPr>
        <w:t xml:space="preserve">. </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E1B3" w14:textId="77777777" w:rsidR="0042066C" w:rsidRDefault="00420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0B03343B" w:rsidR="006B0822" w:rsidRDefault="0042066C" w:rsidP="00DF4B69">
    <w:pPr>
      <w:pStyle w:val="Header"/>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t>8</w:t>
        </w:r>
        <w:r w:rsidR="006B0822" w:rsidRPr="007219DE">
          <w:t>-000</w:t>
        </w:r>
        <w:r w:rsidR="006B0822">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496D"/>
    <w:rsid w:val="0002119A"/>
    <w:rsid w:val="00022DBB"/>
    <w:rsid w:val="00024F24"/>
    <w:rsid w:val="00025C53"/>
    <w:rsid w:val="000308EF"/>
    <w:rsid w:val="000315F5"/>
    <w:rsid w:val="000518A2"/>
    <w:rsid w:val="00053244"/>
    <w:rsid w:val="0007116A"/>
    <w:rsid w:val="00081CB8"/>
    <w:rsid w:val="0008609F"/>
    <w:rsid w:val="000A418D"/>
    <w:rsid w:val="000A551A"/>
    <w:rsid w:val="000F272E"/>
    <w:rsid w:val="001129AA"/>
    <w:rsid w:val="00127448"/>
    <w:rsid w:val="001311B7"/>
    <w:rsid w:val="00131DEA"/>
    <w:rsid w:val="00146881"/>
    <w:rsid w:val="001475D4"/>
    <w:rsid w:val="00167A86"/>
    <w:rsid w:val="00173CA3"/>
    <w:rsid w:val="001777DC"/>
    <w:rsid w:val="00186C2C"/>
    <w:rsid w:val="001A1468"/>
    <w:rsid w:val="001A3128"/>
    <w:rsid w:val="001B1C97"/>
    <w:rsid w:val="001B207F"/>
    <w:rsid w:val="001E396E"/>
    <w:rsid w:val="001E4E42"/>
    <w:rsid w:val="00231A26"/>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812E3"/>
    <w:rsid w:val="00395DD9"/>
    <w:rsid w:val="003A79FD"/>
    <w:rsid w:val="003B29FB"/>
    <w:rsid w:val="003B555A"/>
    <w:rsid w:val="003B7027"/>
    <w:rsid w:val="003C127D"/>
    <w:rsid w:val="003C4E85"/>
    <w:rsid w:val="003D2070"/>
    <w:rsid w:val="004076EC"/>
    <w:rsid w:val="004204D7"/>
    <w:rsid w:val="0042066C"/>
    <w:rsid w:val="00423226"/>
    <w:rsid w:val="004254F2"/>
    <w:rsid w:val="004313D5"/>
    <w:rsid w:val="00442967"/>
    <w:rsid w:val="00465EEC"/>
    <w:rsid w:val="00484DEB"/>
    <w:rsid w:val="004B2BA4"/>
    <w:rsid w:val="004D17F8"/>
    <w:rsid w:val="004E2FB0"/>
    <w:rsid w:val="004E3713"/>
    <w:rsid w:val="004F33CA"/>
    <w:rsid w:val="00503DBF"/>
    <w:rsid w:val="005068D1"/>
    <w:rsid w:val="00511DC3"/>
    <w:rsid w:val="005441EB"/>
    <w:rsid w:val="00550E9B"/>
    <w:rsid w:val="00570C05"/>
    <w:rsid w:val="005745B3"/>
    <w:rsid w:val="005759BD"/>
    <w:rsid w:val="005922F1"/>
    <w:rsid w:val="00593F21"/>
    <w:rsid w:val="00597DAA"/>
    <w:rsid w:val="005B22D0"/>
    <w:rsid w:val="005B2A79"/>
    <w:rsid w:val="005D236C"/>
    <w:rsid w:val="006002E6"/>
    <w:rsid w:val="00621371"/>
    <w:rsid w:val="0063152F"/>
    <w:rsid w:val="00661FC3"/>
    <w:rsid w:val="00665AB3"/>
    <w:rsid w:val="00687C68"/>
    <w:rsid w:val="006A692D"/>
    <w:rsid w:val="006B0822"/>
    <w:rsid w:val="006B1354"/>
    <w:rsid w:val="006B4F0D"/>
    <w:rsid w:val="006C7623"/>
    <w:rsid w:val="006D6D65"/>
    <w:rsid w:val="006F2190"/>
    <w:rsid w:val="0070024F"/>
    <w:rsid w:val="00706C45"/>
    <w:rsid w:val="00717629"/>
    <w:rsid w:val="007219DE"/>
    <w:rsid w:val="00780EED"/>
    <w:rsid w:val="00791623"/>
    <w:rsid w:val="00794663"/>
    <w:rsid w:val="007A30F7"/>
    <w:rsid w:val="007A3197"/>
    <w:rsid w:val="007A6A95"/>
    <w:rsid w:val="007B2872"/>
    <w:rsid w:val="007C30A0"/>
    <w:rsid w:val="007D571F"/>
    <w:rsid w:val="007E05B2"/>
    <w:rsid w:val="007E4A0C"/>
    <w:rsid w:val="007F0A13"/>
    <w:rsid w:val="008012F5"/>
    <w:rsid w:val="00806A01"/>
    <w:rsid w:val="008109BD"/>
    <w:rsid w:val="0081790E"/>
    <w:rsid w:val="0082249B"/>
    <w:rsid w:val="00833713"/>
    <w:rsid w:val="0084620B"/>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10883"/>
    <w:rsid w:val="00917388"/>
    <w:rsid w:val="00932FB7"/>
    <w:rsid w:val="00934564"/>
    <w:rsid w:val="0095777B"/>
    <w:rsid w:val="00964A22"/>
    <w:rsid w:val="00984421"/>
    <w:rsid w:val="00987B8C"/>
    <w:rsid w:val="00995791"/>
    <w:rsid w:val="009A399C"/>
    <w:rsid w:val="009E59D7"/>
    <w:rsid w:val="00A1596F"/>
    <w:rsid w:val="00A20C57"/>
    <w:rsid w:val="00A246E7"/>
    <w:rsid w:val="00A3264B"/>
    <w:rsid w:val="00A34F73"/>
    <w:rsid w:val="00A41B88"/>
    <w:rsid w:val="00A54C23"/>
    <w:rsid w:val="00A60763"/>
    <w:rsid w:val="00A759FA"/>
    <w:rsid w:val="00A75ADA"/>
    <w:rsid w:val="00AA34A3"/>
    <w:rsid w:val="00AB48DA"/>
    <w:rsid w:val="00AC7981"/>
    <w:rsid w:val="00AD1402"/>
    <w:rsid w:val="00AE2DEF"/>
    <w:rsid w:val="00B05BBA"/>
    <w:rsid w:val="00B1030F"/>
    <w:rsid w:val="00B22C21"/>
    <w:rsid w:val="00B33F20"/>
    <w:rsid w:val="00B35B79"/>
    <w:rsid w:val="00B46664"/>
    <w:rsid w:val="00B50690"/>
    <w:rsid w:val="00B57E5D"/>
    <w:rsid w:val="00B844CF"/>
    <w:rsid w:val="00B922FD"/>
    <w:rsid w:val="00B94DBD"/>
    <w:rsid w:val="00B96868"/>
    <w:rsid w:val="00BA699D"/>
    <w:rsid w:val="00BC3454"/>
    <w:rsid w:val="00BD7C61"/>
    <w:rsid w:val="00BE0529"/>
    <w:rsid w:val="00BF5F40"/>
    <w:rsid w:val="00C0632C"/>
    <w:rsid w:val="00C46738"/>
    <w:rsid w:val="00C57D75"/>
    <w:rsid w:val="00C66D59"/>
    <w:rsid w:val="00C72703"/>
    <w:rsid w:val="00C74F4E"/>
    <w:rsid w:val="00C85B0C"/>
    <w:rsid w:val="00CB16FE"/>
    <w:rsid w:val="00CC0DAA"/>
    <w:rsid w:val="00CC18E2"/>
    <w:rsid w:val="00CC40C3"/>
    <w:rsid w:val="00CE1512"/>
    <w:rsid w:val="00CF4C54"/>
    <w:rsid w:val="00D23082"/>
    <w:rsid w:val="00D31647"/>
    <w:rsid w:val="00D35412"/>
    <w:rsid w:val="00D64F44"/>
    <w:rsid w:val="00D651FD"/>
    <w:rsid w:val="00D70C5C"/>
    <w:rsid w:val="00DE3AC5"/>
    <w:rsid w:val="00DE6E94"/>
    <w:rsid w:val="00DF4B69"/>
    <w:rsid w:val="00E031BF"/>
    <w:rsid w:val="00E237C2"/>
    <w:rsid w:val="00E26855"/>
    <w:rsid w:val="00E26ABB"/>
    <w:rsid w:val="00E4588B"/>
    <w:rsid w:val="00E535B8"/>
    <w:rsid w:val="00E5742E"/>
    <w:rsid w:val="00E57AB0"/>
    <w:rsid w:val="00E66F2E"/>
    <w:rsid w:val="00E70324"/>
    <w:rsid w:val="00E72628"/>
    <w:rsid w:val="00E7333B"/>
    <w:rsid w:val="00E77220"/>
    <w:rsid w:val="00EB4046"/>
    <w:rsid w:val="00EB499B"/>
    <w:rsid w:val="00EE198F"/>
    <w:rsid w:val="00EE49FE"/>
    <w:rsid w:val="00EF2008"/>
    <w:rsid w:val="00F12008"/>
    <w:rsid w:val="00F1351F"/>
    <w:rsid w:val="00F40FE9"/>
    <w:rsid w:val="00F56397"/>
    <w:rsid w:val="00F64AC9"/>
    <w:rsid w:val="00F66294"/>
    <w:rsid w:val="00F7561E"/>
    <w:rsid w:val="00F80267"/>
    <w:rsid w:val="00F93FA4"/>
    <w:rsid w:val="00FA0BD0"/>
    <w:rsid w:val="00FA13EE"/>
    <w:rsid w:val="00FA194B"/>
    <w:rsid w:val="00FA56BC"/>
    <w:rsid w:val="00FB1D8E"/>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5468CB-202C-460B-BE0F-4F0BA646727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5</ap:TotalTime>
  <ap:Pages>6</ap:Pages>
  <ap:Words>1150</ap:Words>
  <ap:Characters>6133</ap:Characters>
  <ap:Application>Microsoft Office Word</ap:Application>
  <ap:DocSecurity>0</ap:DocSecurity>
  <ap:Lines>111</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7257</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2021-03-18T20:19:00.0000000Z</dcterms:created>
  <dcterms:modified xsi:type="dcterms:W3CDTF">2021-03-18T20:58:00.0000000Z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