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5493" w:rsidR="00C47DDD" w:rsidP="00805493" w:rsidRDefault="00C47DDD" w14:paraId="51C29155" w14:textId="004B144B">
      <w:pPr>
        <w:pStyle w:val="Title"/>
      </w:pPr>
      <w:r w:rsidRPr="00805493">
        <w:t>SUPPORTING STATEMENT</w:t>
      </w:r>
    </w:p>
    <w:p w:rsidRPr="00805493" w:rsidR="00C47DDD" w:rsidP="00805493" w:rsidRDefault="00C47DDD" w14:paraId="304E5780" w14:textId="77777777">
      <w:pPr>
        <w:pStyle w:val="Title"/>
      </w:pPr>
      <w:r w:rsidRPr="00805493">
        <w:t>FOR AN INFORMATION COLLECTION REQUEST (ICR)</w:t>
      </w:r>
    </w:p>
    <w:p w:rsidRPr="003F76E4" w:rsidR="00C47DDD" w:rsidP="003F76E4" w:rsidRDefault="00C47DDD" w14:paraId="487F9960" w14:textId="77777777">
      <w:pPr>
        <w:pStyle w:val="Heading1"/>
      </w:pPr>
      <w:r w:rsidRPr="00C270C5">
        <w:t>1.</w:t>
      </w:r>
      <w:r w:rsidRPr="00C270C5">
        <w:tab/>
        <w:t>IDENTIFICATION OF THE INFORMATION COLLECTION</w:t>
      </w:r>
    </w:p>
    <w:p w:rsidRPr="00C270C5" w:rsidR="00C47DDD" w:rsidP="00805493" w:rsidRDefault="00C47DDD" w14:paraId="622BC37A" w14:textId="77777777">
      <w:pPr>
        <w:pStyle w:val="Heading2"/>
      </w:pPr>
      <w:r w:rsidRPr="00C270C5">
        <w:t>1(a)</w:t>
      </w:r>
      <w:r w:rsidRPr="00C270C5">
        <w:tab/>
        <w:t>Title of the Information Collection</w:t>
      </w:r>
    </w:p>
    <w:p w:rsidRPr="00C270C5" w:rsidR="00C47DDD" w:rsidP="008B7CCF" w:rsidRDefault="00C47DDD" w14:paraId="43F703B9" w14:textId="77777777">
      <w:pPr>
        <w:rPr>
          <w:rFonts w:asciiTheme="majorBidi" w:hAnsiTheme="majorBidi" w:cstheme="majorBidi"/>
        </w:rPr>
      </w:pPr>
    </w:p>
    <w:p w:rsidR="00C47DDD" w:rsidP="00DD07ED" w:rsidRDefault="00C47DDD" w14:paraId="56FC8D53" w14:textId="697BE45B">
      <w:pPr>
        <w:spacing w:line="259" w:lineRule="auto"/>
        <w:ind w:left="720"/>
      </w:pPr>
      <w:r w:rsidRPr="00BF314F">
        <w:rPr>
          <w:rFonts w:asciiTheme="majorBidi" w:hAnsiTheme="majorBidi"/>
          <w:b/>
        </w:rPr>
        <w:t xml:space="preserve">TITLE: </w:t>
      </w:r>
      <w:r w:rsidRPr="00BF314F" w:rsidR="002755D5">
        <w:rPr>
          <w:rFonts w:asciiTheme="majorBidi" w:hAnsiTheme="majorBidi"/>
          <w:b/>
        </w:rPr>
        <w:t>Proposed Rule</w:t>
      </w:r>
      <w:r w:rsidR="00DD07ED">
        <w:rPr>
          <w:rFonts w:asciiTheme="majorBidi" w:hAnsiTheme="majorBidi"/>
          <w:b/>
        </w:rPr>
        <w:t xml:space="preserve">-related </w:t>
      </w:r>
      <w:r w:rsidRPr="00BF314F" w:rsidR="00E353F4">
        <w:rPr>
          <w:rFonts w:asciiTheme="majorBidi" w:hAnsiTheme="majorBidi"/>
          <w:b/>
        </w:rPr>
        <w:t>ICR Amendment for</w:t>
      </w:r>
      <w:r w:rsidR="00E353F4">
        <w:rPr>
          <w:rFonts w:asciiTheme="majorBidi" w:hAnsiTheme="majorBidi"/>
        </w:rPr>
        <w:t xml:space="preserve"> </w:t>
      </w:r>
      <w:bookmarkStart w:name="_Hlk34899846" w:id="0"/>
      <w:r w:rsidRPr="002E1D86" w:rsidR="00BF314F">
        <w:rPr>
          <w:b/>
          <w:bCs/>
          <w:color w:val="000000"/>
        </w:rPr>
        <w:t xml:space="preserve">Pesticide Product Performance Data Requirements for Products Claiming Efficacy Against </w:t>
      </w:r>
      <w:r w:rsidR="00BF314F">
        <w:rPr>
          <w:b/>
          <w:bCs/>
          <w:color w:val="000000"/>
        </w:rPr>
        <w:t xml:space="preserve">Certain </w:t>
      </w:r>
      <w:r w:rsidRPr="002E1D86" w:rsidR="00BF314F">
        <w:rPr>
          <w:b/>
          <w:bCs/>
          <w:color w:val="000000"/>
        </w:rPr>
        <w:t>Invertebrate Pests</w:t>
      </w:r>
      <w:r w:rsidR="00BF314F">
        <w:rPr>
          <w:b/>
          <w:bCs/>
          <w:color w:val="000000"/>
        </w:rPr>
        <w:t xml:space="preserve"> (</w:t>
      </w:r>
      <w:r w:rsidRPr="00177221" w:rsidR="00BF314F">
        <w:rPr>
          <w:b/>
          <w:bCs/>
        </w:rPr>
        <w:t>RIN 2070-AJ49</w:t>
      </w:r>
      <w:r w:rsidR="00BF314F">
        <w:rPr>
          <w:b/>
          <w:bCs/>
        </w:rPr>
        <w:t>)</w:t>
      </w:r>
      <w:r w:rsidR="00DD07ED">
        <w:rPr>
          <w:b/>
          <w:bCs/>
        </w:rPr>
        <w:br/>
      </w:r>
      <w:bookmarkEnd w:id="0"/>
      <w:r w:rsidRPr="00DD07ED" w:rsidR="00DD07ED">
        <w:rPr>
          <w:rFonts w:asciiTheme="majorBidi" w:hAnsiTheme="majorBidi"/>
          <w:b/>
          <w:bCs/>
        </w:rPr>
        <w:t>ICR Numbers:</w:t>
      </w:r>
      <w:r w:rsidR="00DD07ED">
        <w:rPr>
          <w:rFonts w:asciiTheme="majorBidi" w:hAnsiTheme="majorBidi"/>
        </w:rPr>
        <w:t xml:space="preserve"> </w:t>
      </w:r>
      <w:bookmarkStart w:name="_Hlk59088180" w:id="1"/>
      <w:r w:rsidRPr="00C270C5" w:rsidR="00DD07ED">
        <w:rPr>
          <w:rFonts w:asciiTheme="majorBidi" w:hAnsiTheme="majorBidi"/>
        </w:rPr>
        <w:t xml:space="preserve">EPA </w:t>
      </w:r>
      <w:r w:rsidR="00DD07ED">
        <w:rPr>
          <w:rFonts w:asciiTheme="majorBidi" w:hAnsiTheme="majorBidi"/>
        </w:rPr>
        <w:t xml:space="preserve">ICR </w:t>
      </w:r>
      <w:r w:rsidRPr="00C270C5" w:rsidR="00DD07ED">
        <w:rPr>
          <w:rFonts w:asciiTheme="majorBidi" w:hAnsiTheme="majorBidi"/>
        </w:rPr>
        <w:t xml:space="preserve">No.: </w:t>
      </w:r>
      <w:r w:rsidR="009A4FEB">
        <w:rPr>
          <w:rFonts w:asciiTheme="majorBidi" w:hAnsiTheme="majorBidi"/>
        </w:rPr>
        <w:t>0277.21</w:t>
      </w:r>
      <w:r w:rsidR="00DD07ED">
        <w:rPr>
          <w:rFonts w:asciiTheme="majorBidi" w:hAnsiTheme="majorBidi"/>
        </w:rPr>
        <w:t xml:space="preserve">; </w:t>
      </w:r>
      <w:r w:rsidRPr="00C270C5">
        <w:rPr>
          <w:rFonts w:asciiTheme="majorBidi" w:hAnsiTheme="majorBidi"/>
        </w:rPr>
        <w:t>OM</w:t>
      </w:r>
      <w:r w:rsidRPr="00C270C5" w:rsidR="00772F0C">
        <w:rPr>
          <w:rFonts w:asciiTheme="majorBidi" w:hAnsiTheme="majorBidi"/>
        </w:rPr>
        <w:t xml:space="preserve">B </w:t>
      </w:r>
      <w:r w:rsidR="00805493">
        <w:rPr>
          <w:rFonts w:asciiTheme="majorBidi" w:hAnsiTheme="majorBidi"/>
        </w:rPr>
        <w:t xml:space="preserve">Control </w:t>
      </w:r>
      <w:r w:rsidRPr="00C270C5" w:rsidR="00772F0C">
        <w:rPr>
          <w:rFonts w:asciiTheme="majorBidi" w:hAnsiTheme="majorBidi"/>
        </w:rPr>
        <w:t>No.</w:t>
      </w:r>
      <w:r w:rsidRPr="00C270C5" w:rsidR="005A59D5">
        <w:rPr>
          <w:rFonts w:asciiTheme="majorBidi" w:hAnsiTheme="majorBidi"/>
        </w:rPr>
        <w:t>:</w:t>
      </w:r>
      <w:r w:rsidRPr="00C270C5" w:rsidR="00772F0C">
        <w:rPr>
          <w:rFonts w:asciiTheme="majorBidi" w:hAnsiTheme="majorBidi"/>
        </w:rPr>
        <w:t xml:space="preserve"> 2070-</w:t>
      </w:r>
      <w:bookmarkEnd w:id="1"/>
      <w:r w:rsidR="009A4FEB">
        <w:rPr>
          <w:rFonts w:asciiTheme="majorBidi" w:hAnsiTheme="majorBidi"/>
        </w:rPr>
        <w:t>0060</w:t>
      </w:r>
      <w:r w:rsidR="00DD07ED">
        <w:rPr>
          <w:rFonts w:asciiTheme="majorBidi" w:hAnsiTheme="majorBidi"/>
        </w:rPr>
        <w:br/>
      </w:r>
      <w:r w:rsidRPr="00DD07ED" w:rsidR="00BF314F">
        <w:rPr>
          <w:rFonts w:asciiTheme="majorBidi" w:hAnsiTheme="majorBidi"/>
          <w:b/>
          <w:bCs/>
        </w:rPr>
        <w:t>Docket ID No.:</w:t>
      </w:r>
      <w:r w:rsidR="00BF314F">
        <w:rPr>
          <w:rFonts w:asciiTheme="majorBidi" w:hAnsiTheme="majorBidi"/>
        </w:rPr>
        <w:t xml:space="preserve"> </w:t>
      </w:r>
      <w:r w:rsidRPr="00DA0D38" w:rsidR="00BF314F">
        <w:t>EPA-HQ-OPP-20</w:t>
      </w:r>
      <w:r w:rsidR="00BF314F">
        <w:rPr>
          <w:bCs/>
        </w:rPr>
        <w:t>20-0124</w:t>
      </w:r>
    </w:p>
    <w:p w:rsidRPr="00C270C5" w:rsidR="00E353F4" w:rsidP="008B445D" w:rsidRDefault="008B445D" w14:paraId="31C681DE" w14:textId="3BD3BF5D">
      <w:pPr>
        <w:tabs>
          <w:tab w:val="left" w:pos="5655"/>
        </w:tabs>
        <w:ind w:firstLine="720"/>
        <w:rPr>
          <w:rFonts w:asciiTheme="majorBidi" w:hAnsiTheme="majorBidi" w:cstheme="majorBidi"/>
        </w:rPr>
      </w:pPr>
      <w:r>
        <w:rPr>
          <w:rFonts w:asciiTheme="majorBidi" w:hAnsiTheme="majorBidi" w:cstheme="majorBidi"/>
        </w:rPr>
        <w:tab/>
      </w:r>
    </w:p>
    <w:p w:rsidRPr="00C270C5" w:rsidR="00C47DDD" w:rsidP="00E353F4" w:rsidRDefault="00C47DDD" w14:paraId="2770FDE3" w14:textId="77777777">
      <w:pPr>
        <w:pStyle w:val="Heading2"/>
      </w:pPr>
      <w:r w:rsidRPr="00C270C5">
        <w:t>1(b)</w:t>
      </w:r>
      <w:r w:rsidRPr="00C270C5">
        <w:tab/>
        <w:t>Short Characterization/Abstract</w:t>
      </w:r>
    </w:p>
    <w:p w:rsidRPr="00BF314F" w:rsidR="00152185" w:rsidP="00152185" w:rsidRDefault="00EE4D7C" w14:paraId="34C8B7F2" w14:textId="77777777">
      <w:pPr>
        <w:rPr>
          <w:bCs/>
        </w:rPr>
      </w:pPr>
      <w:r w:rsidRPr="00C270C5">
        <w:rPr>
          <w:rFonts w:asciiTheme="majorBidi" w:hAnsiTheme="majorBidi" w:cstheme="majorBidi"/>
        </w:rPr>
        <w:t xml:space="preserve">This information collection request (ICR) </w:t>
      </w:r>
      <w:r w:rsidR="00E353F4">
        <w:rPr>
          <w:rFonts w:asciiTheme="majorBidi" w:hAnsiTheme="majorBidi" w:cstheme="majorBidi"/>
        </w:rPr>
        <w:t xml:space="preserve">addresses the </w:t>
      </w:r>
      <w:r w:rsidRPr="00753FEA" w:rsidR="00E353F4">
        <w:t xml:space="preserve">information collection </w:t>
      </w:r>
      <w:r w:rsidR="00E353F4">
        <w:t xml:space="preserve">activities </w:t>
      </w:r>
      <w:r w:rsidRPr="00753FEA" w:rsidR="00E353F4">
        <w:t>in th</w:t>
      </w:r>
      <w:r w:rsidR="00E353F4">
        <w:t>e</w:t>
      </w:r>
      <w:r w:rsidRPr="00753FEA" w:rsidR="00E353F4">
        <w:t xml:space="preserve"> proposed rule</w:t>
      </w:r>
      <w:r w:rsidR="00E353F4">
        <w:t xml:space="preserve"> </w:t>
      </w:r>
      <w:r w:rsidRPr="00BF314F" w:rsidR="00E353F4">
        <w:t>entitled “</w:t>
      </w:r>
      <w:r w:rsidRPr="00BF314F" w:rsidR="00BF314F">
        <w:rPr>
          <w:bCs/>
          <w:color w:val="000000"/>
        </w:rPr>
        <w:t>Pesticide Product Performance Data Req</w:t>
      </w:r>
      <w:r w:rsidR="00BF314F">
        <w:rPr>
          <w:bCs/>
          <w:color w:val="000000"/>
        </w:rPr>
        <w:t xml:space="preserve">uirements for Products Claiming </w:t>
      </w:r>
      <w:r w:rsidRPr="00BF314F" w:rsidR="00BF314F">
        <w:rPr>
          <w:bCs/>
          <w:color w:val="000000"/>
        </w:rPr>
        <w:t>Efficacy Against Certain Invertebrate Pests” (</w:t>
      </w:r>
      <w:r w:rsidRPr="00BF314F" w:rsidR="00BF314F">
        <w:rPr>
          <w:bCs/>
        </w:rPr>
        <w:t>RIN 2070-AJ49)</w:t>
      </w:r>
      <w:r w:rsidRPr="000B431C" w:rsidR="00152185">
        <w:t>.</w:t>
      </w:r>
      <w:r w:rsidR="00BF314F">
        <w:t xml:space="preserve"> </w:t>
      </w:r>
      <w:r w:rsidRPr="00253C8E" w:rsidR="00BF314F">
        <w:t xml:space="preserve">EPA is proposing </w:t>
      </w:r>
      <w:r w:rsidRPr="00AD0178" w:rsidR="00BF314F">
        <w:rPr>
          <w:color w:val="000000"/>
        </w:rPr>
        <w:t xml:space="preserve">to codify product performance data requirements to support registration of </w:t>
      </w:r>
      <w:r w:rsidR="00BF314F">
        <w:rPr>
          <w:color w:val="000000"/>
        </w:rPr>
        <w:t xml:space="preserve">pesticidal </w:t>
      </w:r>
      <w:r w:rsidRPr="00AD0178" w:rsidR="00BF314F">
        <w:rPr>
          <w:color w:val="000000"/>
        </w:rPr>
        <w:t xml:space="preserve">products </w:t>
      </w:r>
      <w:r w:rsidR="00BF314F">
        <w:rPr>
          <w:color w:val="000000"/>
        </w:rPr>
        <w:t>claiming efficacy against</w:t>
      </w:r>
      <w:r w:rsidRPr="00AD0178" w:rsidR="00BF314F">
        <w:rPr>
          <w:color w:val="000000"/>
        </w:rPr>
        <w:t xml:space="preserve"> three categories of invertebrate pests: </w:t>
      </w:r>
      <w:r w:rsidR="00BF314F">
        <w:rPr>
          <w:color w:val="000000"/>
        </w:rPr>
        <w:t>T</w:t>
      </w:r>
      <w:r w:rsidRPr="00AD0178" w:rsidR="00BF314F">
        <w:rPr>
          <w:color w:val="000000"/>
        </w:rPr>
        <w:t xml:space="preserve">hose identified to be of significant public health importance (e.g., ticks, mosquitoes, cockroaches, etc.), wood-destroying insects (e.g., termites), and </w:t>
      </w:r>
      <w:r w:rsidR="00BF314F">
        <w:rPr>
          <w:color w:val="000000"/>
        </w:rPr>
        <w:t xml:space="preserve">certain </w:t>
      </w:r>
      <w:r w:rsidRPr="00AD0178" w:rsidR="00BF314F">
        <w:rPr>
          <w:color w:val="000000"/>
        </w:rPr>
        <w:t xml:space="preserve">invasive invertebrate species (e.g., Asian </w:t>
      </w:r>
      <w:proofErr w:type="spellStart"/>
      <w:r w:rsidRPr="00AD0178" w:rsidR="00BF314F">
        <w:rPr>
          <w:color w:val="000000"/>
        </w:rPr>
        <w:t>longhorned</w:t>
      </w:r>
      <w:proofErr w:type="spellEnd"/>
      <w:r w:rsidRPr="00AD0178" w:rsidR="00BF314F">
        <w:rPr>
          <w:color w:val="000000"/>
        </w:rPr>
        <w:t xml:space="preserve"> beetle). The two latter categories are </w:t>
      </w:r>
      <w:r w:rsidR="00BF314F">
        <w:rPr>
          <w:color w:val="000000"/>
        </w:rPr>
        <w:t xml:space="preserve">non-agricultural pests </w:t>
      </w:r>
      <w:r w:rsidRPr="00AD0178" w:rsidR="00BF314F">
        <w:rPr>
          <w:color w:val="000000"/>
        </w:rPr>
        <w:t>considered to be of significant economic</w:t>
      </w:r>
      <w:r w:rsidR="00BF314F">
        <w:rPr>
          <w:color w:val="000000"/>
        </w:rPr>
        <w:t xml:space="preserve"> or ecological</w:t>
      </w:r>
      <w:r w:rsidRPr="00AD0178" w:rsidR="00BF314F">
        <w:rPr>
          <w:color w:val="000000"/>
        </w:rPr>
        <w:t xml:space="preserve"> importance. Product performance data (efficacy studies) document how well the </w:t>
      </w:r>
      <w:r w:rsidR="00BF314F">
        <w:rPr>
          <w:color w:val="000000"/>
        </w:rPr>
        <w:t>pesticide</w:t>
      </w:r>
      <w:r w:rsidRPr="00AD0178" w:rsidR="00BF314F">
        <w:rPr>
          <w:color w:val="000000"/>
        </w:rPr>
        <w:t xml:space="preserve"> performs the intended function (such as killing or repelling) against an invertebrate pest</w:t>
      </w:r>
      <w:r w:rsidR="00BA0039">
        <w:rPr>
          <w:color w:val="000000"/>
        </w:rPr>
        <w:t>.</w:t>
      </w:r>
      <w:r w:rsidRPr="000B431C" w:rsidR="00152185">
        <w:t xml:space="preserve"> </w:t>
      </w:r>
    </w:p>
    <w:p w:rsidR="00152185" w:rsidP="00152185" w:rsidRDefault="00152185" w14:paraId="13458786" w14:textId="77777777"/>
    <w:p w:rsidR="00667790" w:rsidP="0068698D" w:rsidRDefault="00152185" w14:paraId="6D6CD387" w14:textId="797FC5DB">
      <w:pPr>
        <w:rPr>
          <w:rFonts w:asciiTheme="majorBidi" w:hAnsiTheme="majorBidi" w:cstheme="majorBidi"/>
        </w:rPr>
      </w:pPr>
      <w:r>
        <w:t xml:space="preserve">This ICR is designed to serve as an </w:t>
      </w:r>
      <w:r w:rsidR="002755D5">
        <w:t xml:space="preserve">amendment </w:t>
      </w:r>
      <w:r>
        <w:t>to the existing ICR entitled “</w:t>
      </w:r>
      <w:r w:rsidR="0068698D">
        <w:t>Application for New and Amended Pesticide Registration,” identified as EPA ICR No. 0277</w:t>
      </w:r>
      <w:r w:rsidR="001846B1">
        <w:t>.21</w:t>
      </w:r>
      <w:r w:rsidR="0068698D">
        <w:t xml:space="preserve"> and approved under OMB Control No.: 2070-0060. The existing ICR addresses the information collection activities associated with the </w:t>
      </w:r>
      <w:r w:rsidRPr="00C270C5" w:rsidR="006066A7">
        <w:rPr>
          <w:rFonts w:asciiTheme="majorBidi" w:hAnsiTheme="majorBidi" w:cstheme="majorBidi"/>
        </w:rPr>
        <w:t xml:space="preserve">registration of </w:t>
      </w:r>
      <w:r w:rsidRPr="00C270C5" w:rsidR="00C47DDD">
        <w:rPr>
          <w:rFonts w:asciiTheme="majorBidi" w:hAnsiTheme="majorBidi" w:cstheme="majorBidi"/>
        </w:rPr>
        <w:t xml:space="preserve">a pesticide product under </w:t>
      </w:r>
      <w:r w:rsidR="00866AF5">
        <w:rPr>
          <w:rFonts w:asciiTheme="majorBidi" w:hAnsiTheme="majorBidi" w:cstheme="majorBidi"/>
        </w:rPr>
        <w:t>Federal Insecticide, Fungicide, and Rodenticide Act (FIFR</w:t>
      </w:r>
      <w:r w:rsidR="00BA0039">
        <w:rPr>
          <w:rFonts w:asciiTheme="majorBidi" w:hAnsiTheme="majorBidi" w:cstheme="majorBidi"/>
        </w:rPr>
        <w:t>A</w:t>
      </w:r>
      <w:r w:rsidR="00866AF5">
        <w:rPr>
          <w:rFonts w:asciiTheme="majorBidi" w:hAnsiTheme="majorBidi" w:cstheme="majorBidi"/>
        </w:rPr>
        <w:t>)</w:t>
      </w:r>
      <w:r w:rsidR="0068698D">
        <w:rPr>
          <w:rFonts w:asciiTheme="majorBidi" w:hAnsiTheme="majorBidi" w:cstheme="majorBidi"/>
        </w:rPr>
        <w:t xml:space="preserve"> </w:t>
      </w:r>
      <w:r w:rsidR="0081365C">
        <w:rPr>
          <w:rFonts w:asciiTheme="majorBidi" w:hAnsiTheme="majorBidi" w:cstheme="majorBidi"/>
        </w:rPr>
        <w:t>S</w:t>
      </w:r>
      <w:r w:rsidR="00BF314F">
        <w:rPr>
          <w:rFonts w:asciiTheme="majorBidi" w:hAnsiTheme="majorBidi" w:cstheme="majorBidi"/>
        </w:rPr>
        <w:t xml:space="preserve">ection 3. </w:t>
      </w:r>
      <w:r w:rsidRPr="00C270C5" w:rsidR="00287E6E">
        <w:rPr>
          <w:rFonts w:asciiTheme="majorBidi" w:hAnsiTheme="majorBidi" w:cstheme="majorBidi"/>
        </w:rPr>
        <w:t>FIFRA provides EPA</w:t>
      </w:r>
      <w:r w:rsidR="00BA0039">
        <w:rPr>
          <w:rFonts w:asciiTheme="majorBidi" w:hAnsiTheme="majorBidi" w:cstheme="majorBidi"/>
        </w:rPr>
        <w:t xml:space="preserve"> </w:t>
      </w:r>
      <w:r w:rsidRPr="00C270C5" w:rsidR="00181061">
        <w:rPr>
          <w:rFonts w:asciiTheme="majorBidi" w:hAnsiTheme="majorBidi" w:cstheme="majorBidi"/>
        </w:rPr>
        <w:t xml:space="preserve">with </w:t>
      </w:r>
      <w:r w:rsidRPr="00C270C5" w:rsidR="00287E6E">
        <w:rPr>
          <w:rFonts w:asciiTheme="majorBidi" w:hAnsiTheme="majorBidi" w:cstheme="majorBidi"/>
        </w:rPr>
        <w:t xml:space="preserve">the authority to regulate the </w:t>
      </w:r>
      <w:r w:rsidRPr="00C270C5" w:rsidR="0022480B">
        <w:rPr>
          <w:rFonts w:asciiTheme="majorBidi" w:hAnsiTheme="majorBidi" w:cstheme="majorBidi"/>
        </w:rPr>
        <w:t xml:space="preserve">distribution, </w:t>
      </w:r>
      <w:r w:rsidRPr="00C270C5" w:rsidR="00287E6E">
        <w:rPr>
          <w:rFonts w:asciiTheme="majorBidi" w:hAnsiTheme="majorBidi" w:cstheme="majorBidi"/>
        </w:rPr>
        <w:t>sale and use of pesticides</w:t>
      </w:r>
      <w:r w:rsidRPr="00C270C5" w:rsidR="00DD3C46">
        <w:rPr>
          <w:rFonts w:asciiTheme="majorBidi" w:hAnsiTheme="majorBidi" w:cstheme="majorBidi"/>
        </w:rPr>
        <w:t xml:space="preserve"> in the</w:t>
      </w:r>
      <w:r w:rsidRPr="00C270C5" w:rsidR="00C47DDD">
        <w:rPr>
          <w:rFonts w:asciiTheme="majorBidi" w:hAnsiTheme="majorBidi" w:cstheme="majorBidi"/>
        </w:rPr>
        <w:t xml:space="preserve"> United States </w:t>
      </w:r>
      <w:r w:rsidR="00866988">
        <w:rPr>
          <w:rFonts w:asciiTheme="majorBidi" w:hAnsiTheme="majorBidi" w:cstheme="majorBidi"/>
        </w:rPr>
        <w:t>and</w:t>
      </w:r>
      <w:r w:rsidRPr="00C270C5" w:rsidR="00C47DDD">
        <w:rPr>
          <w:rFonts w:asciiTheme="majorBidi" w:hAnsiTheme="majorBidi" w:cstheme="majorBidi"/>
        </w:rPr>
        <w:t xml:space="preserve"> ensure that </w:t>
      </w:r>
      <w:r w:rsidR="002C28F6">
        <w:rPr>
          <w:rFonts w:asciiTheme="majorBidi" w:hAnsiTheme="majorBidi" w:cstheme="majorBidi"/>
        </w:rPr>
        <w:t>pesticides</w:t>
      </w:r>
      <w:r w:rsidRPr="00C270C5" w:rsidR="00C47DDD">
        <w:rPr>
          <w:rFonts w:asciiTheme="majorBidi" w:hAnsiTheme="majorBidi" w:cstheme="majorBidi"/>
        </w:rPr>
        <w:t xml:space="preserve"> will not pose unreasonable adverse effects to human health and the environment. </w:t>
      </w:r>
    </w:p>
    <w:p w:rsidR="00BF314F" w:rsidP="0068698D" w:rsidRDefault="00BF314F" w14:paraId="02FBD68F" w14:textId="77777777">
      <w:pPr>
        <w:rPr>
          <w:rFonts w:asciiTheme="majorBidi" w:hAnsiTheme="majorBidi" w:cstheme="majorBidi"/>
        </w:rPr>
      </w:pPr>
    </w:p>
    <w:p w:rsidR="00BA0039" w:rsidP="00866AF5" w:rsidRDefault="00866AF5" w14:paraId="78BD0C44" w14:textId="0D579406">
      <w:pPr>
        <w:rPr>
          <w:rFonts w:asciiTheme="majorBidi" w:hAnsiTheme="majorBidi" w:cstheme="majorBidi"/>
          <w:color w:val="auto"/>
        </w:rPr>
      </w:pPr>
      <w:r>
        <w:rPr>
          <w:rFonts w:asciiTheme="majorBidi" w:hAnsiTheme="majorBidi" w:cstheme="majorBidi"/>
        </w:rPr>
        <w:t xml:space="preserve">This information collection is designed to provide the EPA with the necessary information to evaluate an application for the registration of a pesticide product, as required under Section 3 of the FIFRA and section 408 of the Federal Food, Drug, and Cosmetic Act (FFDCA) (see </w:t>
      </w:r>
      <w:r>
        <w:rPr>
          <w:rFonts w:asciiTheme="majorBidi" w:hAnsiTheme="majorBidi" w:cstheme="majorBidi"/>
          <w:b/>
        </w:rPr>
        <w:t>Attachment A</w:t>
      </w:r>
      <w:r>
        <w:rPr>
          <w:rFonts w:asciiTheme="majorBidi" w:hAnsiTheme="majorBidi" w:cstheme="majorBidi"/>
        </w:rPr>
        <w:t>). Under FIFRA, EPA must evaluate pesticides comprehensively before they can be marketed and used in the United States to ensure that they will not pose unreasonable adverse effects to human health and the environment</w:t>
      </w:r>
      <w:r w:rsidRPr="00D6106C">
        <w:t>.</w:t>
      </w:r>
      <w:r w:rsidRPr="00D6106C" w:rsidR="00D6106C">
        <w:t xml:space="preserve"> </w:t>
      </w:r>
      <w:r w:rsidRPr="00D6106C" w:rsidR="00D6106C">
        <w:rPr>
          <w:color w:val="212121"/>
          <w:shd w:val="clear" w:color="auto" w:fill="FFFFFF"/>
        </w:rPr>
        <w:t>This registration evaluation includes determining whether the composition of the pesticide warrants the proposed claims for it, the pesticide's labeling complies with all applicable requirements (e.g., is not false or misleading), and the pesticide will perform its intended function without unreasonable adverse effects on the environment. See FIFRA sec. 3(c)(5).</w:t>
      </w:r>
      <w:r>
        <w:rPr>
          <w:rFonts w:asciiTheme="majorBidi" w:hAnsiTheme="majorBidi" w:cstheme="majorBidi"/>
        </w:rPr>
        <w:t xml:space="preserve"> Pesticides that meet this test are granted a license or "registration" which permits their distribution, sale and use according to requirements set by EPA to protect human health and the environment.</w:t>
      </w:r>
    </w:p>
    <w:p w:rsidR="00D6106C" w:rsidP="00BA0039" w:rsidRDefault="00D6106C" w14:paraId="563AB146" w14:textId="77777777"/>
    <w:p w:rsidRPr="00B22117" w:rsidR="00AC599C" w:rsidP="00BA0039" w:rsidRDefault="00BF314F" w14:paraId="341AE812" w14:textId="63FF5A5E">
      <w:pPr>
        <w:rPr>
          <w:rFonts w:eastAsiaTheme="minorHAnsi"/>
        </w:rPr>
      </w:pPr>
      <w:r w:rsidRPr="00BB52D8">
        <w:lastRenderedPageBreak/>
        <w:t>Product performance data (efficacy studies) document how well the product performs the intended function</w:t>
      </w:r>
      <w:r>
        <w:t xml:space="preserve"> (such as</w:t>
      </w:r>
      <w:r w:rsidRPr="00BB52D8">
        <w:t xml:space="preserve"> killing or repelling</w:t>
      </w:r>
      <w:r>
        <w:t>) against</w:t>
      </w:r>
      <w:r w:rsidRPr="00BB52D8">
        <w:t xml:space="preserve"> an invertebrate pest. </w:t>
      </w:r>
      <w:r>
        <w:t xml:space="preserve">This </w:t>
      </w:r>
      <w:r w:rsidR="0095137C">
        <w:t xml:space="preserve">proposed </w:t>
      </w:r>
      <w:r>
        <w:t xml:space="preserve">rule </w:t>
      </w:r>
      <w:r w:rsidR="0095137C">
        <w:t>would change</w:t>
      </w:r>
      <w:r>
        <w:t xml:space="preserve"> the regulatory mechanism by which this information would be collected, but </w:t>
      </w:r>
      <w:r w:rsidR="00AC599C">
        <w:rPr>
          <w:rFonts w:eastAsiaTheme="minorHAnsi"/>
        </w:rPr>
        <w:t>for the most part, t</w:t>
      </w:r>
      <w:r w:rsidRPr="00BB52D8" w:rsidR="00AC599C">
        <w:rPr>
          <w:rFonts w:eastAsiaTheme="minorHAnsi"/>
        </w:rPr>
        <w:t xml:space="preserve">he data </w:t>
      </w:r>
      <w:r w:rsidR="00AC599C">
        <w:rPr>
          <w:rFonts w:eastAsiaTheme="minorHAnsi"/>
        </w:rPr>
        <w:t xml:space="preserve">requirements </w:t>
      </w:r>
      <w:r w:rsidRPr="00BB52D8" w:rsidR="00AC599C">
        <w:rPr>
          <w:rFonts w:eastAsiaTheme="minorHAnsi"/>
        </w:rPr>
        <w:t xml:space="preserve">that </w:t>
      </w:r>
      <w:r w:rsidR="00AC599C">
        <w:rPr>
          <w:rFonts w:eastAsiaTheme="minorHAnsi"/>
        </w:rPr>
        <w:t xml:space="preserve">EPA is proposing </w:t>
      </w:r>
      <w:r w:rsidRPr="00BB52D8" w:rsidR="00AC599C">
        <w:rPr>
          <w:rFonts w:eastAsiaTheme="minorHAnsi"/>
        </w:rPr>
        <w:t xml:space="preserve">for codification are consistent with </w:t>
      </w:r>
      <w:r w:rsidR="00AC599C">
        <w:rPr>
          <w:rFonts w:eastAsiaTheme="minorHAnsi"/>
        </w:rPr>
        <w:t>EPA’s</w:t>
      </w:r>
      <w:r w:rsidRPr="00BB52D8" w:rsidR="00AC599C">
        <w:rPr>
          <w:rFonts w:eastAsiaTheme="minorHAnsi"/>
        </w:rPr>
        <w:t xml:space="preserve"> </w:t>
      </w:r>
      <w:r w:rsidR="00AC599C">
        <w:rPr>
          <w:rFonts w:eastAsiaTheme="minorHAnsi"/>
        </w:rPr>
        <w:t>current</w:t>
      </w:r>
      <w:r w:rsidRPr="00BB52D8" w:rsidR="00AC599C">
        <w:rPr>
          <w:rFonts w:eastAsiaTheme="minorHAnsi"/>
        </w:rPr>
        <w:t xml:space="preserve"> practices </w:t>
      </w:r>
      <w:r w:rsidR="00AC599C">
        <w:rPr>
          <w:rFonts w:eastAsiaTheme="minorHAnsi"/>
        </w:rPr>
        <w:t>in data supporting applications for</w:t>
      </w:r>
      <w:r w:rsidRPr="00BB52D8" w:rsidR="00AC599C">
        <w:rPr>
          <w:rFonts w:eastAsiaTheme="minorHAnsi"/>
        </w:rPr>
        <w:t xml:space="preserve"> regist</w:t>
      </w:r>
      <w:r w:rsidR="00AC599C">
        <w:rPr>
          <w:rFonts w:eastAsiaTheme="minorHAnsi"/>
        </w:rPr>
        <w:t>ration of</w:t>
      </w:r>
      <w:r w:rsidRPr="00BB52D8" w:rsidR="00AC599C">
        <w:rPr>
          <w:rFonts w:eastAsiaTheme="minorHAnsi"/>
        </w:rPr>
        <w:t xml:space="preserve"> a pesticide product that </w:t>
      </w:r>
      <w:r w:rsidR="00AC599C">
        <w:rPr>
          <w:rFonts w:eastAsiaTheme="minorHAnsi"/>
        </w:rPr>
        <w:t xml:space="preserve">bears a pesticidal </w:t>
      </w:r>
      <w:r w:rsidRPr="00BB52D8" w:rsidR="00AC599C">
        <w:rPr>
          <w:rFonts w:eastAsiaTheme="minorHAnsi"/>
        </w:rPr>
        <w:t>claim</w:t>
      </w:r>
      <w:r w:rsidR="00AC599C">
        <w:rPr>
          <w:rFonts w:eastAsiaTheme="minorHAnsi"/>
        </w:rPr>
        <w:t xml:space="preserve"> against one or more of these pests. </w:t>
      </w:r>
      <w:r w:rsidR="0095137C">
        <w:rPr>
          <w:color w:val="000000"/>
        </w:rPr>
        <w:t>Additionally,</w:t>
      </w:r>
      <w:r w:rsidR="00AC599C">
        <w:rPr>
          <w:color w:val="000000"/>
        </w:rPr>
        <w:t xml:space="preserve"> </w:t>
      </w:r>
      <w:r w:rsidRPr="00E70644" w:rsidR="00AC599C">
        <w:t xml:space="preserve">the Pesticide Registration Improvement Extension Act of 2018 (PRIA 4) </w:t>
      </w:r>
      <w:r w:rsidR="00866AF5">
        <w:t xml:space="preserve">requires </w:t>
      </w:r>
      <w:r w:rsidRPr="00E70644" w:rsidR="00AC599C">
        <w:t>EPA to finalize product performance data requirements by September 30, 2021. Specifically, the Act states that, “The Administrator shall, not later than September 30, 2021, issue regulations prescribing product performance data requirements for any pesticide intended for preventing, destroying, repelling, or mitigating any invertebrate pest of significant public health or economic importance specified in clauses (</w:t>
      </w:r>
      <w:proofErr w:type="spellStart"/>
      <w:r w:rsidRPr="00E70644" w:rsidR="00AC599C">
        <w:t>i</w:t>
      </w:r>
      <w:proofErr w:type="spellEnd"/>
      <w:r w:rsidRPr="00E70644" w:rsidR="00AC599C">
        <w:t>) through (iv) of subparagraph (B) [bed bugs; premise (including crawling insects, flying insects, and baits), pests of pets (including pet pests controlled by spot-ons, collars, shampoos, powders, or dips), and fire ants].”</w:t>
      </w:r>
    </w:p>
    <w:p w:rsidR="00592E8A" w:rsidP="008A12B4" w:rsidRDefault="00592E8A" w14:paraId="0745BBBB" w14:textId="77777777">
      <w:pPr>
        <w:rPr>
          <w:rFonts w:asciiTheme="majorBidi" w:hAnsiTheme="majorBidi" w:cstheme="majorBidi"/>
        </w:rPr>
      </w:pPr>
    </w:p>
    <w:p w:rsidRPr="00C270C5" w:rsidR="00C47DDD" w:rsidP="00592E8A" w:rsidRDefault="00C47DDD" w14:paraId="193FA976" w14:textId="77777777">
      <w:pPr>
        <w:pStyle w:val="Heading1"/>
      </w:pPr>
      <w:r w:rsidRPr="00C270C5">
        <w:t>2.</w:t>
      </w:r>
      <w:r w:rsidRPr="00C270C5">
        <w:tab/>
        <w:t>NEED FOR AND USE OF THE COLLECTION</w:t>
      </w:r>
    </w:p>
    <w:p w:rsidRPr="00C270C5" w:rsidR="00C47DDD" w:rsidP="00592E8A" w:rsidRDefault="00C47DDD" w14:paraId="3A54D402" w14:textId="77777777">
      <w:pPr>
        <w:pStyle w:val="Heading2"/>
      </w:pPr>
      <w:r w:rsidRPr="00C270C5">
        <w:t>2(a)</w:t>
      </w:r>
      <w:r w:rsidRPr="00C270C5">
        <w:tab/>
        <w:t>Need/Authority for the Collection</w:t>
      </w:r>
    </w:p>
    <w:p w:rsidR="00AC599C" w:rsidP="00AC599C" w:rsidRDefault="00AC599C" w14:paraId="635616C8" w14:textId="77777777">
      <w:bookmarkStart w:name="_Hlk34833628" w:id="2"/>
      <w:r w:rsidRPr="00A53875">
        <w:t>This action is issued under the authority of sections 3, 5, 10, 12, and 25 of FIFRA (7 U.S.C. 136–136y), as amended</w:t>
      </w:r>
      <w:r>
        <w:t xml:space="preserve">. Under FIFRA section 3(c)(2)(A), EPA is required to specify “the kinds of information which will be required to support the registration of a pesticide and shall revise such guidelines from time to time.” EPA’s codification of these data </w:t>
      </w:r>
      <w:r w:rsidR="007C611B">
        <w:t xml:space="preserve">requirements </w:t>
      </w:r>
      <w:r>
        <w:t>is in 40 CFR part 158.</w:t>
      </w:r>
      <w:r w:rsidRPr="00D475E3">
        <w:t xml:space="preserve"> </w:t>
      </w:r>
    </w:p>
    <w:bookmarkEnd w:id="2"/>
    <w:p w:rsidRPr="00C270C5" w:rsidR="00C47DDD" w:rsidP="00592E8A" w:rsidRDefault="00C47DDD" w14:paraId="78B4F07D" w14:textId="77777777">
      <w:pPr>
        <w:pStyle w:val="Heading2"/>
      </w:pPr>
      <w:r w:rsidRPr="00C270C5">
        <w:t>2(b)</w:t>
      </w:r>
      <w:r w:rsidRPr="00C270C5">
        <w:tab/>
        <w:t>Practical Utility/Users of the Data</w:t>
      </w:r>
    </w:p>
    <w:p w:rsidR="00595586" w:rsidP="00AC599C" w:rsidRDefault="00B45C63" w14:paraId="507AD296" w14:textId="284E50E8">
      <w:r>
        <w:t>EPA requires the submittal of the product performance information to review the efficacy studies and other information to make</w:t>
      </w:r>
      <w:r w:rsidRPr="00C270C5">
        <w:t xml:space="preserve"> </w:t>
      </w:r>
      <w:r>
        <w:t xml:space="preserve">determinations under </w:t>
      </w:r>
      <w:r w:rsidR="00AC599C">
        <w:t xml:space="preserve">FIFRA.  </w:t>
      </w:r>
      <w:r w:rsidR="00595586">
        <w:t xml:space="preserve"> </w:t>
      </w:r>
    </w:p>
    <w:p w:rsidR="00595586" w:rsidP="00592E8A" w:rsidRDefault="00595586" w14:paraId="12EDA2FB" w14:textId="77777777">
      <w:pPr>
        <w:rPr>
          <w:rFonts w:asciiTheme="majorBidi" w:hAnsiTheme="majorBidi" w:cstheme="majorBidi"/>
        </w:rPr>
      </w:pPr>
    </w:p>
    <w:p w:rsidRPr="00C270C5" w:rsidR="00C47DDD" w:rsidP="00B61E53" w:rsidRDefault="00C47DDD" w14:paraId="41922C88" w14:textId="77777777">
      <w:pPr>
        <w:pStyle w:val="Heading1"/>
      </w:pPr>
      <w:r w:rsidRPr="00C270C5">
        <w:t>3.</w:t>
      </w:r>
      <w:r w:rsidRPr="00C270C5">
        <w:tab/>
        <w:t xml:space="preserve">NON-DUPLICATION, CONSULTATIONS, AND OTHER </w:t>
      </w:r>
      <w:r w:rsidR="002755D5">
        <w:t>PRA REQUIREMENTS</w:t>
      </w:r>
    </w:p>
    <w:p w:rsidRPr="00C270C5" w:rsidR="00C47DDD" w:rsidP="00B61E53" w:rsidRDefault="00C47DDD" w14:paraId="1FC343D6" w14:textId="77777777">
      <w:pPr>
        <w:pStyle w:val="Heading2"/>
      </w:pPr>
      <w:r w:rsidRPr="00C270C5">
        <w:t>3(a)</w:t>
      </w:r>
      <w:r w:rsidRPr="00C270C5">
        <w:tab/>
        <w:t>Non-duplication</w:t>
      </w:r>
    </w:p>
    <w:p w:rsidRPr="00C270C5" w:rsidR="00662F48" w:rsidP="00B61E53" w:rsidRDefault="00C47DDD" w14:paraId="210E27D6" w14:textId="18281F84">
      <w:pPr>
        <w:rPr>
          <w:rFonts w:asciiTheme="majorBidi" w:hAnsiTheme="majorBidi" w:cstheme="majorBidi"/>
        </w:rPr>
      </w:pPr>
      <w:r w:rsidRPr="00C270C5">
        <w:rPr>
          <w:rFonts w:asciiTheme="majorBidi" w:hAnsiTheme="majorBidi" w:cstheme="majorBidi"/>
        </w:rPr>
        <w:t xml:space="preserve">Duplication </w:t>
      </w:r>
      <w:r w:rsidR="00BA0039">
        <w:rPr>
          <w:rFonts w:asciiTheme="majorBidi" w:hAnsiTheme="majorBidi" w:cstheme="majorBidi"/>
        </w:rPr>
        <w:t xml:space="preserve">should </w:t>
      </w:r>
      <w:r w:rsidRPr="00C270C5">
        <w:rPr>
          <w:rFonts w:asciiTheme="majorBidi" w:hAnsiTheme="majorBidi" w:cstheme="majorBidi"/>
        </w:rPr>
        <w:t xml:space="preserve">not occur in this program, as </w:t>
      </w:r>
      <w:r w:rsidR="00430E93">
        <w:rPr>
          <w:rFonts w:asciiTheme="majorBidi" w:hAnsiTheme="majorBidi" w:cstheme="majorBidi"/>
        </w:rPr>
        <w:t xml:space="preserve">EPA has the sole authority to regulate pesticides </w:t>
      </w:r>
      <w:r w:rsidR="00AC599C">
        <w:rPr>
          <w:rFonts w:asciiTheme="majorBidi" w:hAnsiTheme="majorBidi" w:cstheme="majorBidi"/>
        </w:rPr>
        <w:t xml:space="preserve">in the United States </w:t>
      </w:r>
      <w:r w:rsidR="00430E93">
        <w:rPr>
          <w:rFonts w:asciiTheme="majorBidi" w:hAnsiTheme="majorBidi" w:cstheme="majorBidi"/>
        </w:rPr>
        <w:t>and esta</w:t>
      </w:r>
      <w:r w:rsidR="00AC599C">
        <w:rPr>
          <w:rFonts w:asciiTheme="majorBidi" w:hAnsiTheme="majorBidi" w:cstheme="majorBidi"/>
        </w:rPr>
        <w:t>blish efficacy data requirements under 40 CFR part 158.</w:t>
      </w:r>
      <w:r w:rsidR="00BA0039">
        <w:rPr>
          <w:rFonts w:asciiTheme="majorBidi" w:hAnsiTheme="majorBidi" w:cstheme="majorBidi"/>
        </w:rPr>
        <w:t xml:space="preserve"> Therefore, this information is not requested by other agencies</w:t>
      </w:r>
      <w:r w:rsidR="003A1485">
        <w:rPr>
          <w:rFonts w:asciiTheme="majorBidi" w:hAnsiTheme="majorBidi" w:cstheme="majorBidi"/>
        </w:rPr>
        <w:t xml:space="preserve">. </w:t>
      </w:r>
      <w:r w:rsidR="003A1485">
        <w:t>EPA support of data sharing (subject to data compensation as directed by FIFRA) to reduce the potential for duplicative studies being submitted to EPA</w:t>
      </w:r>
      <w:r w:rsidR="00BA0039">
        <w:rPr>
          <w:rFonts w:asciiTheme="majorBidi" w:hAnsiTheme="majorBidi" w:cstheme="majorBidi"/>
        </w:rPr>
        <w:t>.</w:t>
      </w:r>
      <w:r w:rsidR="00AC599C">
        <w:rPr>
          <w:rFonts w:asciiTheme="majorBidi" w:hAnsiTheme="majorBidi" w:cstheme="majorBidi"/>
        </w:rPr>
        <w:t xml:space="preserve"> </w:t>
      </w:r>
    </w:p>
    <w:p w:rsidRPr="00C270C5" w:rsidR="00C47DDD" w:rsidP="00430E93" w:rsidRDefault="00C47DDD" w14:paraId="371AEDF9" w14:textId="77777777">
      <w:pPr>
        <w:pStyle w:val="Heading2"/>
      </w:pPr>
      <w:r w:rsidRPr="00C270C5">
        <w:t>3(b)</w:t>
      </w:r>
      <w:r w:rsidRPr="00C270C5">
        <w:tab/>
        <w:t>Public Notice Required Prior to ICR Submission to OMB</w:t>
      </w:r>
    </w:p>
    <w:p w:rsidRPr="00C270C5" w:rsidR="006F0B3C" w:rsidP="00430E93" w:rsidRDefault="009043BB" w14:paraId="1F2829E6" w14:textId="77777777">
      <w:pPr>
        <w:autoSpaceDE w:val="0"/>
        <w:autoSpaceDN w:val="0"/>
        <w:adjustRightInd w:val="0"/>
        <w:rPr>
          <w:rFonts w:asciiTheme="majorBidi" w:hAnsiTheme="majorBidi" w:cstheme="majorBidi"/>
        </w:rPr>
      </w:pPr>
      <w:r w:rsidRPr="00C270C5">
        <w:rPr>
          <w:rFonts w:asciiTheme="majorBidi" w:hAnsiTheme="majorBidi" w:cstheme="majorBidi"/>
        </w:rPr>
        <w:t>Pursuant to 5 CFR 1320.</w:t>
      </w:r>
      <w:r w:rsidR="00430E93">
        <w:rPr>
          <w:rFonts w:asciiTheme="majorBidi" w:hAnsiTheme="majorBidi" w:cstheme="majorBidi"/>
        </w:rPr>
        <w:t>11</w:t>
      </w:r>
      <w:r w:rsidRPr="00C270C5">
        <w:rPr>
          <w:rFonts w:asciiTheme="majorBidi" w:hAnsiTheme="majorBidi" w:cstheme="majorBidi"/>
        </w:rPr>
        <w:t>(</w:t>
      </w:r>
      <w:r w:rsidR="00430E93">
        <w:rPr>
          <w:rFonts w:asciiTheme="majorBidi" w:hAnsiTheme="majorBidi" w:cstheme="majorBidi"/>
        </w:rPr>
        <w:t>b</w:t>
      </w:r>
      <w:r w:rsidRPr="00C270C5">
        <w:rPr>
          <w:rFonts w:asciiTheme="majorBidi" w:hAnsiTheme="majorBidi" w:cstheme="majorBidi"/>
        </w:rPr>
        <w:t xml:space="preserve">), </w:t>
      </w:r>
      <w:r w:rsidR="00430E93">
        <w:rPr>
          <w:rFonts w:asciiTheme="majorBidi" w:hAnsiTheme="majorBidi" w:cstheme="majorBidi"/>
        </w:rPr>
        <w:t xml:space="preserve">the proposed rule will announce the availability of this ICR and </w:t>
      </w:r>
      <w:r w:rsidRPr="00C270C5">
        <w:rPr>
          <w:rFonts w:asciiTheme="majorBidi" w:hAnsiTheme="majorBidi" w:cstheme="majorBidi"/>
        </w:rPr>
        <w:t>provid</w:t>
      </w:r>
      <w:r w:rsidR="00430E93">
        <w:rPr>
          <w:rFonts w:asciiTheme="majorBidi" w:hAnsiTheme="majorBidi" w:cstheme="majorBidi"/>
        </w:rPr>
        <w:t>e</w:t>
      </w:r>
      <w:r w:rsidRPr="00C270C5">
        <w:rPr>
          <w:rFonts w:asciiTheme="majorBidi" w:hAnsiTheme="majorBidi" w:cstheme="majorBidi"/>
        </w:rPr>
        <w:t xml:space="preserve"> a 60-day public comment </w:t>
      </w:r>
      <w:r w:rsidR="00430E93">
        <w:rPr>
          <w:rFonts w:asciiTheme="majorBidi" w:hAnsiTheme="majorBidi" w:cstheme="majorBidi"/>
        </w:rPr>
        <w:t>opportunity</w:t>
      </w:r>
      <w:r w:rsidRPr="00C270C5">
        <w:rPr>
          <w:rFonts w:asciiTheme="majorBidi" w:hAnsiTheme="majorBidi" w:cstheme="majorBidi"/>
        </w:rPr>
        <w:t>.</w:t>
      </w:r>
      <w:r w:rsidR="00430E93">
        <w:rPr>
          <w:rFonts w:asciiTheme="majorBidi" w:hAnsiTheme="majorBidi" w:cstheme="majorBidi"/>
        </w:rPr>
        <w:t xml:space="preserve"> Comments received on the proposed rule and this ICR will be addressed in the final rule. At which time EPA will provide an ICR for the final rule and </w:t>
      </w:r>
      <w:r w:rsidR="00CB54BA">
        <w:rPr>
          <w:rFonts w:asciiTheme="majorBidi" w:hAnsiTheme="majorBidi" w:cstheme="majorBidi"/>
        </w:rPr>
        <w:t xml:space="preserve">complete the </w:t>
      </w:r>
      <w:r w:rsidR="00430E93">
        <w:rPr>
          <w:rFonts w:asciiTheme="majorBidi" w:hAnsiTheme="majorBidi" w:cstheme="majorBidi"/>
        </w:rPr>
        <w:t xml:space="preserve">amendment </w:t>
      </w:r>
      <w:r w:rsidR="00CB54BA">
        <w:rPr>
          <w:rFonts w:asciiTheme="majorBidi" w:hAnsiTheme="majorBidi" w:cstheme="majorBidi"/>
        </w:rPr>
        <w:t>to the existing ICR.</w:t>
      </w:r>
    </w:p>
    <w:p w:rsidRPr="00C270C5" w:rsidR="00C15D86" w:rsidP="00CB54BA" w:rsidRDefault="00C47DDD" w14:paraId="62DC181F" w14:textId="77777777">
      <w:pPr>
        <w:pStyle w:val="Heading2"/>
      </w:pPr>
      <w:r w:rsidRPr="00C270C5">
        <w:t>3(c)</w:t>
      </w:r>
      <w:r w:rsidRPr="00C270C5">
        <w:tab/>
        <w:t>Consultations</w:t>
      </w:r>
    </w:p>
    <w:p w:rsidRPr="00C270C5" w:rsidR="0020138B" w:rsidP="00CB54BA" w:rsidRDefault="0015567E" w14:paraId="3096469D" w14:textId="77777777">
      <w:pPr>
        <w:pStyle w:val="Default"/>
        <w:rPr>
          <w:rFonts w:asciiTheme="majorBidi" w:hAnsiTheme="majorBidi" w:cstheme="majorBidi"/>
          <w:color w:val="auto"/>
        </w:rPr>
      </w:pPr>
      <w:r w:rsidRPr="00C270C5">
        <w:rPr>
          <w:rFonts w:asciiTheme="majorBidi" w:hAnsiTheme="majorBidi" w:cstheme="majorBidi"/>
          <w:color w:val="auto"/>
          <w:lang w:val="en-CA"/>
        </w:rPr>
        <w:t xml:space="preserve">Under 5 CFR 1320.8(d)(1), agencies are required to consult with respondents about </w:t>
      </w:r>
      <w:r w:rsidRPr="00C270C5" w:rsidR="00570595">
        <w:rPr>
          <w:rFonts w:asciiTheme="majorBidi" w:hAnsiTheme="majorBidi" w:cstheme="majorBidi"/>
          <w:color w:val="auto"/>
          <w:lang w:val="en-CA"/>
        </w:rPr>
        <w:t xml:space="preserve">the </w:t>
      </w:r>
      <w:r w:rsidRPr="00C270C5" w:rsidR="00483E44">
        <w:rPr>
          <w:rFonts w:asciiTheme="majorBidi" w:hAnsiTheme="majorBidi" w:cstheme="majorBidi"/>
          <w:color w:val="auto"/>
          <w:lang w:val="en-CA"/>
        </w:rPr>
        <w:t>information collection</w:t>
      </w:r>
      <w:r w:rsidRPr="00C270C5" w:rsidR="00570595">
        <w:rPr>
          <w:rFonts w:asciiTheme="majorBidi" w:hAnsiTheme="majorBidi" w:cstheme="majorBidi"/>
          <w:color w:val="auto"/>
          <w:lang w:val="en-CA"/>
        </w:rPr>
        <w:t>s</w:t>
      </w:r>
      <w:r w:rsidRPr="00C270C5" w:rsidR="00483E44">
        <w:rPr>
          <w:rFonts w:asciiTheme="majorBidi" w:hAnsiTheme="majorBidi" w:cstheme="majorBidi"/>
          <w:color w:val="auto"/>
          <w:lang w:val="en-CA"/>
        </w:rPr>
        <w:t xml:space="preserve"> </w:t>
      </w:r>
      <w:r w:rsidRPr="00C270C5">
        <w:rPr>
          <w:rFonts w:asciiTheme="majorBidi" w:hAnsiTheme="majorBidi" w:cstheme="majorBidi"/>
          <w:color w:val="auto"/>
          <w:lang w:val="en-CA"/>
        </w:rPr>
        <w:t xml:space="preserve">before submitting </w:t>
      </w:r>
      <w:r w:rsidRPr="00C270C5" w:rsidR="00B728E1">
        <w:rPr>
          <w:rFonts w:asciiTheme="majorBidi" w:hAnsiTheme="majorBidi" w:cstheme="majorBidi"/>
          <w:color w:val="auto"/>
          <w:lang w:val="en-CA"/>
        </w:rPr>
        <w:t>approval requests</w:t>
      </w:r>
      <w:r w:rsidRPr="00C270C5">
        <w:rPr>
          <w:rFonts w:asciiTheme="majorBidi" w:hAnsiTheme="majorBidi" w:cstheme="majorBidi"/>
          <w:color w:val="auto"/>
          <w:lang w:val="en-CA"/>
        </w:rPr>
        <w:t xml:space="preserve"> to OMB.</w:t>
      </w:r>
      <w:r w:rsidRPr="00C270C5" w:rsidR="007841AD">
        <w:rPr>
          <w:rFonts w:asciiTheme="majorBidi" w:hAnsiTheme="majorBidi" w:cstheme="majorBidi"/>
          <w:color w:val="auto"/>
          <w:lang w:val="en-CA"/>
        </w:rPr>
        <w:t xml:space="preserve"> </w:t>
      </w:r>
      <w:r w:rsidRPr="00C270C5">
        <w:rPr>
          <w:rFonts w:asciiTheme="majorBidi" w:hAnsiTheme="majorBidi" w:cstheme="majorBidi"/>
          <w:color w:val="auto"/>
          <w:lang w:val="en-CA"/>
        </w:rPr>
        <w:t>In accordance with this regulation, EPA</w:t>
      </w:r>
      <w:r w:rsidRPr="00C270C5" w:rsidR="00C310BF">
        <w:rPr>
          <w:rFonts w:asciiTheme="majorBidi" w:hAnsiTheme="majorBidi" w:cstheme="majorBidi"/>
          <w:color w:val="auto"/>
          <w:lang w:val="en-CA"/>
        </w:rPr>
        <w:t xml:space="preserve"> </w:t>
      </w:r>
      <w:r w:rsidRPr="00C270C5" w:rsidR="00283E1E">
        <w:rPr>
          <w:rFonts w:asciiTheme="majorBidi" w:hAnsiTheme="majorBidi" w:cstheme="majorBidi"/>
          <w:color w:val="auto"/>
          <w:lang w:val="en-CA"/>
        </w:rPr>
        <w:t>staff</w:t>
      </w:r>
      <w:r w:rsidRPr="00C270C5" w:rsidR="009E23FA">
        <w:rPr>
          <w:rFonts w:asciiTheme="majorBidi" w:hAnsiTheme="majorBidi" w:cstheme="majorBidi"/>
          <w:color w:val="auto"/>
          <w:lang w:val="en-CA"/>
        </w:rPr>
        <w:t xml:space="preserve"> will</w:t>
      </w:r>
      <w:r w:rsidRPr="00C270C5" w:rsidR="00283E1E">
        <w:rPr>
          <w:rFonts w:asciiTheme="majorBidi" w:hAnsiTheme="majorBidi" w:cstheme="majorBidi"/>
          <w:color w:val="auto"/>
          <w:lang w:val="en-CA"/>
        </w:rPr>
        <w:t xml:space="preserve"> contact</w:t>
      </w:r>
      <w:r w:rsidRPr="00C270C5" w:rsidR="00D52372">
        <w:rPr>
          <w:rFonts w:asciiTheme="majorBidi" w:hAnsiTheme="majorBidi" w:cstheme="majorBidi"/>
          <w:color w:val="auto"/>
          <w:lang w:val="en-CA"/>
        </w:rPr>
        <w:t xml:space="preserve"> </w:t>
      </w:r>
      <w:r w:rsidRPr="00C270C5" w:rsidR="00C310BF">
        <w:rPr>
          <w:rFonts w:asciiTheme="majorBidi" w:hAnsiTheme="majorBidi" w:cstheme="majorBidi"/>
          <w:color w:val="auto"/>
          <w:lang w:val="en-CA"/>
        </w:rPr>
        <w:t>representatives</w:t>
      </w:r>
      <w:r w:rsidRPr="00C270C5" w:rsidR="00283E1E">
        <w:rPr>
          <w:rFonts w:asciiTheme="majorBidi" w:hAnsiTheme="majorBidi" w:cstheme="majorBidi"/>
          <w:color w:val="auto"/>
          <w:lang w:val="en-CA"/>
        </w:rPr>
        <w:t xml:space="preserve"> </w:t>
      </w:r>
      <w:r w:rsidRPr="00C270C5" w:rsidR="00D52372">
        <w:rPr>
          <w:rFonts w:asciiTheme="majorBidi" w:hAnsiTheme="majorBidi" w:cstheme="majorBidi"/>
          <w:color w:val="auto"/>
          <w:lang w:val="en-CA"/>
        </w:rPr>
        <w:t xml:space="preserve">from a cross section of </w:t>
      </w:r>
      <w:r w:rsidRPr="00C270C5" w:rsidR="00D37E1C">
        <w:rPr>
          <w:rFonts w:asciiTheme="majorBidi" w:hAnsiTheme="majorBidi" w:cstheme="majorBidi"/>
          <w:color w:val="auto"/>
          <w:lang w:val="en-CA"/>
        </w:rPr>
        <w:t>stakeholder</w:t>
      </w:r>
      <w:r w:rsidRPr="00C270C5" w:rsidR="00D52372">
        <w:rPr>
          <w:rFonts w:asciiTheme="majorBidi" w:hAnsiTheme="majorBidi" w:cstheme="majorBidi"/>
          <w:color w:val="auto"/>
          <w:lang w:val="en-CA"/>
        </w:rPr>
        <w:t xml:space="preserve">s </w:t>
      </w:r>
      <w:r w:rsidRPr="00C270C5" w:rsidR="00D37E1C">
        <w:rPr>
          <w:rFonts w:asciiTheme="majorBidi" w:hAnsiTheme="majorBidi" w:cstheme="majorBidi"/>
          <w:color w:val="auto"/>
          <w:lang w:val="en-CA"/>
        </w:rPr>
        <w:t>to seek</w:t>
      </w:r>
      <w:r w:rsidRPr="00C270C5" w:rsidR="00B728E1">
        <w:rPr>
          <w:rFonts w:asciiTheme="majorBidi" w:hAnsiTheme="majorBidi" w:cstheme="majorBidi"/>
          <w:color w:val="auto"/>
          <w:lang w:val="en-CA"/>
        </w:rPr>
        <w:t xml:space="preserve"> </w:t>
      </w:r>
      <w:r w:rsidRPr="00C270C5" w:rsidR="00283E1E">
        <w:rPr>
          <w:rFonts w:asciiTheme="majorBidi" w:hAnsiTheme="majorBidi" w:cstheme="majorBidi"/>
          <w:color w:val="auto"/>
        </w:rPr>
        <w:lastRenderedPageBreak/>
        <w:t xml:space="preserve">feedback </w:t>
      </w:r>
      <w:r w:rsidRPr="00C270C5" w:rsidR="00D37E1C">
        <w:rPr>
          <w:rFonts w:asciiTheme="majorBidi" w:hAnsiTheme="majorBidi" w:cstheme="majorBidi"/>
          <w:color w:val="auto"/>
        </w:rPr>
        <w:t>on the burden estimates in this ICR, and on the clarity of the information collection process</w:t>
      </w:r>
      <w:r w:rsidRPr="00C270C5" w:rsidR="00283E1E">
        <w:rPr>
          <w:rFonts w:asciiTheme="majorBidi" w:hAnsiTheme="majorBidi" w:cstheme="majorBidi"/>
          <w:color w:val="auto"/>
        </w:rPr>
        <w:t>.</w:t>
      </w:r>
      <w:r w:rsidRPr="00C270C5" w:rsidR="00D52372">
        <w:rPr>
          <w:rFonts w:asciiTheme="majorBidi" w:hAnsiTheme="majorBidi" w:cstheme="majorBidi"/>
          <w:color w:val="auto"/>
        </w:rPr>
        <w:t xml:space="preserve"> </w:t>
      </w:r>
    </w:p>
    <w:p w:rsidRPr="00C270C5" w:rsidR="00C15D86" w:rsidP="00CB54BA" w:rsidRDefault="00C47DDD" w14:paraId="101FB75A" w14:textId="77777777">
      <w:pPr>
        <w:pStyle w:val="Heading2"/>
      </w:pPr>
      <w:r w:rsidRPr="00C270C5">
        <w:t>3(d)</w:t>
      </w:r>
      <w:r w:rsidRPr="00C270C5">
        <w:tab/>
        <w:t>Effects of Less Frequent Collection</w:t>
      </w:r>
    </w:p>
    <w:p w:rsidR="00CB54BA" w:rsidP="00CB54BA" w:rsidRDefault="00B45C63" w14:paraId="2BC9A1A8" w14:textId="7C73D3D6">
      <w:pPr>
        <w:rPr>
          <w:rFonts w:asciiTheme="majorBidi" w:hAnsiTheme="majorBidi" w:cstheme="majorBidi"/>
        </w:rPr>
      </w:pPr>
      <w:r>
        <w:t>The burden assumes a minimum of one submittal per product registration which is the least possible collection that allows the Agency to conduct the statutorily required review.</w:t>
      </w:r>
    </w:p>
    <w:p w:rsidRPr="00C270C5" w:rsidR="00C15D86" w:rsidP="00CB54BA" w:rsidRDefault="00C47DDD" w14:paraId="714B7914" w14:textId="77777777">
      <w:pPr>
        <w:pStyle w:val="Heading2"/>
      </w:pPr>
      <w:r w:rsidRPr="00C270C5">
        <w:t>3(e)</w:t>
      </w:r>
      <w:r w:rsidRPr="00C270C5">
        <w:tab/>
        <w:t>General Guidelines</w:t>
      </w:r>
    </w:p>
    <w:p w:rsidR="00A37574" w:rsidP="00A37574" w:rsidRDefault="00A37574" w14:paraId="7770E64E" w14:textId="77777777">
      <w:pPr>
        <w:rPr>
          <w:rFonts w:asciiTheme="majorBidi" w:hAnsiTheme="majorBidi" w:cstheme="majorBidi"/>
        </w:rPr>
      </w:pPr>
      <w:r>
        <w:rPr>
          <w:rFonts w:asciiTheme="majorBidi" w:hAnsiTheme="majorBidi" w:cstheme="majorBidi"/>
        </w:rPr>
        <w:t>Since the proposed rule involves a submission (i.e., the notification) and recordkeeping, the following discussion is a summary of a more detailed discussion of applicable PRA guidelines that is contained in the existing ICR.</w:t>
      </w:r>
    </w:p>
    <w:p w:rsidR="002755D5" w:rsidP="002755D5" w:rsidRDefault="002755D5" w14:paraId="414029DC" w14:textId="77777777">
      <w:pPr>
        <w:pStyle w:val="Heading3"/>
      </w:pPr>
      <w:r>
        <w:t>(</w:t>
      </w:r>
      <w:proofErr w:type="spellStart"/>
      <w:r>
        <w:t>i</w:t>
      </w:r>
      <w:proofErr w:type="spellEnd"/>
      <w:r>
        <w:t xml:space="preserve">) </w:t>
      </w:r>
      <w:r w:rsidRPr="00A37574" w:rsidR="00A37574">
        <w:t xml:space="preserve">Recordkeeping. </w:t>
      </w:r>
    </w:p>
    <w:p w:rsidRPr="00A37574" w:rsidR="00C15D86" w:rsidP="00A37574" w:rsidRDefault="00C47DDD" w14:paraId="5592A993" w14:textId="485071E9">
      <w:pPr>
        <w:rPr>
          <w:rFonts w:asciiTheme="majorBidi" w:hAnsiTheme="majorBidi" w:cstheme="majorBidi"/>
        </w:rPr>
      </w:pPr>
      <w:r w:rsidRPr="00A37574">
        <w:rPr>
          <w:rFonts w:asciiTheme="majorBidi" w:hAnsiTheme="majorBidi" w:cstheme="majorBidi"/>
        </w:rPr>
        <w:t xml:space="preserve">The recordkeeping activities </w:t>
      </w:r>
      <w:r w:rsidRPr="00A37574" w:rsidR="00A37574">
        <w:rPr>
          <w:rFonts w:asciiTheme="majorBidi" w:hAnsiTheme="majorBidi" w:cstheme="majorBidi"/>
        </w:rPr>
        <w:t xml:space="preserve">applicable to pesticide registrants </w:t>
      </w:r>
      <w:r w:rsidRPr="00A37574">
        <w:rPr>
          <w:rFonts w:asciiTheme="majorBidi" w:hAnsiTheme="majorBidi" w:cstheme="majorBidi"/>
        </w:rPr>
        <w:t xml:space="preserve">exceed OMB’s guideline that agencies not require that records be retained for more than </w:t>
      </w:r>
      <w:r w:rsidRPr="00A37574" w:rsidR="00A96172">
        <w:rPr>
          <w:rFonts w:asciiTheme="majorBidi" w:hAnsiTheme="majorBidi" w:cstheme="majorBidi"/>
        </w:rPr>
        <w:t>three</w:t>
      </w:r>
      <w:r w:rsidRPr="00A37574">
        <w:rPr>
          <w:rFonts w:asciiTheme="majorBidi" w:hAnsiTheme="majorBidi" w:cstheme="majorBidi"/>
        </w:rPr>
        <w:t xml:space="preserve"> years </w:t>
      </w:r>
      <w:r w:rsidRPr="00C270C5">
        <w:t xml:space="preserve">(5 CFR 1320.5(d)(2)(iv)). As authorized under FIFRA </w:t>
      </w:r>
      <w:r w:rsidR="001E2B7F">
        <w:t>S</w:t>
      </w:r>
      <w:r w:rsidRPr="00C270C5">
        <w:t xml:space="preserve">ection 8, EPA regulations </w:t>
      </w:r>
      <w:r w:rsidRPr="00C270C5" w:rsidR="00C66206">
        <w:t xml:space="preserve">under </w:t>
      </w:r>
      <w:r w:rsidRPr="00C270C5" w:rsidR="000A6BEF">
        <w:t xml:space="preserve">40 CFR 169.2(k) </w:t>
      </w:r>
      <w:r w:rsidRPr="00C270C5">
        <w:t xml:space="preserve">require that registrants retain records containing research data relating to </w:t>
      </w:r>
      <w:r w:rsidRPr="00C270C5" w:rsidR="007B2652">
        <w:t xml:space="preserve">a </w:t>
      </w:r>
      <w:r w:rsidRPr="00C270C5">
        <w:t>registered pesticide</w:t>
      </w:r>
      <w:r w:rsidRPr="00C270C5" w:rsidR="007961C2">
        <w:t>,</w:t>
      </w:r>
      <w:r w:rsidRPr="00C270C5">
        <w:t xml:space="preserve"> including all data submitted to EPA in support of a registration</w:t>
      </w:r>
      <w:r w:rsidRPr="00C270C5" w:rsidR="00C66206">
        <w:t>,</w:t>
      </w:r>
      <w:r w:rsidRPr="00C270C5">
        <w:t xml:space="preserve"> for as long as the registration is </w:t>
      </w:r>
      <w:r w:rsidRPr="00C270C5" w:rsidR="006D524E">
        <w:t>valid,</w:t>
      </w:r>
      <w:r w:rsidRPr="00C270C5">
        <w:t xml:space="preserve"> and the producer is in business. However, the burden related to the recordkeeping requirements is covered under another ICR (see OMB Control No. 2070-0028</w:t>
      </w:r>
      <w:r w:rsidR="006E7074">
        <w:t xml:space="preserve">, </w:t>
      </w:r>
      <w:r w:rsidRPr="006E7074">
        <w:t>Recordkeeping Requirements for Producers of Pesticides under Section 8 of FIFRA</w:t>
      </w:r>
      <w:r w:rsidRPr="00C270C5" w:rsidR="008D79E5">
        <w:t>)</w:t>
      </w:r>
      <w:r w:rsidRPr="00C270C5">
        <w:t>.</w:t>
      </w:r>
    </w:p>
    <w:p w:rsidR="002755D5" w:rsidP="002755D5" w:rsidRDefault="002755D5" w14:paraId="76803F45" w14:textId="77777777">
      <w:pPr>
        <w:pStyle w:val="Heading3"/>
      </w:pPr>
      <w:r>
        <w:t xml:space="preserve">(ii) </w:t>
      </w:r>
      <w:r w:rsidRPr="00C270C5" w:rsidR="00B574AA">
        <w:t>Electronic submissions</w:t>
      </w:r>
      <w:r>
        <w:t>.</w:t>
      </w:r>
    </w:p>
    <w:p w:rsidRPr="00C270C5" w:rsidR="00C95E04" w:rsidP="00A37574" w:rsidRDefault="004445F4" w14:paraId="31083639" w14:textId="77777777">
      <w:pPr>
        <w:rPr>
          <w:color w:val="auto"/>
        </w:rPr>
      </w:pPr>
      <w:r w:rsidRPr="00C270C5">
        <w:t xml:space="preserve">EPA </w:t>
      </w:r>
      <w:r w:rsidR="00A37574">
        <w:t xml:space="preserve">intends to </w:t>
      </w:r>
      <w:r w:rsidR="0090557C">
        <w:t xml:space="preserve">offer the </w:t>
      </w:r>
      <w:r w:rsidR="00A37574">
        <w:t xml:space="preserve">use </w:t>
      </w:r>
      <w:r w:rsidR="0090557C">
        <w:t xml:space="preserve">of </w:t>
      </w:r>
      <w:r w:rsidRPr="00C270C5" w:rsidR="005502CD">
        <w:rPr>
          <w:rFonts w:eastAsiaTheme="minorHAnsi"/>
        </w:rPr>
        <w:t>the Pesticide Submission Portal</w:t>
      </w:r>
      <w:r w:rsidRPr="00C270C5" w:rsidR="007B2652">
        <w:rPr>
          <w:rFonts w:eastAsiaTheme="minorHAnsi"/>
        </w:rPr>
        <w:t xml:space="preserve"> (PSP)</w:t>
      </w:r>
      <w:r w:rsidRPr="00C270C5" w:rsidR="005502CD">
        <w:rPr>
          <w:rFonts w:eastAsiaTheme="minorHAnsi"/>
        </w:rPr>
        <w:t>,</w:t>
      </w:r>
      <w:r w:rsidRPr="00C270C5">
        <w:t xml:space="preserve"> a fully electronic alternative as an option for submitting registration forms electronically</w:t>
      </w:r>
      <w:r w:rsidR="0090557C">
        <w:t xml:space="preserve">. </w:t>
      </w:r>
      <w:r w:rsidRPr="00C270C5" w:rsidR="00C95E04">
        <w:rPr>
          <w:color w:val="auto"/>
        </w:rPr>
        <w:t>The PSP leverages the Agency’s existing Central Data Exchange (CDX) to provide a secure method of submitting information within a secure online environment. CDX require</w:t>
      </w:r>
      <w:r w:rsidR="0090557C">
        <w:rPr>
          <w:color w:val="auto"/>
        </w:rPr>
        <w:t>s</w:t>
      </w:r>
      <w:r w:rsidRPr="00C270C5" w:rsidR="00C95E04">
        <w:rPr>
          <w:color w:val="auto"/>
        </w:rPr>
        <w:t xml:space="preserve"> initial user registration for which the paperwork burden estimate is covered under “</w:t>
      </w:r>
      <w:r w:rsidRPr="00C270C5" w:rsidR="00C95E04">
        <w:rPr>
          <w:i/>
          <w:iCs/>
          <w:color w:val="auto"/>
        </w:rPr>
        <w:t>Cross-Media Electronic Reporting Rule</w:t>
      </w:r>
      <w:r w:rsidRPr="00C270C5" w:rsidR="00C95E04">
        <w:rPr>
          <w:color w:val="auto"/>
        </w:rPr>
        <w:t xml:space="preserve">” </w:t>
      </w:r>
      <w:r w:rsidRPr="00C270C5" w:rsidR="00C52AF3">
        <w:rPr>
          <w:color w:val="auto"/>
        </w:rPr>
        <w:t>ICR, OMB</w:t>
      </w:r>
      <w:r w:rsidRPr="00C270C5" w:rsidR="00C95E04">
        <w:rPr>
          <w:color w:val="auto"/>
        </w:rPr>
        <w:t xml:space="preserve"> No. 2025-0003.</w:t>
      </w:r>
    </w:p>
    <w:p w:rsidRPr="00C270C5" w:rsidR="00C95E04" w:rsidP="00C95E04" w:rsidRDefault="00C95E04" w14:paraId="231501CD" w14:textId="77777777">
      <w:pPr>
        <w:autoSpaceDE w:val="0"/>
        <w:autoSpaceDN w:val="0"/>
        <w:adjustRightInd w:val="0"/>
        <w:rPr>
          <w:rFonts w:eastAsiaTheme="minorHAnsi"/>
        </w:rPr>
      </w:pPr>
    </w:p>
    <w:p w:rsidRPr="0090557C" w:rsidR="00EB48F9" w:rsidP="0090557C" w:rsidRDefault="00C95E04" w14:paraId="77F2C7D2" w14:textId="77777777">
      <w:pPr>
        <w:autoSpaceDE w:val="0"/>
        <w:autoSpaceDN w:val="0"/>
        <w:adjustRightInd w:val="0"/>
        <w:ind w:firstLine="720"/>
        <w:rPr>
          <w:rFonts w:eastAsiaTheme="minorHAnsi"/>
        </w:rPr>
      </w:pPr>
      <w:r w:rsidRPr="00C270C5">
        <w:rPr>
          <w:rFonts w:eastAsiaTheme="minorHAnsi"/>
        </w:rPr>
        <w:t xml:space="preserve">EPA will continue to accept paper applications but encourages applicants to take advantage of this new, more efficient option and forego the courier costs to send to EPA. For electronic submissions, applicants do not need to submit multiple copies of any pieces of their application, the requirement for multiple copies of data and five copies draft labeling only applies to paper submissions. </w:t>
      </w:r>
      <w:r w:rsidRPr="00C270C5" w:rsidR="00B96BE0">
        <w:t>Extensive guidance regarding available electronic submission option</w:t>
      </w:r>
      <w:r w:rsidRPr="00C270C5" w:rsidR="0006236F">
        <w:t>s</w:t>
      </w:r>
      <w:r w:rsidRPr="00C270C5" w:rsidR="00B96BE0">
        <w:t xml:space="preserve"> is available to registrants via </w:t>
      </w:r>
      <w:r w:rsidRPr="00C270C5" w:rsidR="003626ED">
        <w:t>the Office of Pesticide Program</w:t>
      </w:r>
      <w:r w:rsidRPr="00C270C5" w:rsidR="00832560">
        <w:t>’s</w:t>
      </w:r>
      <w:r w:rsidRPr="00C270C5" w:rsidR="003626ED">
        <w:t xml:space="preserve"> (OPP)</w:t>
      </w:r>
      <w:r w:rsidRPr="00C270C5" w:rsidR="00B96BE0">
        <w:t xml:space="preserve"> </w:t>
      </w:r>
      <w:r w:rsidRPr="00C270C5" w:rsidR="00832560">
        <w:t>web</w:t>
      </w:r>
      <w:r w:rsidRPr="00C270C5" w:rsidR="00B96BE0">
        <w:t xml:space="preserve">site at </w:t>
      </w:r>
      <w:hyperlink w:history="1" r:id="rId15">
        <w:r w:rsidRPr="00F833FE" w:rsidR="0006236F">
          <w:rPr>
            <w:rStyle w:val="Hyperlink"/>
            <w:i/>
            <w:color w:val="auto"/>
            <w:u w:val="none"/>
          </w:rPr>
          <w:t>http://www2.epa.gov/pesticide-registration/electronic-submissions-pesticide-applications</w:t>
        </w:r>
      </w:hyperlink>
      <w:r w:rsidRPr="00C270C5" w:rsidR="00B96BE0">
        <w:t>.</w:t>
      </w:r>
    </w:p>
    <w:p w:rsidRPr="0090557C" w:rsidR="00C15D86" w:rsidP="0090557C" w:rsidRDefault="00C47DDD" w14:paraId="37E8C5E4" w14:textId="77777777">
      <w:pPr>
        <w:pStyle w:val="Heading2"/>
      </w:pPr>
      <w:r w:rsidRPr="0090557C">
        <w:t>3(f)</w:t>
      </w:r>
      <w:r w:rsidRPr="0090557C">
        <w:rPr>
          <w:rStyle w:val="Heading2Char"/>
          <w:b/>
        </w:rPr>
        <w:tab/>
        <w:t>Confidentiality</w:t>
      </w:r>
    </w:p>
    <w:p w:rsidRPr="00C270C5" w:rsidR="00C15D86" w:rsidP="0090557C" w:rsidRDefault="00AC599C" w14:paraId="77FC8661" w14:textId="77777777">
      <w:pPr>
        <w:rPr>
          <w:rFonts w:asciiTheme="majorBidi" w:hAnsiTheme="majorBidi" w:cstheme="majorBidi"/>
        </w:rPr>
      </w:pPr>
      <w:r>
        <w:rPr>
          <w:rFonts w:asciiTheme="majorBidi" w:hAnsiTheme="majorBidi" w:cstheme="majorBidi"/>
        </w:rPr>
        <w:t>I</w:t>
      </w:r>
      <w:r w:rsidRPr="00C270C5" w:rsidR="009E5FFA">
        <w:rPr>
          <w:rFonts w:asciiTheme="majorBidi" w:hAnsiTheme="majorBidi" w:cstheme="majorBidi"/>
        </w:rPr>
        <w:t xml:space="preserve">n accordance with FIFRA Section 10 and 40 CFR Part 2, Subpart B, EPA will protect from disclosure </w:t>
      </w:r>
      <w:r w:rsidRPr="00C270C5" w:rsidR="00C47DDD">
        <w:rPr>
          <w:rFonts w:asciiTheme="majorBidi" w:hAnsiTheme="majorBidi" w:cstheme="majorBidi"/>
        </w:rPr>
        <w:t xml:space="preserve">all data and/or information brought to the Agency in conjunction with this </w:t>
      </w:r>
      <w:r w:rsidRPr="00C270C5" w:rsidR="009E5FFA">
        <w:rPr>
          <w:rFonts w:asciiTheme="majorBidi" w:hAnsiTheme="majorBidi" w:cstheme="majorBidi"/>
        </w:rPr>
        <w:t xml:space="preserve">information collection </w:t>
      </w:r>
      <w:r w:rsidRPr="00C270C5" w:rsidR="00C47DDD">
        <w:rPr>
          <w:rFonts w:asciiTheme="majorBidi" w:hAnsiTheme="majorBidi" w:cstheme="majorBidi"/>
        </w:rPr>
        <w:t>that may be claimed as trade secret, commercial, or financial information.</w:t>
      </w:r>
    </w:p>
    <w:p w:rsidRPr="00C270C5" w:rsidR="00C15D86" w:rsidP="0090557C" w:rsidRDefault="00C47DDD" w14:paraId="2DBC2D2D" w14:textId="77777777">
      <w:pPr>
        <w:pStyle w:val="Heading2"/>
      </w:pPr>
      <w:r w:rsidRPr="00C270C5">
        <w:t>3(g)</w:t>
      </w:r>
      <w:r w:rsidRPr="00C270C5">
        <w:tab/>
        <w:t>Sensitive Question</w:t>
      </w:r>
      <w:r w:rsidRPr="00C270C5" w:rsidR="00A6653C">
        <w:t>s</w:t>
      </w:r>
    </w:p>
    <w:p w:rsidRPr="00C270C5" w:rsidR="00C15D86" w:rsidP="0090557C" w:rsidRDefault="00C47DDD" w14:paraId="271DED98" w14:textId="77777777">
      <w:r w:rsidRPr="00C270C5">
        <w:t>No information of a sensitive or private nature is requested in conjunction with this collection activity. In addition, this information collection activity complies with the provisions of the Privacy Act of 1974 and OMB circular A-108.</w:t>
      </w:r>
    </w:p>
    <w:p w:rsidR="00C15D86" w:rsidP="0090557C" w:rsidRDefault="00C15D86" w14:paraId="42309651" w14:textId="77777777">
      <w:pPr>
        <w:rPr>
          <w:rFonts w:asciiTheme="majorBidi" w:hAnsiTheme="majorBidi" w:cstheme="majorBidi"/>
          <w:b/>
        </w:rPr>
      </w:pPr>
    </w:p>
    <w:p w:rsidRPr="00C270C5" w:rsidR="00C15D86" w:rsidP="0090557C" w:rsidRDefault="00C47DDD" w14:paraId="5D0380CF" w14:textId="77777777">
      <w:pPr>
        <w:pStyle w:val="Heading1"/>
      </w:pPr>
      <w:r w:rsidRPr="00C270C5">
        <w:lastRenderedPageBreak/>
        <w:t>4.</w:t>
      </w:r>
      <w:r w:rsidRPr="00C270C5">
        <w:tab/>
        <w:t>THE RESPONDENTS AND THE INFORMATION REQUESTED</w:t>
      </w:r>
    </w:p>
    <w:p w:rsidRPr="00C270C5" w:rsidR="00C15D86" w:rsidP="0090557C" w:rsidRDefault="00C47DDD" w14:paraId="6A7167CD" w14:textId="77777777">
      <w:pPr>
        <w:pStyle w:val="Heading2"/>
      </w:pPr>
      <w:r w:rsidRPr="00C270C5">
        <w:t>4(a)</w:t>
      </w:r>
      <w:r w:rsidRPr="00C270C5">
        <w:tab/>
        <w:t>Respondents - NAICS Codes</w:t>
      </w:r>
    </w:p>
    <w:p w:rsidR="00C15D86" w:rsidP="0090557C" w:rsidRDefault="009C385F" w14:paraId="1BA8252D" w14:textId="393BC61E">
      <w:pPr>
        <w:rPr>
          <w:rFonts w:asciiTheme="majorBidi" w:hAnsiTheme="majorBidi" w:cstheme="majorBidi"/>
        </w:rPr>
      </w:pPr>
      <w:r>
        <w:rPr>
          <w:rFonts w:asciiTheme="majorBidi" w:hAnsiTheme="majorBidi" w:cstheme="majorBidi"/>
        </w:rPr>
        <w:t xml:space="preserve">The proposed notification addressed in this ICR </w:t>
      </w:r>
      <w:r w:rsidRPr="00C270C5" w:rsidR="00AB2DE4">
        <w:rPr>
          <w:rFonts w:asciiTheme="majorBidi" w:hAnsiTheme="majorBidi" w:cstheme="majorBidi"/>
        </w:rPr>
        <w:t xml:space="preserve">affects </w:t>
      </w:r>
      <w:r w:rsidRPr="00C270C5" w:rsidR="00C47DDD">
        <w:rPr>
          <w:rFonts w:asciiTheme="majorBidi" w:hAnsiTheme="majorBidi" w:cstheme="majorBidi"/>
        </w:rPr>
        <w:t xml:space="preserve">individuals or entities engaged in activities related to the </w:t>
      </w:r>
      <w:r w:rsidR="00B45C63">
        <w:rPr>
          <w:rFonts w:asciiTheme="majorBidi" w:hAnsiTheme="majorBidi" w:cstheme="majorBidi"/>
        </w:rPr>
        <w:t>development and submission of product performance data for the specified invertebrate pests</w:t>
      </w:r>
      <w:r w:rsidR="00E41E8F">
        <w:rPr>
          <w:rFonts w:asciiTheme="majorBidi" w:hAnsiTheme="majorBidi" w:cstheme="majorBidi"/>
        </w:rPr>
        <w:t xml:space="preserve"> and are described in more detail in the </w:t>
      </w:r>
      <w:r w:rsidR="00CF7111">
        <w:rPr>
          <w:rFonts w:asciiTheme="majorBidi" w:hAnsiTheme="majorBidi" w:cstheme="majorBidi"/>
        </w:rPr>
        <w:t xml:space="preserve">cost analysis prepared for the proposed rule, which is also available in the docket for the proposed rule. EPA has determined that these entities can be identified by the following </w:t>
      </w:r>
      <w:r w:rsidRPr="00C270C5" w:rsidR="00C47DDD">
        <w:rPr>
          <w:rFonts w:asciiTheme="majorBidi" w:hAnsiTheme="majorBidi" w:cstheme="majorBidi"/>
        </w:rPr>
        <w:t xml:space="preserve">North American Industrial Classification System (NAICS) </w:t>
      </w:r>
      <w:r>
        <w:rPr>
          <w:rFonts w:asciiTheme="majorBidi" w:hAnsiTheme="majorBidi" w:cstheme="majorBidi"/>
        </w:rPr>
        <w:t>codes</w:t>
      </w:r>
      <w:r w:rsidRPr="00C270C5" w:rsidR="00C47DDD">
        <w:rPr>
          <w:rFonts w:asciiTheme="majorBidi" w:hAnsiTheme="majorBidi" w:cstheme="majorBidi"/>
        </w:rPr>
        <w:t>:</w:t>
      </w:r>
    </w:p>
    <w:p w:rsidR="002755D5" w:rsidP="0090557C" w:rsidRDefault="002755D5" w14:paraId="1CA6F2EF" w14:textId="77777777">
      <w:pPr>
        <w:rPr>
          <w:rFonts w:asciiTheme="majorBidi" w:hAnsiTheme="majorBidi" w:cstheme="majorBidi"/>
        </w:rPr>
      </w:pPr>
    </w:p>
    <w:p w:rsidR="007E67C3" w:rsidP="007E67C3" w:rsidRDefault="007E67C3" w14:paraId="4BC28E85" w14:textId="77777777">
      <w:pPr>
        <w:ind w:firstLine="720"/>
      </w:pPr>
      <w:bookmarkStart w:name="_Hlk34834494" w:id="3"/>
      <w:r>
        <w:t xml:space="preserve">• </w:t>
      </w:r>
      <w:r w:rsidRPr="00253C8E">
        <w:t xml:space="preserve">Chemical Producers (NAICS 32532), e.g., pesticide manufacturers or formulators of pesticide products, pesticide importers or any person or company who seeks to register a pesticide.  </w:t>
      </w:r>
    </w:p>
    <w:p w:rsidRPr="001061B2" w:rsidR="007E67C3" w:rsidP="007E67C3" w:rsidRDefault="007E67C3" w14:paraId="01E25A0A" w14:textId="77777777">
      <w:pPr>
        <w:autoSpaceDE w:val="0"/>
        <w:autoSpaceDN w:val="0"/>
        <w:adjustRightInd w:val="0"/>
        <w:rPr>
          <w:i/>
        </w:rPr>
      </w:pPr>
    </w:p>
    <w:p w:rsidR="007E67C3" w:rsidP="007E67C3" w:rsidRDefault="007E67C3" w14:paraId="63A4DD50" w14:textId="77777777">
      <w:pPr>
        <w:autoSpaceDE w:val="0"/>
        <w:autoSpaceDN w:val="0"/>
        <w:adjustRightInd w:val="0"/>
        <w:ind w:firstLine="720"/>
        <w:rPr>
          <w:rFonts w:cs="Sylfaen"/>
          <w:color w:val="000000"/>
        </w:rPr>
      </w:pPr>
      <w:r>
        <w:rPr>
          <w:color w:val="000000"/>
        </w:rPr>
        <w:t>•</w:t>
      </w:r>
      <w:r>
        <w:rPr>
          <w:rFonts w:cs="Sylfaen"/>
          <w:color w:val="000000"/>
        </w:rPr>
        <w:t xml:space="preserve"> </w:t>
      </w:r>
      <w:r w:rsidRPr="00C37429">
        <w:rPr>
          <w:rFonts w:cs="Sylfaen"/>
          <w:color w:val="000000"/>
        </w:rPr>
        <w:t xml:space="preserve">Research and Development in the Physical, Engineering, and Life Sciences (NAICS code 541712), e.g., research and development laboratories or services that perform efficacy testing for invertebrate pests.  </w:t>
      </w:r>
    </w:p>
    <w:p w:rsidRPr="00C37429" w:rsidR="007E67C3" w:rsidP="007E67C3" w:rsidRDefault="007E67C3" w14:paraId="46CB424C" w14:textId="77777777">
      <w:pPr>
        <w:autoSpaceDE w:val="0"/>
        <w:autoSpaceDN w:val="0"/>
        <w:adjustRightInd w:val="0"/>
        <w:ind w:left="720"/>
        <w:rPr>
          <w:rFonts w:cs="Sylfaen"/>
          <w:color w:val="000000"/>
        </w:rPr>
      </w:pPr>
    </w:p>
    <w:p w:rsidR="007E67C3" w:rsidP="007E67C3" w:rsidRDefault="007E67C3" w14:paraId="7EBB2E3B" w14:textId="77777777">
      <w:pPr>
        <w:autoSpaceDE w:val="0"/>
        <w:autoSpaceDN w:val="0"/>
        <w:adjustRightInd w:val="0"/>
        <w:ind w:firstLine="720"/>
        <w:rPr>
          <w:rFonts w:cs="Sylfaen"/>
          <w:color w:val="000000"/>
        </w:rPr>
      </w:pPr>
      <w:r>
        <w:rPr>
          <w:color w:val="000000"/>
        </w:rPr>
        <w:t xml:space="preserve">• </w:t>
      </w:r>
      <w:r w:rsidRPr="001061B2">
        <w:rPr>
          <w:rFonts w:cs="Sylfaen"/>
          <w:color w:val="000000"/>
        </w:rPr>
        <w:t xml:space="preserve">Colleges, universities, and professional schools (NAICS code 611310), e.g., establishments of higher learning which are engaged in development and marketing of products for invertebrate pest control. </w:t>
      </w:r>
    </w:p>
    <w:bookmarkEnd w:id="3"/>
    <w:p w:rsidRPr="00C270C5" w:rsidR="00C47DDD" w:rsidP="009C385F" w:rsidRDefault="00C47DDD" w14:paraId="6DE9785B" w14:textId="77777777">
      <w:pPr>
        <w:pStyle w:val="Heading2"/>
      </w:pPr>
      <w:r w:rsidRPr="00C270C5">
        <w:t>4(b)</w:t>
      </w:r>
      <w:r w:rsidRPr="00C270C5">
        <w:tab/>
        <w:t xml:space="preserve">Information </w:t>
      </w:r>
      <w:r w:rsidR="001E7CAB">
        <w:t>Collection Activities</w:t>
      </w:r>
    </w:p>
    <w:p w:rsidRPr="00866AF5" w:rsidR="00866AF5" w:rsidP="00866AF5" w:rsidRDefault="00CF7111" w14:paraId="30BB1CB1" w14:textId="77777777">
      <w:r>
        <w:t xml:space="preserve">Currently, </w:t>
      </w:r>
      <w:r w:rsidR="00866AF5">
        <w:t xml:space="preserve">submission of an application for a registration requires the following </w:t>
      </w:r>
      <w:r w:rsidR="00866AF5">
        <w:rPr>
          <w:rFonts w:asciiTheme="majorBidi" w:hAnsiTheme="majorBidi" w:cstheme="majorBidi"/>
          <w:lang w:val="en"/>
        </w:rPr>
        <w:t>a</w:t>
      </w:r>
      <w:r w:rsidR="00E906C7">
        <w:rPr>
          <w:rFonts w:asciiTheme="majorBidi" w:hAnsiTheme="majorBidi" w:cstheme="majorBidi"/>
          <w:lang w:val="en"/>
        </w:rPr>
        <w:t>pplication m</w:t>
      </w:r>
      <w:r w:rsidR="00866AF5">
        <w:rPr>
          <w:rFonts w:asciiTheme="majorBidi" w:hAnsiTheme="majorBidi" w:cstheme="majorBidi"/>
          <w:lang w:val="en"/>
        </w:rPr>
        <w:t>aterials</w:t>
      </w:r>
      <w:r w:rsidR="00E906C7">
        <w:rPr>
          <w:rFonts w:asciiTheme="majorBidi" w:hAnsiTheme="majorBidi" w:cstheme="majorBidi"/>
          <w:lang w:val="en"/>
        </w:rPr>
        <w:t>:</w:t>
      </w:r>
    </w:p>
    <w:p w:rsidR="00866AF5" w:rsidP="00866AF5" w:rsidRDefault="00866AF5" w14:paraId="15487FDB" w14:textId="77777777">
      <w:pPr>
        <w:widowControl/>
        <w:numPr>
          <w:ilvl w:val="0"/>
          <w:numId w:val="40"/>
        </w:numPr>
        <w:spacing w:before="100" w:beforeAutospacing="1" w:after="100" w:afterAutospacing="1"/>
        <w:rPr>
          <w:rFonts w:asciiTheme="majorBidi" w:hAnsiTheme="majorBidi" w:cstheme="majorBidi"/>
          <w:lang w:val="en"/>
        </w:rPr>
      </w:pPr>
      <w:r>
        <w:rPr>
          <w:rFonts w:asciiTheme="majorBidi" w:hAnsiTheme="majorBidi" w:cstheme="majorBidi"/>
          <w:lang w:val="en"/>
        </w:rPr>
        <w:t>Forms for pesticide registration applications.</w:t>
      </w:r>
    </w:p>
    <w:p w:rsidR="00866AF5" w:rsidP="00866AF5" w:rsidRDefault="00866AF5" w14:paraId="195DA7F6" w14:textId="77777777">
      <w:pPr>
        <w:widowControl/>
        <w:numPr>
          <w:ilvl w:val="0"/>
          <w:numId w:val="40"/>
        </w:numPr>
        <w:spacing w:before="100" w:beforeAutospacing="1" w:after="100" w:afterAutospacing="1"/>
        <w:rPr>
          <w:rFonts w:asciiTheme="majorBidi" w:hAnsiTheme="majorBidi" w:cstheme="majorBidi"/>
          <w:lang w:val="en"/>
        </w:rPr>
      </w:pPr>
      <w:r>
        <w:rPr>
          <w:rFonts w:asciiTheme="majorBidi" w:hAnsiTheme="majorBidi" w:cstheme="majorBidi"/>
          <w:lang w:val="en"/>
        </w:rPr>
        <w:t xml:space="preserve">Supporting data may be required as part of the submission. </w:t>
      </w:r>
    </w:p>
    <w:p w:rsidR="00866AF5" w:rsidP="00866AF5" w:rsidRDefault="00866AF5" w14:paraId="39015312" w14:textId="77777777">
      <w:pPr>
        <w:widowControl/>
        <w:numPr>
          <w:ilvl w:val="0"/>
          <w:numId w:val="40"/>
        </w:numPr>
        <w:spacing w:before="100" w:beforeAutospacing="1" w:after="100" w:afterAutospacing="1"/>
        <w:rPr>
          <w:rFonts w:asciiTheme="majorBidi" w:hAnsiTheme="majorBidi" w:cstheme="majorBidi"/>
          <w:lang w:val="en"/>
        </w:rPr>
      </w:pPr>
      <w:r>
        <w:rPr>
          <w:rFonts w:asciiTheme="majorBidi" w:hAnsiTheme="majorBidi" w:cstheme="majorBidi"/>
          <w:lang w:val="en"/>
        </w:rPr>
        <w:t>Draft labeling that meets the regulatory requirements set out in 40 CFR 152.50.</w:t>
      </w:r>
    </w:p>
    <w:p w:rsidR="00CF7111" w:rsidP="00CF7111" w:rsidRDefault="000A20A1" w14:paraId="02DCB70E" w14:textId="6B6C43EC">
      <w:r>
        <w:t>This action codifies the product performance data requirement for products claiming efficacy for certain invertebrate pests (pests of public health significance, pests of economic significance, and certain invasive</w:t>
      </w:r>
      <w:r w:rsidR="00D547D0">
        <w:t xml:space="preserve"> exotic species</w:t>
      </w:r>
      <w:r>
        <w:t xml:space="preserve">). </w:t>
      </w:r>
      <w:r w:rsidR="00EA109C">
        <w:t>These activities and associated burdens are already approved under OMB Control No. 2070-0060 (EPA ICR No. 0277</w:t>
      </w:r>
      <w:r w:rsidR="001846B1">
        <w:t>.21</w:t>
      </w:r>
      <w:r w:rsidR="00EA109C">
        <w:t xml:space="preserve">). As detailed in the existing ICR, the estimated </w:t>
      </w:r>
      <w:r w:rsidR="001E7CAB">
        <w:t xml:space="preserve">annual burden </w:t>
      </w:r>
      <w:r w:rsidR="00EA109C">
        <w:t xml:space="preserve">per </w:t>
      </w:r>
      <w:r w:rsidR="001E7CAB">
        <w:t xml:space="preserve">respondent </w:t>
      </w:r>
      <w:r w:rsidR="003F2D78">
        <w:t>rang</w:t>
      </w:r>
      <w:r w:rsidRPr="00C445A3" w:rsidR="003F2D78">
        <w:t xml:space="preserve">es from 14 to 646 </w:t>
      </w:r>
      <w:r w:rsidRPr="00C445A3" w:rsidR="00EA109C">
        <w:t>hours</w:t>
      </w:r>
      <w:r w:rsidRPr="00C445A3" w:rsidR="00C62733">
        <w:t xml:space="preserve"> for registration application activities</w:t>
      </w:r>
      <w:r w:rsidRPr="00C445A3" w:rsidR="00EA109C">
        <w:t xml:space="preserve">, </w:t>
      </w:r>
      <w:r w:rsidRPr="00C445A3" w:rsidR="003F2D78">
        <w:t>and from 527 to 46,000 hours for d</w:t>
      </w:r>
      <w:r w:rsidR="003F2D78">
        <w:t xml:space="preserve">ata generation related to </w:t>
      </w:r>
      <w:r w:rsidR="00C62733">
        <w:t xml:space="preserve">registration of </w:t>
      </w:r>
      <w:r w:rsidR="003F2D78">
        <w:t>a new active ingredient</w:t>
      </w:r>
      <w:r w:rsidR="00C62733">
        <w:t xml:space="preserve">, with the variation related to the type of registration </w:t>
      </w:r>
      <w:r w:rsidR="00595586">
        <w:t>involved</w:t>
      </w:r>
      <w:r w:rsidR="00EA109C">
        <w:t xml:space="preserve">.  </w:t>
      </w:r>
    </w:p>
    <w:p w:rsidR="00E906C7" w:rsidP="00CF7111" w:rsidRDefault="00E906C7" w14:paraId="68673B92" w14:textId="77777777"/>
    <w:p w:rsidR="003F393A" w:rsidP="002136E5" w:rsidRDefault="00E906C7" w14:paraId="7A268725" w14:textId="1F30F7AA">
      <w:r>
        <w:t>EPA estimates that this proposed rule would result</w:t>
      </w:r>
      <w:r w:rsidRPr="00E906C7" w:rsidR="00D547D0">
        <w:t xml:space="preserve"> </w:t>
      </w:r>
      <w:r w:rsidR="0091659A">
        <w:t xml:space="preserve">in </w:t>
      </w:r>
      <w:r w:rsidRPr="00E906C7" w:rsidR="00D547D0">
        <w:t>$1 million annual savings to registrants</w:t>
      </w:r>
      <w:r>
        <w:t>. The s</w:t>
      </w:r>
      <w:r w:rsidRPr="00E906C7" w:rsidR="00D547D0">
        <w:t xml:space="preserve">avings </w:t>
      </w:r>
      <w:r>
        <w:t xml:space="preserve">would be </w:t>
      </w:r>
      <w:r w:rsidRPr="00E906C7" w:rsidR="00D547D0">
        <w:t>entirely attributable to reduced uncertainty from codification</w:t>
      </w:r>
      <w:r>
        <w:t xml:space="preserve"> of requirements.  It would include </w:t>
      </w:r>
      <w:r w:rsidRPr="00E906C7" w:rsidR="00D547D0">
        <w:t xml:space="preserve">$900,000 annual savings from registrants avoiding </w:t>
      </w:r>
      <w:r w:rsidR="004D18DA">
        <w:t xml:space="preserve">conducting unnecessary efficacy </w:t>
      </w:r>
      <w:r w:rsidRPr="00E906C7" w:rsidR="00D547D0">
        <w:t>tests (e.g.</w:t>
      </w:r>
      <w:r w:rsidR="0091659A">
        <w:t>,</w:t>
      </w:r>
      <w:r w:rsidRPr="00E906C7" w:rsidR="00D547D0">
        <w:t xml:space="preserve"> </w:t>
      </w:r>
      <w:r w:rsidR="004D18DA">
        <w:t xml:space="preserve">conducting </w:t>
      </w:r>
      <w:r w:rsidRPr="00E906C7" w:rsidR="00D547D0">
        <w:t xml:space="preserve">tests on four tick species when only three are </w:t>
      </w:r>
      <w:r>
        <w:t>needed to receive a tick claim)</w:t>
      </w:r>
      <w:r w:rsidR="00F42D50">
        <w:t>,</w:t>
      </w:r>
      <w:r>
        <w:t xml:space="preserve"> </w:t>
      </w:r>
      <w:r w:rsidR="00C74B96">
        <w:t>and $100,000 in savings in the processing of applying for label claims</w:t>
      </w:r>
      <w:r>
        <w:t>.</w:t>
      </w:r>
      <w:r w:rsidR="00F514CA">
        <w:t xml:space="preserve">  EPA estimates that</w:t>
      </w:r>
      <w:r w:rsidR="005A527A">
        <w:t xml:space="preserve"> registrants submit 60 data packages to the </w:t>
      </w:r>
      <w:r w:rsidR="00E25653">
        <w:t>Agency annually</w:t>
      </w:r>
      <w:r w:rsidR="00C451A0">
        <w:t xml:space="preserve"> for efficacy review</w:t>
      </w:r>
      <w:r w:rsidR="00E25653">
        <w:t>, and thus</w:t>
      </w:r>
      <w:r w:rsidR="00F514CA">
        <w:t xml:space="preserve"> </w:t>
      </w:r>
      <w:r w:rsidR="00891D75">
        <w:t>this impact is</w:t>
      </w:r>
      <w:r w:rsidR="00F514CA">
        <w:t xml:space="preserve"> equivalent to about $</w:t>
      </w:r>
      <w:r w:rsidR="00C7455F">
        <w:t>17,000 in cost savings per data package submitted</w:t>
      </w:r>
      <w:r w:rsidR="002136E5">
        <w:t xml:space="preserve">.  </w:t>
      </w:r>
      <w:r w:rsidR="00963DD8">
        <w:t xml:space="preserve">Of this $900,000, $330,000 is savings </w:t>
      </w:r>
      <w:r w:rsidR="00C74B96">
        <w:t>attributable to</w:t>
      </w:r>
      <w:r w:rsidR="00963DD8">
        <w:t xml:space="preserve"> reduced paperwork burden - $15,000 from reduced submission paperwork burden, and $315,000 from reduced data </w:t>
      </w:r>
      <w:r w:rsidR="00963DD8">
        <w:lastRenderedPageBreak/>
        <w:t>generation paperwork burden.</w:t>
      </w:r>
    </w:p>
    <w:p w:rsidRPr="00C270C5" w:rsidR="00595586" w:rsidP="00595586" w:rsidRDefault="00210DE1" w14:paraId="572EF56F" w14:textId="68372690">
      <w:pPr>
        <w:pStyle w:val="Heading3"/>
      </w:pPr>
      <w:r w:rsidDel="00210DE1">
        <w:t xml:space="preserve"> </w:t>
      </w:r>
      <w:r w:rsidRPr="00C270C5" w:rsidR="00595586">
        <w:t>(</w:t>
      </w:r>
      <w:proofErr w:type="spellStart"/>
      <w:r w:rsidRPr="00C270C5" w:rsidR="00595586">
        <w:t>i</w:t>
      </w:r>
      <w:proofErr w:type="spellEnd"/>
      <w:r w:rsidRPr="00C270C5" w:rsidR="00595586">
        <w:t>)</w:t>
      </w:r>
      <w:r w:rsidR="002755D5">
        <w:t xml:space="preserve"> </w:t>
      </w:r>
      <w:r w:rsidRPr="00C270C5" w:rsidR="00595586">
        <w:t>Data items</w:t>
      </w:r>
      <w:r w:rsidR="00595586">
        <w:t xml:space="preserve"> - Proposed</w:t>
      </w:r>
      <w:r w:rsidRPr="00C270C5" w:rsidR="00595586">
        <w:t xml:space="preserve"> </w:t>
      </w:r>
      <w:r w:rsidR="00595586">
        <w:t>reporting &amp;</w:t>
      </w:r>
      <w:r w:rsidRPr="00C270C5" w:rsidR="00595586">
        <w:t xml:space="preserve"> recordkeeping requirements</w:t>
      </w:r>
      <w:r w:rsidR="002755D5">
        <w:t>.</w:t>
      </w:r>
    </w:p>
    <w:p w:rsidRPr="00B45C63" w:rsidR="00CF7111" w:rsidP="009B72A1" w:rsidRDefault="00D547D0" w14:paraId="3F8A7944" w14:textId="4D0D9071">
      <w:r w:rsidRPr="00490E82">
        <w:rPr>
          <w:rFonts w:eastAsiaTheme="minorHAnsi"/>
        </w:rPr>
        <w:t>The proposed data requirements are presented, as appropriate, in table formats, with the needed data specified according to the claim on the label, the species to be tested, and the performance standards to be met.</w:t>
      </w:r>
      <w:r w:rsidR="00B45C63">
        <w:rPr>
          <w:rFonts w:eastAsiaTheme="minorHAnsi"/>
        </w:rPr>
        <w:t xml:space="preserve"> More detailed information on the proposed data requirement tables can be found in the docket for this </w:t>
      </w:r>
      <w:r w:rsidRPr="00B45C63" w:rsidR="00B45C63">
        <w:rPr>
          <w:rFonts w:eastAsiaTheme="minorHAnsi"/>
        </w:rPr>
        <w:t xml:space="preserve">action: </w:t>
      </w:r>
      <w:r w:rsidRPr="00B45C63" w:rsidR="00B45C63">
        <w:rPr>
          <w:bCs/>
        </w:rPr>
        <w:t>EPA-HQ-OPP-2020-0124.</w:t>
      </w:r>
    </w:p>
    <w:p w:rsidRPr="00C270C5" w:rsidR="00C15D86" w:rsidP="00A958BF" w:rsidRDefault="00C47DDD" w14:paraId="3E5B0CA8" w14:textId="77777777">
      <w:pPr>
        <w:pStyle w:val="Heading3"/>
      </w:pPr>
      <w:r w:rsidRPr="00C270C5">
        <w:t xml:space="preserve">(ii) Respondent </w:t>
      </w:r>
      <w:r w:rsidR="00B57556">
        <w:t>PRA a</w:t>
      </w:r>
      <w:r w:rsidRPr="00C270C5">
        <w:t>ctivities</w:t>
      </w:r>
      <w:r w:rsidR="00B57556">
        <w:t>.</w:t>
      </w:r>
    </w:p>
    <w:p w:rsidR="00C15D86" w:rsidRDefault="00A958BF" w14:paraId="46015289" w14:textId="77777777">
      <w:pPr>
        <w:rPr>
          <w:rFonts w:asciiTheme="majorBidi" w:hAnsiTheme="majorBidi" w:cstheme="majorBidi"/>
        </w:rPr>
      </w:pPr>
      <w:r>
        <w:rPr>
          <w:rFonts w:asciiTheme="majorBidi" w:hAnsiTheme="majorBidi" w:cstheme="majorBidi"/>
        </w:rPr>
        <w:t xml:space="preserve">The following table describes the expected paperwork related activities that the </w:t>
      </w:r>
      <w:r w:rsidR="009B72A1">
        <w:rPr>
          <w:rFonts w:asciiTheme="majorBidi" w:hAnsiTheme="majorBidi" w:cstheme="majorBidi"/>
        </w:rPr>
        <w:t>submitter might engage</w:t>
      </w:r>
    </w:p>
    <w:p w:rsidRPr="00C270C5" w:rsidR="00A958BF" w:rsidRDefault="00A958BF" w14:paraId="3BC832E1" w14:textId="77777777">
      <w:pPr>
        <w:rPr>
          <w:rFonts w:asciiTheme="majorBidi" w:hAnsiTheme="majorBidi" w:cstheme="maj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8"/>
        <w:gridCol w:w="6642"/>
      </w:tblGrid>
      <w:tr w:rsidRPr="00C270C5" w:rsidR="00C270C5" w:rsidTr="00EF027D" w14:paraId="64A65950" w14:textId="77777777">
        <w:tc>
          <w:tcPr>
            <w:tcW w:w="2708" w:type="dxa"/>
            <w:shd w:val="clear" w:color="auto" w:fill="E6E6E6"/>
            <w:tcMar>
              <w:top w:w="29" w:type="dxa"/>
              <w:left w:w="115" w:type="dxa"/>
              <w:bottom w:w="29" w:type="dxa"/>
              <w:right w:w="115" w:type="dxa"/>
            </w:tcMar>
          </w:tcPr>
          <w:p w:rsidRPr="00C270C5" w:rsidR="00C15D86" w:rsidRDefault="00C47DDD" w14:paraId="0A54A4CD" w14:textId="77777777">
            <w:pPr>
              <w:rPr>
                <w:rFonts w:asciiTheme="majorBidi" w:hAnsiTheme="majorBidi" w:cstheme="majorBidi"/>
                <w:b/>
              </w:rPr>
            </w:pPr>
            <w:r w:rsidRPr="00C270C5">
              <w:rPr>
                <w:rFonts w:asciiTheme="majorBidi" w:hAnsiTheme="majorBidi" w:cstheme="majorBidi"/>
                <w:b/>
                <w:sz w:val="22"/>
                <w:szCs w:val="22"/>
              </w:rPr>
              <w:t>Respondent Paperwork Activity</w:t>
            </w:r>
          </w:p>
        </w:tc>
        <w:tc>
          <w:tcPr>
            <w:tcW w:w="6642" w:type="dxa"/>
            <w:shd w:val="clear" w:color="auto" w:fill="E6E6E6"/>
            <w:tcMar>
              <w:top w:w="29" w:type="dxa"/>
              <w:left w:w="115" w:type="dxa"/>
              <w:bottom w:w="29" w:type="dxa"/>
              <w:right w:w="115" w:type="dxa"/>
            </w:tcMar>
          </w:tcPr>
          <w:p w:rsidRPr="00C270C5" w:rsidR="00C15D86" w:rsidRDefault="00C47DDD" w14:paraId="6C4315C0" w14:textId="77777777">
            <w:pPr>
              <w:rPr>
                <w:rFonts w:asciiTheme="majorBidi" w:hAnsiTheme="majorBidi" w:cstheme="majorBidi"/>
                <w:b/>
              </w:rPr>
            </w:pPr>
            <w:r w:rsidRPr="00C270C5">
              <w:rPr>
                <w:rFonts w:asciiTheme="majorBidi" w:hAnsiTheme="majorBidi" w:cstheme="majorBidi"/>
                <w:b/>
                <w:sz w:val="22"/>
                <w:szCs w:val="22"/>
              </w:rPr>
              <w:t>Description</w:t>
            </w:r>
          </w:p>
        </w:tc>
      </w:tr>
      <w:tr w:rsidRPr="00C270C5" w:rsidR="00C270C5" w:rsidTr="00EF027D" w14:paraId="450DBAF2" w14:textId="77777777">
        <w:trPr>
          <w:trHeight w:val="890"/>
        </w:trPr>
        <w:tc>
          <w:tcPr>
            <w:tcW w:w="2708" w:type="dxa"/>
            <w:tcMar>
              <w:top w:w="29" w:type="dxa"/>
              <w:left w:w="115" w:type="dxa"/>
              <w:bottom w:w="29" w:type="dxa"/>
              <w:right w:w="115" w:type="dxa"/>
            </w:tcMar>
          </w:tcPr>
          <w:p w:rsidRPr="00C270C5" w:rsidR="00C47DDD" w:rsidP="008B7CCF" w:rsidRDefault="00C47DDD" w14:paraId="5CBD47EC" w14:textId="77777777">
            <w:pPr>
              <w:rPr>
                <w:rFonts w:asciiTheme="majorBidi" w:hAnsiTheme="majorBidi" w:cstheme="majorBidi"/>
                <w:b/>
              </w:rPr>
            </w:pPr>
            <w:r w:rsidRPr="00C270C5">
              <w:rPr>
                <w:rFonts w:asciiTheme="majorBidi" w:hAnsiTheme="majorBidi" w:cstheme="majorBidi"/>
                <w:b/>
                <w:sz w:val="22"/>
                <w:szCs w:val="22"/>
              </w:rPr>
              <w:t>1. Read instructions</w:t>
            </w:r>
          </w:p>
        </w:tc>
        <w:tc>
          <w:tcPr>
            <w:tcW w:w="6642" w:type="dxa"/>
            <w:tcMar>
              <w:top w:w="29" w:type="dxa"/>
              <w:left w:w="115" w:type="dxa"/>
              <w:bottom w:w="29" w:type="dxa"/>
              <w:right w:w="115" w:type="dxa"/>
            </w:tcMar>
          </w:tcPr>
          <w:p w:rsidRPr="00C270C5" w:rsidR="00C47DDD" w:rsidP="008B7CCF" w:rsidRDefault="00C47DDD" w14:paraId="647D1E38" w14:textId="77777777">
            <w:pPr>
              <w:rPr>
                <w:rFonts w:asciiTheme="majorBidi" w:hAnsiTheme="majorBidi" w:cstheme="majorBidi"/>
              </w:rPr>
            </w:pPr>
            <w:r w:rsidRPr="00C270C5">
              <w:rPr>
                <w:rFonts w:asciiTheme="majorBidi" w:hAnsiTheme="majorBidi" w:cstheme="majorBidi"/>
                <w:sz w:val="22"/>
                <w:szCs w:val="22"/>
              </w:rPr>
              <w:t xml:space="preserve">Read germane </w:t>
            </w:r>
            <w:r w:rsidR="009023C8">
              <w:rPr>
                <w:rFonts w:asciiTheme="majorBidi" w:hAnsiTheme="majorBidi" w:cstheme="majorBidi"/>
                <w:sz w:val="22"/>
                <w:szCs w:val="22"/>
              </w:rPr>
              <w:t xml:space="preserve">statutory provisions and implementing regulations in </w:t>
            </w:r>
            <w:r w:rsidRPr="00C270C5">
              <w:rPr>
                <w:rFonts w:asciiTheme="majorBidi" w:hAnsiTheme="majorBidi" w:cstheme="majorBidi"/>
                <w:sz w:val="22"/>
                <w:szCs w:val="22"/>
              </w:rPr>
              <w:t xml:space="preserve">40 CFR </w:t>
            </w:r>
            <w:r w:rsidR="000467E5">
              <w:rPr>
                <w:rFonts w:asciiTheme="majorBidi" w:hAnsiTheme="majorBidi" w:cstheme="majorBidi"/>
                <w:sz w:val="22"/>
                <w:szCs w:val="22"/>
              </w:rPr>
              <w:t>parts 158.</w:t>
            </w:r>
          </w:p>
          <w:p w:rsidRPr="00C270C5" w:rsidR="00C15D86" w:rsidRDefault="00C47DDD" w14:paraId="2EFD435B" w14:textId="77777777">
            <w:pPr>
              <w:rPr>
                <w:rFonts w:asciiTheme="majorBidi" w:hAnsiTheme="majorBidi" w:cstheme="majorBidi"/>
                <w:sz w:val="8"/>
                <w:szCs w:val="8"/>
              </w:rPr>
            </w:pPr>
            <w:r w:rsidRPr="00C270C5">
              <w:rPr>
                <w:rFonts w:asciiTheme="majorBidi" w:hAnsiTheme="majorBidi" w:cstheme="majorBidi"/>
                <w:sz w:val="22"/>
                <w:szCs w:val="22"/>
              </w:rPr>
              <w:t xml:space="preserve"> </w:t>
            </w:r>
          </w:p>
        </w:tc>
      </w:tr>
      <w:tr w:rsidRPr="00C270C5" w:rsidR="00C270C5" w:rsidTr="00EF027D" w14:paraId="214BBB93" w14:textId="77777777">
        <w:tc>
          <w:tcPr>
            <w:tcW w:w="2708" w:type="dxa"/>
            <w:tcMar>
              <w:top w:w="29" w:type="dxa"/>
              <w:left w:w="115" w:type="dxa"/>
              <w:bottom w:w="29" w:type="dxa"/>
              <w:right w:w="115" w:type="dxa"/>
            </w:tcMar>
          </w:tcPr>
          <w:p w:rsidRPr="00C270C5" w:rsidR="00C47DDD" w:rsidP="008B7CCF" w:rsidRDefault="00C47DDD" w14:paraId="3AC9BB4B" w14:textId="77777777">
            <w:pPr>
              <w:rPr>
                <w:rFonts w:asciiTheme="majorBidi" w:hAnsiTheme="majorBidi" w:cstheme="majorBidi"/>
                <w:b/>
              </w:rPr>
            </w:pPr>
            <w:r w:rsidRPr="00C270C5">
              <w:rPr>
                <w:rFonts w:asciiTheme="majorBidi" w:hAnsiTheme="majorBidi" w:cstheme="majorBidi"/>
                <w:b/>
                <w:sz w:val="22"/>
                <w:szCs w:val="22"/>
              </w:rPr>
              <w:t>2. Plan activities</w:t>
            </w:r>
          </w:p>
        </w:tc>
        <w:tc>
          <w:tcPr>
            <w:tcW w:w="6642" w:type="dxa"/>
            <w:tcMar>
              <w:top w:w="29" w:type="dxa"/>
              <w:left w:w="115" w:type="dxa"/>
              <w:bottom w:w="29" w:type="dxa"/>
              <w:right w:w="115" w:type="dxa"/>
            </w:tcMar>
          </w:tcPr>
          <w:p w:rsidRPr="00C270C5" w:rsidR="009023C8" w:rsidP="009023C8" w:rsidRDefault="006525B3" w14:paraId="6822FCDE" w14:textId="77777777">
            <w:pPr>
              <w:rPr>
                <w:sz w:val="8"/>
                <w:szCs w:val="8"/>
              </w:rPr>
            </w:pPr>
            <w:r w:rsidRPr="00C270C5">
              <w:t>Decide whether</w:t>
            </w:r>
            <w:r w:rsidR="00A958BF">
              <w:t xml:space="preserve"> </w:t>
            </w:r>
            <w:r w:rsidRPr="00C270C5">
              <w:t xml:space="preserve">the product </w:t>
            </w:r>
            <w:r w:rsidR="009023C8">
              <w:t>qualif</w:t>
            </w:r>
            <w:r w:rsidR="00A958BF">
              <w:t>ies</w:t>
            </w:r>
            <w:r w:rsidR="000467E5">
              <w:t xml:space="preserve"> is subject to the proposed data requirements;</w:t>
            </w:r>
          </w:p>
        </w:tc>
      </w:tr>
      <w:tr w:rsidRPr="00C270C5" w:rsidR="00C270C5" w:rsidTr="00EF027D" w14:paraId="6AD7A658" w14:textId="77777777">
        <w:tc>
          <w:tcPr>
            <w:tcW w:w="2708" w:type="dxa"/>
            <w:tcMar>
              <w:top w:w="29" w:type="dxa"/>
              <w:left w:w="115" w:type="dxa"/>
              <w:bottom w:w="29" w:type="dxa"/>
              <w:right w:w="115" w:type="dxa"/>
            </w:tcMar>
          </w:tcPr>
          <w:p w:rsidRPr="00C270C5" w:rsidR="00EF027D" w:rsidP="004159E3" w:rsidRDefault="002004E1" w14:paraId="7167B198" w14:textId="77777777">
            <w:pPr>
              <w:rPr>
                <w:rFonts w:asciiTheme="majorBidi" w:hAnsiTheme="majorBidi" w:cstheme="majorBidi"/>
                <w:b/>
              </w:rPr>
            </w:pPr>
            <w:r w:rsidRPr="00C270C5">
              <w:rPr>
                <w:rFonts w:asciiTheme="majorBidi" w:hAnsiTheme="majorBidi" w:cstheme="majorBidi"/>
                <w:b/>
                <w:sz w:val="22"/>
                <w:szCs w:val="22"/>
              </w:rPr>
              <w:t>3</w:t>
            </w:r>
            <w:r w:rsidRPr="00C270C5" w:rsidR="00EF027D">
              <w:rPr>
                <w:rFonts w:asciiTheme="majorBidi" w:hAnsiTheme="majorBidi" w:cstheme="majorBidi"/>
                <w:b/>
                <w:sz w:val="22"/>
                <w:szCs w:val="22"/>
              </w:rPr>
              <w:t>. Gather information</w:t>
            </w:r>
          </w:p>
        </w:tc>
        <w:tc>
          <w:tcPr>
            <w:tcW w:w="6642" w:type="dxa"/>
            <w:tcMar>
              <w:top w:w="29" w:type="dxa"/>
              <w:left w:w="115" w:type="dxa"/>
              <w:bottom w:w="29" w:type="dxa"/>
              <w:right w:w="115" w:type="dxa"/>
            </w:tcMar>
          </w:tcPr>
          <w:p w:rsidRPr="00C270C5" w:rsidR="00EF027D" w:rsidP="004159E3" w:rsidRDefault="004B447D" w14:paraId="32150117" w14:textId="77777777">
            <w:pPr>
              <w:rPr>
                <w:rFonts w:asciiTheme="majorBidi" w:hAnsiTheme="majorBidi" w:cstheme="majorBidi"/>
                <w:sz w:val="8"/>
                <w:szCs w:val="8"/>
              </w:rPr>
            </w:pPr>
            <w:r w:rsidRPr="00C270C5">
              <w:rPr>
                <w:rFonts w:asciiTheme="majorBidi" w:hAnsiTheme="majorBidi" w:cstheme="majorBidi"/>
                <w:sz w:val="22"/>
                <w:szCs w:val="22"/>
              </w:rPr>
              <w:t xml:space="preserve">Canvass/contact other companies holding EPA registrations or marketing similar products, if any, to determine whether it would be appropriate to share or rely on testing data already submitted by another company;  </w:t>
            </w:r>
          </w:p>
        </w:tc>
      </w:tr>
      <w:tr w:rsidRPr="00C270C5" w:rsidR="00C270C5" w:rsidTr="00EF027D" w14:paraId="518CF876" w14:textId="77777777">
        <w:tc>
          <w:tcPr>
            <w:tcW w:w="2708" w:type="dxa"/>
            <w:tcMar>
              <w:top w:w="29" w:type="dxa"/>
              <w:left w:w="115" w:type="dxa"/>
              <w:bottom w:w="29" w:type="dxa"/>
              <w:right w:w="115" w:type="dxa"/>
            </w:tcMar>
          </w:tcPr>
          <w:p w:rsidR="00C47DDD" w:rsidP="008B7CCF" w:rsidRDefault="002004E1" w14:paraId="6E1579BF" w14:textId="77777777">
            <w:pPr>
              <w:rPr>
                <w:rFonts w:asciiTheme="majorBidi" w:hAnsiTheme="majorBidi" w:cstheme="majorBidi"/>
                <w:b/>
                <w:sz w:val="22"/>
                <w:szCs w:val="22"/>
              </w:rPr>
            </w:pPr>
            <w:r w:rsidRPr="00C270C5">
              <w:rPr>
                <w:rFonts w:asciiTheme="majorBidi" w:hAnsiTheme="majorBidi" w:cstheme="majorBidi"/>
                <w:b/>
                <w:sz w:val="22"/>
                <w:szCs w:val="22"/>
              </w:rPr>
              <w:t>4</w:t>
            </w:r>
            <w:r w:rsidRPr="00C270C5" w:rsidR="00C47DDD">
              <w:rPr>
                <w:rFonts w:asciiTheme="majorBidi" w:hAnsiTheme="majorBidi" w:cstheme="majorBidi"/>
                <w:b/>
                <w:sz w:val="22"/>
                <w:szCs w:val="22"/>
              </w:rPr>
              <w:t>. Create information</w:t>
            </w:r>
          </w:p>
          <w:p w:rsidR="009023C8" w:rsidP="009023C8" w:rsidRDefault="009023C8" w14:paraId="48EC9749" w14:textId="77777777">
            <w:pPr>
              <w:rPr>
                <w:rFonts w:asciiTheme="majorBidi" w:hAnsiTheme="majorBidi" w:cstheme="majorBidi"/>
                <w:b/>
                <w:sz w:val="22"/>
                <w:szCs w:val="22"/>
              </w:rPr>
            </w:pPr>
          </w:p>
          <w:p w:rsidRPr="009023C8" w:rsidR="009023C8" w:rsidP="009023C8" w:rsidRDefault="009023C8" w14:paraId="3774B1F3" w14:textId="77777777">
            <w:pPr>
              <w:jc w:val="right"/>
              <w:rPr>
                <w:rFonts w:asciiTheme="majorBidi" w:hAnsiTheme="majorBidi" w:cstheme="majorBidi"/>
              </w:rPr>
            </w:pPr>
          </w:p>
        </w:tc>
        <w:tc>
          <w:tcPr>
            <w:tcW w:w="6642" w:type="dxa"/>
            <w:tcMar>
              <w:top w:w="29" w:type="dxa"/>
              <w:left w:w="115" w:type="dxa"/>
              <w:bottom w:w="29" w:type="dxa"/>
              <w:right w:w="115" w:type="dxa"/>
            </w:tcMar>
          </w:tcPr>
          <w:p w:rsidRPr="00C270C5" w:rsidR="00C47DDD" w:rsidP="00AD7532" w:rsidRDefault="002004E1" w14:paraId="12DB765F" w14:textId="77777777">
            <w:pPr>
              <w:rPr>
                <w:rFonts w:asciiTheme="majorBidi" w:hAnsiTheme="majorBidi" w:cstheme="majorBidi"/>
              </w:rPr>
            </w:pPr>
            <w:r w:rsidRPr="00C270C5">
              <w:rPr>
                <w:rFonts w:asciiTheme="majorBidi" w:hAnsiTheme="majorBidi" w:cstheme="majorBidi"/>
                <w:sz w:val="22"/>
                <w:szCs w:val="22"/>
              </w:rPr>
              <w:t xml:space="preserve">If </w:t>
            </w:r>
            <w:r w:rsidRPr="00C270C5" w:rsidR="00AD7532">
              <w:rPr>
                <w:rFonts w:asciiTheme="majorBidi" w:hAnsiTheme="majorBidi" w:cstheme="majorBidi"/>
                <w:sz w:val="22"/>
                <w:szCs w:val="22"/>
              </w:rPr>
              <w:t>submitting</w:t>
            </w:r>
            <w:r w:rsidRPr="00C270C5">
              <w:rPr>
                <w:rFonts w:asciiTheme="majorBidi" w:hAnsiTheme="majorBidi" w:cstheme="majorBidi"/>
                <w:sz w:val="22"/>
                <w:szCs w:val="22"/>
              </w:rPr>
              <w:t xml:space="preserve"> stud</w:t>
            </w:r>
            <w:r w:rsidRPr="00C270C5" w:rsidR="00AD7532">
              <w:rPr>
                <w:rFonts w:asciiTheme="majorBidi" w:hAnsiTheme="majorBidi" w:cstheme="majorBidi"/>
                <w:sz w:val="22"/>
                <w:szCs w:val="22"/>
              </w:rPr>
              <w:t>y data</w:t>
            </w:r>
            <w:r w:rsidRPr="00C270C5">
              <w:rPr>
                <w:rFonts w:asciiTheme="majorBidi" w:hAnsiTheme="majorBidi" w:cstheme="majorBidi"/>
                <w:sz w:val="22"/>
                <w:szCs w:val="22"/>
              </w:rPr>
              <w:t>, a</w:t>
            </w:r>
            <w:r w:rsidRPr="00C270C5" w:rsidR="00C47DDD">
              <w:rPr>
                <w:rFonts w:asciiTheme="majorBidi" w:hAnsiTheme="majorBidi" w:cstheme="majorBidi"/>
                <w:sz w:val="22"/>
                <w:szCs w:val="22"/>
              </w:rPr>
              <w:t xml:space="preserve">rrange for testing of product </w:t>
            </w:r>
            <w:r w:rsidR="000467E5">
              <w:rPr>
                <w:rFonts w:asciiTheme="majorBidi" w:hAnsiTheme="majorBidi" w:cstheme="majorBidi"/>
                <w:sz w:val="22"/>
                <w:szCs w:val="22"/>
              </w:rPr>
              <w:t>performance</w:t>
            </w:r>
            <w:r w:rsidRPr="00C270C5" w:rsidR="00C47DDD">
              <w:rPr>
                <w:rFonts w:asciiTheme="majorBidi" w:hAnsiTheme="majorBidi" w:cstheme="majorBidi"/>
                <w:sz w:val="22"/>
                <w:szCs w:val="22"/>
              </w:rPr>
              <w:t xml:space="preserve"> and efficacy data required by germane regulations to support registration</w:t>
            </w:r>
            <w:r w:rsidRPr="00C270C5" w:rsidR="00FC7BFE">
              <w:rPr>
                <w:rFonts w:asciiTheme="majorBidi" w:hAnsiTheme="majorBidi" w:cstheme="majorBidi"/>
                <w:sz w:val="22"/>
                <w:szCs w:val="22"/>
              </w:rPr>
              <w:t>;</w:t>
            </w:r>
          </w:p>
          <w:p w:rsidRPr="00C270C5" w:rsidR="00C15D86" w:rsidRDefault="00C15D86" w14:paraId="0858CBBE" w14:textId="77777777">
            <w:pPr>
              <w:rPr>
                <w:rFonts w:asciiTheme="majorBidi" w:hAnsiTheme="majorBidi" w:cstheme="majorBidi"/>
                <w:sz w:val="8"/>
                <w:szCs w:val="8"/>
              </w:rPr>
            </w:pPr>
          </w:p>
        </w:tc>
      </w:tr>
      <w:tr w:rsidRPr="00C270C5" w:rsidR="00C270C5" w:rsidTr="00EF027D" w14:paraId="11D29D0A" w14:textId="77777777">
        <w:tc>
          <w:tcPr>
            <w:tcW w:w="2708" w:type="dxa"/>
            <w:tcMar>
              <w:top w:w="29" w:type="dxa"/>
              <w:left w:w="115" w:type="dxa"/>
              <w:bottom w:w="29" w:type="dxa"/>
              <w:right w:w="115" w:type="dxa"/>
            </w:tcMar>
          </w:tcPr>
          <w:p w:rsidRPr="00C270C5" w:rsidR="00C47DDD" w:rsidP="008B7CCF" w:rsidRDefault="00C47DDD" w14:paraId="2824A8CD" w14:textId="77777777">
            <w:pPr>
              <w:rPr>
                <w:rFonts w:asciiTheme="majorBidi" w:hAnsiTheme="majorBidi" w:cstheme="majorBidi"/>
                <w:b/>
              </w:rPr>
            </w:pPr>
            <w:r w:rsidRPr="00C270C5">
              <w:rPr>
                <w:rFonts w:asciiTheme="majorBidi" w:hAnsiTheme="majorBidi" w:cstheme="majorBidi"/>
                <w:b/>
                <w:sz w:val="22"/>
                <w:szCs w:val="22"/>
              </w:rPr>
              <w:t>5. Compile and review</w:t>
            </w:r>
          </w:p>
        </w:tc>
        <w:tc>
          <w:tcPr>
            <w:tcW w:w="6642" w:type="dxa"/>
            <w:tcMar>
              <w:top w:w="29" w:type="dxa"/>
              <w:left w:w="115" w:type="dxa"/>
              <w:bottom w:w="29" w:type="dxa"/>
              <w:right w:w="115" w:type="dxa"/>
            </w:tcMar>
          </w:tcPr>
          <w:p w:rsidRPr="00C270C5" w:rsidR="00C47DDD" w:rsidP="008B7CCF" w:rsidRDefault="00C47DDD" w14:paraId="216C8376" w14:textId="77777777">
            <w:pPr>
              <w:rPr>
                <w:rFonts w:asciiTheme="majorBidi" w:hAnsiTheme="majorBidi" w:cstheme="majorBidi"/>
              </w:rPr>
            </w:pPr>
            <w:r w:rsidRPr="00C270C5">
              <w:rPr>
                <w:rFonts w:asciiTheme="majorBidi" w:hAnsiTheme="majorBidi" w:cstheme="majorBidi"/>
                <w:sz w:val="22"/>
                <w:szCs w:val="22"/>
              </w:rPr>
              <w:t>Assemble data, evaluate for accuracy, appropriateness, and completeness;</w:t>
            </w:r>
          </w:p>
          <w:p w:rsidRPr="00C270C5" w:rsidR="00C15D86" w:rsidRDefault="00C15D86" w14:paraId="5AFC082D" w14:textId="77777777">
            <w:pPr>
              <w:rPr>
                <w:rFonts w:asciiTheme="majorBidi" w:hAnsiTheme="majorBidi" w:cstheme="majorBidi"/>
                <w:sz w:val="8"/>
                <w:szCs w:val="8"/>
              </w:rPr>
            </w:pPr>
          </w:p>
        </w:tc>
      </w:tr>
      <w:tr w:rsidRPr="00C270C5" w:rsidR="00C270C5" w:rsidTr="00EF027D" w14:paraId="74A62AF2" w14:textId="77777777">
        <w:tc>
          <w:tcPr>
            <w:tcW w:w="2708" w:type="dxa"/>
            <w:tcMar>
              <w:top w:w="29" w:type="dxa"/>
              <w:left w:w="115" w:type="dxa"/>
              <w:bottom w:w="29" w:type="dxa"/>
              <w:right w:w="115" w:type="dxa"/>
            </w:tcMar>
          </w:tcPr>
          <w:p w:rsidRPr="00C270C5" w:rsidR="00C47DDD" w:rsidP="008B7CCF" w:rsidRDefault="00C47DDD" w14:paraId="57DF3151" w14:textId="77777777">
            <w:pPr>
              <w:rPr>
                <w:rFonts w:asciiTheme="majorBidi" w:hAnsiTheme="majorBidi" w:cstheme="majorBidi"/>
                <w:b/>
              </w:rPr>
            </w:pPr>
            <w:r w:rsidRPr="00C270C5">
              <w:rPr>
                <w:rFonts w:asciiTheme="majorBidi" w:hAnsiTheme="majorBidi" w:cstheme="majorBidi"/>
                <w:b/>
                <w:sz w:val="22"/>
                <w:szCs w:val="22"/>
              </w:rPr>
              <w:t>6. Complete paperwork</w:t>
            </w:r>
          </w:p>
        </w:tc>
        <w:tc>
          <w:tcPr>
            <w:tcW w:w="6642" w:type="dxa"/>
            <w:tcMar>
              <w:top w:w="29" w:type="dxa"/>
              <w:left w:w="115" w:type="dxa"/>
              <w:bottom w:w="29" w:type="dxa"/>
              <w:right w:w="115" w:type="dxa"/>
            </w:tcMar>
          </w:tcPr>
          <w:p w:rsidRPr="00A958BF" w:rsidR="00791649" w:rsidP="008B7CCF" w:rsidRDefault="00C47DDD" w14:paraId="2873E278" w14:textId="77777777">
            <w:pPr>
              <w:rPr>
                <w:rFonts w:asciiTheme="majorBidi" w:hAnsiTheme="majorBidi" w:cstheme="majorBidi"/>
                <w:sz w:val="22"/>
                <w:szCs w:val="22"/>
              </w:rPr>
            </w:pPr>
            <w:r w:rsidRPr="00C270C5">
              <w:rPr>
                <w:rFonts w:asciiTheme="majorBidi" w:hAnsiTheme="majorBidi" w:cstheme="majorBidi"/>
                <w:sz w:val="22"/>
                <w:szCs w:val="22"/>
              </w:rPr>
              <w:t>Complete all appropriate application documents;</w:t>
            </w:r>
          </w:p>
          <w:p w:rsidRPr="00C270C5" w:rsidR="00C15D86" w:rsidRDefault="00C15D86" w14:paraId="00C3DA9B" w14:textId="77777777">
            <w:pPr>
              <w:rPr>
                <w:rFonts w:asciiTheme="majorBidi" w:hAnsiTheme="majorBidi" w:cstheme="majorBidi"/>
                <w:sz w:val="8"/>
                <w:szCs w:val="8"/>
              </w:rPr>
            </w:pPr>
          </w:p>
        </w:tc>
      </w:tr>
      <w:tr w:rsidRPr="00C270C5" w:rsidR="00C270C5" w:rsidTr="004159E3" w14:paraId="72141CB1" w14:textId="77777777">
        <w:trPr>
          <w:trHeight w:val="528"/>
        </w:trPr>
        <w:tc>
          <w:tcPr>
            <w:tcW w:w="2708" w:type="dxa"/>
            <w:tcMar>
              <w:top w:w="29" w:type="dxa"/>
              <w:left w:w="115" w:type="dxa"/>
              <w:bottom w:w="29" w:type="dxa"/>
              <w:right w:w="115" w:type="dxa"/>
            </w:tcMar>
          </w:tcPr>
          <w:p w:rsidRPr="00C270C5" w:rsidR="00791649" w:rsidP="00791649" w:rsidRDefault="00791649" w14:paraId="25CA806D" w14:textId="77777777">
            <w:pPr>
              <w:rPr>
                <w:rFonts w:asciiTheme="majorBidi" w:hAnsiTheme="majorBidi" w:cstheme="majorBidi"/>
                <w:b/>
                <w:sz w:val="22"/>
                <w:szCs w:val="22"/>
              </w:rPr>
            </w:pPr>
            <w:r w:rsidRPr="00C270C5">
              <w:rPr>
                <w:rFonts w:asciiTheme="majorBidi" w:hAnsiTheme="majorBidi" w:cstheme="majorBidi"/>
                <w:b/>
                <w:sz w:val="22"/>
                <w:szCs w:val="22"/>
              </w:rPr>
              <w:t xml:space="preserve">7. Submit </w:t>
            </w:r>
            <w:r w:rsidR="009023C8">
              <w:rPr>
                <w:rFonts w:asciiTheme="majorBidi" w:hAnsiTheme="majorBidi" w:cstheme="majorBidi"/>
                <w:b/>
                <w:sz w:val="22"/>
                <w:szCs w:val="22"/>
              </w:rPr>
              <w:t>notification to EPA</w:t>
            </w:r>
          </w:p>
        </w:tc>
        <w:tc>
          <w:tcPr>
            <w:tcW w:w="6642" w:type="dxa"/>
            <w:tcMar>
              <w:top w:w="29" w:type="dxa"/>
              <w:left w:w="115" w:type="dxa"/>
              <w:bottom w:w="29" w:type="dxa"/>
              <w:right w:w="115" w:type="dxa"/>
            </w:tcMar>
          </w:tcPr>
          <w:p w:rsidRPr="00C270C5" w:rsidR="00791649" w:rsidP="00CB40F4" w:rsidRDefault="004445F4" w14:paraId="64AD9403" w14:textId="77777777">
            <w:pPr>
              <w:rPr>
                <w:rFonts w:asciiTheme="majorBidi" w:hAnsiTheme="majorBidi" w:cstheme="majorBidi"/>
                <w:sz w:val="22"/>
                <w:szCs w:val="22"/>
              </w:rPr>
            </w:pPr>
            <w:r w:rsidRPr="00C270C5">
              <w:rPr>
                <w:rFonts w:asciiTheme="majorBidi" w:hAnsiTheme="majorBidi" w:cstheme="majorBidi"/>
                <w:sz w:val="22"/>
                <w:szCs w:val="22"/>
              </w:rPr>
              <w:t xml:space="preserve">Using </w:t>
            </w:r>
            <w:r w:rsidRPr="00C270C5" w:rsidR="00CB40F4">
              <w:rPr>
                <w:rFonts w:asciiTheme="majorBidi" w:hAnsiTheme="majorBidi" w:cstheme="majorBidi"/>
                <w:sz w:val="22"/>
                <w:szCs w:val="22"/>
              </w:rPr>
              <w:t>preferred option</w:t>
            </w:r>
            <w:r w:rsidRPr="00C270C5">
              <w:rPr>
                <w:rFonts w:asciiTheme="majorBidi" w:hAnsiTheme="majorBidi" w:cstheme="majorBidi"/>
                <w:sz w:val="22"/>
                <w:szCs w:val="22"/>
              </w:rPr>
              <w:t xml:space="preserve"> for </w:t>
            </w:r>
            <w:r w:rsidR="009023C8">
              <w:rPr>
                <w:rFonts w:asciiTheme="majorBidi" w:hAnsiTheme="majorBidi" w:cstheme="majorBidi"/>
                <w:sz w:val="22"/>
                <w:szCs w:val="22"/>
              </w:rPr>
              <w:t>submission</w:t>
            </w:r>
            <w:r w:rsidRPr="00C270C5" w:rsidR="00CB40F4">
              <w:rPr>
                <w:rFonts w:asciiTheme="majorBidi" w:hAnsiTheme="majorBidi" w:cstheme="majorBidi"/>
                <w:sz w:val="22"/>
                <w:szCs w:val="22"/>
              </w:rPr>
              <w:t xml:space="preserve">, submit required information to the EPA. </w:t>
            </w:r>
          </w:p>
        </w:tc>
      </w:tr>
      <w:tr w:rsidRPr="00C270C5" w:rsidR="00C47DDD" w:rsidTr="00EF027D" w14:paraId="5FC58FF4" w14:textId="77777777">
        <w:trPr>
          <w:trHeight w:val="528"/>
        </w:trPr>
        <w:tc>
          <w:tcPr>
            <w:tcW w:w="2708" w:type="dxa"/>
            <w:tcMar>
              <w:top w:w="29" w:type="dxa"/>
              <w:left w:w="115" w:type="dxa"/>
              <w:bottom w:w="29" w:type="dxa"/>
              <w:right w:w="115" w:type="dxa"/>
            </w:tcMar>
          </w:tcPr>
          <w:p w:rsidRPr="009023C8" w:rsidR="00C47DDD" w:rsidP="009023C8" w:rsidRDefault="009023C8" w14:paraId="089D97D5" w14:textId="77777777">
            <w:pPr>
              <w:rPr>
                <w:rFonts w:asciiTheme="majorBidi" w:hAnsiTheme="majorBidi" w:cstheme="majorBidi"/>
                <w:b/>
              </w:rPr>
            </w:pPr>
            <w:r>
              <w:rPr>
                <w:rFonts w:asciiTheme="majorBidi" w:hAnsiTheme="majorBidi" w:cstheme="majorBidi"/>
                <w:b/>
                <w:sz w:val="22"/>
                <w:szCs w:val="22"/>
              </w:rPr>
              <w:t xml:space="preserve">8. </w:t>
            </w:r>
            <w:r w:rsidRPr="009023C8" w:rsidR="00791649">
              <w:rPr>
                <w:rFonts w:asciiTheme="majorBidi" w:hAnsiTheme="majorBidi" w:cstheme="majorBidi"/>
                <w:b/>
                <w:sz w:val="22"/>
                <w:szCs w:val="22"/>
              </w:rPr>
              <w:t>Store/maintain data</w:t>
            </w:r>
          </w:p>
        </w:tc>
        <w:tc>
          <w:tcPr>
            <w:tcW w:w="6642" w:type="dxa"/>
            <w:tcMar>
              <w:top w:w="29" w:type="dxa"/>
              <w:left w:w="115" w:type="dxa"/>
              <w:bottom w:w="29" w:type="dxa"/>
              <w:right w:w="115" w:type="dxa"/>
            </w:tcMar>
          </w:tcPr>
          <w:p w:rsidRPr="00C270C5" w:rsidR="00C47DDD" w:rsidP="008B7CCF" w:rsidRDefault="00791649" w14:paraId="20D67EA7" w14:textId="77777777">
            <w:pPr>
              <w:rPr>
                <w:rFonts w:asciiTheme="majorBidi" w:hAnsiTheme="majorBidi" w:cstheme="majorBidi"/>
              </w:rPr>
            </w:pPr>
            <w:r w:rsidRPr="00C270C5">
              <w:rPr>
                <w:rFonts w:asciiTheme="majorBidi" w:hAnsiTheme="majorBidi" w:cstheme="majorBidi"/>
                <w:sz w:val="22"/>
                <w:szCs w:val="22"/>
              </w:rPr>
              <w:t>File and maintain copies of all registration data submitted to the Agency.</w:t>
            </w:r>
          </w:p>
        </w:tc>
      </w:tr>
    </w:tbl>
    <w:p w:rsidR="00B67581" w:rsidP="00D23E05" w:rsidRDefault="00B67581" w14:paraId="393061D4" w14:textId="77777777">
      <w:pPr>
        <w:rPr>
          <w:rFonts w:asciiTheme="majorBidi" w:hAnsiTheme="majorBidi" w:cstheme="majorBidi"/>
          <w:b/>
        </w:rPr>
      </w:pPr>
    </w:p>
    <w:p w:rsidRPr="00A958BF" w:rsidR="00C15D86" w:rsidP="00A958BF" w:rsidRDefault="00C47DDD" w14:paraId="1025C1DC" w14:textId="77777777">
      <w:pPr>
        <w:pStyle w:val="Heading1"/>
      </w:pPr>
      <w:r w:rsidRPr="00A958BF">
        <w:t>5.</w:t>
      </w:r>
      <w:r w:rsidRPr="00A958BF">
        <w:tab/>
        <w:t>THE INFORMATION COLLECTED – AGENCY ACTIVITIES, COLLECTION METHODOLOGY, AND INFORMATION MANAGEMENT.</w:t>
      </w:r>
    </w:p>
    <w:p w:rsidRPr="00A958BF" w:rsidR="00C15D86" w:rsidP="00A958BF" w:rsidRDefault="00C47DDD" w14:paraId="138ABF1C" w14:textId="77777777">
      <w:pPr>
        <w:pStyle w:val="Heading2"/>
      </w:pPr>
      <w:r w:rsidRPr="00A958BF">
        <w:t>5(a)</w:t>
      </w:r>
      <w:r w:rsidRPr="00A958BF">
        <w:tab/>
        <w:t>Agency Activitie</w:t>
      </w:r>
      <w:r w:rsidRPr="00A958BF" w:rsidR="009023C8">
        <w:t>s</w:t>
      </w:r>
    </w:p>
    <w:p w:rsidR="00866AF5" w:rsidP="00866AF5" w:rsidRDefault="00B45C63" w14:paraId="4CD252C3" w14:textId="648C4AB0">
      <w:pPr>
        <w:ind w:firstLine="720"/>
        <w:rPr>
          <w:rFonts w:asciiTheme="majorBidi" w:hAnsiTheme="majorBidi" w:cstheme="majorBidi"/>
          <w:color w:val="auto"/>
        </w:rPr>
      </w:pPr>
      <w:r>
        <w:rPr>
          <w:rFonts w:asciiTheme="majorBidi" w:hAnsiTheme="majorBidi" w:cstheme="majorBidi"/>
        </w:rPr>
        <w:t xml:space="preserve">The proposed rule would not change the Agency’s current registration practice. </w:t>
      </w:r>
      <w:r w:rsidR="00866AF5">
        <w:rPr>
          <w:rFonts w:asciiTheme="majorBidi" w:hAnsiTheme="majorBidi" w:cstheme="majorBidi"/>
        </w:rPr>
        <w:t xml:space="preserve">In general, the degree and level of Agency activities in the review of data submissions will depend on the complexity of the product being registered, and whether it is identical or substantially similar to other products already registered. Products containing active ingredients present in currently registered products and proposed for uses currently registered (“me-too” registrations) may require only a minimal review for completeness of the application, the adequacy of the </w:t>
      </w:r>
      <w:r w:rsidR="00866AF5">
        <w:rPr>
          <w:rFonts w:asciiTheme="majorBidi" w:hAnsiTheme="majorBidi" w:cstheme="majorBidi"/>
        </w:rPr>
        <w:lastRenderedPageBreak/>
        <w:t xml:space="preserve">labeling, and the satisfaction of data compensation requirements. </w:t>
      </w:r>
    </w:p>
    <w:p w:rsidR="00866AF5" w:rsidP="00866AF5" w:rsidRDefault="00866AF5" w14:paraId="3BBDE885" w14:textId="77777777">
      <w:pPr>
        <w:ind w:firstLine="720"/>
        <w:rPr>
          <w:rFonts w:asciiTheme="majorBidi" w:hAnsiTheme="majorBidi" w:cstheme="majorBidi"/>
        </w:rPr>
      </w:pPr>
    </w:p>
    <w:p w:rsidR="00866AF5" w:rsidP="00866AF5" w:rsidRDefault="00866AF5" w14:paraId="7F8DFC72" w14:textId="77777777">
      <w:pPr>
        <w:rPr>
          <w:rFonts w:asciiTheme="majorBidi" w:hAnsiTheme="majorBidi" w:cstheme="majorBidi"/>
          <w:i/>
          <w:iCs/>
        </w:rPr>
      </w:pPr>
      <w:r>
        <w:rPr>
          <w:rFonts w:asciiTheme="majorBidi" w:hAnsiTheme="majorBidi" w:cstheme="majorBidi"/>
          <w:i/>
          <w:iCs/>
        </w:rPr>
        <w:t>New Registrations</w:t>
      </w:r>
    </w:p>
    <w:p w:rsidR="00866AF5" w:rsidP="00866AF5" w:rsidRDefault="00866AF5" w14:paraId="051AA238" w14:textId="77777777">
      <w:pPr>
        <w:ind w:firstLine="720"/>
        <w:rPr>
          <w:rFonts w:asciiTheme="majorBidi" w:hAnsiTheme="majorBidi" w:cstheme="majorBidi"/>
        </w:rPr>
      </w:pPr>
    </w:p>
    <w:p w:rsidR="00866AF5" w:rsidP="00866AF5" w:rsidRDefault="00866AF5" w14:paraId="69CDFB1C" w14:textId="77777777">
      <w:pPr>
        <w:ind w:firstLine="720"/>
        <w:rPr>
          <w:rFonts w:asciiTheme="majorBidi" w:hAnsiTheme="majorBidi" w:cstheme="majorBidi"/>
        </w:rPr>
      </w:pPr>
      <w:r>
        <w:rPr>
          <w:rFonts w:asciiTheme="majorBidi" w:hAnsiTheme="majorBidi" w:cstheme="majorBidi"/>
        </w:rPr>
        <w:t>A product containing a new active ingredient will require multiple data reviews related to physical chemistry, toxicology, environmental fate, ecological effects, worker exposure, residue chemistry, environmental chemistry, and product performance prior to approval. Therefore many divisions may be actively involved in the data analysis and agency determination of OPP registration actions. For conventional pesticides, the application is reviewed by ITRMD, the Registration Division (RD), the Health Effects Division (HED), and the Environmental Fate and Effects Division (EFED), and Biological and Economic Analysis Division (BEAD). For biological/biopesticide pesticides, the application is reviewed by ITRMD, and the Biopesticides and Pollution Prevention Division (BPPD). Applications for antimicrobial pesticide products are reviewed by ITRMD and the Antimicrobials Division (AD). The Agency notifies an applicant when an application is incomplete or is found to be deficient. The applicant is permitted to correct the deficiencies and submit the corrections.</w:t>
      </w:r>
    </w:p>
    <w:p w:rsidR="00866AF5" w:rsidP="00866AF5" w:rsidRDefault="00866AF5" w14:paraId="1E2746ED" w14:textId="77777777">
      <w:pPr>
        <w:ind w:firstLine="720"/>
        <w:rPr>
          <w:rFonts w:asciiTheme="majorBidi" w:hAnsiTheme="majorBidi" w:cstheme="majorBidi"/>
        </w:rPr>
      </w:pPr>
    </w:p>
    <w:p w:rsidR="00866AF5" w:rsidP="00866AF5" w:rsidRDefault="00866AF5" w14:paraId="4EDF74D1" w14:textId="77777777">
      <w:pPr>
        <w:ind w:firstLine="720"/>
        <w:rPr>
          <w:rFonts w:asciiTheme="majorBidi" w:hAnsiTheme="majorBidi" w:cstheme="majorBidi"/>
        </w:rPr>
      </w:pPr>
    </w:p>
    <w:p w:rsidR="00866AF5" w:rsidP="00866AF5" w:rsidRDefault="00866AF5" w14:paraId="6D9158E7" w14:textId="77777777">
      <w:pPr>
        <w:rPr>
          <w:rFonts w:asciiTheme="majorBidi" w:hAnsiTheme="majorBidi" w:cstheme="majorBidi"/>
          <w:i/>
          <w:iCs/>
        </w:rPr>
      </w:pPr>
      <w:r>
        <w:rPr>
          <w:rFonts w:asciiTheme="majorBidi" w:hAnsiTheme="majorBidi" w:cstheme="majorBidi"/>
          <w:i/>
          <w:iCs/>
        </w:rPr>
        <w:t>Amendments</w:t>
      </w:r>
    </w:p>
    <w:p w:rsidR="00866AF5" w:rsidP="00866AF5" w:rsidRDefault="00866AF5" w14:paraId="7C0C9418" w14:textId="77777777">
      <w:pPr>
        <w:rPr>
          <w:rFonts w:asciiTheme="majorBidi" w:hAnsiTheme="majorBidi" w:cstheme="majorBidi"/>
        </w:rPr>
      </w:pPr>
    </w:p>
    <w:p w:rsidR="00866AF5" w:rsidP="00866AF5" w:rsidRDefault="00866AF5" w14:paraId="099A586E" w14:textId="331BBCAE">
      <w:pPr>
        <w:ind w:firstLine="720"/>
        <w:rPr>
          <w:rFonts w:asciiTheme="majorBidi" w:hAnsiTheme="majorBidi" w:cstheme="majorBidi"/>
        </w:rPr>
      </w:pPr>
      <w:r>
        <w:rPr>
          <w:rFonts w:asciiTheme="majorBidi" w:hAnsiTheme="majorBidi" w:cstheme="majorBidi"/>
        </w:rPr>
        <w:t>Once issued, a registration also may be amended in various ways, such as adding or deleting uses</w:t>
      </w:r>
      <w:r w:rsidR="005412D8">
        <w:rPr>
          <w:rFonts w:asciiTheme="majorBidi" w:hAnsiTheme="majorBidi" w:cstheme="majorBidi"/>
        </w:rPr>
        <w:t xml:space="preserve"> and pests</w:t>
      </w:r>
      <w:r>
        <w:rPr>
          <w:rFonts w:asciiTheme="majorBidi" w:hAnsiTheme="majorBidi" w:cstheme="majorBidi"/>
        </w:rPr>
        <w:t xml:space="preserve">, modifying the labeling, or altering the product composition in minor ways. To request these changes, the registrant is required to submit an application for amended registration on EPA Form 8570-1, along with all appropriate additional forms, labeling and supporting data. </w:t>
      </w:r>
    </w:p>
    <w:p w:rsidR="00866AF5" w:rsidP="00866AF5" w:rsidRDefault="00866AF5" w14:paraId="013F233F" w14:textId="77777777">
      <w:pPr>
        <w:rPr>
          <w:rFonts w:asciiTheme="majorBidi" w:hAnsiTheme="majorBidi" w:cstheme="majorBidi"/>
        </w:rPr>
      </w:pPr>
    </w:p>
    <w:p w:rsidR="00866AF5" w:rsidP="00866AF5" w:rsidRDefault="00866AF5" w14:paraId="42500080" w14:textId="77777777">
      <w:pPr>
        <w:rPr>
          <w:rFonts w:asciiTheme="majorBidi" w:hAnsiTheme="majorBidi" w:cstheme="majorBidi"/>
        </w:rPr>
      </w:pPr>
    </w:p>
    <w:p w:rsidR="00866AF5" w:rsidP="00866AF5" w:rsidRDefault="00866AF5" w14:paraId="123011DC" w14:textId="77777777">
      <w:pPr>
        <w:rPr>
          <w:rFonts w:asciiTheme="majorBidi" w:hAnsiTheme="majorBidi" w:cstheme="majorBidi"/>
          <w:i/>
          <w:iCs/>
        </w:rPr>
      </w:pPr>
      <w:r>
        <w:rPr>
          <w:rFonts w:asciiTheme="majorBidi" w:hAnsiTheme="majorBidi" w:cstheme="majorBidi"/>
          <w:i/>
          <w:iCs/>
        </w:rPr>
        <w:t>Label Approvals</w:t>
      </w:r>
    </w:p>
    <w:p w:rsidR="00866AF5" w:rsidP="00866AF5" w:rsidRDefault="00866AF5" w14:paraId="5929D2DA" w14:textId="77777777">
      <w:pPr>
        <w:rPr>
          <w:rFonts w:asciiTheme="majorBidi" w:hAnsiTheme="majorBidi" w:cstheme="majorBidi"/>
        </w:rPr>
      </w:pPr>
    </w:p>
    <w:p w:rsidR="00866AF5" w:rsidP="00866AF5" w:rsidRDefault="00866AF5" w14:paraId="348ADC4C" w14:textId="77777777">
      <w:pPr>
        <w:ind w:firstLine="720"/>
        <w:rPr>
          <w:rFonts w:asciiTheme="majorBidi" w:hAnsiTheme="majorBidi" w:cstheme="majorBidi"/>
        </w:rPr>
      </w:pPr>
      <w:r>
        <w:rPr>
          <w:rFonts w:asciiTheme="majorBidi" w:hAnsiTheme="majorBidi" w:cstheme="majorBidi"/>
        </w:rPr>
        <w:t>Label reviews are most often accomplished by a Product Manager, or Team Leader, in one of the three regulatory divisions within EPA’s Office of Pesticide Programs (OPP) responsible for pesticide registration: the Registration Division, the Antimicrobials Division, and the Biopesticides and Pollution Prevention Division. These divisions ensure that revisions comply with the applicable labeling requirement or guidance.</w:t>
      </w:r>
    </w:p>
    <w:p w:rsidR="00866AF5" w:rsidP="00866AF5" w:rsidRDefault="00866AF5" w14:paraId="4E32270D" w14:textId="77777777">
      <w:pPr>
        <w:ind w:firstLine="720"/>
        <w:rPr>
          <w:rFonts w:asciiTheme="majorBidi" w:hAnsiTheme="majorBidi" w:cstheme="majorBidi"/>
        </w:rPr>
      </w:pPr>
    </w:p>
    <w:p w:rsidR="00866AF5" w:rsidP="00866AF5" w:rsidRDefault="00866AF5" w14:paraId="7510F696" w14:textId="77777777">
      <w:pPr>
        <w:ind w:firstLine="720"/>
        <w:rPr>
          <w:rFonts w:asciiTheme="majorBidi" w:hAnsiTheme="majorBidi" w:cstheme="majorBidi"/>
        </w:rPr>
      </w:pPr>
      <w:r>
        <w:rPr>
          <w:rFonts w:asciiTheme="majorBidi" w:hAnsiTheme="majorBidi" w:cstheme="majorBidi"/>
        </w:rPr>
        <w:t>A general category of OPP’s activities related to the information collection described in this ICR is summarized below:</w:t>
      </w:r>
    </w:p>
    <w:p w:rsidR="00866AF5" w:rsidP="00866AF5" w:rsidRDefault="00866AF5" w14:paraId="26D0C2AB" w14:textId="77777777">
      <w:pPr>
        <w:rPr>
          <w:rFonts w:asciiTheme="majorBidi" w:hAnsiTheme="majorBidi" w:cstheme="majorBidi"/>
        </w:rPr>
      </w:pPr>
    </w:p>
    <w:p w:rsidR="00866AF5" w:rsidP="00866AF5" w:rsidRDefault="00866AF5" w14:paraId="31C8DC6F" w14:textId="77777777">
      <w:pPr>
        <w:widowControl/>
        <w:numPr>
          <w:ilvl w:val="0"/>
          <w:numId w:val="41"/>
        </w:numPr>
        <w:ind w:left="360"/>
        <w:rPr>
          <w:rFonts w:asciiTheme="majorBidi" w:hAnsiTheme="majorBidi" w:cstheme="majorBidi"/>
        </w:rPr>
      </w:pPr>
      <w:r>
        <w:rPr>
          <w:rFonts w:asciiTheme="majorBidi" w:hAnsiTheme="majorBidi" w:cstheme="majorBidi"/>
        </w:rPr>
        <w:t>Receive Application</w:t>
      </w:r>
    </w:p>
    <w:p w:rsidR="00866AF5" w:rsidP="00866AF5" w:rsidRDefault="00866AF5" w14:paraId="01BD5EA7" w14:textId="77777777">
      <w:pPr>
        <w:rPr>
          <w:rFonts w:asciiTheme="majorBidi" w:hAnsiTheme="majorBidi" w:cstheme="majorBidi"/>
        </w:rPr>
      </w:pPr>
    </w:p>
    <w:p w:rsidR="00866AF5" w:rsidP="00866AF5" w:rsidRDefault="00866AF5" w14:paraId="58E4D55A" w14:textId="77777777">
      <w:pPr>
        <w:ind w:left="360"/>
        <w:rPr>
          <w:rFonts w:asciiTheme="majorBidi" w:hAnsiTheme="majorBidi" w:cstheme="majorBidi"/>
        </w:rPr>
      </w:pPr>
      <w:r>
        <w:rPr>
          <w:rFonts w:asciiTheme="majorBidi" w:hAnsiTheme="majorBidi" w:cstheme="majorBidi"/>
        </w:rPr>
        <w:t xml:space="preserve">The pesticide registration application package, complete with the required forms, necessary data, and proposed labels, is received by the Front-End Processing Unit in the Information Technology and Resources Management Division (ITRMD). After screening the application for administrative completeness, ITRMD refers the complete application and any accompanying data to the appropriate regulatory division. ITRMD is responsible for entering the registration action into </w:t>
      </w:r>
      <w:r>
        <w:rPr>
          <w:rFonts w:asciiTheme="majorBidi" w:hAnsiTheme="majorBidi" w:eastAsiaTheme="minorHAnsi" w:cstheme="majorBidi"/>
          <w:color w:val="000000"/>
        </w:rPr>
        <w:t xml:space="preserve">OPP’s central </w:t>
      </w:r>
      <w:r>
        <w:rPr>
          <w:rFonts w:asciiTheme="majorBidi" w:hAnsiTheme="majorBidi" w:cstheme="majorBidi"/>
        </w:rPr>
        <w:t xml:space="preserve">tracking database </w:t>
      </w:r>
      <w:r>
        <w:rPr>
          <w:rFonts w:asciiTheme="majorBidi" w:hAnsiTheme="majorBidi" w:eastAsiaTheme="minorHAnsi" w:cstheme="majorBidi"/>
          <w:color w:val="000000"/>
        </w:rPr>
        <w:t>system, called OPPIN</w:t>
      </w:r>
      <w:r>
        <w:rPr>
          <w:rFonts w:asciiTheme="majorBidi" w:hAnsiTheme="majorBidi" w:cstheme="majorBidi"/>
        </w:rPr>
        <w:t xml:space="preserve">. If the </w:t>
      </w:r>
      <w:r>
        <w:rPr>
          <w:rFonts w:asciiTheme="majorBidi" w:hAnsiTheme="majorBidi" w:cstheme="majorBidi"/>
        </w:rPr>
        <w:lastRenderedPageBreak/>
        <w:t>application form is accompanied by data to support the registration application (e.g., new active ingredients and new uses), ITRMD will forward the registration data package to a contractor for inputting into the tracking database. After this is completed, the data package is routed to the appropriate regulatory division for processing.</w:t>
      </w:r>
    </w:p>
    <w:p w:rsidR="00866AF5" w:rsidP="00866AF5" w:rsidRDefault="00866AF5" w14:paraId="5DD9CFBD" w14:textId="77777777">
      <w:pPr>
        <w:rPr>
          <w:rFonts w:asciiTheme="majorBidi" w:hAnsiTheme="majorBidi" w:cstheme="majorBidi"/>
        </w:rPr>
      </w:pPr>
    </w:p>
    <w:p w:rsidR="00866AF5" w:rsidP="00866AF5" w:rsidRDefault="00866AF5" w14:paraId="080361AD" w14:textId="77777777">
      <w:pPr>
        <w:widowControl/>
        <w:numPr>
          <w:ilvl w:val="0"/>
          <w:numId w:val="41"/>
        </w:numPr>
        <w:ind w:left="360"/>
        <w:rPr>
          <w:rFonts w:asciiTheme="majorBidi" w:hAnsiTheme="majorBidi" w:cstheme="majorBidi"/>
        </w:rPr>
      </w:pPr>
      <w:r>
        <w:rPr>
          <w:rFonts w:asciiTheme="majorBidi" w:hAnsiTheme="majorBidi" w:cstheme="majorBidi"/>
        </w:rPr>
        <w:t>Review Application</w:t>
      </w:r>
    </w:p>
    <w:p w:rsidR="00866AF5" w:rsidP="00866AF5" w:rsidRDefault="00866AF5" w14:paraId="04C6DF6D" w14:textId="77777777">
      <w:pPr>
        <w:ind w:left="360"/>
        <w:rPr>
          <w:rFonts w:asciiTheme="majorBidi" w:hAnsiTheme="majorBidi" w:cstheme="majorBidi"/>
        </w:rPr>
      </w:pPr>
    </w:p>
    <w:p w:rsidR="00866AF5" w:rsidP="00866AF5" w:rsidRDefault="00866AF5" w14:paraId="5C760734" w14:textId="77777777">
      <w:pPr>
        <w:ind w:left="360"/>
        <w:rPr>
          <w:rFonts w:asciiTheme="majorBidi" w:hAnsiTheme="majorBidi" w:cstheme="majorBidi"/>
        </w:rPr>
      </w:pPr>
      <w:r>
        <w:rPr>
          <w:rFonts w:asciiTheme="majorBidi" w:hAnsiTheme="majorBidi" w:cstheme="majorBidi"/>
        </w:rPr>
        <w:t xml:space="preserve">The regulatory divisions, based on the registration action, assign the packages for appropriate evaluation. Each scientific discipline reviews the data and may develop a Data Evaluation Report (DER) and appropriate risk assessments that summarize the data review. </w:t>
      </w:r>
    </w:p>
    <w:p w:rsidR="00866AF5" w:rsidP="00866AF5" w:rsidRDefault="00866AF5" w14:paraId="36FF2EFB" w14:textId="77777777">
      <w:pPr>
        <w:ind w:left="360"/>
        <w:rPr>
          <w:rFonts w:asciiTheme="majorBidi" w:hAnsiTheme="majorBidi" w:cstheme="majorBidi"/>
        </w:rPr>
      </w:pPr>
    </w:p>
    <w:p w:rsidR="00866AF5" w:rsidP="00866AF5" w:rsidRDefault="00866AF5" w14:paraId="76BA2BE5" w14:textId="77777777">
      <w:pPr>
        <w:ind w:left="360"/>
        <w:rPr>
          <w:rFonts w:asciiTheme="majorBidi" w:hAnsiTheme="majorBidi" w:cstheme="majorBidi"/>
        </w:rPr>
      </w:pPr>
      <w:r>
        <w:rPr>
          <w:rFonts w:asciiTheme="majorBidi" w:hAnsiTheme="majorBidi" w:cstheme="majorBidi"/>
        </w:rPr>
        <w:t xml:space="preserve">If the registration application is clearly for a “me-too” pesticide product or use, then the product may be registered on an expedited basis by the reviewer. If its similarity to a pesticide currently registered by the EPA is questionable, it may be sent for a short interdisciplinary review. The Program Manager or Team Leader ensures that the database is updated by identifying where it is sent for review. If the registration action is clearly not for a “me-too” pesticide product or use, then action is taken to correct the assignment of the registration action and to route the data to the appropriate scientific evaluation group for full data reviews. </w:t>
      </w:r>
    </w:p>
    <w:p w:rsidR="00866AF5" w:rsidP="00866AF5" w:rsidRDefault="00866AF5" w14:paraId="5F32F2CA" w14:textId="77777777">
      <w:pPr>
        <w:pStyle w:val="ListParagraph"/>
        <w:ind w:left="360"/>
        <w:rPr>
          <w:rFonts w:asciiTheme="majorBidi" w:hAnsiTheme="majorBidi" w:cstheme="majorBidi"/>
        </w:rPr>
      </w:pPr>
    </w:p>
    <w:p w:rsidR="00866AF5" w:rsidP="00866AF5" w:rsidRDefault="00866AF5" w14:paraId="4099204D" w14:textId="77777777">
      <w:pPr>
        <w:widowControl/>
        <w:numPr>
          <w:ilvl w:val="0"/>
          <w:numId w:val="41"/>
        </w:numPr>
        <w:ind w:left="360"/>
        <w:rPr>
          <w:rFonts w:asciiTheme="majorBidi" w:hAnsiTheme="majorBidi" w:cstheme="majorBidi"/>
        </w:rPr>
      </w:pPr>
      <w:r>
        <w:rPr>
          <w:rFonts w:asciiTheme="majorBidi" w:hAnsiTheme="majorBidi" w:cstheme="majorBidi"/>
        </w:rPr>
        <w:t>Make Registration Decision</w:t>
      </w:r>
    </w:p>
    <w:p w:rsidR="00866AF5" w:rsidP="00866AF5" w:rsidRDefault="00866AF5" w14:paraId="4D78F98C" w14:textId="77777777">
      <w:pPr>
        <w:ind w:left="1080"/>
        <w:rPr>
          <w:rFonts w:asciiTheme="majorBidi" w:hAnsiTheme="majorBidi" w:cstheme="majorBidi"/>
        </w:rPr>
      </w:pPr>
    </w:p>
    <w:p w:rsidR="00866AF5" w:rsidP="00866AF5" w:rsidRDefault="00866AF5" w14:paraId="350A45F4" w14:textId="77777777">
      <w:pPr>
        <w:ind w:left="360"/>
        <w:rPr>
          <w:rFonts w:asciiTheme="majorBidi" w:hAnsiTheme="majorBidi" w:cstheme="majorBidi"/>
        </w:rPr>
      </w:pPr>
      <w:r>
        <w:rPr>
          <w:rFonts w:asciiTheme="majorBidi" w:hAnsiTheme="majorBidi" w:cstheme="majorBidi"/>
        </w:rPr>
        <w:t>The Program Manager or Team Leader examines all of the scientific reviews and proposed labeling and determines whether the product may be registered. If the product contains an active ingredient not currently registered by EPA, the review summary is included as part of a decision package and referred to the Director of OPP for a final decision on whether or not to register a pesticide. When a new food use is sought, a tolerance or exemption is established for an already registered active ingredient (e.g., new use), the final decision is made by the Division Director of the registering division.</w:t>
      </w:r>
    </w:p>
    <w:p w:rsidR="00866AF5" w:rsidP="00866AF5" w:rsidRDefault="00866AF5" w14:paraId="662A702A" w14:textId="77777777">
      <w:pPr>
        <w:ind w:left="720"/>
        <w:rPr>
          <w:rFonts w:asciiTheme="majorBidi" w:hAnsiTheme="majorBidi" w:cstheme="majorBidi"/>
        </w:rPr>
      </w:pPr>
    </w:p>
    <w:p w:rsidR="00866AF5" w:rsidP="00866AF5" w:rsidRDefault="00866AF5" w14:paraId="051DE2E3" w14:textId="77777777">
      <w:pPr>
        <w:ind w:left="360"/>
        <w:rPr>
          <w:rFonts w:asciiTheme="majorBidi" w:hAnsiTheme="majorBidi" w:cstheme="majorBidi"/>
        </w:rPr>
      </w:pPr>
      <w:r>
        <w:rPr>
          <w:rFonts w:asciiTheme="majorBidi" w:hAnsiTheme="majorBidi" w:cstheme="majorBidi"/>
        </w:rPr>
        <w:t>If the registration action is for revised labeling in response to a Pesticide Registration Notice, the revised labeling submitted along with appropriate EPA forms will be reviewed by a Program Manager or Team Leader for compliance with the applicable Pesticide Registration Notice and, following the registration decision, entered into the tracking database.</w:t>
      </w:r>
    </w:p>
    <w:p w:rsidR="00866AF5" w:rsidP="00866AF5" w:rsidRDefault="00866AF5" w14:paraId="6695D9F5" w14:textId="77777777">
      <w:pPr>
        <w:pStyle w:val="ListParagraph"/>
        <w:ind w:left="360"/>
        <w:rPr>
          <w:rFonts w:asciiTheme="majorBidi" w:hAnsiTheme="majorBidi" w:cstheme="majorBidi"/>
        </w:rPr>
      </w:pPr>
    </w:p>
    <w:p w:rsidR="00866AF5" w:rsidP="00866AF5" w:rsidRDefault="00866AF5" w14:paraId="1DD76E63" w14:textId="77777777">
      <w:pPr>
        <w:widowControl/>
        <w:numPr>
          <w:ilvl w:val="0"/>
          <w:numId w:val="41"/>
        </w:numPr>
        <w:ind w:left="360"/>
        <w:rPr>
          <w:rFonts w:asciiTheme="majorBidi" w:hAnsiTheme="majorBidi" w:cstheme="majorBidi"/>
        </w:rPr>
      </w:pPr>
      <w:r>
        <w:rPr>
          <w:rFonts w:asciiTheme="majorBidi" w:hAnsiTheme="majorBidi" w:cstheme="majorBidi"/>
        </w:rPr>
        <w:t>Notify Applicant</w:t>
      </w:r>
    </w:p>
    <w:p w:rsidR="00866AF5" w:rsidP="00866AF5" w:rsidRDefault="00866AF5" w14:paraId="6CB29265" w14:textId="77777777">
      <w:pPr>
        <w:ind w:left="360"/>
        <w:rPr>
          <w:rFonts w:asciiTheme="majorBidi" w:hAnsiTheme="majorBidi" w:cstheme="majorBidi"/>
        </w:rPr>
      </w:pPr>
    </w:p>
    <w:p w:rsidR="00866AF5" w:rsidP="00866AF5" w:rsidRDefault="00866AF5" w14:paraId="19A72301" w14:textId="77777777">
      <w:pPr>
        <w:ind w:left="360"/>
        <w:rPr>
          <w:rFonts w:asciiTheme="majorBidi" w:hAnsiTheme="majorBidi" w:cstheme="majorBidi"/>
        </w:rPr>
      </w:pPr>
      <w:r>
        <w:rPr>
          <w:rFonts w:asciiTheme="majorBidi" w:hAnsiTheme="majorBidi" w:cstheme="majorBidi"/>
        </w:rPr>
        <w:t xml:space="preserve">OPP sends a Notice of Registration to the applicant informing the applicant that the product has been registered and specifying any conditions of registration. For labeling amendments, a letter is sent to the applicant stating approval/disapproval. If the label amendment is approved, a stamped master label is sent to the registrant. </w:t>
      </w:r>
    </w:p>
    <w:p w:rsidR="00866AF5" w:rsidP="00866AF5" w:rsidRDefault="00866AF5" w14:paraId="3BF6B002" w14:textId="77777777">
      <w:pPr>
        <w:ind w:left="1080"/>
        <w:rPr>
          <w:rFonts w:asciiTheme="majorBidi" w:hAnsiTheme="majorBidi" w:cstheme="majorBidi"/>
        </w:rPr>
      </w:pPr>
    </w:p>
    <w:p w:rsidR="00866AF5" w:rsidP="00866AF5" w:rsidRDefault="00866AF5" w14:paraId="01CB23FB" w14:textId="77777777">
      <w:pPr>
        <w:widowControl/>
        <w:numPr>
          <w:ilvl w:val="0"/>
          <w:numId w:val="41"/>
        </w:numPr>
        <w:ind w:left="360"/>
        <w:rPr>
          <w:rFonts w:asciiTheme="majorBidi" w:hAnsiTheme="majorBidi" w:cstheme="majorBidi"/>
        </w:rPr>
      </w:pPr>
      <w:r>
        <w:rPr>
          <w:rFonts w:asciiTheme="majorBidi" w:hAnsiTheme="majorBidi" w:cstheme="majorBidi"/>
        </w:rPr>
        <w:t>Store and Maintain Data</w:t>
      </w:r>
    </w:p>
    <w:p w:rsidR="00866AF5" w:rsidP="00866AF5" w:rsidRDefault="00866AF5" w14:paraId="69301332" w14:textId="77777777">
      <w:pPr>
        <w:ind w:left="360"/>
        <w:rPr>
          <w:rFonts w:asciiTheme="majorBidi" w:hAnsiTheme="majorBidi" w:cstheme="majorBidi"/>
        </w:rPr>
      </w:pPr>
    </w:p>
    <w:p w:rsidR="00866AF5" w:rsidP="00866AF5" w:rsidRDefault="00866AF5" w14:paraId="745D5C26" w14:textId="77777777">
      <w:pPr>
        <w:ind w:left="360"/>
        <w:rPr>
          <w:rFonts w:asciiTheme="majorBidi" w:hAnsiTheme="majorBidi" w:cstheme="majorBidi"/>
        </w:rPr>
      </w:pPr>
      <w:r>
        <w:rPr>
          <w:rFonts w:asciiTheme="majorBidi" w:hAnsiTheme="majorBidi" w:cstheme="majorBidi"/>
        </w:rPr>
        <w:t>OPP stores, files, and maintains copies of any registration notices and labeling information.</w:t>
      </w:r>
    </w:p>
    <w:p w:rsidRPr="00710055" w:rsidR="00C15D86" w:rsidP="00710055" w:rsidRDefault="00C47DDD" w14:paraId="3CA51FBB" w14:textId="77777777">
      <w:pPr>
        <w:pStyle w:val="Heading2"/>
      </w:pPr>
      <w:r w:rsidRPr="00710055">
        <w:t>5(b)</w:t>
      </w:r>
      <w:r w:rsidRPr="00710055">
        <w:tab/>
        <w:t>Collection Methodology and Management</w:t>
      </w:r>
    </w:p>
    <w:p w:rsidRPr="00C270C5" w:rsidR="001F216E" w:rsidP="009023C8" w:rsidRDefault="00131D6C" w14:paraId="25BF2193" w14:textId="77777777">
      <w:r w:rsidRPr="009023C8">
        <w:lastRenderedPageBreak/>
        <w:t xml:space="preserve">All registration and regulatory determination actions are entered into OPP’s central database system, called OPPIN, </w:t>
      </w:r>
      <w:r w:rsidRPr="009023C8" w:rsidR="00DC27D6">
        <w:t>t</w:t>
      </w:r>
      <w:r w:rsidRPr="009023C8">
        <w:t xml:space="preserve">o track progress toward preapplication determination or registration. </w:t>
      </w:r>
      <w:r w:rsidRPr="009023C8" w:rsidR="00C47DDD">
        <w:t>All registration actions are entered into</w:t>
      </w:r>
      <w:r w:rsidRPr="009023C8" w:rsidR="001F216E">
        <w:t xml:space="preserve"> OPP’s central database system, called OPPIN,</w:t>
      </w:r>
      <w:r w:rsidRPr="009023C8" w:rsidR="00C47DDD">
        <w:t xml:space="preserve"> to track progress toward registration. Registration actions accompanied by data (e.g., products containing </w:t>
      </w:r>
      <w:r w:rsidRPr="00C270C5" w:rsidR="00C47DDD">
        <w:t xml:space="preserve">new active ingredients or new uses) are also entered into </w:t>
      </w:r>
      <w:r w:rsidRPr="00C270C5" w:rsidR="001F216E">
        <w:t xml:space="preserve">the </w:t>
      </w:r>
      <w:r w:rsidRPr="00C270C5" w:rsidR="00C47DDD">
        <w:t xml:space="preserve">database to track progress toward registration. Once a product has been registered, pertinent status information regarding the product is revised in the tracking database. </w:t>
      </w:r>
    </w:p>
    <w:p w:rsidRPr="00710055" w:rsidR="00C15D86" w:rsidP="00710055" w:rsidRDefault="004150FB" w14:paraId="3077D9AC" w14:textId="77777777">
      <w:pPr>
        <w:pStyle w:val="Heading2"/>
      </w:pPr>
      <w:r w:rsidRPr="00710055">
        <w:t>5(c)</w:t>
      </w:r>
      <w:r w:rsidRPr="00710055">
        <w:tab/>
      </w:r>
      <w:r w:rsidRPr="00710055" w:rsidR="00C47DDD">
        <w:t>Small Entity Flexibility</w:t>
      </w:r>
    </w:p>
    <w:p w:rsidRPr="00C270C5" w:rsidR="00C15D86" w:rsidP="00710055" w:rsidRDefault="00710055" w14:paraId="00E66A17" w14:textId="77777777">
      <w:pPr>
        <w:rPr>
          <w:rFonts w:asciiTheme="majorBidi" w:hAnsiTheme="majorBidi" w:cstheme="majorBidi"/>
        </w:rPr>
      </w:pPr>
      <w:r>
        <w:rPr>
          <w:rFonts w:asciiTheme="majorBidi" w:hAnsiTheme="majorBidi" w:cstheme="majorBidi"/>
        </w:rPr>
        <w:t>EPA offers direct assistance to small entities, facilitating their compliance with the requirements for obtaining an exemption.</w:t>
      </w:r>
    </w:p>
    <w:p w:rsidRPr="00710055" w:rsidR="00C15D86" w:rsidP="00F833FE" w:rsidRDefault="00C47DDD" w14:paraId="2280963A" w14:textId="77777777">
      <w:pPr>
        <w:pStyle w:val="Heading2"/>
        <w:keepNext/>
        <w:keepLines/>
      </w:pPr>
      <w:r w:rsidRPr="00710055">
        <w:t>5(d)</w:t>
      </w:r>
      <w:r w:rsidRPr="00710055">
        <w:tab/>
        <w:t>Collection Schedule</w:t>
      </w:r>
    </w:p>
    <w:p w:rsidRPr="00C270C5" w:rsidR="00C15D86" w:rsidRDefault="00D547D0" w14:paraId="3A0FE672" w14:textId="3E2D576E">
      <w:pPr>
        <w:rPr>
          <w:rFonts w:asciiTheme="majorBidi" w:hAnsiTheme="majorBidi" w:cstheme="majorBidi"/>
          <w:b/>
        </w:rPr>
      </w:pPr>
      <w:r>
        <w:rPr>
          <w:rFonts w:asciiTheme="majorBidi" w:hAnsiTheme="majorBidi" w:cstheme="majorBidi"/>
        </w:rPr>
        <w:t xml:space="preserve">Not applicable. </w:t>
      </w:r>
      <w:r w:rsidR="00964D55">
        <w:rPr>
          <w:rFonts w:asciiTheme="majorBidi" w:hAnsiTheme="majorBidi" w:cstheme="majorBidi"/>
        </w:rPr>
        <w:t xml:space="preserve">This information </w:t>
      </w:r>
      <w:r w:rsidR="00F55DD9">
        <w:rPr>
          <w:rFonts w:asciiTheme="majorBidi" w:hAnsiTheme="majorBidi" w:cstheme="majorBidi"/>
        </w:rPr>
        <w:t xml:space="preserve">is only conducted as a registration application is received for consideration.  There is no set schedule for submission of this information to EPA. </w:t>
      </w:r>
    </w:p>
    <w:p w:rsidRPr="00710055" w:rsidR="00C15D86" w:rsidP="00710055" w:rsidRDefault="00C47DDD" w14:paraId="0F086B50" w14:textId="77777777">
      <w:pPr>
        <w:pStyle w:val="Heading1"/>
      </w:pPr>
      <w:r w:rsidRPr="00710055">
        <w:t>6.</w:t>
      </w:r>
      <w:r w:rsidRPr="00710055">
        <w:tab/>
        <w:t>ESTIMATING BURDEN AND COST OF THE COLLECTION</w:t>
      </w:r>
    </w:p>
    <w:p w:rsidR="007F5F95" w:rsidP="005B13D4" w:rsidRDefault="00B005C9" w14:paraId="51098738" w14:textId="26CF406D">
      <w:r w:rsidRPr="00C270C5">
        <w:t>The p</w:t>
      </w:r>
      <w:r w:rsidRPr="00C270C5" w:rsidR="001D3F10">
        <w:t xml:space="preserve">aperwork burden </w:t>
      </w:r>
      <w:r w:rsidR="00710055">
        <w:t>associated with the proposed rule is based on the information and activities identified in the existing IC</w:t>
      </w:r>
      <w:r w:rsidR="007F5F95">
        <w:t>R and is considered to off-set or serve as an alternative burden for that estimated in the existing ICR. The methodology and approach presented here is consistent with that used for the existing ICR.</w:t>
      </w:r>
    </w:p>
    <w:p w:rsidRPr="00C270C5" w:rsidR="00F75761" w:rsidP="00F75761" w:rsidRDefault="00F75761" w14:paraId="75956128" w14:textId="7FBA2642">
      <w:pPr>
        <w:pStyle w:val="Heading2"/>
      </w:pPr>
      <w:r w:rsidRPr="00C270C5">
        <w:t>6(</w:t>
      </w:r>
      <w:r>
        <w:t>a</w:t>
      </w:r>
      <w:r w:rsidRPr="00C270C5">
        <w:t>)</w:t>
      </w:r>
      <w:r w:rsidRPr="00C270C5">
        <w:tab/>
        <w:t xml:space="preserve">Respondent Burden Hours and Cost </w:t>
      </w:r>
      <w:r w:rsidR="00A73F74">
        <w:t xml:space="preserve">from </w:t>
      </w:r>
      <w:r w:rsidR="001E377A">
        <w:t>Submission</w:t>
      </w:r>
      <w:r w:rsidR="00A73F74">
        <w:t xml:space="preserve"> Process</w:t>
      </w:r>
    </w:p>
    <w:p w:rsidR="00FE09A1" w:rsidP="00F75761" w:rsidRDefault="00790D8F" w14:paraId="1957E4FF" w14:textId="609925B7">
      <w:pPr>
        <w:rPr>
          <w:rFonts w:asciiTheme="majorBidi" w:hAnsiTheme="majorBidi" w:cstheme="majorBidi"/>
        </w:rPr>
      </w:pPr>
      <w:r>
        <w:rPr>
          <w:rFonts w:asciiTheme="majorBidi" w:hAnsiTheme="majorBidi" w:cstheme="majorBidi"/>
        </w:rPr>
        <w:t>A</w:t>
      </w:r>
      <w:r w:rsidR="008E6A4C">
        <w:rPr>
          <w:rFonts w:asciiTheme="majorBidi" w:hAnsiTheme="majorBidi" w:cstheme="majorBidi"/>
        </w:rPr>
        <w:t xml:space="preserve">s defined in the </w:t>
      </w:r>
      <w:r w:rsidR="008E6A4C">
        <w:t>Application for New and Amended Pesticide Registration</w:t>
      </w:r>
      <w:r w:rsidR="008E6A4C">
        <w:rPr>
          <w:rFonts w:asciiTheme="majorBidi" w:hAnsiTheme="majorBidi" w:cstheme="majorBidi"/>
        </w:rPr>
        <w:t xml:space="preserve"> ICR</w:t>
      </w:r>
      <w:r>
        <w:rPr>
          <w:rFonts w:asciiTheme="majorBidi" w:hAnsiTheme="majorBidi" w:cstheme="majorBidi"/>
        </w:rPr>
        <w:t>,</w:t>
      </w:r>
      <w:r w:rsidRPr="00F204D4" w:rsidR="008E6A4C">
        <w:rPr>
          <w:rFonts w:asciiTheme="majorBidi" w:hAnsiTheme="majorBidi" w:cstheme="majorBidi"/>
        </w:rPr>
        <w:t xml:space="preserve"> </w:t>
      </w:r>
      <w:r>
        <w:rPr>
          <w:rFonts w:asciiTheme="majorBidi" w:hAnsiTheme="majorBidi" w:cstheme="majorBidi"/>
        </w:rPr>
        <w:t>t</w:t>
      </w:r>
      <w:r w:rsidRPr="00F204D4" w:rsidR="008E6A4C">
        <w:rPr>
          <w:rFonts w:asciiTheme="majorBidi" w:hAnsiTheme="majorBidi" w:cstheme="majorBidi"/>
        </w:rPr>
        <w:t xml:space="preserve">here are two main categories of applicants for registration: those requiring submission of a full complement of supporting data (e.g., new active ingredients); and those requiring submission of less data (e.g., amendments, for currently registered chemicals). These have been described as Types A and B, respectively. </w:t>
      </w:r>
      <w:r w:rsidR="008E6A4C">
        <w:rPr>
          <w:rFonts w:asciiTheme="majorBidi" w:hAnsiTheme="majorBidi" w:cstheme="majorBidi"/>
        </w:rPr>
        <w:t xml:space="preserve">EPA considers </w:t>
      </w:r>
      <w:r w:rsidR="009D5F58">
        <w:rPr>
          <w:rFonts w:asciiTheme="majorBidi" w:hAnsiTheme="majorBidi" w:cstheme="majorBidi"/>
        </w:rPr>
        <w:t>requests for label claims a</w:t>
      </w:r>
      <w:r w:rsidR="00B8665A">
        <w:rPr>
          <w:rFonts w:asciiTheme="majorBidi" w:hAnsiTheme="majorBidi" w:cstheme="majorBidi"/>
        </w:rPr>
        <w:t>gainst pests of significant public health importance</w:t>
      </w:r>
      <w:r w:rsidR="00070C8D">
        <w:rPr>
          <w:rFonts w:asciiTheme="majorBidi" w:hAnsiTheme="majorBidi" w:cstheme="majorBidi"/>
        </w:rPr>
        <w:t>,</w:t>
      </w:r>
      <w:r w:rsidR="009D5F58">
        <w:rPr>
          <w:rFonts w:asciiTheme="majorBidi" w:hAnsiTheme="majorBidi" w:cstheme="majorBidi"/>
        </w:rPr>
        <w:t xml:space="preserve"> wood-destroying, and invasive species pests</w:t>
      </w:r>
      <w:r w:rsidR="00676DA4">
        <w:rPr>
          <w:rFonts w:asciiTheme="majorBidi" w:hAnsiTheme="majorBidi" w:cstheme="majorBidi"/>
        </w:rPr>
        <w:t xml:space="preserve"> to be Type B actions.  </w:t>
      </w:r>
      <w:r w:rsidR="00E5773E">
        <w:rPr>
          <w:rFonts w:asciiTheme="majorBidi" w:hAnsiTheme="majorBidi" w:cstheme="majorBidi"/>
        </w:rPr>
        <w:t>The following table presents the estimated burden and cost estimate</w:t>
      </w:r>
      <w:r w:rsidR="00065831">
        <w:rPr>
          <w:rFonts w:asciiTheme="majorBidi" w:hAnsiTheme="majorBidi" w:cstheme="majorBidi"/>
        </w:rPr>
        <w:t xml:space="preserve"> per submission</w:t>
      </w:r>
      <w:r w:rsidR="0069162C">
        <w:rPr>
          <w:rFonts w:asciiTheme="majorBidi" w:hAnsiTheme="majorBidi" w:cstheme="majorBidi"/>
        </w:rPr>
        <w:t xml:space="preserve"> for these actions</w:t>
      </w:r>
      <w:r w:rsidR="00E5773E">
        <w:rPr>
          <w:rFonts w:asciiTheme="majorBidi" w:hAnsiTheme="majorBidi" w:cstheme="majorBidi"/>
        </w:rPr>
        <w:t>.</w:t>
      </w:r>
      <w:r w:rsidR="00154B6C">
        <w:rPr>
          <w:rFonts w:asciiTheme="majorBidi" w:hAnsiTheme="majorBidi" w:cstheme="majorBidi"/>
        </w:rPr>
        <w:t xml:space="preserve">  </w:t>
      </w:r>
    </w:p>
    <w:p w:rsidRPr="00704E80" w:rsidR="00FE09A1" w:rsidP="00FE09A1" w:rsidRDefault="00FE09A1" w14:paraId="72527173" w14:textId="38CB497E">
      <w:pPr>
        <w:pStyle w:val="Heading2"/>
      </w:pPr>
      <w:r w:rsidRPr="00704E80">
        <w:t xml:space="preserve">Table </w:t>
      </w:r>
      <w:r>
        <w:t xml:space="preserve">1: Estimated Average Burden and Cost per Type B Submission </w:t>
      </w:r>
    </w:p>
    <w:tbl>
      <w:tblPr>
        <w:tblW w:w="5000" w:type="pct"/>
        <w:tblBorders>
          <w:top w:val="double" w:color="808080" w:themeColor="background1" w:themeShade="80" w:sz="4" w:space="0"/>
          <w:left w:val="double" w:color="808080" w:themeColor="background1" w:themeShade="80" w:sz="4" w:space="0"/>
          <w:bottom w:val="double" w:color="808080" w:themeColor="background1" w:themeShade="80" w:sz="4" w:space="0"/>
          <w:right w:val="double" w:color="808080" w:themeColor="background1" w:themeShade="80" w:sz="4" w:space="0"/>
          <w:insideH w:val="single" w:color="808080" w:themeColor="background1" w:themeShade="80" w:sz="4" w:space="0"/>
          <w:insideV w:val="single" w:color="808080" w:themeColor="background1" w:themeShade="80" w:sz="4" w:space="0"/>
        </w:tblBorders>
        <w:tblLook w:val="0000" w:firstRow="0" w:lastRow="0" w:firstColumn="0" w:lastColumn="0" w:noHBand="0" w:noVBand="0"/>
      </w:tblPr>
      <w:tblGrid>
        <w:gridCol w:w="2701"/>
        <w:gridCol w:w="1362"/>
        <w:gridCol w:w="1362"/>
        <w:gridCol w:w="1362"/>
        <w:gridCol w:w="1181"/>
        <w:gridCol w:w="1362"/>
      </w:tblGrid>
      <w:tr w:rsidRPr="00CB40F4" w:rsidR="00FE09A1" w:rsidTr="00FE09A1" w14:paraId="1FCE0D77" w14:textId="77777777">
        <w:trPr>
          <w:trHeight w:val="330"/>
        </w:trPr>
        <w:tc>
          <w:tcPr>
            <w:tcW w:w="1447" w:type="pct"/>
            <w:vMerge w:val="restart"/>
            <w:shd w:val="clear" w:color="auto" w:fill="auto"/>
            <w:vAlign w:val="center"/>
          </w:tcPr>
          <w:p w:rsidRPr="00CB40F4" w:rsidR="00FE09A1" w:rsidP="00FE09A1" w:rsidRDefault="00FE09A1" w14:paraId="5FD747DB" w14:textId="77777777">
            <w:pPr>
              <w:jc w:val="center"/>
              <w:rPr>
                <w:rFonts w:asciiTheme="majorBidi" w:hAnsiTheme="majorBidi" w:cstheme="majorBidi"/>
                <w:b/>
                <w:bCs/>
                <w:sz w:val="21"/>
                <w:szCs w:val="21"/>
              </w:rPr>
            </w:pPr>
            <w:r w:rsidRPr="00CB40F4">
              <w:rPr>
                <w:rFonts w:asciiTheme="majorBidi" w:hAnsiTheme="majorBidi" w:cstheme="majorBidi"/>
                <w:b/>
                <w:bCs/>
                <w:sz w:val="21"/>
                <w:szCs w:val="21"/>
              </w:rPr>
              <w:t>Collection Activities,</w:t>
            </w:r>
            <w:r w:rsidRPr="00CB40F4">
              <w:rPr>
                <w:rFonts w:asciiTheme="majorBidi" w:hAnsiTheme="majorBidi" w:cstheme="majorBidi"/>
                <w:b/>
                <w:bCs/>
                <w:sz w:val="21"/>
                <w:szCs w:val="21"/>
              </w:rPr>
              <w:br/>
              <w:t>Type B</w:t>
            </w:r>
          </w:p>
        </w:tc>
        <w:tc>
          <w:tcPr>
            <w:tcW w:w="2190" w:type="pct"/>
            <w:gridSpan w:val="3"/>
            <w:shd w:val="clear" w:color="auto" w:fill="auto"/>
          </w:tcPr>
          <w:p w:rsidRPr="00CB40F4" w:rsidR="00FE09A1" w:rsidP="00FE09A1" w:rsidRDefault="00FE09A1" w14:paraId="60EC78CB" w14:textId="77777777">
            <w:pPr>
              <w:jc w:val="center"/>
              <w:rPr>
                <w:rFonts w:asciiTheme="majorBidi" w:hAnsiTheme="majorBidi" w:cstheme="majorBidi"/>
                <w:b/>
                <w:bCs/>
                <w:sz w:val="21"/>
                <w:szCs w:val="21"/>
              </w:rPr>
            </w:pPr>
            <w:r w:rsidRPr="00CB40F4">
              <w:rPr>
                <w:rFonts w:asciiTheme="majorBidi" w:hAnsiTheme="majorBidi" w:cstheme="majorBidi"/>
                <w:b/>
                <w:bCs/>
                <w:sz w:val="21"/>
                <w:szCs w:val="21"/>
              </w:rPr>
              <w:t>Burden Hours</w:t>
            </w:r>
          </w:p>
        </w:tc>
        <w:tc>
          <w:tcPr>
            <w:tcW w:w="1363" w:type="pct"/>
            <w:gridSpan w:val="2"/>
            <w:shd w:val="clear" w:color="auto" w:fill="auto"/>
          </w:tcPr>
          <w:p w:rsidRPr="00CB40F4" w:rsidR="00FE09A1" w:rsidP="00FE09A1" w:rsidRDefault="00FE09A1" w14:paraId="6AE2F496" w14:textId="77777777">
            <w:pPr>
              <w:jc w:val="center"/>
              <w:rPr>
                <w:rFonts w:asciiTheme="majorBidi" w:hAnsiTheme="majorBidi" w:cstheme="majorBidi"/>
                <w:b/>
                <w:bCs/>
                <w:sz w:val="21"/>
                <w:szCs w:val="21"/>
              </w:rPr>
            </w:pPr>
            <w:r w:rsidRPr="00CB40F4">
              <w:rPr>
                <w:rFonts w:asciiTheme="majorBidi" w:hAnsiTheme="majorBidi" w:cstheme="majorBidi"/>
                <w:b/>
                <w:bCs/>
                <w:sz w:val="21"/>
                <w:szCs w:val="21"/>
              </w:rPr>
              <w:t>Total</w:t>
            </w:r>
          </w:p>
        </w:tc>
      </w:tr>
      <w:tr w:rsidRPr="00CB40F4" w:rsidR="00FE09A1" w:rsidTr="00FE09A1" w14:paraId="7753E3B7" w14:textId="77777777">
        <w:trPr>
          <w:trHeight w:val="315"/>
        </w:trPr>
        <w:tc>
          <w:tcPr>
            <w:tcW w:w="1447" w:type="pct"/>
            <w:vMerge/>
            <w:vAlign w:val="center"/>
          </w:tcPr>
          <w:p w:rsidRPr="00CB40F4" w:rsidR="00FE09A1" w:rsidP="00FE09A1" w:rsidRDefault="00FE09A1" w14:paraId="3EE74228" w14:textId="77777777">
            <w:pPr>
              <w:rPr>
                <w:rFonts w:asciiTheme="majorBidi" w:hAnsiTheme="majorBidi" w:cstheme="majorBidi"/>
                <w:b/>
                <w:bCs/>
                <w:sz w:val="21"/>
                <w:szCs w:val="21"/>
              </w:rPr>
            </w:pPr>
          </w:p>
        </w:tc>
        <w:tc>
          <w:tcPr>
            <w:tcW w:w="730" w:type="pct"/>
            <w:shd w:val="clear" w:color="auto" w:fill="auto"/>
            <w:vAlign w:val="center"/>
          </w:tcPr>
          <w:p w:rsidRPr="00CB40F4" w:rsidR="00FE09A1" w:rsidP="00FE09A1" w:rsidRDefault="00FE09A1" w14:paraId="48E1CDA6" w14:textId="77777777">
            <w:pPr>
              <w:jc w:val="center"/>
              <w:rPr>
                <w:rFonts w:asciiTheme="majorBidi" w:hAnsiTheme="majorBidi" w:cstheme="majorBidi"/>
                <w:sz w:val="21"/>
                <w:szCs w:val="21"/>
              </w:rPr>
            </w:pPr>
            <w:r w:rsidRPr="00CB40F4">
              <w:rPr>
                <w:rFonts w:asciiTheme="majorBidi" w:hAnsiTheme="majorBidi" w:cstheme="majorBidi"/>
                <w:sz w:val="22"/>
                <w:szCs w:val="22"/>
              </w:rPr>
              <w:t>Mgmt.</w:t>
            </w:r>
          </w:p>
        </w:tc>
        <w:tc>
          <w:tcPr>
            <w:tcW w:w="730" w:type="pct"/>
            <w:shd w:val="clear" w:color="auto" w:fill="auto"/>
            <w:vAlign w:val="center"/>
          </w:tcPr>
          <w:p w:rsidRPr="00CB40F4" w:rsidR="00FE09A1" w:rsidP="00FE09A1" w:rsidRDefault="00FE09A1" w14:paraId="199B4055" w14:textId="77777777">
            <w:pPr>
              <w:jc w:val="center"/>
              <w:rPr>
                <w:rFonts w:asciiTheme="majorBidi" w:hAnsiTheme="majorBidi" w:cstheme="majorBidi"/>
                <w:sz w:val="21"/>
                <w:szCs w:val="21"/>
              </w:rPr>
            </w:pPr>
            <w:r w:rsidRPr="00CB40F4">
              <w:rPr>
                <w:rFonts w:asciiTheme="majorBidi" w:hAnsiTheme="majorBidi" w:cstheme="majorBidi"/>
                <w:sz w:val="22"/>
                <w:szCs w:val="22"/>
              </w:rPr>
              <w:t>Technical</w:t>
            </w:r>
          </w:p>
        </w:tc>
        <w:tc>
          <w:tcPr>
            <w:tcW w:w="730" w:type="pct"/>
            <w:shd w:val="clear" w:color="auto" w:fill="auto"/>
            <w:vAlign w:val="center"/>
          </w:tcPr>
          <w:p w:rsidRPr="00CB40F4" w:rsidR="00FE09A1" w:rsidP="00FE09A1" w:rsidRDefault="00FE09A1" w14:paraId="73FFCD59" w14:textId="77777777">
            <w:pPr>
              <w:jc w:val="center"/>
              <w:rPr>
                <w:rFonts w:asciiTheme="majorBidi" w:hAnsiTheme="majorBidi" w:cstheme="majorBidi"/>
                <w:sz w:val="21"/>
                <w:szCs w:val="21"/>
              </w:rPr>
            </w:pPr>
            <w:r w:rsidRPr="00CB40F4">
              <w:rPr>
                <w:rFonts w:asciiTheme="majorBidi" w:hAnsiTheme="majorBidi" w:cstheme="majorBidi"/>
                <w:sz w:val="22"/>
                <w:szCs w:val="22"/>
              </w:rPr>
              <w:t>Clerical</w:t>
            </w:r>
          </w:p>
        </w:tc>
        <w:tc>
          <w:tcPr>
            <w:tcW w:w="633" w:type="pct"/>
            <w:vMerge w:val="restart"/>
            <w:shd w:val="clear" w:color="auto" w:fill="auto"/>
            <w:vAlign w:val="center"/>
          </w:tcPr>
          <w:p w:rsidRPr="00CB40F4" w:rsidR="00FE09A1" w:rsidP="00FE09A1" w:rsidRDefault="00FE09A1" w14:paraId="3775D2AF" w14:textId="77777777">
            <w:pPr>
              <w:jc w:val="center"/>
              <w:rPr>
                <w:rFonts w:asciiTheme="majorBidi" w:hAnsiTheme="majorBidi" w:cstheme="majorBidi"/>
                <w:sz w:val="21"/>
                <w:szCs w:val="21"/>
              </w:rPr>
            </w:pPr>
            <w:r w:rsidRPr="00CB40F4">
              <w:rPr>
                <w:rFonts w:asciiTheme="majorBidi" w:hAnsiTheme="majorBidi" w:cstheme="majorBidi"/>
                <w:sz w:val="21"/>
                <w:szCs w:val="21"/>
              </w:rPr>
              <w:t>Hours</w:t>
            </w:r>
          </w:p>
        </w:tc>
        <w:tc>
          <w:tcPr>
            <w:tcW w:w="730" w:type="pct"/>
            <w:vMerge w:val="restart"/>
            <w:shd w:val="clear" w:color="auto" w:fill="auto"/>
            <w:vAlign w:val="center"/>
          </w:tcPr>
          <w:p w:rsidRPr="00CB40F4" w:rsidR="00FE09A1" w:rsidP="00FE09A1" w:rsidRDefault="00FE09A1" w14:paraId="3E204716" w14:textId="77777777">
            <w:pPr>
              <w:jc w:val="center"/>
              <w:rPr>
                <w:rFonts w:asciiTheme="majorBidi" w:hAnsiTheme="majorBidi" w:cstheme="majorBidi"/>
                <w:sz w:val="21"/>
                <w:szCs w:val="21"/>
              </w:rPr>
            </w:pPr>
            <w:r w:rsidRPr="00CB40F4">
              <w:rPr>
                <w:rFonts w:asciiTheme="majorBidi" w:hAnsiTheme="majorBidi" w:cstheme="majorBidi"/>
                <w:sz w:val="21"/>
                <w:szCs w:val="21"/>
              </w:rPr>
              <w:t>Costs</w:t>
            </w:r>
          </w:p>
        </w:tc>
      </w:tr>
      <w:tr w:rsidRPr="00CB40F4" w:rsidR="00FE09A1" w:rsidTr="00FE09A1" w14:paraId="0032C18B" w14:textId="77777777">
        <w:trPr>
          <w:trHeight w:val="278"/>
        </w:trPr>
        <w:tc>
          <w:tcPr>
            <w:tcW w:w="1447" w:type="pct"/>
            <w:vMerge/>
            <w:vAlign w:val="center"/>
          </w:tcPr>
          <w:p w:rsidRPr="00CB40F4" w:rsidR="00FE09A1" w:rsidP="00FE09A1" w:rsidRDefault="00FE09A1" w14:paraId="6853E3AE" w14:textId="77777777">
            <w:pPr>
              <w:rPr>
                <w:rFonts w:asciiTheme="majorBidi" w:hAnsiTheme="majorBidi" w:cstheme="majorBidi"/>
                <w:b/>
                <w:bCs/>
                <w:sz w:val="21"/>
                <w:szCs w:val="21"/>
              </w:rPr>
            </w:pPr>
          </w:p>
        </w:tc>
        <w:tc>
          <w:tcPr>
            <w:tcW w:w="730" w:type="pct"/>
            <w:shd w:val="clear" w:color="auto" w:fill="auto"/>
            <w:vAlign w:val="center"/>
          </w:tcPr>
          <w:p w:rsidRPr="00CB40F4" w:rsidR="00FE09A1" w:rsidP="00FE09A1" w:rsidRDefault="00FE09A1" w14:paraId="75528251" w14:textId="77777777">
            <w:pPr>
              <w:jc w:val="center"/>
              <w:rPr>
                <w:rFonts w:asciiTheme="majorBidi" w:hAnsiTheme="majorBidi" w:cstheme="majorBidi"/>
                <w:sz w:val="21"/>
                <w:szCs w:val="21"/>
              </w:rPr>
            </w:pPr>
            <w:r w:rsidRPr="00CB40F4">
              <w:rPr>
                <w:rFonts w:asciiTheme="majorBidi" w:hAnsiTheme="majorBidi" w:cstheme="majorBidi"/>
                <w:sz w:val="22"/>
                <w:szCs w:val="22"/>
              </w:rPr>
              <w:t>$121.72/hr</w:t>
            </w:r>
          </w:p>
        </w:tc>
        <w:tc>
          <w:tcPr>
            <w:tcW w:w="730" w:type="pct"/>
            <w:shd w:val="clear" w:color="auto" w:fill="auto"/>
            <w:vAlign w:val="center"/>
          </w:tcPr>
          <w:p w:rsidRPr="00CB40F4" w:rsidR="00FE09A1" w:rsidP="00FE09A1" w:rsidRDefault="00FE09A1" w14:paraId="795E6425" w14:textId="77777777">
            <w:pPr>
              <w:jc w:val="center"/>
              <w:rPr>
                <w:rFonts w:asciiTheme="majorBidi" w:hAnsiTheme="majorBidi" w:cstheme="majorBidi"/>
                <w:sz w:val="21"/>
                <w:szCs w:val="21"/>
              </w:rPr>
            </w:pPr>
            <w:r w:rsidRPr="00CB40F4">
              <w:rPr>
                <w:rFonts w:asciiTheme="majorBidi" w:hAnsiTheme="majorBidi" w:cstheme="majorBidi"/>
                <w:sz w:val="22"/>
                <w:szCs w:val="22"/>
              </w:rPr>
              <w:t>$72.01/hr</w:t>
            </w:r>
          </w:p>
        </w:tc>
        <w:tc>
          <w:tcPr>
            <w:tcW w:w="730" w:type="pct"/>
            <w:shd w:val="clear" w:color="auto" w:fill="auto"/>
            <w:vAlign w:val="center"/>
          </w:tcPr>
          <w:p w:rsidRPr="00CB40F4" w:rsidR="00FE09A1" w:rsidP="00FE09A1" w:rsidRDefault="00FE09A1" w14:paraId="3534D00F" w14:textId="77777777">
            <w:pPr>
              <w:jc w:val="center"/>
              <w:rPr>
                <w:rFonts w:asciiTheme="majorBidi" w:hAnsiTheme="majorBidi" w:cstheme="majorBidi"/>
                <w:sz w:val="21"/>
                <w:szCs w:val="21"/>
              </w:rPr>
            </w:pPr>
            <w:r w:rsidRPr="00CB40F4">
              <w:rPr>
                <w:rFonts w:asciiTheme="majorBidi" w:hAnsiTheme="majorBidi" w:cstheme="majorBidi"/>
                <w:sz w:val="22"/>
                <w:szCs w:val="22"/>
              </w:rPr>
              <w:t>$40.93/hr</w:t>
            </w:r>
          </w:p>
        </w:tc>
        <w:tc>
          <w:tcPr>
            <w:tcW w:w="633" w:type="pct"/>
            <w:vMerge/>
            <w:vAlign w:val="center"/>
          </w:tcPr>
          <w:p w:rsidRPr="00CB40F4" w:rsidR="00FE09A1" w:rsidP="00FE09A1" w:rsidRDefault="00FE09A1" w14:paraId="461EA997" w14:textId="77777777">
            <w:pPr>
              <w:rPr>
                <w:rFonts w:asciiTheme="majorBidi" w:hAnsiTheme="majorBidi" w:cstheme="majorBidi"/>
                <w:sz w:val="21"/>
                <w:szCs w:val="21"/>
              </w:rPr>
            </w:pPr>
          </w:p>
        </w:tc>
        <w:tc>
          <w:tcPr>
            <w:tcW w:w="730" w:type="pct"/>
            <w:vMerge/>
            <w:vAlign w:val="center"/>
          </w:tcPr>
          <w:p w:rsidRPr="00CB40F4" w:rsidR="00FE09A1" w:rsidP="00FE09A1" w:rsidRDefault="00FE09A1" w14:paraId="215CCD0A" w14:textId="77777777">
            <w:pPr>
              <w:rPr>
                <w:rFonts w:asciiTheme="majorBidi" w:hAnsiTheme="majorBidi" w:cstheme="majorBidi"/>
                <w:sz w:val="21"/>
                <w:szCs w:val="21"/>
              </w:rPr>
            </w:pPr>
          </w:p>
        </w:tc>
      </w:tr>
      <w:tr w:rsidRPr="00CB40F4" w:rsidR="00FE09A1" w:rsidTr="00FE09A1" w14:paraId="5F59A6A1" w14:textId="77777777">
        <w:trPr>
          <w:trHeight w:val="315"/>
        </w:trPr>
        <w:tc>
          <w:tcPr>
            <w:tcW w:w="1447" w:type="pct"/>
            <w:shd w:val="clear" w:color="auto" w:fill="auto"/>
            <w:vAlign w:val="center"/>
          </w:tcPr>
          <w:p w:rsidRPr="00CB40F4" w:rsidR="00FE09A1" w:rsidP="00FE09A1" w:rsidRDefault="00FE09A1" w14:paraId="36379ADC" w14:textId="77777777">
            <w:pPr>
              <w:rPr>
                <w:rFonts w:asciiTheme="majorBidi" w:hAnsiTheme="majorBidi" w:cstheme="majorBidi"/>
                <w:sz w:val="21"/>
                <w:szCs w:val="21"/>
              </w:rPr>
            </w:pPr>
            <w:r w:rsidRPr="00CB40F4">
              <w:rPr>
                <w:rFonts w:asciiTheme="majorBidi" w:hAnsiTheme="majorBidi" w:cstheme="majorBidi"/>
                <w:sz w:val="21"/>
                <w:szCs w:val="21"/>
              </w:rPr>
              <w:t>Read Instructions</w:t>
            </w:r>
          </w:p>
        </w:tc>
        <w:tc>
          <w:tcPr>
            <w:tcW w:w="730" w:type="pct"/>
            <w:shd w:val="clear" w:color="auto" w:fill="auto"/>
            <w:vAlign w:val="center"/>
          </w:tcPr>
          <w:p w:rsidRPr="00CB40F4" w:rsidR="00FE09A1" w:rsidP="00FE09A1" w:rsidRDefault="00FE09A1" w14:paraId="0E3CA798" w14:textId="77777777">
            <w:pPr>
              <w:jc w:val="center"/>
              <w:rPr>
                <w:rFonts w:asciiTheme="majorBidi" w:hAnsiTheme="majorBidi" w:cstheme="majorBidi"/>
                <w:sz w:val="21"/>
                <w:szCs w:val="21"/>
              </w:rPr>
            </w:pPr>
            <w:r w:rsidRPr="00CB40F4">
              <w:rPr>
                <w:rFonts w:asciiTheme="majorBidi" w:hAnsiTheme="majorBidi" w:cstheme="majorBidi"/>
                <w:sz w:val="21"/>
                <w:szCs w:val="21"/>
              </w:rPr>
              <w:t>7</w:t>
            </w:r>
          </w:p>
        </w:tc>
        <w:tc>
          <w:tcPr>
            <w:tcW w:w="730" w:type="pct"/>
            <w:shd w:val="clear" w:color="auto" w:fill="auto"/>
            <w:vAlign w:val="center"/>
          </w:tcPr>
          <w:p w:rsidRPr="00CB40F4" w:rsidR="00FE09A1" w:rsidP="00FE09A1" w:rsidRDefault="00FE09A1" w14:paraId="47F62086"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rsidRPr="00CB40F4" w:rsidR="00FE09A1" w:rsidP="00FE09A1" w:rsidRDefault="00FE09A1" w14:paraId="484A9842"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633" w:type="pct"/>
            <w:shd w:val="clear" w:color="auto" w:fill="auto"/>
            <w:vAlign w:val="center"/>
          </w:tcPr>
          <w:p w:rsidRPr="00CB40F4" w:rsidR="00FE09A1" w:rsidP="00FE09A1" w:rsidRDefault="00FE09A1" w14:paraId="70C0052C" w14:textId="77777777">
            <w:pPr>
              <w:jc w:val="center"/>
              <w:rPr>
                <w:rFonts w:asciiTheme="majorBidi" w:hAnsiTheme="majorBidi" w:cstheme="majorBidi"/>
                <w:sz w:val="21"/>
                <w:szCs w:val="21"/>
              </w:rPr>
            </w:pPr>
            <w:r w:rsidRPr="00CB40F4">
              <w:rPr>
                <w:rFonts w:asciiTheme="majorBidi" w:hAnsiTheme="majorBidi" w:cstheme="majorBidi"/>
                <w:sz w:val="21"/>
                <w:szCs w:val="21"/>
              </w:rPr>
              <w:t>7</w:t>
            </w:r>
          </w:p>
        </w:tc>
        <w:tc>
          <w:tcPr>
            <w:tcW w:w="730" w:type="pct"/>
            <w:shd w:val="clear" w:color="auto" w:fill="auto"/>
            <w:vAlign w:val="center"/>
          </w:tcPr>
          <w:p w:rsidRPr="00CB40F4" w:rsidR="00FE09A1" w:rsidP="00FE09A1" w:rsidRDefault="00FE09A1" w14:paraId="11936A17" w14:textId="77777777">
            <w:pPr>
              <w:jc w:val="center"/>
              <w:rPr>
                <w:rFonts w:asciiTheme="majorBidi" w:hAnsiTheme="majorBidi" w:cstheme="majorBidi"/>
                <w:sz w:val="21"/>
                <w:szCs w:val="21"/>
              </w:rPr>
            </w:pPr>
            <w:r w:rsidRPr="00CB40F4">
              <w:rPr>
                <w:rFonts w:asciiTheme="majorBidi" w:hAnsiTheme="majorBidi" w:cstheme="majorBidi"/>
                <w:sz w:val="21"/>
                <w:szCs w:val="21"/>
              </w:rPr>
              <w:t>$852</w:t>
            </w:r>
          </w:p>
        </w:tc>
      </w:tr>
      <w:tr w:rsidRPr="00CB40F4" w:rsidR="00FE09A1" w:rsidTr="00FE09A1" w14:paraId="2DA09DDA" w14:textId="77777777">
        <w:trPr>
          <w:trHeight w:val="315"/>
        </w:trPr>
        <w:tc>
          <w:tcPr>
            <w:tcW w:w="1447" w:type="pct"/>
            <w:shd w:val="clear" w:color="auto" w:fill="auto"/>
            <w:vAlign w:val="center"/>
          </w:tcPr>
          <w:p w:rsidRPr="00CB40F4" w:rsidR="00FE09A1" w:rsidP="00FE09A1" w:rsidRDefault="00FE09A1" w14:paraId="0D5A6A20" w14:textId="77777777">
            <w:pPr>
              <w:rPr>
                <w:rFonts w:asciiTheme="majorBidi" w:hAnsiTheme="majorBidi" w:cstheme="majorBidi"/>
                <w:sz w:val="21"/>
                <w:szCs w:val="21"/>
              </w:rPr>
            </w:pPr>
            <w:r w:rsidRPr="00CB40F4">
              <w:rPr>
                <w:rFonts w:asciiTheme="majorBidi" w:hAnsiTheme="majorBidi" w:cstheme="majorBidi"/>
                <w:sz w:val="21"/>
                <w:szCs w:val="21"/>
              </w:rPr>
              <w:t>Plan activities</w:t>
            </w:r>
          </w:p>
        </w:tc>
        <w:tc>
          <w:tcPr>
            <w:tcW w:w="730" w:type="pct"/>
            <w:shd w:val="clear" w:color="auto" w:fill="auto"/>
            <w:vAlign w:val="center"/>
          </w:tcPr>
          <w:p w:rsidRPr="00CB40F4" w:rsidR="00FE09A1" w:rsidP="00FE09A1" w:rsidRDefault="00FE09A1" w14:paraId="60A5F5DC" w14:textId="77777777">
            <w:pPr>
              <w:jc w:val="center"/>
              <w:rPr>
                <w:rFonts w:asciiTheme="majorBidi" w:hAnsiTheme="majorBidi" w:cstheme="majorBidi"/>
                <w:sz w:val="21"/>
                <w:szCs w:val="21"/>
              </w:rPr>
            </w:pPr>
            <w:r w:rsidRPr="00CB40F4">
              <w:rPr>
                <w:rFonts w:asciiTheme="majorBidi" w:hAnsiTheme="majorBidi" w:cstheme="majorBidi"/>
                <w:sz w:val="21"/>
                <w:szCs w:val="21"/>
              </w:rPr>
              <w:t>0.5</w:t>
            </w:r>
          </w:p>
        </w:tc>
        <w:tc>
          <w:tcPr>
            <w:tcW w:w="730" w:type="pct"/>
            <w:shd w:val="clear" w:color="auto" w:fill="auto"/>
            <w:vAlign w:val="center"/>
          </w:tcPr>
          <w:p w:rsidRPr="00CB40F4" w:rsidR="00FE09A1" w:rsidP="00FE09A1" w:rsidRDefault="00FE09A1" w14:paraId="59D5E784"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rsidRPr="00CB40F4" w:rsidR="00FE09A1" w:rsidP="00FE09A1" w:rsidRDefault="00FE09A1" w14:paraId="7E1F90AF"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633" w:type="pct"/>
            <w:shd w:val="clear" w:color="auto" w:fill="auto"/>
            <w:vAlign w:val="center"/>
          </w:tcPr>
          <w:p w:rsidRPr="00CB40F4" w:rsidR="00FE09A1" w:rsidP="00FE09A1" w:rsidRDefault="00FE09A1" w14:paraId="1BFE92B2" w14:textId="77777777">
            <w:pPr>
              <w:jc w:val="center"/>
              <w:rPr>
                <w:rFonts w:asciiTheme="majorBidi" w:hAnsiTheme="majorBidi" w:cstheme="majorBidi"/>
                <w:sz w:val="21"/>
                <w:szCs w:val="21"/>
              </w:rPr>
            </w:pPr>
            <w:r w:rsidRPr="00CB40F4">
              <w:rPr>
                <w:rFonts w:asciiTheme="majorBidi" w:hAnsiTheme="majorBidi" w:cstheme="majorBidi"/>
                <w:sz w:val="21"/>
                <w:szCs w:val="21"/>
              </w:rPr>
              <w:t>0.5</w:t>
            </w:r>
          </w:p>
        </w:tc>
        <w:tc>
          <w:tcPr>
            <w:tcW w:w="730" w:type="pct"/>
            <w:shd w:val="clear" w:color="auto" w:fill="auto"/>
            <w:vAlign w:val="center"/>
          </w:tcPr>
          <w:p w:rsidRPr="00CB40F4" w:rsidR="00FE09A1" w:rsidP="00FE09A1" w:rsidRDefault="00FE09A1" w14:paraId="104E79BA" w14:textId="77777777">
            <w:pPr>
              <w:jc w:val="center"/>
              <w:rPr>
                <w:rFonts w:asciiTheme="majorBidi" w:hAnsiTheme="majorBidi" w:cstheme="majorBidi"/>
                <w:sz w:val="21"/>
                <w:szCs w:val="21"/>
              </w:rPr>
            </w:pPr>
            <w:r w:rsidRPr="00CB40F4">
              <w:rPr>
                <w:rFonts w:asciiTheme="majorBidi" w:hAnsiTheme="majorBidi" w:cstheme="majorBidi"/>
                <w:sz w:val="21"/>
                <w:szCs w:val="21"/>
              </w:rPr>
              <w:t>$61</w:t>
            </w:r>
          </w:p>
        </w:tc>
      </w:tr>
      <w:tr w:rsidRPr="00CB40F4" w:rsidR="00FE09A1" w:rsidTr="00FE09A1" w14:paraId="66E89B03" w14:textId="77777777">
        <w:trPr>
          <w:trHeight w:val="315"/>
        </w:trPr>
        <w:tc>
          <w:tcPr>
            <w:tcW w:w="1447" w:type="pct"/>
            <w:shd w:val="clear" w:color="auto" w:fill="auto"/>
            <w:vAlign w:val="center"/>
          </w:tcPr>
          <w:p w:rsidRPr="00CB40F4" w:rsidR="00FE09A1" w:rsidP="00FE09A1" w:rsidRDefault="00FE09A1" w14:paraId="05D48067" w14:textId="77777777">
            <w:pPr>
              <w:rPr>
                <w:rFonts w:asciiTheme="majorBidi" w:hAnsiTheme="majorBidi" w:cstheme="majorBidi"/>
                <w:sz w:val="21"/>
                <w:szCs w:val="21"/>
              </w:rPr>
            </w:pPr>
            <w:r w:rsidRPr="00CB40F4">
              <w:rPr>
                <w:rFonts w:asciiTheme="majorBidi" w:hAnsiTheme="majorBidi" w:cstheme="majorBidi"/>
                <w:sz w:val="21"/>
                <w:szCs w:val="21"/>
              </w:rPr>
              <w:t>Gather/create information</w:t>
            </w:r>
          </w:p>
        </w:tc>
        <w:tc>
          <w:tcPr>
            <w:tcW w:w="730" w:type="pct"/>
            <w:shd w:val="clear" w:color="auto" w:fill="auto"/>
            <w:vAlign w:val="center"/>
          </w:tcPr>
          <w:p w:rsidRPr="00CB40F4" w:rsidR="00FE09A1" w:rsidP="00FE09A1" w:rsidRDefault="00FE09A1" w14:paraId="444E987B"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rsidRPr="00CB40F4" w:rsidR="00FE09A1" w:rsidP="00FE09A1" w:rsidRDefault="00FE09A1" w14:paraId="163C6ED8" w14:textId="77777777">
            <w:pPr>
              <w:jc w:val="center"/>
              <w:rPr>
                <w:rFonts w:asciiTheme="majorBidi" w:hAnsiTheme="majorBidi" w:cstheme="majorBidi"/>
                <w:sz w:val="21"/>
                <w:szCs w:val="21"/>
              </w:rPr>
            </w:pPr>
            <w:r w:rsidRPr="00CB40F4">
              <w:rPr>
                <w:rFonts w:asciiTheme="majorBidi" w:hAnsiTheme="majorBidi" w:cstheme="majorBidi"/>
                <w:sz w:val="21"/>
                <w:szCs w:val="21"/>
              </w:rPr>
              <w:t>1.5</w:t>
            </w:r>
          </w:p>
        </w:tc>
        <w:tc>
          <w:tcPr>
            <w:tcW w:w="730" w:type="pct"/>
            <w:shd w:val="clear" w:color="auto" w:fill="auto"/>
            <w:vAlign w:val="center"/>
          </w:tcPr>
          <w:p w:rsidRPr="00CB40F4" w:rsidR="00FE09A1" w:rsidP="00FE09A1" w:rsidRDefault="00FE09A1" w14:paraId="277504E0"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633" w:type="pct"/>
            <w:shd w:val="clear" w:color="auto" w:fill="auto"/>
            <w:vAlign w:val="center"/>
          </w:tcPr>
          <w:p w:rsidRPr="00CB40F4" w:rsidR="00FE09A1" w:rsidP="00FE09A1" w:rsidRDefault="00FE09A1" w14:paraId="4F48C5E3" w14:textId="77777777">
            <w:pPr>
              <w:jc w:val="center"/>
              <w:rPr>
                <w:rFonts w:asciiTheme="majorBidi" w:hAnsiTheme="majorBidi" w:cstheme="majorBidi"/>
                <w:sz w:val="21"/>
                <w:szCs w:val="21"/>
              </w:rPr>
            </w:pPr>
            <w:r w:rsidRPr="00CB40F4">
              <w:rPr>
                <w:rFonts w:asciiTheme="majorBidi" w:hAnsiTheme="majorBidi" w:cstheme="majorBidi"/>
                <w:sz w:val="21"/>
                <w:szCs w:val="21"/>
              </w:rPr>
              <w:t>1.5</w:t>
            </w:r>
          </w:p>
        </w:tc>
        <w:tc>
          <w:tcPr>
            <w:tcW w:w="730" w:type="pct"/>
            <w:shd w:val="clear" w:color="auto" w:fill="auto"/>
            <w:vAlign w:val="center"/>
          </w:tcPr>
          <w:p w:rsidRPr="00CB40F4" w:rsidR="00FE09A1" w:rsidP="00FE09A1" w:rsidRDefault="00FE09A1" w14:paraId="35DC7E5E" w14:textId="77777777">
            <w:pPr>
              <w:jc w:val="center"/>
              <w:rPr>
                <w:rFonts w:asciiTheme="majorBidi" w:hAnsiTheme="majorBidi" w:cstheme="majorBidi"/>
                <w:sz w:val="21"/>
                <w:szCs w:val="21"/>
              </w:rPr>
            </w:pPr>
            <w:r w:rsidRPr="00CB40F4">
              <w:rPr>
                <w:rFonts w:asciiTheme="majorBidi" w:hAnsiTheme="majorBidi" w:cstheme="majorBidi"/>
                <w:sz w:val="21"/>
                <w:szCs w:val="21"/>
              </w:rPr>
              <w:t>$108</w:t>
            </w:r>
          </w:p>
        </w:tc>
      </w:tr>
      <w:tr w:rsidRPr="00CB40F4" w:rsidR="00FE09A1" w:rsidTr="00FE09A1" w14:paraId="10A501D9" w14:textId="77777777">
        <w:trPr>
          <w:trHeight w:val="315"/>
        </w:trPr>
        <w:tc>
          <w:tcPr>
            <w:tcW w:w="1447" w:type="pct"/>
            <w:shd w:val="clear" w:color="auto" w:fill="auto"/>
            <w:vAlign w:val="center"/>
          </w:tcPr>
          <w:p w:rsidRPr="00CB40F4" w:rsidR="00FE09A1" w:rsidP="00FE09A1" w:rsidRDefault="00FE09A1" w14:paraId="048FAB25" w14:textId="77777777">
            <w:pPr>
              <w:rPr>
                <w:rFonts w:asciiTheme="majorBidi" w:hAnsiTheme="majorBidi" w:cstheme="majorBidi"/>
                <w:sz w:val="21"/>
                <w:szCs w:val="21"/>
              </w:rPr>
            </w:pPr>
            <w:r w:rsidRPr="00CB40F4">
              <w:rPr>
                <w:rFonts w:asciiTheme="majorBidi" w:hAnsiTheme="majorBidi" w:cstheme="majorBidi"/>
                <w:sz w:val="21"/>
                <w:szCs w:val="21"/>
              </w:rPr>
              <w:t>Compile and review</w:t>
            </w:r>
          </w:p>
        </w:tc>
        <w:tc>
          <w:tcPr>
            <w:tcW w:w="730" w:type="pct"/>
            <w:shd w:val="clear" w:color="auto" w:fill="auto"/>
            <w:vAlign w:val="center"/>
          </w:tcPr>
          <w:p w:rsidRPr="00CB40F4" w:rsidR="00FE09A1" w:rsidP="00FE09A1" w:rsidRDefault="00FE09A1" w14:paraId="16A550E2" w14:textId="77777777">
            <w:pPr>
              <w:jc w:val="center"/>
              <w:rPr>
                <w:rFonts w:asciiTheme="majorBidi" w:hAnsiTheme="majorBidi" w:cstheme="majorBidi"/>
                <w:sz w:val="21"/>
                <w:szCs w:val="21"/>
              </w:rPr>
            </w:pPr>
            <w:r w:rsidRPr="00CB40F4">
              <w:rPr>
                <w:rFonts w:asciiTheme="majorBidi" w:hAnsiTheme="majorBidi" w:cstheme="majorBidi"/>
                <w:sz w:val="21"/>
                <w:szCs w:val="21"/>
              </w:rPr>
              <w:t>0.5</w:t>
            </w:r>
          </w:p>
        </w:tc>
        <w:tc>
          <w:tcPr>
            <w:tcW w:w="730" w:type="pct"/>
            <w:shd w:val="clear" w:color="auto" w:fill="auto"/>
            <w:vAlign w:val="center"/>
          </w:tcPr>
          <w:p w:rsidRPr="00CB40F4" w:rsidR="00FE09A1" w:rsidP="00FE09A1" w:rsidRDefault="00FE09A1" w14:paraId="5F1CA88B" w14:textId="77777777">
            <w:pPr>
              <w:jc w:val="center"/>
              <w:rPr>
                <w:rFonts w:asciiTheme="majorBidi" w:hAnsiTheme="majorBidi" w:cstheme="majorBidi"/>
                <w:sz w:val="21"/>
                <w:szCs w:val="21"/>
              </w:rPr>
            </w:pPr>
            <w:r w:rsidRPr="00CB40F4">
              <w:rPr>
                <w:rFonts w:asciiTheme="majorBidi" w:hAnsiTheme="majorBidi" w:cstheme="majorBidi"/>
                <w:sz w:val="21"/>
                <w:szCs w:val="21"/>
              </w:rPr>
              <w:t>0.5</w:t>
            </w:r>
          </w:p>
        </w:tc>
        <w:tc>
          <w:tcPr>
            <w:tcW w:w="730" w:type="pct"/>
            <w:shd w:val="clear" w:color="auto" w:fill="auto"/>
            <w:vAlign w:val="center"/>
          </w:tcPr>
          <w:p w:rsidRPr="00CB40F4" w:rsidR="00FE09A1" w:rsidP="00FE09A1" w:rsidRDefault="00FE09A1" w14:paraId="697AD068"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633" w:type="pct"/>
            <w:shd w:val="clear" w:color="auto" w:fill="auto"/>
            <w:vAlign w:val="center"/>
          </w:tcPr>
          <w:p w:rsidRPr="00CB40F4" w:rsidR="00FE09A1" w:rsidP="00FE09A1" w:rsidRDefault="00FE09A1" w14:paraId="279A25E9" w14:textId="77777777">
            <w:pPr>
              <w:jc w:val="center"/>
              <w:rPr>
                <w:rFonts w:asciiTheme="majorBidi" w:hAnsiTheme="majorBidi" w:cstheme="majorBidi"/>
                <w:sz w:val="21"/>
                <w:szCs w:val="21"/>
              </w:rPr>
            </w:pPr>
            <w:r w:rsidRPr="00CB40F4">
              <w:rPr>
                <w:rFonts w:asciiTheme="majorBidi" w:hAnsiTheme="majorBidi" w:cstheme="majorBidi"/>
                <w:sz w:val="21"/>
                <w:szCs w:val="21"/>
              </w:rPr>
              <w:t>1</w:t>
            </w:r>
          </w:p>
        </w:tc>
        <w:tc>
          <w:tcPr>
            <w:tcW w:w="730" w:type="pct"/>
            <w:shd w:val="clear" w:color="auto" w:fill="auto"/>
            <w:vAlign w:val="center"/>
          </w:tcPr>
          <w:p w:rsidRPr="00CB40F4" w:rsidR="00FE09A1" w:rsidP="00FE09A1" w:rsidRDefault="00FE09A1" w14:paraId="5FAD2659" w14:textId="77777777">
            <w:pPr>
              <w:jc w:val="center"/>
              <w:rPr>
                <w:rFonts w:asciiTheme="majorBidi" w:hAnsiTheme="majorBidi" w:cstheme="majorBidi"/>
                <w:sz w:val="21"/>
                <w:szCs w:val="21"/>
              </w:rPr>
            </w:pPr>
            <w:r w:rsidRPr="00CB40F4">
              <w:rPr>
                <w:rFonts w:asciiTheme="majorBidi" w:hAnsiTheme="majorBidi" w:cstheme="majorBidi"/>
                <w:sz w:val="21"/>
                <w:szCs w:val="21"/>
              </w:rPr>
              <w:t>$97</w:t>
            </w:r>
          </w:p>
        </w:tc>
      </w:tr>
      <w:tr w:rsidRPr="00CB40F4" w:rsidR="00FE09A1" w:rsidTr="00FE09A1" w14:paraId="21E8B440" w14:textId="77777777">
        <w:trPr>
          <w:trHeight w:val="315"/>
        </w:trPr>
        <w:tc>
          <w:tcPr>
            <w:tcW w:w="1447" w:type="pct"/>
            <w:shd w:val="clear" w:color="auto" w:fill="auto"/>
            <w:vAlign w:val="center"/>
          </w:tcPr>
          <w:p w:rsidRPr="00CB40F4" w:rsidR="00FE09A1" w:rsidP="00FE09A1" w:rsidRDefault="00FE09A1" w14:paraId="25448952" w14:textId="77777777">
            <w:pPr>
              <w:rPr>
                <w:rFonts w:asciiTheme="majorBidi" w:hAnsiTheme="majorBidi" w:cstheme="majorBidi"/>
                <w:sz w:val="21"/>
                <w:szCs w:val="21"/>
              </w:rPr>
            </w:pPr>
            <w:r w:rsidRPr="00CB40F4">
              <w:rPr>
                <w:rFonts w:asciiTheme="majorBidi" w:hAnsiTheme="majorBidi" w:cstheme="majorBidi"/>
                <w:sz w:val="21"/>
                <w:szCs w:val="21"/>
              </w:rPr>
              <w:t>Complete paperwork</w:t>
            </w:r>
          </w:p>
        </w:tc>
        <w:tc>
          <w:tcPr>
            <w:tcW w:w="730" w:type="pct"/>
            <w:shd w:val="clear" w:color="auto" w:fill="auto"/>
            <w:vAlign w:val="center"/>
          </w:tcPr>
          <w:p w:rsidRPr="00CB40F4" w:rsidR="00FE09A1" w:rsidP="00FE09A1" w:rsidRDefault="00FE09A1" w14:paraId="5154DE10"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rsidRPr="00CB40F4" w:rsidR="00FE09A1" w:rsidP="00FE09A1" w:rsidRDefault="00FE09A1" w14:paraId="3FD7EC65"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rsidRPr="00CB40F4" w:rsidR="00FE09A1" w:rsidP="00FE09A1" w:rsidRDefault="00FE09A1" w14:paraId="5994BDB3" w14:textId="77777777">
            <w:pPr>
              <w:jc w:val="center"/>
              <w:rPr>
                <w:rFonts w:asciiTheme="majorBidi" w:hAnsiTheme="majorBidi" w:cstheme="majorBidi"/>
                <w:sz w:val="21"/>
                <w:szCs w:val="21"/>
              </w:rPr>
            </w:pPr>
            <w:r w:rsidRPr="00CB40F4">
              <w:rPr>
                <w:rFonts w:asciiTheme="majorBidi" w:hAnsiTheme="majorBidi" w:cstheme="majorBidi"/>
                <w:sz w:val="21"/>
                <w:szCs w:val="21"/>
              </w:rPr>
              <w:t>3</w:t>
            </w:r>
          </w:p>
        </w:tc>
        <w:tc>
          <w:tcPr>
            <w:tcW w:w="633" w:type="pct"/>
            <w:shd w:val="clear" w:color="auto" w:fill="auto"/>
            <w:vAlign w:val="center"/>
          </w:tcPr>
          <w:p w:rsidRPr="00CB40F4" w:rsidR="00FE09A1" w:rsidP="00FE09A1" w:rsidRDefault="00FE09A1" w14:paraId="3A3E6228" w14:textId="77777777">
            <w:pPr>
              <w:jc w:val="center"/>
              <w:rPr>
                <w:rFonts w:asciiTheme="majorBidi" w:hAnsiTheme="majorBidi" w:cstheme="majorBidi"/>
                <w:sz w:val="21"/>
                <w:szCs w:val="21"/>
              </w:rPr>
            </w:pPr>
            <w:r w:rsidRPr="00CB40F4">
              <w:rPr>
                <w:rFonts w:asciiTheme="majorBidi" w:hAnsiTheme="majorBidi" w:cstheme="majorBidi"/>
                <w:sz w:val="21"/>
                <w:szCs w:val="21"/>
              </w:rPr>
              <w:t>3</w:t>
            </w:r>
          </w:p>
        </w:tc>
        <w:tc>
          <w:tcPr>
            <w:tcW w:w="730" w:type="pct"/>
            <w:shd w:val="clear" w:color="auto" w:fill="auto"/>
            <w:vAlign w:val="center"/>
          </w:tcPr>
          <w:p w:rsidRPr="00CB40F4" w:rsidR="00FE09A1" w:rsidP="00FE09A1" w:rsidRDefault="00FE09A1" w14:paraId="0648621D" w14:textId="77777777">
            <w:pPr>
              <w:jc w:val="center"/>
              <w:rPr>
                <w:rFonts w:asciiTheme="majorBidi" w:hAnsiTheme="majorBidi" w:cstheme="majorBidi"/>
                <w:sz w:val="21"/>
                <w:szCs w:val="21"/>
              </w:rPr>
            </w:pPr>
            <w:r w:rsidRPr="00CB40F4">
              <w:rPr>
                <w:rFonts w:asciiTheme="majorBidi" w:hAnsiTheme="majorBidi" w:cstheme="majorBidi"/>
                <w:sz w:val="21"/>
                <w:szCs w:val="21"/>
              </w:rPr>
              <w:t>$123</w:t>
            </w:r>
          </w:p>
        </w:tc>
      </w:tr>
      <w:tr w:rsidRPr="00CB40F4" w:rsidR="00FE09A1" w:rsidTr="00FE09A1" w14:paraId="2950379D" w14:textId="77777777">
        <w:trPr>
          <w:trHeight w:val="315"/>
        </w:trPr>
        <w:tc>
          <w:tcPr>
            <w:tcW w:w="1447" w:type="pct"/>
            <w:shd w:val="clear" w:color="auto" w:fill="auto"/>
            <w:vAlign w:val="center"/>
          </w:tcPr>
          <w:p w:rsidRPr="00CB40F4" w:rsidR="00FE09A1" w:rsidP="00FE09A1" w:rsidRDefault="00FE09A1" w14:paraId="7757BA30" w14:textId="77777777">
            <w:pPr>
              <w:rPr>
                <w:rFonts w:asciiTheme="majorBidi" w:hAnsiTheme="majorBidi" w:cstheme="majorBidi"/>
                <w:sz w:val="21"/>
                <w:szCs w:val="21"/>
              </w:rPr>
            </w:pPr>
            <w:r w:rsidRPr="00CB40F4">
              <w:rPr>
                <w:rFonts w:asciiTheme="majorBidi" w:hAnsiTheme="majorBidi" w:cstheme="majorBidi"/>
                <w:sz w:val="21"/>
                <w:szCs w:val="21"/>
              </w:rPr>
              <w:t>Submit information</w:t>
            </w:r>
          </w:p>
        </w:tc>
        <w:tc>
          <w:tcPr>
            <w:tcW w:w="730" w:type="pct"/>
            <w:shd w:val="clear" w:color="auto" w:fill="auto"/>
            <w:vAlign w:val="center"/>
          </w:tcPr>
          <w:p w:rsidRPr="00CB40F4" w:rsidR="00FE09A1" w:rsidP="00FE09A1" w:rsidRDefault="00FE09A1" w14:paraId="7B8EB374" w14:textId="77777777">
            <w:pPr>
              <w:jc w:val="center"/>
              <w:rPr>
                <w:rFonts w:asciiTheme="majorBidi" w:hAnsiTheme="majorBidi" w:cstheme="majorBidi"/>
                <w:sz w:val="21"/>
                <w:szCs w:val="21"/>
              </w:rPr>
            </w:pPr>
          </w:p>
        </w:tc>
        <w:tc>
          <w:tcPr>
            <w:tcW w:w="730" w:type="pct"/>
            <w:shd w:val="clear" w:color="auto" w:fill="auto"/>
            <w:vAlign w:val="center"/>
          </w:tcPr>
          <w:p w:rsidRPr="00CB40F4" w:rsidR="00FE09A1" w:rsidP="00FE09A1" w:rsidRDefault="00FE09A1" w14:paraId="2C875843" w14:textId="77777777">
            <w:pPr>
              <w:jc w:val="center"/>
              <w:rPr>
                <w:rFonts w:asciiTheme="majorBidi" w:hAnsiTheme="majorBidi" w:cstheme="majorBidi"/>
                <w:sz w:val="21"/>
                <w:szCs w:val="21"/>
              </w:rPr>
            </w:pPr>
          </w:p>
        </w:tc>
        <w:tc>
          <w:tcPr>
            <w:tcW w:w="730" w:type="pct"/>
            <w:shd w:val="clear" w:color="auto" w:fill="auto"/>
            <w:vAlign w:val="center"/>
          </w:tcPr>
          <w:p w:rsidRPr="00CB40F4" w:rsidR="00FE09A1" w:rsidP="00FE09A1" w:rsidRDefault="00FE09A1" w14:paraId="5F51C433" w14:textId="77777777">
            <w:pPr>
              <w:jc w:val="center"/>
              <w:rPr>
                <w:rFonts w:asciiTheme="majorBidi" w:hAnsiTheme="majorBidi" w:cstheme="majorBidi"/>
                <w:sz w:val="21"/>
                <w:szCs w:val="21"/>
              </w:rPr>
            </w:pPr>
          </w:p>
        </w:tc>
        <w:tc>
          <w:tcPr>
            <w:tcW w:w="633" w:type="pct"/>
            <w:shd w:val="clear" w:color="auto" w:fill="auto"/>
            <w:vAlign w:val="center"/>
          </w:tcPr>
          <w:p w:rsidRPr="00CB40F4" w:rsidR="00FE09A1" w:rsidP="00FE09A1" w:rsidRDefault="00FE09A1" w14:paraId="5EE0CBC4" w14:textId="77777777">
            <w:pPr>
              <w:jc w:val="center"/>
              <w:rPr>
                <w:rFonts w:asciiTheme="majorBidi" w:hAnsiTheme="majorBidi" w:cstheme="majorBidi"/>
                <w:sz w:val="21"/>
                <w:szCs w:val="21"/>
              </w:rPr>
            </w:pPr>
          </w:p>
        </w:tc>
        <w:tc>
          <w:tcPr>
            <w:tcW w:w="730" w:type="pct"/>
            <w:shd w:val="clear" w:color="auto" w:fill="auto"/>
            <w:vAlign w:val="center"/>
          </w:tcPr>
          <w:p w:rsidRPr="00CB40F4" w:rsidR="00FE09A1" w:rsidP="00FE09A1" w:rsidRDefault="00FE09A1" w14:paraId="70F605FA" w14:textId="77777777">
            <w:pPr>
              <w:jc w:val="center"/>
              <w:rPr>
                <w:rFonts w:asciiTheme="majorBidi" w:hAnsiTheme="majorBidi" w:cstheme="majorBidi"/>
                <w:sz w:val="21"/>
                <w:szCs w:val="21"/>
              </w:rPr>
            </w:pPr>
          </w:p>
        </w:tc>
      </w:tr>
      <w:tr w:rsidRPr="00CB40F4" w:rsidR="00FE09A1" w:rsidTr="00FE09A1" w14:paraId="465701BD" w14:textId="77777777">
        <w:trPr>
          <w:trHeight w:val="330"/>
        </w:trPr>
        <w:tc>
          <w:tcPr>
            <w:tcW w:w="1447" w:type="pct"/>
            <w:shd w:val="clear" w:color="auto" w:fill="auto"/>
            <w:vAlign w:val="center"/>
          </w:tcPr>
          <w:p w:rsidRPr="00CB40F4" w:rsidR="00FE09A1" w:rsidP="00FE09A1" w:rsidRDefault="00FE09A1" w14:paraId="05725C2E" w14:textId="77777777">
            <w:pPr>
              <w:rPr>
                <w:rFonts w:asciiTheme="majorBidi" w:hAnsiTheme="majorBidi" w:cstheme="majorBidi"/>
                <w:sz w:val="21"/>
                <w:szCs w:val="21"/>
              </w:rPr>
            </w:pPr>
            <w:r w:rsidRPr="00CB40F4">
              <w:rPr>
                <w:rFonts w:asciiTheme="majorBidi" w:hAnsiTheme="majorBidi" w:cstheme="majorBidi"/>
                <w:sz w:val="21"/>
                <w:szCs w:val="21"/>
              </w:rPr>
              <w:t>Store/maintain data</w:t>
            </w:r>
          </w:p>
        </w:tc>
        <w:tc>
          <w:tcPr>
            <w:tcW w:w="730" w:type="pct"/>
            <w:shd w:val="clear" w:color="auto" w:fill="auto"/>
            <w:vAlign w:val="center"/>
          </w:tcPr>
          <w:p w:rsidRPr="00CB40F4" w:rsidR="00FE09A1" w:rsidP="00FE09A1" w:rsidRDefault="00FE09A1" w14:paraId="0F46F188"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rsidRPr="00CB40F4" w:rsidR="00FE09A1" w:rsidP="00FE09A1" w:rsidRDefault="00FE09A1" w14:paraId="2FACB750" w14:textId="77777777">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rsidRPr="00CB40F4" w:rsidR="00FE09A1" w:rsidP="00FE09A1" w:rsidRDefault="00FE09A1" w14:paraId="100147CA" w14:textId="77777777">
            <w:pPr>
              <w:jc w:val="center"/>
              <w:rPr>
                <w:rFonts w:asciiTheme="majorBidi" w:hAnsiTheme="majorBidi" w:cstheme="majorBidi"/>
                <w:sz w:val="21"/>
                <w:szCs w:val="21"/>
              </w:rPr>
            </w:pPr>
            <w:r w:rsidRPr="00CB40F4">
              <w:rPr>
                <w:rFonts w:asciiTheme="majorBidi" w:hAnsiTheme="majorBidi" w:cstheme="majorBidi"/>
                <w:sz w:val="21"/>
                <w:szCs w:val="21"/>
              </w:rPr>
              <w:t>1</w:t>
            </w:r>
          </w:p>
        </w:tc>
        <w:tc>
          <w:tcPr>
            <w:tcW w:w="633" w:type="pct"/>
            <w:shd w:val="clear" w:color="auto" w:fill="auto"/>
            <w:vAlign w:val="center"/>
          </w:tcPr>
          <w:p w:rsidRPr="00CB40F4" w:rsidR="00FE09A1" w:rsidP="00FE09A1" w:rsidRDefault="00FE09A1" w14:paraId="1C2BCE0D" w14:textId="77777777">
            <w:pPr>
              <w:jc w:val="center"/>
              <w:rPr>
                <w:rFonts w:asciiTheme="majorBidi" w:hAnsiTheme="majorBidi" w:cstheme="majorBidi"/>
                <w:sz w:val="21"/>
                <w:szCs w:val="21"/>
              </w:rPr>
            </w:pPr>
            <w:r w:rsidRPr="00CB40F4">
              <w:rPr>
                <w:rFonts w:asciiTheme="majorBidi" w:hAnsiTheme="majorBidi" w:cstheme="majorBidi"/>
                <w:sz w:val="21"/>
                <w:szCs w:val="21"/>
              </w:rPr>
              <w:t>1</w:t>
            </w:r>
          </w:p>
        </w:tc>
        <w:tc>
          <w:tcPr>
            <w:tcW w:w="730" w:type="pct"/>
            <w:shd w:val="clear" w:color="auto" w:fill="auto"/>
            <w:vAlign w:val="center"/>
          </w:tcPr>
          <w:p w:rsidRPr="00CB40F4" w:rsidR="00FE09A1" w:rsidP="00FE09A1" w:rsidRDefault="00FE09A1" w14:paraId="578C8F01" w14:textId="77777777">
            <w:pPr>
              <w:jc w:val="center"/>
              <w:rPr>
                <w:rFonts w:asciiTheme="majorBidi" w:hAnsiTheme="majorBidi" w:cstheme="majorBidi"/>
                <w:sz w:val="21"/>
                <w:szCs w:val="21"/>
              </w:rPr>
            </w:pPr>
            <w:r w:rsidRPr="00CB40F4">
              <w:rPr>
                <w:rFonts w:asciiTheme="majorBidi" w:hAnsiTheme="majorBidi" w:cstheme="majorBidi"/>
                <w:sz w:val="21"/>
                <w:szCs w:val="21"/>
              </w:rPr>
              <w:t>$41</w:t>
            </w:r>
          </w:p>
        </w:tc>
      </w:tr>
      <w:tr w:rsidRPr="00CB40F4" w:rsidR="00FE09A1" w:rsidTr="00FE09A1" w14:paraId="440037C1" w14:textId="77777777">
        <w:trPr>
          <w:trHeight w:val="330"/>
        </w:trPr>
        <w:tc>
          <w:tcPr>
            <w:tcW w:w="1447" w:type="pct"/>
            <w:shd w:val="clear" w:color="auto" w:fill="auto"/>
            <w:vAlign w:val="center"/>
          </w:tcPr>
          <w:p w:rsidRPr="00CB40F4" w:rsidR="00FE09A1" w:rsidP="00FE09A1" w:rsidRDefault="00FE09A1" w14:paraId="12EA8A7A" w14:textId="77777777">
            <w:pPr>
              <w:rPr>
                <w:rFonts w:asciiTheme="majorBidi" w:hAnsiTheme="majorBidi" w:cstheme="majorBidi"/>
                <w:sz w:val="21"/>
                <w:szCs w:val="21"/>
              </w:rPr>
            </w:pPr>
            <w:r w:rsidRPr="00CB40F4">
              <w:rPr>
                <w:rFonts w:asciiTheme="majorBidi" w:hAnsiTheme="majorBidi" w:cstheme="majorBidi"/>
                <w:sz w:val="21"/>
                <w:szCs w:val="21"/>
              </w:rPr>
              <w:t>Third party disclosure</w:t>
            </w:r>
          </w:p>
        </w:tc>
        <w:tc>
          <w:tcPr>
            <w:tcW w:w="730" w:type="pct"/>
            <w:shd w:val="clear" w:color="auto" w:fill="auto"/>
            <w:vAlign w:val="center"/>
          </w:tcPr>
          <w:p w:rsidRPr="00CB40F4" w:rsidR="00FE09A1" w:rsidP="00FE09A1" w:rsidRDefault="00FE09A1" w14:paraId="4ACF237E" w14:textId="77777777">
            <w:pPr>
              <w:jc w:val="center"/>
              <w:rPr>
                <w:rFonts w:asciiTheme="majorBidi" w:hAnsiTheme="majorBidi" w:cstheme="majorBidi"/>
                <w:sz w:val="21"/>
                <w:szCs w:val="21"/>
              </w:rPr>
            </w:pPr>
          </w:p>
        </w:tc>
        <w:tc>
          <w:tcPr>
            <w:tcW w:w="730" w:type="pct"/>
            <w:shd w:val="clear" w:color="auto" w:fill="auto"/>
            <w:vAlign w:val="center"/>
          </w:tcPr>
          <w:p w:rsidRPr="00CB40F4" w:rsidR="00FE09A1" w:rsidP="00FE09A1" w:rsidRDefault="00FE09A1" w14:paraId="079162F5" w14:textId="77777777">
            <w:pPr>
              <w:jc w:val="center"/>
              <w:rPr>
                <w:rFonts w:asciiTheme="majorBidi" w:hAnsiTheme="majorBidi" w:cstheme="majorBidi"/>
                <w:sz w:val="21"/>
                <w:szCs w:val="21"/>
              </w:rPr>
            </w:pPr>
          </w:p>
        </w:tc>
        <w:tc>
          <w:tcPr>
            <w:tcW w:w="730" w:type="pct"/>
            <w:shd w:val="clear" w:color="auto" w:fill="auto"/>
            <w:vAlign w:val="center"/>
          </w:tcPr>
          <w:p w:rsidRPr="00CB40F4" w:rsidR="00FE09A1" w:rsidP="00FE09A1" w:rsidRDefault="00FE09A1" w14:paraId="6F8DFDBC" w14:textId="77777777">
            <w:pPr>
              <w:jc w:val="center"/>
              <w:rPr>
                <w:rFonts w:asciiTheme="majorBidi" w:hAnsiTheme="majorBidi" w:cstheme="majorBidi"/>
                <w:sz w:val="21"/>
                <w:szCs w:val="21"/>
              </w:rPr>
            </w:pPr>
          </w:p>
        </w:tc>
        <w:tc>
          <w:tcPr>
            <w:tcW w:w="633" w:type="pct"/>
            <w:shd w:val="clear" w:color="auto" w:fill="auto"/>
            <w:vAlign w:val="center"/>
          </w:tcPr>
          <w:p w:rsidRPr="00CB40F4" w:rsidR="00FE09A1" w:rsidP="00FE09A1" w:rsidRDefault="00FE09A1" w14:paraId="354BFFFF" w14:textId="77777777">
            <w:pPr>
              <w:jc w:val="center"/>
              <w:rPr>
                <w:rFonts w:asciiTheme="majorBidi" w:hAnsiTheme="majorBidi" w:cstheme="majorBidi"/>
                <w:sz w:val="21"/>
                <w:szCs w:val="21"/>
              </w:rPr>
            </w:pPr>
          </w:p>
        </w:tc>
        <w:tc>
          <w:tcPr>
            <w:tcW w:w="730" w:type="pct"/>
            <w:shd w:val="clear" w:color="auto" w:fill="auto"/>
            <w:vAlign w:val="center"/>
          </w:tcPr>
          <w:p w:rsidRPr="00CB40F4" w:rsidR="00FE09A1" w:rsidP="00FE09A1" w:rsidRDefault="00FE09A1" w14:paraId="3FA8A64A" w14:textId="77777777">
            <w:pPr>
              <w:jc w:val="center"/>
              <w:rPr>
                <w:rFonts w:asciiTheme="majorBidi" w:hAnsiTheme="majorBidi" w:cstheme="majorBidi"/>
                <w:sz w:val="21"/>
                <w:szCs w:val="21"/>
              </w:rPr>
            </w:pPr>
          </w:p>
        </w:tc>
      </w:tr>
      <w:tr w:rsidRPr="00CB40F4" w:rsidR="00FE09A1" w:rsidTr="00FE09A1" w14:paraId="3A1E97BC" w14:textId="77777777">
        <w:trPr>
          <w:trHeight w:val="330"/>
        </w:trPr>
        <w:tc>
          <w:tcPr>
            <w:tcW w:w="1447" w:type="pct"/>
            <w:shd w:val="clear" w:color="auto" w:fill="auto"/>
            <w:vAlign w:val="center"/>
          </w:tcPr>
          <w:p w:rsidRPr="00CB40F4" w:rsidR="00FE09A1" w:rsidP="00FE09A1" w:rsidRDefault="00FE09A1" w14:paraId="5767BCE8" w14:textId="77777777">
            <w:pPr>
              <w:jc w:val="center"/>
              <w:rPr>
                <w:rFonts w:asciiTheme="majorBidi" w:hAnsiTheme="majorBidi" w:cstheme="majorBidi"/>
                <w:b/>
                <w:bCs/>
                <w:sz w:val="21"/>
                <w:szCs w:val="21"/>
              </w:rPr>
            </w:pPr>
            <w:r w:rsidRPr="00CB40F4">
              <w:rPr>
                <w:rFonts w:asciiTheme="majorBidi" w:hAnsiTheme="majorBidi" w:cstheme="majorBidi"/>
                <w:b/>
                <w:bCs/>
                <w:sz w:val="21"/>
                <w:szCs w:val="21"/>
              </w:rPr>
              <w:t>TOTAL</w:t>
            </w:r>
          </w:p>
        </w:tc>
        <w:tc>
          <w:tcPr>
            <w:tcW w:w="730" w:type="pct"/>
            <w:shd w:val="clear" w:color="auto" w:fill="auto"/>
            <w:vAlign w:val="center"/>
          </w:tcPr>
          <w:p w:rsidRPr="00CB40F4" w:rsidR="00FE09A1" w:rsidP="00FE09A1" w:rsidRDefault="00FE09A1" w14:paraId="41C6E94C" w14:textId="77777777">
            <w:pPr>
              <w:jc w:val="center"/>
              <w:rPr>
                <w:rFonts w:asciiTheme="majorBidi" w:hAnsiTheme="majorBidi" w:cstheme="majorBidi"/>
                <w:sz w:val="21"/>
                <w:szCs w:val="21"/>
              </w:rPr>
            </w:pPr>
            <w:r w:rsidRPr="00CB40F4">
              <w:rPr>
                <w:rFonts w:asciiTheme="majorBidi" w:hAnsiTheme="majorBidi" w:cstheme="majorBidi"/>
                <w:sz w:val="21"/>
                <w:szCs w:val="21"/>
              </w:rPr>
              <w:t>8</w:t>
            </w:r>
          </w:p>
        </w:tc>
        <w:tc>
          <w:tcPr>
            <w:tcW w:w="730" w:type="pct"/>
            <w:shd w:val="clear" w:color="auto" w:fill="auto"/>
            <w:vAlign w:val="center"/>
          </w:tcPr>
          <w:p w:rsidRPr="00CB40F4" w:rsidR="00FE09A1" w:rsidP="00FE09A1" w:rsidRDefault="00FE09A1" w14:paraId="06F0DA5C" w14:textId="77777777">
            <w:pPr>
              <w:jc w:val="center"/>
              <w:rPr>
                <w:rFonts w:asciiTheme="majorBidi" w:hAnsiTheme="majorBidi" w:cstheme="majorBidi"/>
                <w:sz w:val="21"/>
                <w:szCs w:val="21"/>
              </w:rPr>
            </w:pPr>
            <w:r w:rsidRPr="00CB40F4">
              <w:rPr>
                <w:rFonts w:asciiTheme="majorBidi" w:hAnsiTheme="majorBidi" w:cstheme="majorBidi"/>
                <w:sz w:val="21"/>
                <w:szCs w:val="21"/>
              </w:rPr>
              <w:t>2</w:t>
            </w:r>
          </w:p>
        </w:tc>
        <w:tc>
          <w:tcPr>
            <w:tcW w:w="730" w:type="pct"/>
            <w:shd w:val="clear" w:color="auto" w:fill="auto"/>
            <w:vAlign w:val="center"/>
          </w:tcPr>
          <w:p w:rsidRPr="00CB40F4" w:rsidR="00FE09A1" w:rsidP="00FE09A1" w:rsidRDefault="00FE09A1" w14:paraId="60F5B56A" w14:textId="77777777">
            <w:pPr>
              <w:jc w:val="center"/>
              <w:rPr>
                <w:rFonts w:asciiTheme="majorBidi" w:hAnsiTheme="majorBidi" w:cstheme="majorBidi"/>
                <w:sz w:val="21"/>
                <w:szCs w:val="21"/>
              </w:rPr>
            </w:pPr>
            <w:r w:rsidRPr="00CB40F4">
              <w:rPr>
                <w:rFonts w:asciiTheme="majorBidi" w:hAnsiTheme="majorBidi" w:cstheme="majorBidi"/>
                <w:sz w:val="21"/>
                <w:szCs w:val="21"/>
              </w:rPr>
              <w:t>4</w:t>
            </w:r>
          </w:p>
        </w:tc>
        <w:tc>
          <w:tcPr>
            <w:tcW w:w="633" w:type="pct"/>
            <w:shd w:val="clear" w:color="auto" w:fill="auto"/>
            <w:vAlign w:val="center"/>
          </w:tcPr>
          <w:p w:rsidRPr="00CB40F4" w:rsidR="00FE09A1" w:rsidP="00FE09A1" w:rsidRDefault="00FE09A1" w14:paraId="4D3D93FA" w14:textId="77777777">
            <w:pPr>
              <w:jc w:val="center"/>
              <w:rPr>
                <w:rFonts w:asciiTheme="majorBidi" w:hAnsiTheme="majorBidi" w:cstheme="majorBidi"/>
                <w:b/>
                <w:sz w:val="21"/>
                <w:szCs w:val="21"/>
              </w:rPr>
            </w:pPr>
            <w:r w:rsidRPr="00CB40F4">
              <w:rPr>
                <w:rFonts w:asciiTheme="majorBidi" w:hAnsiTheme="majorBidi" w:cstheme="majorBidi"/>
                <w:b/>
                <w:sz w:val="21"/>
                <w:szCs w:val="21"/>
              </w:rPr>
              <w:t>14</w:t>
            </w:r>
          </w:p>
        </w:tc>
        <w:tc>
          <w:tcPr>
            <w:tcW w:w="730" w:type="pct"/>
            <w:shd w:val="clear" w:color="auto" w:fill="auto"/>
            <w:vAlign w:val="center"/>
          </w:tcPr>
          <w:p w:rsidRPr="00CB40F4" w:rsidR="00FE09A1" w:rsidP="00FE09A1" w:rsidRDefault="00FE09A1" w14:paraId="4E62A9F2" w14:textId="77777777">
            <w:pPr>
              <w:jc w:val="center"/>
              <w:rPr>
                <w:rFonts w:asciiTheme="majorBidi" w:hAnsiTheme="majorBidi" w:cstheme="majorBidi"/>
                <w:b/>
                <w:sz w:val="21"/>
                <w:szCs w:val="21"/>
              </w:rPr>
            </w:pPr>
            <w:r w:rsidRPr="00CB40F4">
              <w:rPr>
                <w:rFonts w:asciiTheme="majorBidi" w:hAnsiTheme="majorBidi" w:cstheme="majorBidi"/>
                <w:b/>
                <w:sz w:val="21"/>
                <w:szCs w:val="21"/>
              </w:rPr>
              <w:t>$1,282</w:t>
            </w:r>
          </w:p>
        </w:tc>
      </w:tr>
    </w:tbl>
    <w:p w:rsidRPr="00E5773E" w:rsidR="00FE09A1" w:rsidP="00FE09A1" w:rsidRDefault="00FE09A1" w14:paraId="42AFD393" w14:textId="77777777">
      <w:pPr>
        <w:rPr>
          <w:rFonts w:asciiTheme="majorBidi" w:hAnsiTheme="majorBidi" w:cstheme="majorBidi"/>
          <w:sz w:val="20"/>
        </w:rPr>
      </w:pPr>
      <w:r>
        <w:rPr>
          <w:rFonts w:asciiTheme="majorBidi" w:hAnsiTheme="majorBidi" w:cstheme="majorBidi"/>
          <w:sz w:val="20"/>
        </w:rPr>
        <w:t>*Numbers may not sum due to rounding.</w:t>
      </w:r>
    </w:p>
    <w:p w:rsidR="00FE09A1" w:rsidP="00F75761" w:rsidRDefault="00FE09A1" w14:paraId="5A6C96A0" w14:textId="77777777">
      <w:pPr>
        <w:rPr>
          <w:rFonts w:asciiTheme="majorBidi" w:hAnsiTheme="majorBidi" w:cstheme="majorBidi"/>
        </w:rPr>
      </w:pPr>
    </w:p>
    <w:p w:rsidR="00FE09A1" w:rsidP="00F75761" w:rsidRDefault="00814C3B" w14:paraId="1989622C" w14:textId="3E873592">
      <w:pPr>
        <w:rPr>
          <w:rFonts w:asciiTheme="majorBidi" w:hAnsiTheme="majorBidi" w:cstheme="majorBidi"/>
        </w:rPr>
      </w:pPr>
      <w:r>
        <w:rPr>
          <w:rFonts w:asciiTheme="majorBidi" w:hAnsiTheme="majorBidi" w:cstheme="majorBidi"/>
        </w:rPr>
        <w:lastRenderedPageBreak/>
        <w:t xml:space="preserve">EPA does not expect the passage of the rule as proposed to significantly change the estimates of the paperwork burden from the submission process.  According to the </w:t>
      </w:r>
      <w:r>
        <w:t>Application for New and Amended Pesticide Registration</w:t>
      </w:r>
      <w:r>
        <w:rPr>
          <w:rFonts w:asciiTheme="majorBidi" w:hAnsiTheme="majorBidi" w:cstheme="majorBidi"/>
        </w:rPr>
        <w:t xml:space="preserve"> ICR, the Agency reviews 7,273 Type B actions annually</w:t>
      </w:r>
      <w:r w:rsidR="003075A0">
        <w:rPr>
          <w:rFonts w:asciiTheme="majorBidi" w:hAnsiTheme="majorBidi" w:cstheme="majorBidi"/>
        </w:rPr>
        <w:t>.  Product efficacy reviews account for about 60 reviews, on average, every year, or less than one percent of the total</w:t>
      </w:r>
      <w:r w:rsidR="00031CC2">
        <w:rPr>
          <w:rFonts w:asciiTheme="majorBidi" w:hAnsiTheme="majorBidi" w:cstheme="majorBidi"/>
        </w:rPr>
        <w:t>; thus, the burden of these particular actions has little measurable effect on the overall average</w:t>
      </w:r>
      <w:r w:rsidR="003075A0">
        <w:rPr>
          <w:rFonts w:asciiTheme="majorBidi" w:hAnsiTheme="majorBidi" w:cstheme="majorBidi"/>
        </w:rPr>
        <w:t xml:space="preserve">.  </w:t>
      </w:r>
      <w:r w:rsidR="00031CC2">
        <w:rPr>
          <w:rFonts w:asciiTheme="majorBidi" w:hAnsiTheme="majorBidi" w:cstheme="majorBidi"/>
        </w:rPr>
        <w:t>EPA has not estimated the burden associated with applications for efficacy reviews specifically, but it is probably greater than average.  In particular, the burden associated with the first two steps, Reading Instructions and Planning Activities, may be high because requirements have not been codified and it may be difficult for applicants to ascertain what information should be submitted.  Codifying the requirements would make it easier for applicants to obtain the information they need, reducing the burden of seeking that information and identifying the appropriate studies.</w:t>
      </w:r>
    </w:p>
    <w:p w:rsidR="003075A0" w:rsidP="00F75761" w:rsidRDefault="003075A0" w14:paraId="190F781A" w14:textId="77777777">
      <w:pPr>
        <w:rPr>
          <w:rFonts w:asciiTheme="majorBidi" w:hAnsiTheme="majorBidi" w:cstheme="majorBidi"/>
        </w:rPr>
      </w:pPr>
    </w:p>
    <w:p w:rsidRPr="00970828" w:rsidR="00571CF1" w:rsidP="00F75761" w:rsidRDefault="00154B6C" w14:paraId="0161362B" w14:textId="474B0D53">
      <w:pPr>
        <w:rPr>
          <w:rFonts w:asciiTheme="majorBidi" w:hAnsiTheme="majorBidi" w:cstheme="majorBidi"/>
        </w:rPr>
      </w:pPr>
      <w:r>
        <w:rPr>
          <w:rFonts w:asciiTheme="majorBidi" w:hAnsiTheme="majorBidi" w:cstheme="majorBidi"/>
        </w:rPr>
        <w:t xml:space="preserve">EPA estimates that annually 12 data packages are submitted to the EPA that </w:t>
      </w:r>
      <w:r w:rsidR="00031CC2">
        <w:rPr>
          <w:rFonts w:asciiTheme="majorBidi" w:hAnsiTheme="majorBidi" w:cstheme="majorBidi"/>
        </w:rPr>
        <w:t xml:space="preserve">lack the appropriate efficacy data to support </w:t>
      </w:r>
      <w:r w:rsidR="00451D51">
        <w:rPr>
          <w:rFonts w:asciiTheme="majorBidi" w:hAnsiTheme="majorBidi" w:cstheme="majorBidi"/>
        </w:rPr>
        <w:t xml:space="preserve">the requested </w:t>
      </w:r>
      <w:r>
        <w:rPr>
          <w:rFonts w:asciiTheme="majorBidi" w:hAnsiTheme="majorBidi" w:cstheme="majorBidi"/>
        </w:rPr>
        <w:t xml:space="preserve">label </w:t>
      </w:r>
      <w:r w:rsidRPr="00970828">
        <w:rPr>
          <w:rFonts w:asciiTheme="majorBidi" w:hAnsiTheme="majorBidi" w:cstheme="majorBidi"/>
        </w:rPr>
        <w:t>claims</w:t>
      </w:r>
      <w:r w:rsidRPr="00970828" w:rsidR="0081365C">
        <w:rPr>
          <w:rFonts w:asciiTheme="majorBidi" w:hAnsiTheme="majorBidi" w:cstheme="majorBidi"/>
        </w:rPr>
        <w:t>.</w:t>
      </w:r>
      <w:r w:rsidRPr="00970828" w:rsidR="00FE39F0">
        <w:rPr>
          <w:rFonts w:asciiTheme="majorBidi" w:hAnsiTheme="majorBidi" w:cstheme="majorBidi"/>
        </w:rPr>
        <w:t xml:space="preserve">  EPA expects the </w:t>
      </w:r>
      <w:r w:rsidRPr="00970828" w:rsidR="00814C3B">
        <w:rPr>
          <w:rFonts w:asciiTheme="majorBidi" w:hAnsiTheme="majorBidi" w:cstheme="majorBidi"/>
        </w:rPr>
        <w:t xml:space="preserve">proposed </w:t>
      </w:r>
      <w:r w:rsidRPr="00970828" w:rsidR="00FE39F0">
        <w:rPr>
          <w:rFonts w:asciiTheme="majorBidi" w:hAnsiTheme="majorBidi" w:cstheme="majorBidi"/>
        </w:rPr>
        <w:t>rule</w:t>
      </w:r>
      <w:r w:rsidRPr="00970828" w:rsidR="0069162C">
        <w:rPr>
          <w:rFonts w:asciiTheme="majorBidi" w:hAnsiTheme="majorBidi" w:cstheme="majorBidi"/>
        </w:rPr>
        <w:t xml:space="preserve"> </w:t>
      </w:r>
      <w:r w:rsidRPr="00970828" w:rsidR="00FE39F0">
        <w:rPr>
          <w:rFonts w:asciiTheme="majorBidi" w:hAnsiTheme="majorBidi" w:cstheme="majorBidi"/>
        </w:rPr>
        <w:t>to eliminate this category of waste</w:t>
      </w:r>
      <w:r w:rsidRPr="00970828" w:rsidR="00814C3B">
        <w:rPr>
          <w:rFonts w:asciiTheme="majorBidi" w:hAnsiTheme="majorBidi" w:cstheme="majorBidi"/>
        </w:rPr>
        <w:t xml:space="preserve"> because applicants would know what data are required.  A reduction of 12 applications per year with an estimated paperwork burden of $1,282 implies</w:t>
      </w:r>
      <w:r w:rsidRPr="00970828" w:rsidR="0069162C">
        <w:rPr>
          <w:rFonts w:asciiTheme="majorBidi" w:hAnsiTheme="majorBidi" w:cstheme="majorBidi"/>
        </w:rPr>
        <w:t xml:space="preserve"> a cost savings of </w:t>
      </w:r>
      <w:r w:rsidRPr="00970828" w:rsidR="0081365C">
        <w:rPr>
          <w:rFonts w:asciiTheme="majorBidi" w:hAnsiTheme="majorBidi" w:cstheme="majorBidi"/>
        </w:rPr>
        <w:t xml:space="preserve">approximately </w:t>
      </w:r>
      <w:r w:rsidRPr="00970828" w:rsidR="0069162C">
        <w:rPr>
          <w:rFonts w:asciiTheme="majorBidi" w:hAnsiTheme="majorBidi" w:cstheme="majorBidi"/>
        </w:rPr>
        <w:t>$15,000</w:t>
      </w:r>
      <w:r w:rsidRPr="00970828" w:rsidR="0081365C">
        <w:rPr>
          <w:rStyle w:val="FootnoteReference"/>
          <w:rFonts w:asciiTheme="majorBidi" w:hAnsiTheme="majorBidi" w:cstheme="majorBidi"/>
        </w:rPr>
        <w:footnoteReference w:id="2"/>
      </w:r>
      <w:r w:rsidRPr="00970828" w:rsidR="0069162C">
        <w:rPr>
          <w:rFonts w:asciiTheme="majorBidi" w:hAnsiTheme="majorBidi" w:cstheme="majorBidi"/>
        </w:rPr>
        <w:t xml:space="preserve"> annually </w:t>
      </w:r>
      <w:r w:rsidRPr="00970828" w:rsidR="005553B1">
        <w:rPr>
          <w:rFonts w:asciiTheme="majorBidi" w:hAnsiTheme="majorBidi" w:cstheme="majorBidi"/>
        </w:rPr>
        <w:t xml:space="preserve">resulting </w:t>
      </w:r>
      <w:r w:rsidRPr="00970828" w:rsidR="0069162C">
        <w:rPr>
          <w:rFonts w:asciiTheme="majorBidi" w:hAnsiTheme="majorBidi" w:cstheme="majorBidi"/>
        </w:rPr>
        <w:t>from the rule as proposed.</w:t>
      </w:r>
      <w:r w:rsidRPr="00970828" w:rsidR="00AA68AB">
        <w:rPr>
          <w:rFonts w:asciiTheme="majorBidi" w:hAnsiTheme="majorBidi" w:cstheme="majorBidi"/>
        </w:rPr>
        <w:t xml:space="preserve">  Each action is estimated to take 14 hours – a reduction of 12 applications per year implies a reduction in burden hours of 168</w:t>
      </w:r>
      <w:r w:rsidRPr="00970828" w:rsidR="00AA68AB">
        <w:rPr>
          <w:rStyle w:val="FootnoteReference"/>
          <w:rFonts w:asciiTheme="majorBidi" w:hAnsiTheme="majorBidi" w:cstheme="majorBidi"/>
        </w:rPr>
        <w:footnoteReference w:id="3"/>
      </w:r>
      <w:r w:rsidRPr="00970828" w:rsidR="00AA68AB">
        <w:rPr>
          <w:rFonts w:asciiTheme="majorBidi" w:hAnsiTheme="majorBidi" w:cstheme="majorBidi"/>
        </w:rPr>
        <w:t xml:space="preserve"> annually.</w:t>
      </w:r>
      <w:r w:rsidRPr="00970828">
        <w:rPr>
          <w:rFonts w:asciiTheme="majorBidi" w:hAnsiTheme="majorBidi" w:cstheme="majorBidi"/>
        </w:rPr>
        <w:t xml:space="preserve">  </w:t>
      </w:r>
      <w:r w:rsidRPr="00970828" w:rsidR="00814C3B">
        <w:rPr>
          <w:rFonts w:asciiTheme="majorBidi" w:hAnsiTheme="majorBidi" w:cstheme="majorBidi"/>
        </w:rPr>
        <w:t xml:space="preserve">If the rule were to be finalized, </w:t>
      </w:r>
      <w:r w:rsidRPr="00970828" w:rsidR="00F22175">
        <w:rPr>
          <w:rFonts w:asciiTheme="majorBidi" w:hAnsiTheme="majorBidi" w:cstheme="majorBidi"/>
        </w:rPr>
        <w:t>EPA</w:t>
      </w:r>
      <w:r w:rsidRPr="00970828" w:rsidR="00CD362C">
        <w:rPr>
          <w:rFonts w:asciiTheme="majorBidi" w:hAnsiTheme="majorBidi" w:cstheme="majorBidi"/>
        </w:rPr>
        <w:t xml:space="preserve"> </w:t>
      </w:r>
      <w:r w:rsidRPr="00970828" w:rsidR="00814C3B">
        <w:rPr>
          <w:rFonts w:asciiTheme="majorBidi" w:hAnsiTheme="majorBidi" w:cstheme="majorBidi"/>
        </w:rPr>
        <w:t xml:space="preserve">would </w:t>
      </w:r>
      <w:r w:rsidRPr="00970828" w:rsidR="00CD362C">
        <w:rPr>
          <w:rFonts w:asciiTheme="majorBidi" w:hAnsiTheme="majorBidi" w:cstheme="majorBidi"/>
        </w:rPr>
        <w:t xml:space="preserve">expect the </w:t>
      </w:r>
      <w:r w:rsidRPr="00970828" w:rsidR="00814C3B">
        <w:rPr>
          <w:rFonts w:asciiTheme="majorBidi" w:hAnsiTheme="majorBidi" w:cstheme="majorBidi"/>
        </w:rPr>
        <w:t>number of Type B actions to decline from 7,273 to 7,261 per year over the next three years</w:t>
      </w:r>
      <w:r w:rsidRPr="00970828" w:rsidR="00B601F1">
        <w:rPr>
          <w:rFonts w:asciiTheme="majorBidi" w:hAnsiTheme="majorBidi" w:cstheme="majorBidi"/>
        </w:rPr>
        <w:t xml:space="preserve">.  </w:t>
      </w:r>
    </w:p>
    <w:p w:rsidRPr="00970828" w:rsidR="00571CF1" w:rsidP="00F75761" w:rsidRDefault="00571CF1" w14:paraId="6A6FC1E0" w14:textId="77777777">
      <w:pPr>
        <w:rPr>
          <w:rFonts w:asciiTheme="majorBidi" w:hAnsiTheme="majorBidi" w:cstheme="majorBidi"/>
        </w:rPr>
      </w:pPr>
    </w:p>
    <w:p w:rsidR="007F5F95" w:rsidP="00F75761" w:rsidRDefault="0087337C" w14:paraId="7EBD385C" w14:textId="6EA65314">
      <w:r w:rsidRPr="00970828">
        <w:rPr>
          <w:rFonts w:asciiTheme="majorBidi" w:hAnsiTheme="majorBidi" w:cstheme="majorBidi"/>
        </w:rPr>
        <w:t>In the long run,</w:t>
      </w:r>
      <w:r w:rsidRPr="00970828" w:rsidR="00571CF1">
        <w:rPr>
          <w:rFonts w:asciiTheme="majorBidi" w:hAnsiTheme="majorBidi" w:cstheme="majorBidi"/>
        </w:rPr>
        <w:t xml:space="preserve"> EPA expects the rule as proposed would lead to increased clarity</w:t>
      </w:r>
      <w:r w:rsidR="00571CF1">
        <w:rPr>
          <w:rFonts w:asciiTheme="majorBidi" w:hAnsiTheme="majorBidi" w:cstheme="majorBidi"/>
        </w:rPr>
        <w:t xml:space="preserve"> among registrants about EPA data requirements, and the reduction in uncertainty resulting from the rule may lead registrants to submit more data packages.  </w:t>
      </w:r>
      <w:r w:rsidR="008A1B58">
        <w:rPr>
          <w:rFonts w:asciiTheme="majorBidi" w:hAnsiTheme="majorBidi" w:cstheme="majorBidi"/>
        </w:rPr>
        <w:t xml:space="preserve">If registrants increased the number of data packages </w:t>
      </w:r>
      <w:r w:rsidR="001E377A">
        <w:rPr>
          <w:rFonts w:asciiTheme="majorBidi" w:hAnsiTheme="majorBidi" w:cstheme="majorBidi"/>
        </w:rPr>
        <w:t>submitted to the Agency</w:t>
      </w:r>
      <w:r w:rsidR="008A1B58">
        <w:rPr>
          <w:rFonts w:asciiTheme="majorBidi" w:hAnsiTheme="majorBidi" w:cstheme="majorBidi"/>
        </w:rPr>
        <w:t xml:space="preserve"> by more than 12 annually, </w:t>
      </w:r>
      <w:r w:rsidR="006146B5">
        <w:rPr>
          <w:rFonts w:asciiTheme="majorBidi" w:hAnsiTheme="majorBidi" w:cstheme="majorBidi"/>
        </w:rPr>
        <w:t>this</w:t>
      </w:r>
      <w:r w:rsidR="001E377A">
        <w:rPr>
          <w:rFonts w:asciiTheme="majorBidi" w:hAnsiTheme="majorBidi" w:cstheme="majorBidi"/>
        </w:rPr>
        <w:t xml:space="preserve"> would result in an increased total submission</w:t>
      </w:r>
      <w:r w:rsidR="00A944B3">
        <w:rPr>
          <w:rFonts w:asciiTheme="majorBidi" w:hAnsiTheme="majorBidi" w:cstheme="majorBidi"/>
        </w:rPr>
        <w:t>s, and associated total</w:t>
      </w:r>
      <w:r w:rsidR="001E377A">
        <w:rPr>
          <w:rFonts w:asciiTheme="majorBidi" w:hAnsiTheme="majorBidi" w:cstheme="majorBidi"/>
        </w:rPr>
        <w:t xml:space="preserve"> burden</w:t>
      </w:r>
      <w:r w:rsidR="00A944B3">
        <w:rPr>
          <w:rFonts w:asciiTheme="majorBidi" w:hAnsiTheme="majorBidi" w:cstheme="majorBidi"/>
        </w:rPr>
        <w:t>,</w:t>
      </w:r>
      <w:r w:rsidR="006146B5">
        <w:rPr>
          <w:rFonts w:asciiTheme="majorBidi" w:hAnsiTheme="majorBidi" w:cstheme="majorBidi"/>
        </w:rPr>
        <w:t xml:space="preserve"> </w:t>
      </w:r>
      <w:r w:rsidR="00A944B3">
        <w:rPr>
          <w:rFonts w:asciiTheme="majorBidi" w:hAnsiTheme="majorBidi" w:cstheme="majorBidi"/>
        </w:rPr>
        <w:t>but with fewer incomplete data packages</w:t>
      </w:r>
      <w:r w:rsidR="006146B5">
        <w:rPr>
          <w:rFonts w:asciiTheme="majorBidi" w:hAnsiTheme="majorBidi" w:cstheme="majorBidi"/>
        </w:rPr>
        <w:t>.  The Agency does not have information on whether the clarity</w:t>
      </w:r>
      <w:r w:rsidR="00985972">
        <w:rPr>
          <w:rFonts w:asciiTheme="majorBidi" w:hAnsiTheme="majorBidi" w:cstheme="majorBidi"/>
        </w:rPr>
        <w:t xml:space="preserve"> resulting</w:t>
      </w:r>
      <w:r w:rsidR="006146B5">
        <w:rPr>
          <w:rFonts w:asciiTheme="majorBidi" w:hAnsiTheme="majorBidi" w:cstheme="majorBidi"/>
        </w:rPr>
        <w:t xml:space="preserve"> from the rule</w:t>
      </w:r>
      <w:r w:rsidR="00985972">
        <w:rPr>
          <w:rFonts w:asciiTheme="majorBidi" w:hAnsiTheme="majorBidi" w:cstheme="majorBidi"/>
        </w:rPr>
        <w:t xml:space="preserve"> as proposed</w:t>
      </w:r>
      <w:r w:rsidR="006146B5">
        <w:rPr>
          <w:rFonts w:asciiTheme="majorBidi" w:hAnsiTheme="majorBidi" w:cstheme="majorBidi"/>
        </w:rPr>
        <w:t xml:space="preserve"> will result in </w:t>
      </w:r>
      <w:r w:rsidR="00985972">
        <w:rPr>
          <w:rFonts w:asciiTheme="majorBidi" w:hAnsiTheme="majorBidi" w:cstheme="majorBidi"/>
        </w:rPr>
        <w:t xml:space="preserve">an increase or decrease in </w:t>
      </w:r>
      <w:r w:rsidR="00175B7D">
        <w:rPr>
          <w:rFonts w:asciiTheme="majorBidi" w:hAnsiTheme="majorBidi" w:cstheme="majorBidi"/>
        </w:rPr>
        <w:t xml:space="preserve">the </w:t>
      </w:r>
      <w:r w:rsidR="00985972">
        <w:rPr>
          <w:rFonts w:asciiTheme="majorBidi" w:hAnsiTheme="majorBidi" w:cstheme="majorBidi"/>
        </w:rPr>
        <w:t>number of total submissions to the Agency relative to prior to the publication of the rule.</w:t>
      </w:r>
    </w:p>
    <w:p w:rsidRPr="00C270C5" w:rsidR="008253DD" w:rsidP="00F75761" w:rsidRDefault="008253DD" w14:paraId="3486FCD4" w14:textId="77777777">
      <w:pPr>
        <w:pStyle w:val="Heading2"/>
      </w:pPr>
      <w:r w:rsidRPr="00C270C5">
        <w:t>6(b)</w:t>
      </w:r>
      <w:r w:rsidRPr="00C270C5">
        <w:tab/>
        <w:t>Respondent Paperwork Burden Hours and Cost from Data Generation</w:t>
      </w:r>
    </w:p>
    <w:p w:rsidRPr="00970828" w:rsidR="00C56E53" w:rsidP="008B32DD" w:rsidRDefault="002B2748" w14:paraId="47BC0B21" w14:textId="55467988">
      <w:r>
        <w:rPr>
          <w:rFonts w:asciiTheme="majorBidi" w:hAnsiTheme="majorBidi" w:cstheme="majorBidi"/>
        </w:rPr>
        <w:t xml:space="preserve">Because this proposed rule would </w:t>
      </w:r>
      <w:r w:rsidR="008F353D">
        <w:rPr>
          <w:rFonts w:asciiTheme="majorBidi" w:hAnsiTheme="majorBidi" w:cstheme="majorBidi"/>
        </w:rPr>
        <w:t xml:space="preserve">largely </w:t>
      </w:r>
      <w:r>
        <w:rPr>
          <w:rFonts w:asciiTheme="majorBidi" w:hAnsiTheme="majorBidi" w:cstheme="majorBidi"/>
        </w:rPr>
        <w:t>codify current agency practices (i.e.</w:t>
      </w:r>
      <w:r w:rsidR="00FC2EB9">
        <w:rPr>
          <w:rFonts w:asciiTheme="majorBidi" w:hAnsiTheme="majorBidi" w:cstheme="majorBidi"/>
        </w:rPr>
        <w:t>,</w:t>
      </w:r>
      <w:r>
        <w:rPr>
          <w:rFonts w:asciiTheme="majorBidi" w:hAnsiTheme="majorBidi" w:cstheme="majorBidi"/>
        </w:rPr>
        <w:t xml:space="preserve"> the same data was being collected via a different regulatory mechanism [see 40 CFR 158.30 and 158.75]),</w:t>
      </w:r>
      <w:r w:rsidR="00065831">
        <w:rPr>
          <w:rFonts w:asciiTheme="majorBidi" w:hAnsiTheme="majorBidi" w:cstheme="majorBidi"/>
        </w:rPr>
        <w:t xml:space="preserve"> </w:t>
      </w:r>
      <w:r>
        <w:rPr>
          <w:rFonts w:asciiTheme="majorBidi" w:hAnsiTheme="majorBidi" w:cstheme="majorBidi"/>
        </w:rPr>
        <w:t>the a</w:t>
      </w:r>
      <w:r w:rsidR="00065831">
        <w:rPr>
          <w:rFonts w:asciiTheme="majorBidi" w:hAnsiTheme="majorBidi" w:cstheme="majorBidi"/>
        </w:rPr>
        <w:t xml:space="preserve">gency </w:t>
      </w:r>
      <w:r>
        <w:rPr>
          <w:rFonts w:asciiTheme="majorBidi" w:hAnsiTheme="majorBidi" w:cstheme="majorBidi"/>
        </w:rPr>
        <w:t xml:space="preserve">generally </w:t>
      </w:r>
      <w:r w:rsidR="00065831">
        <w:rPr>
          <w:rFonts w:asciiTheme="majorBidi" w:hAnsiTheme="majorBidi" w:cstheme="majorBidi"/>
        </w:rPr>
        <w:t>expects respondents</w:t>
      </w:r>
      <w:r>
        <w:rPr>
          <w:rFonts w:asciiTheme="majorBidi" w:hAnsiTheme="majorBidi" w:cstheme="majorBidi"/>
        </w:rPr>
        <w:t xml:space="preserve"> to provide product performance data that they would have provided to the Agency respective of the existence of this rule.</w:t>
      </w:r>
      <w:r w:rsidR="00691E2B">
        <w:rPr>
          <w:rFonts w:asciiTheme="majorBidi" w:hAnsiTheme="majorBidi" w:cstheme="majorBidi"/>
        </w:rPr>
        <w:t xml:space="preserve">  </w:t>
      </w:r>
      <w:r w:rsidR="004D2191">
        <w:rPr>
          <w:rFonts w:asciiTheme="majorBidi" w:hAnsiTheme="majorBidi" w:cstheme="majorBidi"/>
        </w:rPr>
        <w:t xml:space="preserve">However, the current lack of clarify regarding the requirements for efficacy data may lead applicants to generate and submit more data than the agency needs; codification </w:t>
      </w:r>
      <w:r>
        <w:rPr>
          <w:rFonts w:asciiTheme="majorBidi" w:hAnsiTheme="majorBidi" w:cstheme="majorBidi"/>
        </w:rPr>
        <w:t xml:space="preserve">would </w:t>
      </w:r>
      <w:r w:rsidR="004D2191">
        <w:rPr>
          <w:rFonts w:asciiTheme="majorBidi" w:hAnsiTheme="majorBidi" w:cstheme="majorBidi"/>
        </w:rPr>
        <w:t xml:space="preserve">increase clarity and </w:t>
      </w:r>
      <w:r>
        <w:rPr>
          <w:rFonts w:asciiTheme="majorBidi" w:hAnsiTheme="majorBidi" w:cstheme="majorBidi"/>
        </w:rPr>
        <w:t xml:space="preserve">reduce </w:t>
      </w:r>
      <w:r w:rsidR="004D2191">
        <w:rPr>
          <w:rFonts w:asciiTheme="majorBidi" w:hAnsiTheme="majorBidi" w:cstheme="majorBidi"/>
        </w:rPr>
        <w:t xml:space="preserve">the </w:t>
      </w:r>
      <w:r>
        <w:rPr>
          <w:rFonts w:asciiTheme="majorBidi" w:hAnsiTheme="majorBidi" w:cstheme="majorBidi"/>
        </w:rPr>
        <w:t xml:space="preserve">submission of </w:t>
      </w:r>
      <w:r w:rsidR="004D2191">
        <w:rPr>
          <w:rFonts w:asciiTheme="majorBidi" w:hAnsiTheme="majorBidi" w:cstheme="majorBidi"/>
        </w:rPr>
        <w:t xml:space="preserve">unnecessary </w:t>
      </w:r>
      <w:r>
        <w:rPr>
          <w:rFonts w:asciiTheme="majorBidi" w:hAnsiTheme="majorBidi" w:cstheme="majorBidi"/>
        </w:rPr>
        <w:t>data.</w:t>
      </w:r>
      <w:r w:rsidR="00B278A8">
        <w:rPr>
          <w:rFonts w:asciiTheme="majorBidi" w:hAnsiTheme="majorBidi" w:cstheme="majorBidi"/>
        </w:rPr>
        <w:t xml:space="preserve">  </w:t>
      </w:r>
      <w:r w:rsidR="009B6D36">
        <w:rPr>
          <w:rFonts w:asciiTheme="majorBidi" w:hAnsiTheme="majorBidi" w:cstheme="majorBidi"/>
        </w:rPr>
        <w:t>Data generation test costs range from $18,400 for a premise</w:t>
      </w:r>
      <w:r w:rsidR="001D766A">
        <w:rPr>
          <w:rFonts w:asciiTheme="majorBidi" w:hAnsiTheme="majorBidi" w:cstheme="majorBidi"/>
        </w:rPr>
        <w:t xml:space="preserve"> treatment</w:t>
      </w:r>
      <w:r w:rsidR="009B6D36">
        <w:rPr>
          <w:rFonts w:asciiTheme="majorBidi" w:hAnsiTheme="majorBidi" w:cstheme="majorBidi"/>
        </w:rPr>
        <w:t xml:space="preserve"> product claiming efficacy against cockroaches to $197,700 for an on-animal </w:t>
      </w:r>
      <w:r w:rsidR="001D766A">
        <w:rPr>
          <w:rFonts w:asciiTheme="majorBidi" w:hAnsiTheme="majorBidi" w:cstheme="majorBidi"/>
        </w:rPr>
        <w:t xml:space="preserve">treatment </w:t>
      </w:r>
      <w:r w:rsidR="009B6D36">
        <w:rPr>
          <w:rFonts w:asciiTheme="majorBidi" w:hAnsiTheme="majorBidi" w:cstheme="majorBidi"/>
        </w:rPr>
        <w:t>product claiming efficacy against flies</w:t>
      </w:r>
      <w:r w:rsidR="00B52B3F">
        <w:rPr>
          <w:rFonts w:asciiTheme="majorBidi" w:hAnsiTheme="majorBidi" w:cstheme="majorBidi"/>
        </w:rPr>
        <w:t xml:space="preserve">.  EPA estimates that the </w:t>
      </w:r>
      <w:r w:rsidR="001D766A">
        <w:rPr>
          <w:rFonts w:asciiTheme="majorBidi" w:hAnsiTheme="majorBidi" w:cstheme="majorBidi"/>
        </w:rPr>
        <w:t xml:space="preserve">proposed </w:t>
      </w:r>
      <w:r w:rsidR="00B52B3F">
        <w:rPr>
          <w:rFonts w:asciiTheme="majorBidi" w:hAnsiTheme="majorBidi" w:cstheme="majorBidi"/>
        </w:rPr>
        <w:t xml:space="preserve">rule </w:t>
      </w:r>
      <w:r w:rsidR="0018422A">
        <w:rPr>
          <w:rFonts w:asciiTheme="majorBidi" w:hAnsiTheme="majorBidi" w:cstheme="majorBidi"/>
        </w:rPr>
        <w:t>would</w:t>
      </w:r>
      <w:r w:rsidR="00B52B3F">
        <w:rPr>
          <w:rFonts w:asciiTheme="majorBidi" w:hAnsiTheme="majorBidi" w:cstheme="majorBidi"/>
        </w:rPr>
        <w:t xml:space="preserve"> result in a</w:t>
      </w:r>
      <w:r w:rsidR="00871D74">
        <w:t xml:space="preserve"> $900,000 annual reduction in data generation costs</w:t>
      </w:r>
      <w:r w:rsidR="00BA4AB0">
        <w:t>.</w:t>
      </w:r>
      <w:r w:rsidR="00871D74">
        <w:t xml:space="preserve"> </w:t>
      </w:r>
      <w:r w:rsidR="00BA4AB0">
        <w:rPr>
          <w:rFonts w:asciiTheme="majorBidi" w:hAnsiTheme="majorBidi" w:cstheme="majorBidi"/>
        </w:rPr>
        <w:t xml:space="preserve">In the existing </w:t>
      </w:r>
      <w:r w:rsidR="0077413F">
        <w:t xml:space="preserve">Application for New and Amended Pesticide </w:t>
      </w:r>
      <w:r w:rsidRPr="00970828" w:rsidR="0077413F">
        <w:t xml:space="preserve">Registration </w:t>
      </w:r>
      <w:r w:rsidRPr="00970828" w:rsidR="00BA4AB0">
        <w:rPr>
          <w:rFonts w:asciiTheme="majorBidi" w:hAnsiTheme="majorBidi" w:cstheme="majorBidi"/>
        </w:rPr>
        <w:t xml:space="preserve">ICR, paperwork costs are assumed to be 35% of data generation costs, and so </w:t>
      </w:r>
      <w:r w:rsidRPr="00970828" w:rsidR="00871D74">
        <w:t xml:space="preserve">EPA calculates a $315,000 </w:t>
      </w:r>
      <w:r w:rsidRPr="00970828" w:rsidR="00DC74E3">
        <w:t xml:space="preserve">annual </w:t>
      </w:r>
      <w:r w:rsidRPr="00970828" w:rsidR="00871D74">
        <w:t>reduction in data generation paperwork</w:t>
      </w:r>
      <w:r w:rsidRPr="00970828" w:rsidR="0077413F">
        <w:t xml:space="preserve"> as a result of the </w:t>
      </w:r>
      <w:r w:rsidRPr="00970828" w:rsidR="0077413F">
        <w:lastRenderedPageBreak/>
        <w:t>proposed rule</w:t>
      </w:r>
      <w:r w:rsidRPr="00970828" w:rsidR="00871D74">
        <w:t xml:space="preserve">.  </w:t>
      </w:r>
      <w:r w:rsidRPr="00970828" w:rsidR="00AA68AB">
        <w:t xml:space="preserve">Figure 1 illustrates the method for calculating the paperwork burden of data generation.  </w:t>
      </w:r>
    </w:p>
    <w:p w:rsidRPr="00970828" w:rsidR="00560642" w:rsidP="00F75761" w:rsidRDefault="00560642" w14:paraId="59AD6F34" w14:textId="103FE1A7">
      <w:pPr>
        <w:pStyle w:val="BodyTextFirstIndent"/>
        <w:spacing w:after="0"/>
        <w:ind w:firstLine="0"/>
        <w:rPr>
          <w:rFonts w:asciiTheme="majorBidi" w:hAnsiTheme="majorBidi" w:cstheme="majorBidi"/>
          <w:szCs w:val="24"/>
        </w:rPr>
      </w:pPr>
    </w:p>
    <w:p w:rsidRPr="00970828" w:rsidR="00AA68AB" w:rsidP="00AA68AB" w:rsidRDefault="00AA68AB" w14:paraId="4BE07308" w14:textId="77777777">
      <w:pPr>
        <w:pStyle w:val="BodyTextFirstIndent"/>
        <w:spacing w:after="0"/>
        <w:ind w:firstLine="0"/>
        <w:rPr>
          <w:rFonts w:asciiTheme="majorBidi" w:hAnsiTheme="majorBidi" w:cstheme="majorBidi"/>
          <w:szCs w:val="24"/>
        </w:rPr>
      </w:pPr>
    </w:p>
    <w:p w:rsidRPr="00970828" w:rsidR="00AA68AB" w:rsidP="00AA68AB" w:rsidRDefault="00AA68AB" w14:paraId="7CA9D8D6" w14:textId="77777777">
      <w:pPr>
        <w:pStyle w:val="BodyTextFirstIndent"/>
        <w:spacing w:after="0"/>
        <w:ind w:firstLine="0"/>
        <w:rPr>
          <w:rFonts w:asciiTheme="majorBidi" w:hAnsiTheme="majorBidi" w:cstheme="majorBidi"/>
          <w:szCs w:val="24"/>
        </w:rPr>
      </w:pPr>
      <w:r w:rsidRPr="00970828">
        <w:rPr>
          <w:rFonts w:asciiTheme="majorBidi" w:hAnsiTheme="majorBidi" w:cstheme="majorBidi"/>
          <w:noProof/>
          <w:szCs w:val="24"/>
        </w:rPr>
        <mc:AlternateContent>
          <mc:Choice Requires="wpg">
            <w:drawing>
              <wp:inline distT="0" distB="0" distL="0" distR="0" wp14:anchorId="19D20F82" wp14:editId="2AA9A6E0">
                <wp:extent cx="5943600" cy="1280628"/>
                <wp:effectExtent l="0" t="0" r="0" b="0"/>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43600" cy="1280628"/>
                          <a:chOff x="2829" y="5427"/>
                          <a:chExt cx="7662" cy="1238"/>
                        </a:xfrm>
                      </wpg:grpSpPr>
                      <wps:wsp>
                        <wps:cNvPr id="20" name="AutoShape 10"/>
                        <wps:cNvSpPr>
                          <a:spLocks noChangeAspect="1" noChangeArrowheads="1" noTextEdit="1"/>
                        </wps:cNvSpPr>
                        <wps:spPr bwMode="auto">
                          <a:xfrm>
                            <a:off x="2829" y="5427"/>
                            <a:ext cx="7662"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rsidRPr="001B7121" w:rsidR="00AA68AB" w:rsidP="00AA68AB" w:rsidRDefault="00AA68AB" w14:paraId="514FF992" w14:textId="77777777">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wps:txbx>
                        <wps:bodyPr rot="0" vert="horz" wrap="square" lIns="91440" tIns="45720" rIns="91440" bIns="45720" anchor="t" anchorCtr="0" upright="1">
                          <a:noAutofit/>
                        </wps:bodyPr>
                      </wps:wsp>
                      <wps:wsp>
                        <wps:cNvPr id="22" name="AutoShape 12"/>
                        <wps:cNvSpPr>
                          <a:spLocks noChangeArrowheads="1"/>
                        </wps:cNvSpPr>
                        <wps:spPr bwMode="auto">
                          <a:xfrm>
                            <a:off x="4675" y="5614"/>
                            <a:ext cx="2320"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rsidRPr="001B7121" w:rsidR="00AA68AB" w:rsidP="00AA68AB" w:rsidRDefault="00AA68AB" w14:paraId="04263BB9" w14:textId="77777777">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r w:rsidRPr="001B7121">
                                <w:rPr>
                                  <w:sz w:val="20"/>
                                  <w:szCs w:val="20"/>
                                </w:rPr>
                                <w:t>:</w:t>
                              </w:r>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wps:txbx>
                        <wps:bodyPr rot="0" vert="horz" wrap="square" lIns="91440" tIns="45720" rIns="91440" bIns="45720" anchor="t" anchorCtr="0" upright="1">
                          <a:noAutofit/>
                        </wps:bodyPr>
                      </wps:wsp>
                      <wps:wsp>
                        <wps:cNvPr id="23" name="AutoShape 13"/>
                        <wps:cNvSpPr>
                          <a:spLocks noChangeArrowheads="1"/>
                        </wps:cNvSpPr>
                        <wps:spPr bwMode="auto">
                          <a:xfrm>
                            <a:off x="7054" y="5614"/>
                            <a:ext cx="2310" cy="941"/>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rsidRPr="001B7121" w:rsidR="00AA68AB" w:rsidP="00AA68AB" w:rsidRDefault="00AA68AB" w14:paraId="49CDC7FA" w14:textId="77777777">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s:wsp>
                        <wps:cNvPr id="24" name="Text Box 14"/>
                        <wps:cNvSpPr txBox="1">
                          <a:spLocks noChangeArrowheads="1"/>
                        </wps:cNvSpPr>
                        <wps:spPr bwMode="auto">
                          <a:xfrm>
                            <a:off x="9435" y="5756"/>
                            <a:ext cx="922" cy="704"/>
                          </a:xfrm>
                          <a:prstGeom prst="rect">
                            <a:avLst/>
                          </a:prstGeom>
                          <a:solidFill>
                            <a:srgbClr val="FFFFFF"/>
                          </a:solidFill>
                          <a:ln w="9525">
                            <a:solidFill>
                              <a:srgbClr val="000000"/>
                            </a:solidFill>
                            <a:miter lim="800000"/>
                            <a:headEnd/>
                            <a:tailEnd/>
                          </a:ln>
                        </wps:spPr>
                        <wps:txbx>
                          <w:txbxContent>
                            <w:p w:rsidRPr="001B7121" w:rsidR="00AA68AB" w:rsidP="00AA68AB" w:rsidRDefault="00AA68AB" w14:paraId="767D9C41" w14:textId="77777777">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19" style="width:468pt;height:100.85pt;mso-position-horizontal-relative:char;mso-position-vertical-relative:line" coordsize="7662,1238" coordorigin="2829,5427" o:spid="_x0000_s1026" w14:anchorId="19D20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">
                <o:lock v:ext="edit" aspectratio="t"/>
                <v:rect id="AutoShape 10" style="position:absolute;left:2829;top:5427;width:7662;height:1238;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o:lock v:ext="edit" text="t" aspectratio="t"/>
                </v:rect>
                <v:shapetype id="_x0000_t78" coordsize="21600,21600" o:spt="78" adj="14400,5400,18000,8100" path="m,l,21600@0,21600@0@5@2@5@2@4,21600,10800@2@1@2@3@0@3@0,xe">
                  <v:stroke joinstyle="miter"/>
                  <v:formulas>
                    <v:f eqn="val #0"/>
                    <v:f eqn="val #1"/>
                    <v:f eqn="val #2"/>
                    <v:f eqn="val #3"/>
                    <v:f eqn="sum 21600 0 #1"/>
                    <v:f eqn="sum 21600 0 #3"/>
                    <v:f eqn="prod #0 1 2"/>
                  </v:formulas>
                  <v:path textboxrect="0,0,@0,21600" o:connecttype="custom" o:connectlocs="@6,0;0,10800;@6,21600;21600,10800" o:connectangles="270,180,90,0"/>
                  <v:handles>
                    <v:h position="#0,topLeft" xrange="0,@2"/>
                    <v:h position="bottomRight,#1" yrange="0,@3"/>
                    <v:h position="#2,#3" xrange="@0,21600" yrange="@1,10800"/>
                  </v:handles>
                </v:shapetype>
                <v:shape id="AutoShape 11" style="position:absolute;left:3106;top:5708;width:1477;height:752;visibility:visible;mso-wrap-style:square;v-text-anchor:top" o:spid="_x0000_s1028"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">
                  <v:textbox>
                    <w:txbxContent>
                      <w:p w:rsidRPr="001B7121" w:rsidR="00AA68AB" w:rsidP="00AA68AB" w:rsidRDefault="00AA68AB" w14:paraId="514FF992" w14:textId="77777777">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v:textbox>
                </v:shape>
                <v:shape id="AutoShape 12" style="position:absolute;left:4675;top:5614;width:2320;height:941;visibility:visible;mso-wrap-style:square;v-text-anchor:top" o:spid="_x0000_s1029" type="#_x0000_t78" adj=",,17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">
                  <v:textbox>
                    <w:txbxContent>
                      <w:p w:rsidRPr="001B7121" w:rsidR="00AA68AB" w:rsidP="00AA68AB" w:rsidRDefault="00AA68AB" w14:paraId="04263BB9" w14:textId="77777777">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r w:rsidRPr="001B7121">
                          <w:rPr>
                            <w:sz w:val="20"/>
                            <w:szCs w:val="20"/>
                          </w:rPr>
                          <w:t>:</w:t>
                        </w:r>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v:textbox>
                </v:shape>
                <v:shape id="AutoShape 13" style="position:absolute;left:7054;top:5614;width:2310;height:941;visibility:visible;mso-wrap-style:square;v-text-anchor:top" o:spid="_x0000_s1030" type="#_x0000_t78" adj=",,1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">
                  <v:textbox>
                    <w:txbxContent>
                      <w:p w:rsidRPr="001B7121" w:rsidR="00AA68AB" w:rsidP="00AA68AB" w:rsidRDefault="00AA68AB" w14:paraId="49CDC7FA" w14:textId="77777777">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v:textbox>
                </v:shape>
                <v:shapetype id="_x0000_t202" coordsize="21600,21600" o:spt="202" path="m,l,21600r21600,l21600,xe">
                  <v:stroke joinstyle="miter"/>
                  <v:path gradientshapeok="t" o:connecttype="rect"/>
                </v:shapetype>
                <v:shape id="Text Box 14" style="position:absolute;left:9435;top:5756;width:922;height:704;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Pr="001B7121" w:rsidR="00AA68AB" w:rsidP="00AA68AB" w:rsidRDefault="00AA68AB" w14:paraId="767D9C41" w14:textId="77777777">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v:textbox>
                </v:shape>
                <w10:anchorlock/>
              </v:group>
            </w:pict>
          </mc:Fallback>
        </mc:AlternateContent>
      </w:r>
    </w:p>
    <w:p w:rsidRPr="00970828" w:rsidR="00AA68AB" w:rsidP="00AA68AB" w:rsidRDefault="00AA68AB" w14:paraId="1AF08F44" w14:textId="77777777">
      <w:pPr>
        <w:pStyle w:val="BodyTextFirstIndent"/>
        <w:spacing w:after="0"/>
        <w:ind w:firstLine="0"/>
        <w:rPr>
          <w:rFonts w:asciiTheme="majorBidi" w:hAnsiTheme="majorBidi" w:cstheme="majorBidi"/>
          <w:b/>
          <w:bCs/>
          <w:sz w:val="22"/>
          <w:szCs w:val="22"/>
        </w:rPr>
      </w:pPr>
      <w:r w:rsidRPr="00970828">
        <w:rPr>
          <w:rFonts w:asciiTheme="majorBidi" w:hAnsiTheme="majorBidi" w:cstheme="majorBidi"/>
          <w:b/>
          <w:bCs/>
          <w:sz w:val="22"/>
          <w:szCs w:val="22"/>
        </w:rPr>
        <w:t>Figure 1: Method for Calculating Paperwork Burden from Test Costs</w:t>
      </w:r>
    </w:p>
    <w:p w:rsidRPr="00970828" w:rsidR="00AA68AB" w:rsidP="00AA68AB" w:rsidRDefault="00AA68AB" w14:paraId="19B4F18E" w14:textId="77777777"/>
    <w:p w:rsidRPr="00970828" w:rsidR="00AA68AB" w:rsidP="00AA68AB" w:rsidRDefault="00AA68AB" w14:paraId="7DC08FB7" w14:textId="278852B3">
      <w:r w:rsidRPr="00970828">
        <w:t>EPA estimates in the Application for New and Amended Pesticide Registration ICR that 20% of paperwork burden cost is managerial, 65% is technical, and 15% is clerical.  Using fully loaded labor wage rates</w:t>
      </w:r>
      <w:r w:rsidRPr="00970828">
        <w:rPr>
          <w:rStyle w:val="FootnoteReference"/>
        </w:rPr>
        <w:footnoteReference w:id="4"/>
      </w:r>
      <w:r w:rsidRPr="00970828">
        <w:t>, EPA estimates that a reduction of $315,000 annually will translate to a reduction in burden hours of 4,515 annually – 518 managerial hours, 2,843 technical hours, and 1,154 clerical hours.</w:t>
      </w:r>
    </w:p>
    <w:p w:rsidRPr="00970828" w:rsidR="00AA68AB" w:rsidP="00F75761" w:rsidRDefault="00AA68AB" w14:paraId="11BB1637" w14:textId="77777777">
      <w:pPr>
        <w:pStyle w:val="BodyTextFirstIndent"/>
        <w:spacing w:after="0"/>
        <w:ind w:firstLine="0"/>
        <w:rPr>
          <w:rFonts w:asciiTheme="majorBidi" w:hAnsiTheme="majorBidi" w:cstheme="majorBidi"/>
          <w:szCs w:val="24"/>
        </w:rPr>
      </w:pPr>
    </w:p>
    <w:p w:rsidRPr="00970828" w:rsidR="002B2748" w:rsidP="00F75761" w:rsidRDefault="001A5C9F" w14:paraId="4CBBE518" w14:textId="4965FAF2">
      <w:pPr>
        <w:pStyle w:val="BodyTextFirstIndent"/>
        <w:spacing w:after="0"/>
        <w:ind w:firstLine="0"/>
        <w:rPr>
          <w:rFonts w:asciiTheme="majorBidi" w:hAnsiTheme="majorBidi" w:cstheme="majorBidi"/>
          <w:szCs w:val="24"/>
        </w:rPr>
      </w:pPr>
      <w:r w:rsidRPr="00970828">
        <w:rPr>
          <w:rFonts w:asciiTheme="majorBidi" w:hAnsiTheme="majorBidi" w:cstheme="majorBidi"/>
          <w:szCs w:val="24"/>
        </w:rPr>
        <w:t>B</w:t>
      </w:r>
      <w:r w:rsidRPr="00970828" w:rsidR="00F24050">
        <w:rPr>
          <w:rFonts w:asciiTheme="majorBidi" w:hAnsiTheme="majorBidi" w:cstheme="majorBidi"/>
          <w:szCs w:val="24"/>
        </w:rPr>
        <w:t xml:space="preserve">ecause of increased clarity </w:t>
      </w:r>
      <w:r w:rsidRPr="00970828" w:rsidR="00F507A3">
        <w:rPr>
          <w:rFonts w:asciiTheme="majorBidi" w:hAnsiTheme="majorBidi" w:cstheme="majorBidi"/>
          <w:szCs w:val="24"/>
        </w:rPr>
        <w:t>resulting from the publication of the rule as proposed,</w:t>
      </w:r>
      <w:r w:rsidRPr="00970828" w:rsidR="006A5ED4">
        <w:rPr>
          <w:rFonts w:asciiTheme="majorBidi" w:hAnsiTheme="majorBidi" w:cstheme="majorBidi"/>
          <w:szCs w:val="24"/>
        </w:rPr>
        <w:t xml:space="preserve"> </w:t>
      </w:r>
      <w:r w:rsidRPr="00970828" w:rsidR="00F507A3">
        <w:rPr>
          <w:rFonts w:asciiTheme="majorBidi" w:hAnsiTheme="majorBidi" w:cstheme="majorBidi"/>
          <w:szCs w:val="24"/>
        </w:rPr>
        <w:t>registrants may choose to submit mor</w:t>
      </w:r>
      <w:r w:rsidRPr="00970828" w:rsidR="00504969">
        <w:rPr>
          <w:rFonts w:asciiTheme="majorBidi" w:hAnsiTheme="majorBidi" w:cstheme="majorBidi"/>
          <w:szCs w:val="24"/>
        </w:rPr>
        <w:t xml:space="preserve">e data packages and </w:t>
      </w:r>
      <w:r w:rsidRPr="00970828" w:rsidR="00CD52D8">
        <w:rPr>
          <w:rFonts w:asciiTheme="majorBidi" w:hAnsiTheme="majorBidi" w:cstheme="majorBidi"/>
          <w:szCs w:val="24"/>
        </w:rPr>
        <w:t xml:space="preserve">the Agency could </w:t>
      </w:r>
      <w:r w:rsidRPr="00970828" w:rsidR="00504969">
        <w:rPr>
          <w:rFonts w:asciiTheme="majorBidi" w:hAnsiTheme="majorBidi" w:cstheme="majorBidi"/>
          <w:szCs w:val="24"/>
        </w:rPr>
        <w:t xml:space="preserve">see an increase in </w:t>
      </w:r>
      <w:r w:rsidRPr="00970828" w:rsidR="006B316C">
        <w:rPr>
          <w:rFonts w:asciiTheme="majorBidi" w:hAnsiTheme="majorBidi" w:cstheme="majorBidi"/>
          <w:szCs w:val="24"/>
        </w:rPr>
        <w:t xml:space="preserve">the </w:t>
      </w:r>
      <w:r w:rsidRPr="00970828" w:rsidR="00504969">
        <w:rPr>
          <w:rFonts w:asciiTheme="majorBidi" w:hAnsiTheme="majorBidi" w:cstheme="majorBidi"/>
          <w:szCs w:val="24"/>
        </w:rPr>
        <w:t>number of actions</w:t>
      </w:r>
      <w:r w:rsidRPr="00970828" w:rsidR="00F507A3">
        <w:rPr>
          <w:rFonts w:asciiTheme="majorBidi" w:hAnsiTheme="majorBidi" w:cstheme="majorBidi"/>
          <w:szCs w:val="24"/>
        </w:rPr>
        <w:t>.  The overall</w:t>
      </w:r>
      <w:r w:rsidRPr="00970828" w:rsidR="00504969">
        <w:rPr>
          <w:rFonts w:asciiTheme="majorBidi" w:hAnsiTheme="majorBidi" w:cstheme="majorBidi"/>
          <w:szCs w:val="24"/>
        </w:rPr>
        <w:t xml:space="preserve"> direction of total per-registrant burden is </w:t>
      </w:r>
      <w:r w:rsidRPr="00970828" w:rsidR="00935E36">
        <w:rPr>
          <w:rFonts w:asciiTheme="majorBidi" w:hAnsiTheme="majorBidi" w:cstheme="majorBidi"/>
          <w:szCs w:val="24"/>
        </w:rPr>
        <w:t>thus uncertain</w:t>
      </w:r>
      <w:r w:rsidRPr="00970828" w:rsidR="00BD6644">
        <w:rPr>
          <w:rFonts w:asciiTheme="majorBidi" w:hAnsiTheme="majorBidi" w:cstheme="majorBidi"/>
          <w:szCs w:val="24"/>
        </w:rPr>
        <w:t xml:space="preserve"> – lower burden per action, but potentially a higher number of actions</w:t>
      </w:r>
      <w:r w:rsidRPr="00970828" w:rsidR="00935E36">
        <w:rPr>
          <w:rFonts w:asciiTheme="majorBidi" w:hAnsiTheme="majorBidi" w:cstheme="majorBidi"/>
          <w:szCs w:val="24"/>
        </w:rPr>
        <w:t xml:space="preserve">.  </w:t>
      </w:r>
      <w:r w:rsidRPr="00970828" w:rsidR="003206A1">
        <w:rPr>
          <w:rFonts w:asciiTheme="majorBidi" w:hAnsiTheme="majorBidi" w:cstheme="majorBidi"/>
          <w:szCs w:val="24"/>
        </w:rPr>
        <w:t>In the next three years covered by the ICR,</w:t>
      </w:r>
      <w:r w:rsidRPr="00970828" w:rsidR="00935E36">
        <w:rPr>
          <w:rFonts w:asciiTheme="majorBidi" w:hAnsiTheme="majorBidi" w:cstheme="majorBidi"/>
          <w:szCs w:val="24"/>
        </w:rPr>
        <w:t xml:space="preserve"> EPA does not expect a measurable </w:t>
      </w:r>
      <w:r w:rsidRPr="00970828" w:rsidR="007A471C">
        <w:rPr>
          <w:rFonts w:asciiTheme="majorBidi" w:hAnsiTheme="majorBidi" w:cstheme="majorBidi"/>
          <w:szCs w:val="24"/>
        </w:rPr>
        <w:t>increase in number of actions</w:t>
      </w:r>
      <w:r w:rsidRPr="00970828" w:rsidR="00935E36">
        <w:rPr>
          <w:rFonts w:asciiTheme="majorBidi" w:hAnsiTheme="majorBidi" w:cstheme="majorBidi"/>
          <w:szCs w:val="24"/>
        </w:rPr>
        <w:t xml:space="preserve"> </w:t>
      </w:r>
      <w:r w:rsidRPr="00970828" w:rsidR="001852FE">
        <w:rPr>
          <w:rFonts w:asciiTheme="majorBidi" w:hAnsiTheme="majorBidi" w:cstheme="majorBidi"/>
          <w:szCs w:val="24"/>
        </w:rPr>
        <w:t>from the rule due to the fact that bringing products to market is time consuming</w:t>
      </w:r>
      <w:r w:rsidRPr="00970828" w:rsidR="003206A1">
        <w:rPr>
          <w:rFonts w:asciiTheme="majorBidi" w:hAnsiTheme="majorBidi" w:cstheme="majorBidi"/>
          <w:szCs w:val="24"/>
        </w:rPr>
        <w:t xml:space="preserve">, and the full impact of the rule may not </w:t>
      </w:r>
      <w:r w:rsidRPr="00970828" w:rsidR="00414DDC">
        <w:rPr>
          <w:rFonts w:asciiTheme="majorBidi" w:hAnsiTheme="majorBidi" w:cstheme="majorBidi"/>
          <w:szCs w:val="24"/>
        </w:rPr>
        <w:t>show up in actions for some time</w:t>
      </w:r>
      <w:r w:rsidRPr="00970828" w:rsidR="00BD6644">
        <w:rPr>
          <w:rFonts w:asciiTheme="majorBidi" w:hAnsiTheme="majorBidi" w:cstheme="majorBidi"/>
          <w:szCs w:val="24"/>
        </w:rPr>
        <w:t xml:space="preserve">.  </w:t>
      </w:r>
      <w:r w:rsidRPr="00970828" w:rsidR="00F507A3">
        <w:rPr>
          <w:rFonts w:asciiTheme="majorBidi" w:hAnsiTheme="majorBidi" w:cstheme="majorBidi"/>
          <w:szCs w:val="24"/>
        </w:rPr>
        <w:t xml:space="preserve"> </w:t>
      </w:r>
      <w:r w:rsidRPr="00970828" w:rsidR="002B2748">
        <w:rPr>
          <w:rFonts w:asciiTheme="majorBidi" w:hAnsiTheme="majorBidi" w:cstheme="majorBidi"/>
          <w:szCs w:val="24"/>
        </w:rPr>
        <w:t xml:space="preserve"> </w:t>
      </w:r>
    </w:p>
    <w:p w:rsidRPr="00970828" w:rsidR="000A260C" w:rsidP="00F75761" w:rsidRDefault="000A260C" w14:paraId="5F29C1AD" w14:textId="77777777">
      <w:pPr>
        <w:pStyle w:val="BodyTextFirstIndent"/>
        <w:spacing w:after="0"/>
        <w:ind w:firstLine="0"/>
        <w:rPr>
          <w:rFonts w:asciiTheme="majorBidi" w:hAnsiTheme="majorBidi" w:cstheme="majorBidi"/>
          <w:szCs w:val="24"/>
        </w:rPr>
      </w:pPr>
    </w:p>
    <w:p w:rsidRPr="00970828" w:rsidR="00086D01" w:rsidP="001664A0" w:rsidRDefault="001664A0" w14:paraId="5151A012" w14:textId="2DACE228">
      <w:pPr>
        <w:rPr>
          <w:rFonts w:asciiTheme="majorBidi" w:hAnsiTheme="majorBidi" w:cstheme="majorBidi"/>
        </w:rPr>
      </w:pPr>
      <w:r w:rsidRPr="00970828">
        <w:t xml:space="preserve">EPA estimates that the total average annual cost of paperwork burden from data generation for new and amended products is $33.7 million.  This rule will save $315,000 annually, or 1% of the total paperwork burden from data generation.  </w:t>
      </w:r>
      <w:r w:rsidRPr="00970828" w:rsidR="00AA68AB">
        <w:t>EPA estimates that the total average annual burden hours from data generation for new and amended products is 483,000 hours.  The rule will reduce the burden by 4,515 hours, or 1% of the total hourly burden from data generation.</w:t>
      </w:r>
    </w:p>
    <w:p w:rsidRPr="00970828" w:rsidR="00AA68AB" w:rsidP="00F75761" w:rsidRDefault="00AA68AB" w14:paraId="59217018" w14:textId="476C814C">
      <w:pPr>
        <w:pStyle w:val="BodyTextFirstIndent"/>
        <w:spacing w:after="0"/>
        <w:ind w:firstLine="0"/>
        <w:rPr>
          <w:rFonts w:asciiTheme="majorBidi" w:hAnsiTheme="majorBidi" w:cstheme="majorBidi"/>
          <w:szCs w:val="24"/>
        </w:rPr>
      </w:pPr>
    </w:p>
    <w:p w:rsidRPr="00970828" w:rsidR="008253DD" w:rsidP="00F75761" w:rsidRDefault="00A63404" w14:paraId="014CA2DA" w14:textId="77777777">
      <w:pPr>
        <w:pStyle w:val="Heading2"/>
      </w:pPr>
      <w:r w:rsidRPr="00970828">
        <w:t>6(</w:t>
      </w:r>
      <w:r w:rsidRPr="00970828" w:rsidR="00C05BE9">
        <w:t>c</w:t>
      </w:r>
      <w:r w:rsidRPr="00970828">
        <w:t>)</w:t>
      </w:r>
      <w:r w:rsidRPr="00970828">
        <w:tab/>
      </w:r>
      <w:r w:rsidRPr="00970828" w:rsidR="008253DD">
        <w:t>Estimating Agency Burden and Cost</w:t>
      </w:r>
    </w:p>
    <w:p w:rsidRPr="00970828" w:rsidR="00B35871" w:rsidP="00E5773E" w:rsidRDefault="00B35871" w14:paraId="2AFC6B72" w14:textId="6964A62C">
      <w:pPr>
        <w:rPr>
          <w:rFonts w:asciiTheme="majorBidi" w:hAnsiTheme="majorBidi" w:cstheme="majorBidi"/>
        </w:rPr>
      </w:pPr>
    </w:p>
    <w:p w:rsidRPr="00D32125" w:rsidR="004973CD" w:rsidP="00E5773E" w:rsidRDefault="004973CD" w14:paraId="5547E68F" w14:textId="7D75BCB7">
      <w:r w:rsidRPr="00970828">
        <w:t xml:space="preserve">The incremental burden </w:t>
      </w:r>
      <w:r w:rsidRPr="00970828" w:rsidR="00E80CC6">
        <w:t xml:space="preserve">for the </w:t>
      </w:r>
      <w:r w:rsidRPr="00970828" w:rsidR="00CD7293">
        <w:t xml:space="preserve">agency </w:t>
      </w:r>
      <w:r w:rsidRPr="00970828">
        <w:t xml:space="preserve">associated with codifying the product performance data requirements is uncertain.  The </w:t>
      </w:r>
      <w:r w:rsidRPr="00970828" w:rsidR="0018422A">
        <w:t>proposed</w:t>
      </w:r>
      <w:r w:rsidRPr="00970828">
        <w:t xml:space="preserve"> rule </w:t>
      </w:r>
      <w:r w:rsidRPr="00970828" w:rsidR="0018422A">
        <w:t>would</w:t>
      </w:r>
      <w:r w:rsidRPr="00970828">
        <w:t xml:space="preserve"> result in clarity for registran</w:t>
      </w:r>
      <w:r w:rsidRPr="00970828" w:rsidR="00F151C0">
        <w:t xml:space="preserve">ts </w:t>
      </w:r>
      <w:r w:rsidRPr="00970828" w:rsidR="00CD7293">
        <w:t>which</w:t>
      </w:r>
      <w:r w:rsidRPr="00970828" w:rsidR="00F151C0">
        <w:t xml:space="preserve"> may </w:t>
      </w:r>
      <w:r w:rsidRPr="00970828" w:rsidR="003D31D0">
        <w:t>lead to</w:t>
      </w:r>
      <w:r w:rsidRPr="00970828" w:rsidR="00F151C0">
        <w:t xml:space="preserve"> registrants submitting </w:t>
      </w:r>
      <w:r w:rsidRPr="00970828" w:rsidR="00977C5F">
        <w:t xml:space="preserve">fewer incomplete </w:t>
      </w:r>
      <w:r w:rsidRPr="00970828" w:rsidR="00F151C0">
        <w:t>pa</w:t>
      </w:r>
      <w:r w:rsidR="00F151C0">
        <w:t>ckages</w:t>
      </w:r>
      <w:r w:rsidR="003D31D0">
        <w:t>,</w:t>
      </w:r>
      <w:r w:rsidR="00F151C0">
        <w:t xml:space="preserve"> thus </w:t>
      </w:r>
      <w:r w:rsidR="007965EA">
        <w:t>reduc</w:t>
      </w:r>
      <w:r w:rsidR="00977C5F">
        <w:t>ing th</w:t>
      </w:r>
      <w:r w:rsidR="007965EA">
        <w:t xml:space="preserve">e burden </w:t>
      </w:r>
      <w:r w:rsidR="00CD7293">
        <w:t>for the agency</w:t>
      </w:r>
      <w:r w:rsidR="007965EA">
        <w:t xml:space="preserve">.  However, </w:t>
      </w:r>
      <w:r w:rsidR="00A81D2B">
        <w:t xml:space="preserve">given the small number of product performance data submissions relative to the total number of submissions reviewed by the agency, the burden will not change measurably. </w:t>
      </w:r>
      <w:r w:rsidR="00977C5F">
        <w:t>Moreover, t</w:t>
      </w:r>
      <w:r w:rsidR="007965EA">
        <w:t>he increase in clarity may encourage registrants to submit more packages and this may translate to an increased agency burden</w:t>
      </w:r>
      <w:r w:rsidR="00911CD8">
        <w:t xml:space="preserve">.  </w:t>
      </w:r>
      <w:r w:rsidR="006D77A3">
        <w:t>The</w:t>
      </w:r>
      <w:r w:rsidR="00CD7293">
        <w:t>refore, the</w:t>
      </w:r>
      <w:r w:rsidR="00D32125">
        <w:t xml:space="preserve"> direction and</w:t>
      </w:r>
      <w:r w:rsidR="006D77A3">
        <w:t xml:space="preserve"> extent of Agency </w:t>
      </w:r>
      <w:r w:rsidR="006D77A3">
        <w:lastRenderedPageBreak/>
        <w:t>burden</w:t>
      </w:r>
      <w:r w:rsidR="00B86F5E">
        <w:t xml:space="preserve"> in the long term</w:t>
      </w:r>
      <w:r w:rsidR="006D77A3">
        <w:t xml:space="preserve"> </w:t>
      </w:r>
      <w:r w:rsidR="00D32125">
        <w:t>is uncertain</w:t>
      </w:r>
      <w:r w:rsidR="00CD7293">
        <w:t xml:space="preserve"> but likely to be </w:t>
      </w:r>
      <w:r w:rsidR="00977C5F">
        <w:t>very small</w:t>
      </w:r>
      <w:r w:rsidR="00B86F5E">
        <w:t xml:space="preserve">.  </w:t>
      </w:r>
    </w:p>
    <w:p w:rsidR="004973CD" w:rsidP="00E5773E" w:rsidRDefault="004973CD" w14:paraId="3569CA04" w14:textId="77777777">
      <w:pPr>
        <w:rPr>
          <w:rFonts w:asciiTheme="majorBidi" w:hAnsiTheme="majorBidi" w:cstheme="majorBidi"/>
        </w:rPr>
      </w:pPr>
    </w:p>
    <w:p w:rsidR="00086D01" w:rsidP="00E5773E" w:rsidRDefault="00086D01" w14:paraId="64CF4BFC" w14:textId="21069DD8">
      <w:pPr>
        <w:rPr>
          <w:rFonts w:asciiTheme="majorBidi" w:hAnsiTheme="majorBidi" w:cstheme="majorBidi"/>
        </w:rPr>
      </w:pPr>
      <w:r>
        <w:rPr>
          <w:rFonts w:asciiTheme="majorBidi" w:hAnsiTheme="majorBidi" w:cstheme="majorBidi"/>
        </w:rPr>
        <w:t xml:space="preserve">The underlying Agency burden for product registration is discussed in more detail in the existing ICR and briefly </w:t>
      </w:r>
      <w:r w:rsidR="005339B0">
        <w:rPr>
          <w:rFonts w:asciiTheme="majorBidi" w:hAnsiTheme="majorBidi" w:cstheme="majorBidi"/>
        </w:rPr>
        <w:t>summarized below:</w:t>
      </w:r>
      <w:r>
        <w:rPr>
          <w:rFonts w:asciiTheme="majorBidi" w:hAnsiTheme="majorBidi" w:cstheme="majorBidi"/>
        </w:rPr>
        <w:t xml:space="preserve"> </w:t>
      </w:r>
    </w:p>
    <w:p w:rsidRPr="00C270C5" w:rsidR="008253DD" w:rsidP="00B35871" w:rsidRDefault="00BC4805" w14:paraId="30B2CC9B" w14:textId="0E97D3ED">
      <w:pPr>
        <w:rPr>
          <w:rFonts w:asciiTheme="majorBidi" w:hAnsiTheme="majorBidi" w:cstheme="majorBidi"/>
        </w:rPr>
      </w:pPr>
      <w:r>
        <w:rPr>
          <w:rFonts w:asciiTheme="majorBidi" w:hAnsiTheme="majorBidi" w:cstheme="majorBidi"/>
        </w:rPr>
        <w:t>T</w:t>
      </w:r>
      <w:r w:rsidRPr="00DF581E" w:rsidR="008253DD">
        <w:rPr>
          <w:rFonts w:asciiTheme="majorBidi" w:hAnsiTheme="majorBidi" w:cstheme="majorBidi"/>
        </w:rPr>
        <w:t>he estimated number of Agency FTEs dedicated to Section 3 registration and registration support activities is approximately 2</w:t>
      </w:r>
      <w:r>
        <w:rPr>
          <w:rFonts w:asciiTheme="majorBidi" w:hAnsiTheme="majorBidi" w:cstheme="majorBidi"/>
        </w:rPr>
        <w:t>4</w:t>
      </w:r>
      <w:r w:rsidRPr="00DF581E" w:rsidR="008253DD">
        <w:rPr>
          <w:rFonts w:asciiTheme="majorBidi" w:hAnsiTheme="majorBidi" w:cstheme="majorBidi"/>
        </w:rPr>
        <w:t xml:space="preserve"> managerial FTEs, 1</w:t>
      </w:r>
      <w:r>
        <w:rPr>
          <w:rFonts w:asciiTheme="majorBidi" w:hAnsiTheme="majorBidi" w:cstheme="majorBidi"/>
        </w:rPr>
        <w:t>46</w:t>
      </w:r>
      <w:r w:rsidRPr="00DF581E" w:rsidR="008253DD">
        <w:rPr>
          <w:rFonts w:asciiTheme="majorBidi" w:hAnsiTheme="majorBidi" w:cstheme="majorBidi"/>
        </w:rPr>
        <w:t xml:space="preserve"> technical FTEs, and 7 clerical FTEs.</w:t>
      </w:r>
      <w:r w:rsidRPr="00DF581E" w:rsidR="007841AD">
        <w:rPr>
          <w:rFonts w:asciiTheme="majorBidi" w:hAnsiTheme="majorBidi" w:cstheme="majorBidi"/>
        </w:rPr>
        <w:t xml:space="preserve"> </w:t>
      </w:r>
      <w:r w:rsidRPr="00396653" w:rsidR="008253DD">
        <w:rPr>
          <w:rFonts w:asciiTheme="majorBidi" w:hAnsiTheme="majorBidi" w:cstheme="majorBidi"/>
        </w:rPr>
        <w:t xml:space="preserve">The aggregated Agency estimated FTE dedicated to Section 3 activities is </w:t>
      </w:r>
      <w:r w:rsidRPr="00396653" w:rsidR="00DF581E">
        <w:rPr>
          <w:rFonts w:asciiTheme="majorBidi" w:hAnsiTheme="majorBidi" w:cstheme="majorBidi"/>
        </w:rPr>
        <w:t>1</w:t>
      </w:r>
      <w:r w:rsidRPr="00396653" w:rsidR="00D248D7">
        <w:rPr>
          <w:rFonts w:asciiTheme="majorBidi" w:hAnsiTheme="majorBidi" w:cstheme="majorBidi"/>
        </w:rPr>
        <w:t>77</w:t>
      </w:r>
      <w:r w:rsidRPr="00396653" w:rsidR="008253DD">
        <w:rPr>
          <w:rFonts w:asciiTheme="majorBidi" w:hAnsiTheme="majorBidi" w:cstheme="majorBidi"/>
        </w:rPr>
        <w:t xml:space="preserve"> and the burden hours are </w:t>
      </w:r>
      <w:r w:rsidRPr="00396653" w:rsidR="00D248D7">
        <w:rPr>
          <w:rFonts w:asciiTheme="majorBidi" w:hAnsiTheme="majorBidi" w:cstheme="majorBidi"/>
        </w:rPr>
        <w:t>369,127</w:t>
      </w:r>
      <w:r w:rsidR="005B3D6D">
        <w:rPr>
          <w:rStyle w:val="FootnoteReference"/>
          <w:rFonts w:asciiTheme="majorBidi" w:hAnsiTheme="majorBidi" w:cstheme="majorBidi"/>
        </w:rPr>
        <w:footnoteReference w:id="5"/>
      </w:r>
      <w:r w:rsidRPr="00396653" w:rsidR="008253DD">
        <w:rPr>
          <w:rFonts w:asciiTheme="majorBidi" w:hAnsiTheme="majorBidi" w:cstheme="majorBidi"/>
        </w:rPr>
        <w:t>.</w:t>
      </w:r>
      <w:r w:rsidRPr="00396653" w:rsidR="007841AD">
        <w:rPr>
          <w:rFonts w:asciiTheme="majorBidi" w:hAnsiTheme="majorBidi" w:cstheme="majorBidi"/>
        </w:rPr>
        <w:t xml:space="preserve"> </w:t>
      </w:r>
      <w:r w:rsidRPr="00DF581E" w:rsidR="008253DD">
        <w:rPr>
          <w:rFonts w:asciiTheme="majorBidi" w:hAnsiTheme="majorBidi" w:cstheme="majorBidi"/>
        </w:rPr>
        <w:t>The fully loaded hourly mean wage rate estimate is $</w:t>
      </w:r>
      <w:r w:rsidRPr="00DF581E" w:rsidR="00073056">
        <w:rPr>
          <w:rFonts w:asciiTheme="majorBidi" w:hAnsiTheme="majorBidi" w:cstheme="majorBidi"/>
          <w:bCs/>
        </w:rPr>
        <w:t>132.14</w:t>
      </w:r>
      <w:r w:rsidRPr="00DF581E" w:rsidR="008253DD">
        <w:rPr>
          <w:rFonts w:asciiTheme="majorBidi" w:hAnsiTheme="majorBidi" w:cstheme="majorBidi"/>
          <w:b/>
          <w:bCs/>
        </w:rPr>
        <w:t xml:space="preserve"> </w:t>
      </w:r>
      <w:r w:rsidRPr="00DF581E" w:rsidR="008253DD">
        <w:rPr>
          <w:rFonts w:asciiTheme="majorBidi" w:hAnsiTheme="majorBidi" w:cstheme="majorBidi"/>
        </w:rPr>
        <w:t>for managerial occupations, $</w:t>
      </w:r>
      <w:r w:rsidRPr="00DF581E" w:rsidR="00073056">
        <w:rPr>
          <w:rFonts w:asciiTheme="majorBidi" w:hAnsiTheme="majorBidi" w:cstheme="majorBidi"/>
        </w:rPr>
        <w:t>87.24</w:t>
      </w:r>
      <w:r w:rsidRPr="00DF581E" w:rsidR="008253DD">
        <w:rPr>
          <w:rFonts w:asciiTheme="majorBidi" w:hAnsiTheme="majorBidi" w:cstheme="majorBidi"/>
        </w:rPr>
        <w:t xml:space="preserve"> for technical occupations, and $</w:t>
      </w:r>
      <w:r w:rsidRPr="00DF581E" w:rsidR="00073056">
        <w:rPr>
          <w:rFonts w:asciiTheme="majorBidi" w:hAnsiTheme="majorBidi" w:cstheme="majorBidi"/>
          <w:bCs/>
        </w:rPr>
        <w:t>48.83</w:t>
      </w:r>
      <w:r w:rsidRPr="00DF581E" w:rsidR="008253DD">
        <w:rPr>
          <w:rFonts w:asciiTheme="majorBidi" w:hAnsiTheme="majorBidi" w:cstheme="majorBidi"/>
        </w:rPr>
        <w:t xml:space="preserve"> for clerical occupations. </w:t>
      </w:r>
      <w:r w:rsidRPr="00C270C5" w:rsidR="008253DD">
        <w:rPr>
          <w:rFonts w:asciiTheme="majorBidi" w:hAnsiTheme="majorBidi" w:cstheme="majorBidi"/>
        </w:rPr>
        <w:t xml:space="preserve">To calculate the Agency’s estimated annual cost of Section 3 activities, the number of </w:t>
      </w:r>
      <w:r w:rsidRPr="00675A1C" w:rsidR="008253DD">
        <w:rPr>
          <w:rFonts w:asciiTheme="majorBidi" w:hAnsiTheme="majorBidi" w:cstheme="majorBidi"/>
        </w:rPr>
        <w:t>FTE’s allocated to registration activities is multiplied by these fully loaded labor rates and by 2,080 hours per FTE, which is estimated to be about $</w:t>
      </w:r>
      <w:r w:rsidRPr="00675A1C" w:rsidR="008253DD">
        <w:rPr>
          <w:rFonts w:asciiTheme="majorBidi" w:hAnsiTheme="majorBidi" w:cstheme="majorBidi"/>
          <w:bCs/>
        </w:rPr>
        <w:t>6.</w:t>
      </w:r>
      <w:r w:rsidRPr="00675A1C" w:rsidR="00D248D7">
        <w:rPr>
          <w:rFonts w:asciiTheme="majorBidi" w:hAnsiTheme="majorBidi" w:cstheme="majorBidi"/>
          <w:bCs/>
        </w:rPr>
        <w:t>68</w:t>
      </w:r>
      <w:r w:rsidRPr="00675A1C" w:rsidR="008253DD">
        <w:rPr>
          <w:rFonts w:asciiTheme="majorBidi" w:hAnsiTheme="majorBidi" w:cstheme="majorBidi"/>
          <w:bCs/>
        </w:rPr>
        <w:t xml:space="preserve"> million </w:t>
      </w:r>
      <w:r w:rsidRPr="00675A1C" w:rsidR="008253DD">
        <w:rPr>
          <w:rFonts w:asciiTheme="majorBidi" w:hAnsiTheme="majorBidi" w:cstheme="majorBidi"/>
        </w:rPr>
        <w:t>for management</w:t>
      </w:r>
      <w:r w:rsidR="00851AE4">
        <w:rPr>
          <w:rFonts w:asciiTheme="majorBidi" w:hAnsiTheme="majorBidi" w:cstheme="majorBidi"/>
        </w:rPr>
        <w:t xml:space="preserve"> occupations</w:t>
      </w:r>
      <w:r w:rsidRPr="00675A1C" w:rsidR="008253DD">
        <w:rPr>
          <w:rFonts w:asciiTheme="majorBidi" w:hAnsiTheme="majorBidi" w:cstheme="majorBidi"/>
        </w:rPr>
        <w:t>; $</w:t>
      </w:r>
      <w:r w:rsidRPr="00675A1C" w:rsidR="008253DD">
        <w:rPr>
          <w:rFonts w:asciiTheme="majorBidi" w:hAnsiTheme="majorBidi" w:cstheme="majorBidi"/>
          <w:bCs/>
        </w:rPr>
        <w:t>2</w:t>
      </w:r>
      <w:r w:rsidRPr="00675A1C" w:rsidR="00D248D7">
        <w:rPr>
          <w:rFonts w:asciiTheme="majorBidi" w:hAnsiTheme="majorBidi" w:cstheme="majorBidi"/>
          <w:bCs/>
        </w:rPr>
        <w:t>6.56</w:t>
      </w:r>
      <w:r w:rsidRPr="00675A1C" w:rsidR="008253DD">
        <w:rPr>
          <w:rFonts w:asciiTheme="majorBidi" w:hAnsiTheme="majorBidi" w:cstheme="majorBidi"/>
          <w:bCs/>
        </w:rPr>
        <w:t xml:space="preserve"> million</w:t>
      </w:r>
      <w:r w:rsidRPr="00675A1C" w:rsidR="008253DD">
        <w:rPr>
          <w:rFonts w:asciiTheme="majorBidi" w:hAnsiTheme="majorBidi" w:cstheme="majorBidi"/>
        </w:rPr>
        <w:t xml:space="preserve"> for technical</w:t>
      </w:r>
      <w:r w:rsidR="00851AE4">
        <w:rPr>
          <w:rFonts w:asciiTheme="majorBidi" w:hAnsiTheme="majorBidi" w:cstheme="majorBidi"/>
        </w:rPr>
        <w:t xml:space="preserve"> occupations</w:t>
      </w:r>
      <w:r w:rsidRPr="00675A1C" w:rsidR="008253DD">
        <w:rPr>
          <w:rFonts w:asciiTheme="majorBidi" w:hAnsiTheme="majorBidi" w:cstheme="majorBidi"/>
        </w:rPr>
        <w:t>; and $</w:t>
      </w:r>
      <w:r w:rsidRPr="00675A1C" w:rsidR="00DF581E">
        <w:rPr>
          <w:rFonts w:asciiTheme="majorBidi" w:hAnsiTheme="majorBidi" w:cstheme="majorBidi"/>
        </w:rPr>
        <w:t>6</w:t>
      </w:r>
      <w:r w:rsidRPr="00675A1C" w:rsidR="00D248D7">
        <w:rPr>
          <w:rFonts w:asciiTheme="majorBidi" w:hAnsiTheme="majorBidi" w:cstheme="majorBidi"/>
        </w:rPr>
        <w:t>89</w:t>
      </w:r>
      <w:r w:rsidRPr="00675A1C" w:rsidR="008253DD">
        <w:rPr>
          <w:rFonts w:asciiTheme="majorBidi" w:hAnsiTheme="majorBidi" w:cstheme="majorBidi"/>
        </w:rPr>
        <w:t xml:space="preserve"> thousand for clerical</w:t>
      </w:r>
      <w:r w:rsidR="00851AE4">
        <w:rPr>
          <w:rFonts w:asciiTheme="majorBidi" w:hAnsiTheme="majorBidi" w:cstheme="majorBidi"/>
        </w:rPr>
        <w:t xml:space="preserve"> occupations</w:t>
      </w:r>
      <w:r w:rsidRPr="00675A1C" w:rsidR="008253DD">
        <w:rPr>
          <w:rFonts w:asciiTheme="majorBidi" w:hAnsiTheme="majorBidi" w:cstheme="majorBidi"/>
        </w:rPr>
        <w:t>.</w:t>
      </w:r>
      <w:r w:rsidRPr="00675A1C" w:rsidR="007841AD">
        <w:rPr>
          <w:rFonts w:asciiTheme="majorBidi" w:hAnsiTheme="majorBidi" w:cstheme="majorBidi"/>
        </w:rPr>
        <w:t xml:space="preserve"> </w:t>
      </w:r>
      <w:r w:rsidRPr="00675A1C" w:rsidR="008253DD">
        <w:rPr>
          <w:rFonts w:asciiTheme="majorBidi" w:hAnsiTheme="majorBidi" w:cstheme="majorBidi"/>
        </w:rPr>
        <w:t>The total estimated Agency cost is $</w:t>
      </w:r>
      <w:r w:rsidRPr="00675A1C" w:rsidR="008253DD">
        <w:rPr>
          <w:rFonts w:asciiTheme="majorBidi" w:hAnsiTheme="majorBidi" w:cstheme="majorBidi"/>
          <w:bCs/>
        </w:rPr>
        <w:t>3</w:t>
      </w:r>
      <w:r w:rsidRPr="00675A1C" w:rsidR="00D248D7">
        <w:rPr>
          <w:rFonts w:asciiTheme="majorBidi" w:hAnsiTheme="majorBidi" w:cstheme="majorBidi"/>
          <w:bCs/>
        </w:rPr>
        <w:t>3.93</w:t>
      </w:r>
      <w:r w:rsidRPr="00675A1C" w:rsidR="008253DD">
        <w:rPr>
          <w:rFonts w:asciiTheme="majorBidi" w:hAnsiTheme="majorBidi" w:cstheme="majorBidi"/>
          <w:bCs/>
        </w:rPr>
        <w:t xml:space="preserve"> million</w:t>
      </w:r>
      <w:r w:rsidRPr="00675A1C" w:rsidR="008253DD">
        <w:rPr>
          <w:rFonts w:asciiTheme="majorBidi" w:hAnsiTheme="majorBidi" w:cstheme="majorBidi"/>
        </w:rPr>
        <w:t>.</w:t>
      </w:r>
    </w:p>
    <w:p w:rsidRPr="00C270C5" w:rsidR="008253DD" w:rsidP="00840057" w:rsidRDefault="008253DD" w14:paraId="56602821" w14:textId="77777777">
      <w:pPr>
        <w:pStyle w:val="Heading2"/>
      </w:pPr>
      <w:r w:rsidRPr="00C270C5">
        <w:t>6(</w:t>
      </w:r>
      <w:r w:rsidR="00840057">
        <w:t>d</w:t>
      </w:r>
      <w:r w:rsidRPr="00C270C5">
        <w:t>)</w:t>
      </w:r>
      <w:r w:rsidRPr="00C270C5">
        <w:tab/>
        <w:t>Bottom Line Burden Hours and Cost</w:t>
      </w:r>
    </w:p>
    <w:p w:rsidRPr="00970828" w:rsidR="00257A3A" w:rsidP="008253DD" w:rsidRDefault="00C85DBC" w14:paraId="7051088C" w14:textId="28A9114F">
      <w:pPr>
        <w:rPr>
          <w:rFonts w:asciiTheme="majorBidi" w:hAnsiTheme="majorBidi" w:cstheme="majorBidi"/>
        </w:rPr>
      </w:pPr>
      <w:bookmarkStart w:name="_Hlk37399420" w:id="4"/>
      <w:r>
        <w:rPr>
          <w:rFonts w:asciiTheme="majorBidi" w:hAnsiTheme="majorBidi" w:cstheme="majorBidi"/>
        </w:rPr>
        <w:t>EPA estimates that the publication of the rule as proposed will result in a</w:t>
      </w:r>
      <w:r w:rsidR="00B81DB2">
        <w:rPr>
          <w:rFonts w:asciiTheme="majorBidi" w:hAnsiTheme="majorBidi" w:cstheme="majorBidi"/>
        </w:rPr>
        <w:t>n average of</w:t>
      </w:r>
      <w:r>
        <w:rPr>
          <w:rFonts w:asciiTheme="majorBidi" w:hAnsiTheme="majorBidi" w:cstheme="majorBidi"/>
        </w:rPr>
        <w:t xml:space="preserve"> </w:t>
      </w:r>
      <w:r w:rsidR="00B81DB2">
        <w:rPr>
          <w:rFonts w:asciiTheme="majorBidi" w:hAnsiTheme="majorBidi" w:cstheme="majorBidi"/>
        </w:rPr>
        <w:t xml:space="preserve">12 fewer submissions of </w:t>
      </w:r>
      <w:r w:rsidR="009548F9">
        <w:rPr>
          <w:rFonts w:asciiTheme="majorBidi" w:hAnsiTheme="majorBidi" w:cstheme="majorBidi"/>
        </w:rPr>
        <w:t xml:space="preserve">incomplete </w:t>
      </w:r>
      <w:r w:rsidR="00B81DB2">
        <w:rPr>
          <w:rFonts w:asciiTheme="majorBidi" w:hAnsiTheme="majorBidi" w:cstheme="majorBidi"/>
        </w:rPr>
        <w:t xml:space="preserve">data packages that </w:t>
      </w:r>
      <w:r w:rsidR="009548F9">
        <w:rPr>
          <w:rFonts w:asciiTheme="majorBidi" w:hAnsiTheme="majorBidi" w:cstheme="majorBidi"/>
        </w:rPr>
        <w:t xml:space="preserve">do not support desired </w:t>
      </w:r>
      <w:r w:rsidR="00B81DB2">
        <w:rPr>
          <w:rFonts w:asciiTheme="majorBidi" w:hAnsiTheme="majorBidi" w:cstheme="majorBidi"/>
        </w:rPr>
        <w:t xml:space="preserve">label claims, saving registrants $15,000 in </w:t>
      </w:r>
      <w:r w:rsidR="000F38CF">
        <w:rPr>
          <w:rFonts w:asciiTheme="majorBidi" w:hAnsiTheme="majorBidi" w:cstheme="majorBidi"/>
        </w:rPr>
        <w:t>paperwork costs related to application submission</w:t>
      </w:r>
      <w:r w:rsidR="00B81DB2">
        <w:rPr>
          <w:rFonts w:asciiTheme="majorBidi" w:hAnsiTheme="majorBidi" w:cstheme="majorBidi"/>
        </w:rPr>
        <w:t>.</w:t>
      </w:r>
      <w:r w:rsidR="000F38CF">
        <w:rPr>
          <w:rFonts w:asciiTheme="majorBidi" w:hAnsiTheme="majorBidi" w:cstheme="majorBidi"/>
        </w:rPr>
        <w:t xml:space="preserve">  Further, the Agency estimates that </w:t>
      </w:r>
      <w:r w:rsidRPr="00970828" w:rsidR="000F38CF">
        <w:rPr>
          <w:rFonts w:asciiTheme="majorBidi" w:hAnsiTheme="majorBidi" w:cstheme="majorBidi"/>
        </w:rPr>
        <w:t xml:space="preserve">the publication of the rule as proposed will reduce unnecessary data generation, leading to a $315,000 reduction in </w:t>
      </w:r>
      <w:r w:rsidRPr="00970828" w:rsidR="00493712">
        <w:rPr>
          <w:rFonts w:asciiTheme="majorBidi" w:hAnsiTheme="majorBidi" w:cstheme="majorBidi"/>
        </w:rPr>
        <w:t>paperwork costs related to data generation.  This is a</w:t>
      </w:r>
      <w:r w:rsidRPr="00970828" w:rsidR="00926CCA">
        <w:rPr>
          <w:rFonts w:asciiTheme="majorBidi" w:hAnsiTheme="majorBidi" w:cstheme="majorBidi"/>
        </w:rPr>
        <w:t xml:space="preserve"> total</w:t>
      </w:r>
      <w:r w:rsidRPr="00970828" w:rsidR="00493712">
        <w:rPr>
          <w:rFonts w:asciiTheme="majorBidi" w:hAnsiTheme="majorBidi" w:cstheme="majorBidi"/>
        </w:rPr>
        <w:t xml:space="preserve"> annual reduction in paperwork</w:t>
      </w:r>
      <w:r w:rsidRPr="00970828" w:rsidR="00584989">
        <w:rPr>
          <w:rFonts w:asciiTheme="majorBidi" w:hAnsiTheme="majorBidi" w:cstheme="majorBidi"/>
        </w:rPr>
        <w:t xml:space="preserve"> burden</w:t>
      </w:r>
      <w:r w:rsidRPr="00970828" w:rsidR="00493712">
        <w:rPr>
          <w:rFonts w:asciiTheme="majorBidi" w:hAnsiTheme="majorBidi" w:cstheme="majorBidi"/>
        </w:rPr>
        <w:t xml:space="preserve"> of $330,000</w:t>
      </w:r>
      <w:r w:rsidRPr="00970828" w:rsidR="00926CCA">
        <w:rPr>
          <w:rFonts w:asciiTheme="majorBidi" w:hAnsiTheme="majorBidi" w:cstheme="majorBidi"/>
        </w:rPr>
        <w:t xml:space="preserve"> on average</w:t>
      </w:r>
      <w:r w:rsidRPr="00970828" w:rsidR="00AA68AB">
        <w:rPr>
          <w:rFonts w:asciiTheme="majorBidi" w:hAnsiTheme="majorBidi" w:cstheme="majorBidi"/>
        </w:rPr>
        <w:t>, equivalent to an annual reduction in burden hours of 4,683</w:t>
      </w:r>
      <w:r w:rsidRPr="00970828" w:rsidR="00926CCA">
        <w:rPr>
          <w:rFonts w:asciiTheme="majorBidi" w:hAnsiTheme="majorBidi" w:cstheme="majorBidi"/>
        </w:rPr>
        <w:t xml:space="preserve">.  </w:t>
      </w:r>
    </w:p>
    <w:p w:rsidRPr="00970828" w:rsidR="00B6749E" w:rsidP="008253DD" w:rsidRDefault="00B6749E" w14:paraId="27E17A5E" w14:textId="77777777">
      <w:pPr>
        <w:rPr>
          <w:rFonts w:asciiTheme="majorBidi" w:hAnsiTheme="majorBidi" w:cstheme="majorBidi"/>
        </w:rPr>
      </w:pPr>
    </w:p>
    <w:p w:rsidRPr="00970828" w:rsidR="00B6749E" w:rsidP="008253DD" w:rsidRDefault="001C1C8F" w14:paraId="3ED88C5F" w14:textId="6E749F53">
      <w:pPr>
        <w:rPr>
          <w:rFonts w:asciiTheme="majorBidi" w:hAnsiTheme="majorBidi" w:cstheme="majorBidi"/>
        </w:rPr>
      </w:pPr>
      <w:r w:rsidRPr="00970828">
        <w:rPr>
          <w:rFonts w:asciiTheme="majorBidi" w:hAnsiTheme="majorBidi" w:cstheme="majorBidi"/>
        </w:rPr>
        <w:t>The rule</w:t>
      </w:r>
      <w:r w:rsidRPr="00970828" w:rsidR="00A56F2A">
        <w:rPr>
          <w:rFonts w:asciiTheme="majorBidi" w:hAnsiTheme="majorBidi" w:cstheme="majorBidi"/>
        </w:rPr>
        <w:t xml:space="preserve"> as proposed</w:t>
      </w:r>
      <w:r w:rsidRPr="00970828">
        <w:rPr>
          <w:rFonts w:asciiTheme="majorBidi" w:hAnsiTheme="majorBidi" w:cstheme="majorBidi"/>
        </w:rPr>
        <w:t xml:space="preserve"> will reduce</w:t>
      </w:r>
      <w:r w:rsidRPr="00970828" w:rsidR="009B1139">
        <w:rPr>
          <w:rFonts w:asciiTheme="majorBidi" w:hAnsiTheme="majorBidi" w:cstheme="majorBidi"/>
        </w:rPr>
        <w:t xml:space="preserve"> </w:t>
      </w:r>
      <w:r w:rsidRPr="00970828" w:rsidR="00C15472">
        <w:rPr>
          <w:rFonts w:asciiTheme="majorBidi" w:hAnsiTheme="majorBidi" w:cstheme="majorBidi"/>
        </w:rPr>
        <w:t xml:space="preserve">the cost of </w:t>
      </w:r>
      <w:r w:rsidRPr="00970828" w:rsidR="009B1139">
        <w:rPr>
          <w:rFonts w:asciiTheme="majorBidi" w:hAnsiTheme="majorBidi" w:cstheme="majorBidi"/>
        </w:rPr>
        <w:t>registrant paperwork burden from the submission process by</w:t>
      </w:r>
      <w:r w:rsidRPr="00970828" w:rsidR="00A56F2A">
        <w:rPr>
          <w:rFonts w:asciiTheme="majorBidi" w:hAnsiTheme="majorBidi" w:cstheme="majorBidi"/>
        </w:rPr>
        <w:t xml:space="preserve"> 0.15%.  The rule as proposed will reduce the average </w:t>
      </w:r>
      <w:r w:rsidRPr="00970828" w:rsidR="00C15472">
        <w:rPr>
          <w:rFonts w:asciiTheme="majorBidi" w:hAnsiTheme="majorBidi" w:cstheme="majorBidi"/>
        </w:rPr>
        <w:t xml:space="preserve">cost of </w:t>
      </w:r>
      <w:r w:rsidRPr="00970828" w:rsidR="00A56F2A">
        <w:rPr>
          <w:rFonts w:asciiTheme="majorBidi" w:hAnsiTheme="majorBidi" w:cstheme="majorBidi"/>
        </w:rPr>
        <w:t xml:space="preserve">paperwork burden </w:t>
      </w:r>
      <w:r w:rsidRPr="00970828" w:rsidR="00A4697A">
        <w:rPr>
          <w:rFonts w:asciiTheme="majorBidi" w:hAnsiTheme="majorBidi" w:cstheme="majorBidi"/>
        </w:rPr>
        <w:t>from</w:t>
      </w:r>
      <w:r w:rsidRPr="00970828" w:rsidR="00A56F2A">
        <w:rPr>
          <w:rFonts w:asciiTheme="majorBidi" w:hAnsiTheme="majorBidi" w:cstheme="majorBidi"/>
        </w:rPr>
        <w:t xml:space="preserve"> data generation</w:t>
      </w:r>
      <w:r w:rsidRPr="00970828" w:rsidR="00A4697A">
        <w:rPr>
          <w:rFonts w:asciiTheme="majorBidi" w:hAnsiTheme="majorBidi" w:cstheme="majorBidi"/>
        </w:rPr>
        <w:t xml:space="preserve"> for </w:t>
      </w:r>
      <w:r w:rsidRPr="00970828" w:rsidR="003E3E7A">
        <w:rPr>
          <w:rFonts w:asciiTheme="majorBidi" w:hAnsiTheme="majorBidi" w:cstheme="majorBidi"/>
        </w:rPr>
        <w:t>new and amended products</w:t>
      </w:r>
      <w:r w:rsidRPr="00970828" w:rsidR="00A56F2A">
        <w:rPr>
          <w:rFonts w:asciiTheme="majorBidi" w:hAnsiTheme="majorBidi" w:cstheme="majorBidi"/>
        </w:rPr>
        <w:t xml:space="preserve"> </w:t>
      </w:r>
      <w:r w:rsidRPr="00970828" w:rsidR="00A4697A">
        <w:rPr>
          <w:rFonts w:asciiTheme="majorBidi" w:hAnsiTheme="majorBidi" w:cstheme="majorBidi"/>
        </w:rPr>
        <w:t>by 1%</w:t>
      </w:r>
      <w:r w:rsidRPr="00970828" w:rsidR="003E3E7A">
        <w:rPr>
          <w:rFonts w:asciiTheme="majorBidi" w:hAnsiTheme="majorBidi" w:cstheme="majorBidi"/>
        </w:rPr>
        <w:t xml:space="preserve">.  </w:t>
      </w:r>
      <w:r w:rsidRPr="00970828" w:rsidR="007F63A6">
        <w:rPr>
          <w:rFonts w:asciiTheme="majorBidi" w:hAnsiTheme="majorBidi" w:cstheme="majorBidi"/>
        </w:rPr>
        <w:t xml:space="preserve">Due to the </w:t>
      </w:r>
      <w:r w:rsidRPr="00970828" w:rsidR="00FA1B1D">
        <w:rPr>
          <w:rFonts w:asciiTheme="majorBidi" w:hAnsiTheme="majorBidi" w:cstheme="majorBidi"/>
        </w:rPr>
        <w:t>relati</w:t>
      </w:r>
      <w:r w:rsidRPr="00970828" w:rsidR="005B01A5">
        <w:rPr>
          <w:rFonts w:asciiTheme="majorBidi" w:hAnsiTheme="majorBidi" w:cstheme="majorBidi"/>
        </w:rPr>
        <w:t>vely small impact of the rule</w:t>
      </w:r>
      <w:r w:rsidRPr="00970828" w:rsidR="008F521E">
        <w:rPr>
          <w:rFonts w:asciiTheme="majorBidi" w:hAnsiTheme="majorBidi" w:cstheme="majorBidi"/>
        </w:rPr>
        <w:t xml:space="preserve">, the Agency </w:t>
      </w:r>
      <w:r w:rsidRPr="00970828" w:rsidR="009548F9">
        <w:rPr>
          <w:rFonts w:asciiTheme="majorBidi" w:hAnsiTheme="majorBidi" w:cstheme="majorBidi"/>
        </w:rPr>
        <w:t xml:space="preserve">concludes that the proposed </w:t>
      </w:r>
      <w:r w:rsidRPr="00970828" w:rsidR="002C70D1">
        <w:rPr>
          <w:rFonts w:asciiTheme="majorBidi" w:hAnsiTheme="majorBidi" w:cstheme="majorBidi"/>
        </w:rPr>
        <w:t xml:space="preserve">rule </w:t>
      </w:r>
      <w:r w:rsidRPr="00970828" w:rsidR="009548F9">
        <w:rPr>
          <w:rFonts w:asciiTheme="majorBidi" w:hAnsiTheme="majorBidi" w:cstheme="majorBidi"/>
        </w:rPr>
        <w:t>would not</w:t>
      </w:r>
      <w:r w:rsidRPr="00970828" w:rsidR="002C70D1">
        <w:rPr>
          <w:rFonts w:asciiTheme="majorBidi" w:hAnsiTheme="majorBidi" w:cstheme="majorBidi"/>
        </w:rPr>
        <w:t xml:space="preserve"> substantively</w:t>
      </w:r>
      <w:r w:rsidRPr="00970828" w:rsidR="004049F6">
        <w:rPr>
          <w:rFonts w:asciiTheme="majorBidi" w:hAnsiTheme="majorBidi" w:cstheme="majorBidi"/>
        </w:rPr>
        <w:t xml:space="preserve"> change the burden estimates calculated in the </w:t>
      </w:r>
      <w:r w:rsidRPr="00970828" w:rsidR="005226A6">
        <w:t>Application for New and Amended Pesticide Registration</w:t>
      </w:r>
      <w:r w:rsidRPr="00970828" w:rsidR="004049F6">
        <w:rPr>
          <w:rFonts w:asciiTheme="majorBidi" w:hAnsiTheme="majorBidi" w:cstheme="majorBidi"/>
        </w:rPr>
        <w:t xml:space="preserve"> ICR</w:t>
      </w:r>
      <w:r w:rsidRPr="00970828" w:rsidR="008F521E">
        <w:rPr>
          <w:rFonts w:asciiTheme="majorBidi" w:hAnsiTheme="majorBidi" w:cstheme="majorBidi"/>
        </w:rPr>
        <w:t>.</w:t>
      </w:r>
    </w:p>
    <w:p w:rsidRPr="00970828" w:rsidR="00257A3A" w:rsidP="008253DD" w:rsidRDefault="00257A3A" w14:paraId="7AEEBD0A" w14:textId="77777777">
      <w:pPr>
        <w:rPr>
          <w:rFonts w:asciiTheme="majorBidi" w:hAnsiTheme="majorBidi" w:cstheme="majorBidi"/>
        </w:rPr>
      </w:pPr>
    </w:p>
    <w:p w:rsidR="00C85DBC" w:rsidP="008253DD" w:rsidRDefault="00D45DB7" w14:paraId="5748D311" w14:textId="7909CF39">
      <w:pPr>
        <w:rPr>
          <w:rFonts w:asciiTheme="majorBidi" w:hAnsiTheme="majorBidi" w:cstheme="majorBidi"/>
        </w:rPr>
      </w:pPr>
      <w:r w:rsidRPr="00970828">
        <w:rPr>
          <w:rFonts w:asciiTheme="majorBidi" w:hAnsiTheme="majorBidi" w:cstheme="majorBidi"/>
        </w:rPr>
        <w:t>The Agency does not expect a</w:t>
      </w:r>
      <w:r w:rsidRPr="00970828" w:rsidR="00367AFA">
        <w:rPr>
          <w:rFonts w:asciiTheme="majorBidi" w:hAnsiTheme="majorBidi" w:cstheme="majorBidi"/>
        </w:rPr>
        <w:t>n immediate</w:t>
      </w:r>
      <w:r w:rsidRPr="00970828">
        <w:rPr>
          <w:rFonts w:asciiTheme="majorBidi" w:hAnsiTheme="majorBidi" w:cstheme="majorBidi"/>
        </w:rPr>
        <w:t xml:space="preserve"> substantial increase in</w:t>
      </w:r>
      <w:r w:rsidRPr="00970828" w:rsidR="00367AFA">
        <w:rPr>
          <w:rFonts w:asciiTheme="majorBidi" w:hAnsiTheme="majorBidi" w:cstheme="majorBidi"/>
        </w:rPr>
        <w:t xml:space="preserve"> the</w:t>
      </w:r>
      <w:r w:rsidRPr="00970828">
        <w:rPr>
          <w:rFonts w:asciiTheme="majorBidi" w:hAnsiTheme="majorBidi" w:cstheme="majorBidi"/>
        </w:rPr>
        <w:t xml:space="preserve"> number of registrations due to the </w:t>
      </w:r>
      <w:r w:rsidRPr="00970828" w:rsidR="00E14638">
        <w:rPr>
          <w:rFonts w:asciiTheme="majorBidi" w:hAnsiTheme="majorBidi" w:cstheme="majorBidi"/>
        </w:rPr>
        <w:t xml:space="preserve">codification </w:t>
      </w:r>
      <w:r w:rsidRPr="00970828">
        <w:rPr>
          <w:rFonts w:asciiTheme="majorBidi" w:hAnsiTheme="majorBidi" w:cstheme="majorBidi"/>
        </w:rPr>
        <w:t>of the rule</w:t>
      </w:r>
      <w:r w:rsidRPr="00970828" w:rsidR="0077388A">
        <w:rPr>
          <w:rFonts w:asciiTheme="majorBidi" w:hAnsiTheme="majorBidi" w:cstheme="majorBidi"/>
        </w:rPr>
        <w:t xml:space="preserve"> as there is a significant</w:t>
      </w:r>
      <w:r>
        <w:rPr>
          <w:rFonts w:asciiTheme="majorBidi" w:hAnsiTheme="majorBidi" w:cstheme="majorBidi"/>
        </w:rPr>
        <w:t xml:space="preserve"> </w:t>
      </w:r>
      <w:r w:rsidR="00982625">
        <w:rPr>
          <w:rFonts w:asciiTheme="majorBidi" w:hAnsiTheme="majorBidi" w:cstheme="majorBidi"/>
        </w:rPr>
        <w:t xml:space="preserve">effort of resources and </w:t>
      </w:r>
      <w:r>
        <w:rPr>
          <w:rFonts w:asciiTheme="majorBidi" w:hAnsiTheme="majorBidi" w:cstheme="majorBidi"/>
        </w:rPr>
        <w:t>time involved in developing new products.</w:t>
      </w:r>
      <w:r w:rsidR="00367AFA">
        <w:rPr>
          <w:rFonts w:asciiTheme="majorBidi" w:hAnsiTheme="majorBidi" w:cstheme="majorBidi"/>
        </w:rPr>
        <w:t xml:space="preserve">  For this reason, EPA expects that the savings presented above will remain accurate for the period covered by this ICR. </w:t>
      </w:r>
      <w:r>
        <w:rPr>
          <w:rFonts w:asciiTheme="majorBidi" w:hAnsiTheme="majorBidi" w:cstheme="majorBidi"/>
        </w:rPr>
        <w:t xml:space="preserve"> However, in the long run, t</w:t>
      </w:r>
      <w:r w:rsidR="00257A3A">
        <w:rPr>
          <w:rFonts w:asciiTheme="majorBidi" w:hAnsiTheme="majorBidi" w:cstheme="majorBidi"/>
        </w:rPr>
        <w:t xml:space="preserve">he clarity resulting from the rule as proposed may encourage registrants to submit more </w:t>
      </w:r>
      <w:r w:rsidR="00B22F9E">
        <w:rPr>
          <w:rFonts w:asciiTheme="majorBidi" w:hAnsiTheme="majorBidi" w:cstheme="majorBidi"/>
        </w:rPr>
        <w:t>data packages to the Agency.  The Agency does not possess information to indicate whether</w:t>
      </w:r>
      <w:r w:rsidR="008974CD">
        <w:rPr>
          <w:rFonts w:asciiTheme="majorBidi" w:hAnsiTheme="majorBidi" w:cstheme="majorBidi"/>
        </w:rPr>
        <w:t xml:space="preserve"> registrants would submit more packages after the publication of the rule as proposed</w:t>
      </w:r>
      <w:r w:rsidR="00B96C33">
        <w:rPr>
          <w:rFonts w:asciiTheme="majorBidi" w:hAnsiTheme="majorBidi" w:cstheme="majorBidi"/>
        </w:rPr>
        <w:t>, nor does the Agency possess information to indicate how many more packages registrants would submit</w:t>
      </w:r>
      <w:r w:rsidR="008974CD">
        <w:rPr>
          <w:rFonts w:asciiTheme="majorBidi" w:hAnsiTheme="majorBidi" w:cstheme="majorBidi"/>
        </w:rPr>
        <w:t>.</w:t>
      </w:r>
      <w:r w:rsidR="00B22F9E">
        <w:rPr>
          <w:rFonts w:asciiTheme="majorBidi" w:hAnsiTheme="majorBidi" w:cstheme="majorBidi"/>
        </w:rPr>
        <w:t xml:space="preserve">  </w:t>
      </w:r>
    </w:p>
    <w:bookmarkEnd w:id="4"/>
    <w:p w:rsidRPr="00027D2B" w:rsidR="00970B5B" w:rsidP="00840057" w:rsidRDefault="00970B5B" w14:paraId="082CD6B8" w14:textId="77777777">
      <w:pPr>
        <w:pStyle w:val="Heading2"/>
      </w:pPr>
      <w:r w:rsidRPr="00027D2B">
        <w:t>6(</w:t>
      </w:r>
      <w:r w:rsidR="00840057">
        <w:t>e</w:t>
      </w:r>
      <w:r w:rsidRPr="00027D2B">
        <w:t>)</w:t>
      </w:r>
      <w:r w:rsidRPr="00027D2B">
        <w:tab/>
        <w:t>Reasons for Change in Burden</w:t>
      </w:r>
    </w:p>
    <w:p w:rsidRPr="00C270C5" w:rsidR="00970B5B" w:rsidP="004B14BB" w:rsidRDefault="008253DD" w14:paraId="3B36042C" w14:textId="0B39AFAF">
      <w:pPr>
        <w:rPr>
          <w:rFonts w:asciiTheme="majorBidi" w:hAnsiTheme="majorBidi" w:cstheme="majorBidi"/>
        </w:rPr>
      </w:pPr>
      <w:r w:rsidRPr="00027D2B">
        <w:rPr>
          <w:rFonts w:asciiTheme="majorBidi" w:hAnsiTheme="majorBidi" w:cstheme="majorBidi"/>
        </w:rPr>
        <w:t>Th</w:t>
      </w:r>
      <w:r w:rsidR="00840057">
        <w:rPr>
          <w:rFonts w:asciiTheme="majorBidi" w:hAnsiTheme="majorBidi" w:cstheme="majorBidi"/>
        </w:rPr>
        <w:t xml:space="preserve">is ICR presents the estimated </w:t>
      </w:r>
      <w:r w:rsidRPr="00027D2B">
        <w:rPr>
          <w:rFonts w:asciiTheme="majorBidi" w:hAnsiTheme="majorBidi" w:cstheme="majorBidi"/>
        </w:rPr>
        <w:t xml:space="preserve">annual respondent paperwork burden </w:t>
      </w:r>
      <w:r w:rsidR="00840057">
        <w:rPr>
          <w:rFonts w:asciiTheme="majorBidi" w:hAnsiTheme="majorBidi" w:cstheme="majorBidi"/>
        </w:rPr>
        <w:t xml:space="preserve">and costs </w:t>
      </w:r>
      <w:r w:rsidRPr="00027D2B">
        <w:rPr>
          <w:rFonts w:asciiTheme="majorBidi" w:hAnsiTheme="majorBidi" w:cstheme="majorBidi"/>
        </w:rPr>
        <w:t xml:space="preserve">for the </w:t>
      </w:r>
      <w:r w:rsidR="00065831">
        <w:rPr>
          <w:rFonts w:asciiTheme="majorBidi" w:hAnsiTheme="majorBidi" w:cstheme="majorBidi"/>
        </w:rPr>
        <w:t>proposed data requirements</w:t>
      </w:r>
      <w:r w:rsidR="00B57556">
        <w:rPr>
          <w:rFonts w:asciiTheme="majorBidi" w:hAnsiTheme="majorBidi" w:cstheme="majorBidi"/>
        </w:rPr>
        <w:t xml:space="preserve">. </w:t>
      </w:r>
      <w:r w:rsidR="009F4B57">
        <w:rPr>
          <w:rFonts w:asciiTheme="majorBidi" w:hAnsiTheme="majorBidi" w:cstheme="majorBidi"/>
        </w:rPr>
        <w:t>T</w:t>
      </w:r>
      <w:r w:rsidR="00B57556">
        <w:rPr>
          <w:rFonts w:asciiTheme="majorBidi" w:hAnsiTheme="majorBidi" w:cstheme="majorBidi"/>
        </w:rPr>
        <w:t xml:space="preserve">his paperwork burden and cost will serve as an </w:t>
      </w:r>
      <w:r w:rsidR="00840057">
        <w:rPr>
          <w:rFonts w:asciiTheme="majorBidi" w:hAnsiTheme="majorBidi" w:cstheme="majorBidi"/>
        </w:rPr>
        <w:t xml:space="preserve">off-set </w:t>
      </w:r>
      <w:r w:rsidR="00B57556">
        <w:rPr>
          <w:rFonts w:asciiTheme="majorBidi" w:hAnsiTheme="majorBidi" w:cstheme="majorBidi"/>
        </w:rPr>
        <w:t xml:space="preserve">of </w:t>
      </w:r>
      <w:r w:rsidR="00840057">
        <w:rPr>
          <w:rFonts w:asciiTheme="majorBidi" w:hAnsiTheme="majorBidi" w:cstheme="majorBidi"/>
        </w:rPr>
        <w:t xml:space="preserve">existing </w:t>
      </w:r>
      <w:r w:rsidR="00B57556">
        <w:rPr>
          <w:rFonts w:asciiTheme="majorBidi" w:hAnsiTheme="majorBidi" w:cstheme="majorBidi"/>
        </w:rPr>
        <w:t xml:space="preserve">paperwork </w:t>
      </w:r>
      <w:r w:rsidR="00840057">
        <w:rPr>
          <w:rFonts w:asciiTheme="majorBidi" w:hAnsiTheme="majorBidi" w:cstheme="majorBidi"/>
        </w:rPr>
        <w:t xml:space="preserve">burden and costs associated with </w:t>
      </w:r>
      <w:r w:rsidR="00B57556">
        <w:rPr>
          <w:rFonts w:asciiTheme="majorBidi" w:hAnsiTheme="majorBidi" w:cstheme="majorBidi"/>
        </w:rPr>
        <w:t xml:space="preserve">the existing </w:t>
      </w:r>
      <w:r w:rsidR="00065831">
        <w:rPr>
          <w:rFonts w:asciiTheme="majorBidi" w:hAnsiTheme="majorBidi" w:cstheme="majorBidi"/>
        </w:rPr>
        <w:t>requirements</w:t>
      </w:r>
      <w:r w:rsidR="00840057">
        <w:rPr>
          <w:rFonts w:asciiTheme="majorBidi" w:hAnsiTheme="majorBidi" w:cstheme="majorBidi"/>
        </w:rPr>
        <w:t>.</w:t>
      </w:r>
      <w:r w:rsidR="00065831">
        <w:rPr>
          <w:rFonts w:asciiTheme="majorBidi" w:hAnsiTheme="majorBidi" w:cstheme="majorBidi"/>
        </w:rPr>
        <w:t xml:space="preserve"> Take</w:t>
      </w:r>
      <w:r w:rsidR="00D5386D">
        <w:rPr>
          <w:rFonts w:asciiTheme="majorBidi" w:hAnsiTheme="majorBidi" w:cstheme="majorBidi"/>
        </w:rPr>
        <w:t>n</w:t>
      </w:r>
      <w:r w:rsidR="00065831">
        <w:rPr>
          <w:rFonts w:asciiTheme="majorBidi" w:hAnsiTheme="majorBidi" w:cstheme="majorBidi"/>
        </w:rPr>
        <w:t xml:space="preserve"> as a whole</w:t>
      </w:r>
      <w:r w:rsidR="000D32D1">
        <w:rPr>
          <w:rFonts w:asciiTheme="majorBidi" w:hAnsiTheme="majorBidi" w:cstheme="majorBidi"/>
        </w:rPr>
        <w:t>,</w:t>
      </w:r>
      <w:r w:rsidR="00065831">
        <w:rPr>
          <w:rFonts w:asciiTheme="majorBidi" w:hAnsiTheme="majorBidi" w:cstheme="majorBidi"/>
        </w:rPr>
        <w:t xml:space="preserve"> EPA estimates a total burden reduction of </w:t>
      </w:r>
      <w:r w:rsidR="00F84419">
        <w:rPr>
          <w:rFonts w:asciiTheme="majorBidi" w:hAnsiTheme="majorBidi" w:cstheme="majorBidi"/>
        </w:rPr>
        <w:t xml:space="preserve">$330,000 </w:t>
      </w:r>
      <w:r w:rsidR="00065831">
        <w:rPr>
          <w:rFonts w:asciiTheme="majorBidi" w:hAnsiTheme="majorBidi" w:cstheme="majorBidi"/>
        </w:rPr>
        <w:t>annually.</w:t>
      </w:r>
      <w:r w:rsidR="00840057">
        <w:rPr>
          <w:rFonts w:asciiTheme="majorBidi" w:hAnsiTheme="majorBidi" w:cstheme="majorBidi"/>
        </w:rPr>
        <w:t xml:space="preserve"> At the final rule stage, the Agency will determine </w:t>
      </w:r>
      <w:r w:rsidR="00B57556">
        <w:rPr>
          <w:rFonts w:asciiTheme="majorBidi" w:hAnsiTheme="majorBidi" w:cstheme="majorBidi"/>
        </w:rPr>
        <w:t xml:space="preserve">the </w:t>
      </w:r>
      <w:r w:rsidR="00840057">
        <w:rPr>
          <w:rFonts w:asciiTheme="majorBidi" w:hAnsiTheme="majorBidi" w:cstheme="majorBidi"/>
        </w:rPr>
        <w:t xml:space="preserve">extent </w:t>
      </w:r>
      <w:r w:rsidR="00B57556">
        <w:rPr>
          <w:rFonts w:asciiTheme="majorBidi" w:hAnsiTheme="majorBidi" w:cstheme="majorBidi"/>
        </w:rPr>
        <w:t xml:space="preserve">to which </w:t>
      </w:r>
      <w:r w:rsidR="00840057">
        <w:rPr>
          <w:rFonts w:asciiTheme="majorBidi" w:hAnsiTheme="majorBidi" w:cstheme="majorBidi"/>
        </w:rPr>
        <w:t xml:space="preserve">the existing approved burden </w:t>
      </w:r>
      <w:r w:rsidR="004B14BB">
        <w:rPr>
          <w:rFonts w:asciiTheme="majorBidi" w:hAnsiTheme="majorBidi" w:cstheme="majorBidi"/>
        </w:rPr>
        <w:t>hours and costs in OMB’s inventory may be reduced. That change will be classified as a program change.</w:t>
      </w:r>
    </w:p>
    <w:p w:rsidRPr="00C270C5" w:rsidR="008253DD" w:rsidP="004B14BB" w:rsidRDefault="008253DD" w14:paraId="224ACFB9" w14:textId="77777777">
      <w:pPr>
        <w:pStyle w:val="Heading2"/>
      </w:pPr>
      <w:r w:rsidRPr="00C270C5">
        <w:lastRenderedPageBreak/>
        <w:t>6(</w:t>
      </w:r>
      <w:r w:rsidR="004B14BB">
        <w:t>f</w:t>
      </w:r>
      <w:r w:rsidRPr="00C270C5">
        <w:t>)</w:t>
      </w:r>
      <w:r w:rsidRPr="00C270C5">
        <w:tab/>
        <w:t xml:space="preserve">Burden Statement </w:t>
      </w:r>
    </w:p>
    <w:p w:rsidRPr="00C270C5" w:rsidR="00A9366B" w:rsidP="004B14BB" w:rsidRDefault="008253DD" w14:paraId="2B0FA77A" w14:textId="662BDF16">
      <w:r w:rsidRPr="00C270C5">
        <w:rPr>
          <w:rFonts w:asciiTheme="majorBidi" w:hAnsiTheme="majorBidi" w:cstheme="majorBidi"/>
        </w:rPr>
        <w:t xml:space="preserve">The </w:t>
      </w:r>
      <w:r w:rsidR="00FB2F87">
        <w:rPr>
          <w:rFonts w:asciiTheme="majorBidi" w:hAnsiTheme="majorBidi" w:cstheme="majorBidi"/>
        </w:rPr>
        <w:t xml:space="preserve">total respondent burden calculated in the </w:t>
      </w:r>
      <w:r w:rsidR="002D4303">
        <w:t>Application for New and Amended Pesticide Registration</w:t>
      </w:r>
      <w:r w:rsidR="00FB2F87">
        <w:rPr>
          <w:rFonts w:asciiTheme="majorBidi" w:hAnsiTheme="majorBidi" w:cstheme="majorBidi"/>
        </w:rPr>
        <w:t xml:space="preserve"> ICR is $108.7 million annually</w:t>
      </w:r>
      <w:r w:rsidR="00A960B8">
        <w:rPr>
          <w:rFonts w:asciiTheme="majorBidi" w:hAnsiTheme="majorBidi" w:cstheme="majorBidi"/>
        </w:rPr>
        <w:t xml:space="preserve">.  If the proposed rule is </w:t>
      </w:r>
      <w:r w:rsidR="00E14638">
        <w:rPr>
          <w:rFonts w:asciiTheme="majorBidi" w:hAnsiTheme="majorBidi" w:cstheme="majorBidi"/>
        </w:rPr>
        <w:t>finalized</w:t>
      </w:r>
      <w:r w:rsidR="00A960B8">
        <w:rPr>
          <w:rFonts w:asciiTheme="majorBidi" w:hAnsiTheme="majorBidi" w:cstheme="majorBidi"/>
        </w:rPr>
        <w:t>, that burden will be lowered to $108.4 million annually</w:t>
      </w:r>
      <w:r w:rsidR="00FB2F87">
        <w:rPr>
          <w:rFonts w:asciiTheme="majorBidi" w:hAnsiTheme="majorBidi" w:cstheme="majorBidi"/>
        </w:rPr>
        <w:t>.</w:t>
      </w:r>
      <w:r w:rsidR="00065831">
        <w:rPr>
          <w:rFonts w:asciiTheme="majorBidi" w:hAnsiTheme="majorBidi" w:cstheme="majorBidi"/>
        </w:rPr>
        <w:t xml:space="preserve"> </w:t>
      </w:r>
      <w:r w:rsidR="00FB2F87">
        <w:rPr>
          <w:rFonts w:asciiTheme="majorBidi" w:hAnsiTheme="majorBidi" w:cstheme="majorBidi"/>
        </w:rPr>
        <w:t>T</w:t>
      </w:r>
      <w:r w:rsidR="00065831">
        <w:rPr>
          <w:rFonts w:asciiTheme="majorBidi" w:hAnsiTheme="majorBidi" w:cstheme="majorBidi"/>
        </w:rPr>
        <w:t xml:space="preserve">his is primarily existing burden not attributable to this proposed rule and covered under </w:t>
      </w:r>
      <w:r w:rsidR="00065831">
        <w:t>EPA ICR No. 0277 and approved under OMB Control No.: 2070-0060</w:t>
      </w:r>
      <w:r w:rsidR="004B14BB">
        <w:rPr>
          <w:rFonts w:asciiTheme="majorBidi" w:hAnsiTheme="majorBidi" w:cstheme="majorBidi"/>
        </w:rPr>
        <w:t xml:space="preserve">. </w:t>
      </w:r>
      <w:r w:rsidRPr="00C270C5" w:rsidR="00A9366B">
        <w:t xml:space="preserve">Burden </w:t>
      </w:r>
      <w:r w:rsidR="000D32D1">
        <w:t xml:space="preserve">is defined in 5 CFR 1320.3(b). </w:t>
      </w:r>
      <w:r w:rsidRPr="00C270C5" w:rsidR="00A9366B">
        <w:t xml:space="preserve">An agency may not conduct or sponsor, and a person is not required to respond to a collection of information unless it displays a current and valid OMB control number. The OMB control numbers for EPA’s regulations in title 40 of the CFR, after appearing in the </w:t>
      </w:r>
      <w:r w:rsidRPr="004B14BB" w:rsidR="00A9366B">
        <w:rPr>
          <w:b/>
        </w:rPr>
        <w:t>Federal Register</w:t>
      </w:r>
      <w:r w:rsidRPr="00C270C5" w:rsidR="00A9366B">
        <w:t>, are listed in 40 CFR part 9 and included on the related collection instrument or form, if applicable.</w:t>
      </w:r>
    </w:p>
    <w:p w:rsidRPr="00C270C5" w:rsidR="00A9366B" w:rsidP="004B14BB" w:rsidRDefault="00A9366B" w14:paraId="1298C0CD" w14:textId="77777777">
      <w:pPr>
        <w:pStyle w:val="Heading2"/>
      </w:pPr>
      <w:r w:rsidRPr="00C270C5">
        <w:t>6(</w:t>
      </w:r>
      <w:r w:rsidR="004B14BB">
        <w:t>g</w:t>
      </w:r>
      <w:r w:rsidRPr="00C270C5">
        <w:t>)</w:t>
      </w:r>
      <w:r w:rsidRPr="00C270C5">
        <w:tab/>
        <w:t xml:space="preserve">Docket Information  </w:t>
      </w:r>
    </w:p>
    <w:p w:rsidRPr="00C270C5" w:rsidR="00A9366B" w:rsidP="004B14BB" w:rsidRDefault="004B14BB" w14:paraId="092924E9" w14:textId="77777777">
      <w:pPr>
        <w:rPr>
          <w:rFonts w:asciiTheme="majorBidi" w:hAnsiTheme="majorBidi" w:cstheme="majorBidi"/>
        </w:rPr>
      </w:pPr>
      <w:r>
        <w:rPr>
          <w:rFonts w:asciiTheme="majorBidi" w:hAnsiTheme="majorBidi" w:cstheme="majorBidi"/>
        </w:rPr>
        <w:t xml:space="preserve">Since this ICR is accompanying a proposed rule, this supporting statement and related materials are available in the rulemaking docket established </w:t>
      </w:r>
      <w:r w:rsidRPr="00C270C5" w:rsidR="00C47DDD">
        <w:rPr>
          <w:rFonts w:asciiTheme="majorBidi" w:hAnsiTheme="majorBidi" w:cstheme="majorBidi"/>
        </w:rPr>
        <w:t>under</w:t>
      </w:r>
      <w:r w:rsidRPr="007E67C3" w:rsidR="007E67C3">
        <w:t xml:space="preserve"> </w:t>
      </w:r>
      <w:r w:rsidRPr="00DA0D38" w:rsidR="007E67C3">
        <w:t>number</w:t>
      </w:r>
      <w:r w:rsidRPr="00DA0D38" w:rsidR="007E67C3">
        <w:rPr>
          <w:b/>
          <w:bCs/>
        </w:rPr>
        <w:t xml:space="preserve"> </w:t>
      </w:r>
      <w:r w:rsidRPr="00DA0D38" w:rsidR="007E67C3">
        <w:t>EPA-HQ-OPP-20</w:t>
      </w:r>
      <w:r w:rsidR="007E67C3">
        <w:rPr>
          <w:bCs/>
        </w:rPr>
        <w:t>20-0124</w:t>
      </w:r>
      <w:r w:rsidRPr="00FF0355" w:rsidR="004E1187">
        <w:rPr>
          <w:rFonts w:asciiTheme="majorBidi" w:hAnsiTheme="majorBidi" w:cstheme="majorBidi"/>
        </w:rPr>
        <w:t xml:space="preserve">, </w:t>
      </w:r>
      <w:r w:rsidRPr="00C270C5" w:rsidR="004E1187">
        <w:rPr>
          <w:rFonts w:asciiTheme="majorBidi" w:hAnsiTheme="majorBidi" w:cstheme="majorBidi"/>
        </w:rPr>
        <w:t xml:space="preserve">which is available for online viewing at </w:t>
      </w:r>
      <w:r w:rsidRPr="004B14BB" w:rsidR="00A9366B">
        <w:rPr>
          <w:rFonts w:asciiTheme="majorBidi" w:hAnsiTheme="majorBidi" w:cstheme="majorBidi"/>
          <w:i/>
        </w:rPr>
        <w:t>http://</w:t>
      </w:r>
      <w:hyperlink w:history="1" r:id="rId16">
        <w:r w:rsidRPr="004B14BB" w:rsidR="004E1187">
          <w:rPr>
            <w:rStyle w:val="Hyperlink"/>
            <w:rFonts w:asciiTheme="majorBidi" w:hAnsiTheme="majorBidi" w:cstheme="majorBidi"/>
            <w:i/>
            <w:color w:val="auto"/>
            <w:u w:val="none"/>
          </w:rPr>
          <w:t>www.regulations.gov</w:t>
        </w:r>
      </w:hyperlink>
      <w:r w:rsidRPr="00C270C5" w:rsidR="004E1187">
        <w:rPr>
          <w:rFonts w:asciiTheme="majorBidi" w:hAnsiTheme="majorBidi" w:cstheme="majorBidi"/>
        </w:rPr>
        <w:t xml:space="preserve"> or in person viewing at the EPA Docket Center Public Reading Room, EPA West Building, Room 3334, 1301 Constitution Avenue, NW, Washington, DC 20004.</w:t>
      </w:r>
      <w:r w:rsidRPr="00C270C5" w:rsidR="007841AD">
        <w:rPr>
          <w:rFonts w:asciiTheme="majorBidi" w:hAnsiTheme="majorBidi" w:cstheme="majorBidi"/>
        </w:rPr>
        <w:t xml:space="preserve"> </w:t>
      </w:r>
      <w:r w:rsidRPr="00C270C5" w:rsidR="004E1187">
        <w:rPr>
          <w:rFonts w:asciiTheme="majorBidi" w:hAnsiTheme="majorBidi" w:cstheme="majorBidi"/>
        </w:rPr>
        <w:t>The EPA/DC is open from 8:30 a.m. to 4 p.m., Monday through Friday, excluding federal holidays.</w:t>
      </w:r>
      <w:r w:rsidRPr="00C270C5" w:rsidR="007841AD">
        <w:rPr>
          <w:rFonts w:asciiTheme="majorBidi" w:hAnsiTheme="majorBidi" w:cstheme="majorBidi"/>
        </w:rPr>
        <w:t xml:space="preserve"> </w:t>
      </w:r>
      <w:r w:rsidRPr="00C270C5" w:rsidR="00C47DDD">
        <w:rPr>
          <w:rFonts w:asciiTheme="majorBidi" w:hAnsiTheme="majorBidi" w:cstheme="majorBidi"/>
        </w:rPr>
        <w:t xml:space="preserve">The docket telephone number is </w:t>
      </w:r>
      <w:r w:rsidRPr="00C270C5" w:rsidR="008B7CCF">
        <w:rPr>
          <w:rFonts w:asciiTheme="majorBidi" w:hAnsiTheme="majorBidi" w:cstheme="majorBidi"/>
        </w:rPr>
        <w:t>(202) 566-1744</w:t>
      </w:r>
      <w:r w:rsidRPr="00C270C5" w:rsidR="00C47DDD">
        <w:rPr>
          <w:rFonts w:asciiTheme="majorBidi" w:hAnsiTheme="majorBidi" w:cstheme="majorBidi"/>
        </w:rPr>
        <w:t>.</w:t>
      </w:r>
      <w:r w:rsidRPr="00C270C5" w:rsidR="007841AD">
        <w:rPr>
          <w:rFonts w:asciiTheme="majorBidi" w:hAnsiTheme="majorBidi" w:cstheme="majorBidi"/>
        </w:rPr>
        <w:t xml:space="preserve"> </w:t>
      </w:r>
    </w:p>
    <w:p w:rsidR="004E0FE5" w:rsidP="00A9366B" w:rsidRDefault="004E0FE5" w14:paraId="0A79A71C" w14:textId="77777777">
      <w:pPr>
        <w:tabs>
          <w:tab w:val="left" w:pos="-1080"/>
          <w:tab w:val="left" w:pos="-720"/>
        </w:tabs>
        <w:rPr>
          <w:rFonts w:asciiTheme="majorBidi" w:hAnsiTheme="majorBidi" w:cstheme="majorBidi"/>
        </w:rPr>
      </w:pPr>
    </w:p>
    <w:p w:rsidRPr="007E67C3" w:rsidR="00A9366B" w:rsidP="007E67C3" w:rsidRDefault="00C47DDD" w14:paraId="780C93F1" w14:textId="77777777">
      <w:pPr>
        <w:rPr>
          <w:b/>
          <w:bCs/>
        </w:rPr>
      </w:pPr>
      <w:r w:rsidRPr="00C270C5">
        <w:rPr>
          <w:rFonts w:asciiTheme="majorBidi" w:hAnsiTheme="majorBidi" w:cstheme="majorBidi"/>
        </w:rPr>
        <w:t>You may submit comments regarding the Agency's need for this information, the accuracy of the provided burden estimates and any suggested methods for minimizing respondent burden, including the use of automated collection techniques.</w:t>
      </w:r>
      <w:r w:rsidRPr="00C270C5" w:rsidR="007841AD">
        <w:rPr>
          <w:rFonts w:asciiTheme="majorBidi" w:hAnsiTheme="majorBidi" w:cstheme="majorBidi"/>
        </w:rPr>
        <w:t xml:space="preserve"> </w:t>
      </w:r>
      <w:r w:rsidRPr="00C270C5">
        <w:rPr>
          <w:rFonts w:asciiTheme="majorBidi" w:hAnsiTheme="majorBidi" w:cstheme="majorBidi"/>
        </w:rPr>
        <w:t>Submit your comments</w:t>
      </w:r>
      <w:r w:rsidR="004B14BB">
        <w:rPr>
          <w:rFonts w:asciiTheme="majorBidi" w:hAnsiTheme="majorBidi" w:cstheme="majorBidi"/>
        </w:rPr>
        <w:t xml:space="preserve"> </w:t>
      </w:r>
      <w:r w:rsidRPr="00C270C5" w:rsidR="004B14BB">
        <w:t>to both EPA and OM</w:t>
      </w:r>
      <w:r w:rsidR="004B14BB">
        <w:t>B</w:t>
      </w:r>
      <w:r w:rsidRPr="00C270C5">
        <w:rPr>
          <w:rFonts w:asciiTheme="majorBidi" w:hAnsiTheme="majorBidi" w:cstheme="majorBidi"/>
        </w:rPr>
        <w:t xml:space="preserve">, referencing </w:t>
      </w:r>
      <w:r w:rsidR="004B14BB">
        <w:rPr>
          <w:rFonts w:asciiTheme="majorBidi" w:hAnsiTheme="majorBidi" w:cstheme="majorBidi"/>
        </w:rPr>
        <w:t xml:space="preserve">the </w:t>
      </w:r>
      <w:r w:rsidRPr="00C270C5">
        <w:rPr>
          <w:rFonts w:asciiTheme="majorBidi" w:hAnsiTheme="majorBidi" w:cstheme="majorBidi"/>
        </w:rPr>
        <w:t xml:space="preserve">Docket ID No. </w:t>
      </w:r>
      <w:r w:rsidR="004B14BB">
        <w:rPr>
          <w:rFonts w:asciiTheme="majorBidi" w:hAnsiTheme="majorBidi" w:cstheme="majorBidi"/>
        </w:rPr>
        <w:t>id</w:t>
      </w:r>
      <w:r w:rsidR="007E67C3">
        <w:rPr>
          <w:rFonts w:asciiTheme="majorBidi" w:hAnsiTheme="majorBidi" w:cstheme="majorBidi"/>
        </w:rPr>
        <w:t xml:space="preserve">entified above </w:t>
      </w:r>
      <w:r w:rsidRPr="007E67C3" w:rsidR="007E67C3">
        <w:rPr>
          <w:rFonts w:asciiTheme="majorBidi" w:hAnsiTheme="majorBidi" w:cstheme="majorBidi"/>
        </w:rPr>
        <w:t xml:space="preserve">and </w:t>
      </w:r>
      <w:r w:rsidRPr="007E67C3" w:rsidR="007E67C3">
        <w:rPr>
          <w:bCs/>
        </w:rPr>
        <w:t>RIN 2070-AJ49</w:t>
      </w:r>
      <w:r w:rsidRPr="007E67C3" w:rsidR="00B30233">
        <w:rPr>
          <w:rFonts w:asciiTheme="majorBidi" w:hAnsiTheme="majorBidi" w:cstheme="majorBidi"/>
        </w:rPr>
        <w:t>,</w:t>
      </w:r>
      <w:r w:rsidRPr="007E67C3" w:rsidR="00A9366B">
        <w:t xml:space="preserve"> as</w:t>
      </w:r>
      <w:r w:rsidRPr="00C270C5" w:rsidR="00A9366B">
        <w:t xml:space="preserve"> follows: </w:t>
      </w:r>
    </w:p>
    <w:p w:rsidRPr="00C270C5" w:rsidR="00A9366B" w:rsidP="00A9366B" w:rsidRDefault="00A9366B" w14:paraId="15947C4A" w14:textId="77777777">
      <w:pPr>
        <w:pStyle w:val="ListParagraph"/>
        <w:numPr>
          <w:ilvl w:val="0"/>
          <w:numId w:val="28"/>
        </w:numPr>
        <w:tabs>
          <w:tab w:val="left" w:pos="-1080"/>
          <w:tab w:val="left" w:pos="-720"/>
        </w:tabs>
        <w:adjustRightInd w:val="0"/>
      </w:pPr>
      <w:r w:rsidRPr="00C270C5">
        <w:t xml:space="preserve">To EPA online using http://www.regulations.gov (our preferred method) or by mail to: EPA Docket Center, Environmental Protection Agency, Mail Code 28221T, 1200 Pennsylvania Ave., NW, Washington, DC 20460, and </w:t>
      </w:r>
    </w:p>
    <w:p w:rsidRPr="00C270C5" w:rsidR="00DC6C7E" w:rsidP="00935E45" w:rsidRDefault="00A9366B" w14:paraId="7C70E08C" w14:textId="77777777">
      <w:pPr>
        <w:pStyle w:val="ListParagraph"/>
        <w:numPr>
          <w:ilvl w:val="0"/>
          <w:numId w:val="28"/>
        </w:numPr>
        <w:tabs>
          <w:tab w:val="left" w:pos="-1080"/>
          <w:tab w:val="left" w:pos="-720"/>
        </w:tabs>
        <w:adjustRightInd w:val="0"/>
      </w:pPr>
      <w:r w:rsidRPr="00C270C5">
        <w:t xml:space="preserve">To OMB via email to oira_submission@omb.eop.gov. Address comments to </w:t>
      </w:r>
      <w:r w:rsidRPr="00C270C5">
        <w:rPr>
          <w:i/>
        </w:rPr>
        <w:t>OMB Desk Officer for EPA</w:t>
      </w:r>
      <w:r w:rsidRPr="00C270C5">
        <w:t>.</w:t>
      </w:r>
    </w:p>
    <w:p w:rsidRPr="00C270C5" w:rsidR="00A9488B" w:rsidP="004E0FE5" w:rsidRDefault="00A9488B" w14:paraId="11634782" w14:textId="77777777">
      <w:pPr>
        <w:tabs>
          <w:tab w:val="left" w:pos="-1080"/>
          <w:tab w:val="left" w:pos="-720"/>
        </w:tabs>
        <w:adjustRightInd w:val="0"/>
      </w:pPr>
    </w:p>
    <w:p w:rsidRPr="00C270C5" w:rsidR="00C47DDD" w:rsidP="00B30233" w:rsidRDefault="00A9366B" w14:paraId="28BB0864" w14:textId="77777777">
      <w:pPr>
        <w:pStyle w:val="Heading1"/>
      </w:pPr>
      <w:r w:rsidRPr="00C270C5">
        <w:t>7.</w:t>
      </w:r>
      <w:r w:rsidRPr="00C270C5">
        <w:tab/>
      </w:r>
      <w:r w:rsidRPr="00C270C5" w:rsidR="00C47DDD">
        <w:t>ATTACHMENTS TO THE SUPPORTING STATEMENT</w:t>
      </w:r>
    </w:p>
    <w:p w:rsidRPr="00C270C5" w:rsidR="00C15D86" w:rsidP="00B30233" w:rsidRDefault="00C47DDD" w14:paraId="2A3DA6B7" w14:textId="77777777">
      <w:pPr>
        <w:rPr>
          <w:rFonts w:asciiTheme="majorBidi" w:hAnsiTheme="majorBidi" w:cstheme="majorBidi"/>
        </w:rPr>
      </w:pPr>
      <w:r w:rsidRPr="00C270C5">
        <w:rPr>
          <w:rFonts w:asciiTheme="majorBidi" w:hAnsiTheme="majorBidi" w:cstheme="majorBidi"/>
        </w:rPr>
        <w:t xml:space="preserve">Attachments to the supporting statement are available in the docket </w:t>
      </w:r>
      <w:r w:rsidR="00B30233">
        <w:rPr>
          <w:rFonts w:asciiTheme="majorBidi" w:hAnsiTheme="majorBidi" w:cstheme="majorBidi"/>
        </w:rPr>
        <w:t>identified in Section 6(g) of the Supporting Statement</w:t>
      </w:r>
      <w:r w:rsidRPr="00325E82">
        <w:rPr>
          <w:rFonts w:asciiTheme="majorBidi" w:hAnsiTheme="majorBidi" w:cstheme="majorBidi"/>
        </w:rPr>
        <w:t>.</w:t>
      </w:r>
      <w:r w:rsidRPr="00C270C5">
        <w:rPr>
          <w:rFonts w:asciiTheme="majorBidi" w:hAnsiTheme="majorBidi" w:cstheme="majorBidi"/>
        </w:rPr>
        <w:t xml:space="preserve"> These attachments are available for online viewing at </w:t>
      </w:r>
      <w:r w:rsidRPr="00B30233" w:rsidR="00B30233">
        <w:rPr>
          <w:rFonts w:asciiTheme="majorBidi" w:hAnsiTheme="majorBidi" w:cstheme="majorBidi"/>
          <w:i/>
          <w:color w:val="auto"/>
        </w:rPr>
        <w:t>http://</w:t>
      </w:r>
      <w:hyperlink w:history="1" r:id="rId17">
        <w:r w:rsidRPr="00B30233" w:rsidR="00B30233">
          <w:rPr>
            <w:rStyle w:val="Hyperlink"/>
            <w:rFonts w:asciiTheme="majorBidi" w:hAnsiTheme="majorBidi" w:cstheme="majorBidi"/>
            <w:i/>
            <w:color w:val="auto"/>
            <w:u w:val="none"/>
          </w:rPr>
          <w:t>www.regulations.gov</w:t>
        </w:r>
      </w:hyperlink>
      <w:r w:rsidRPr="00C270C5">
        <w:rPr>
          <w:rFonts w:asciiTheme="majorBidi" w:hAnsiTheme="majorBidi" w:cstheme="majorBidi"/>
        </w:rPr>
        <w:t xml:space="preserve"> or otherwise accessed </w:t>
      </w:r>
      <w:r w:rsidR="00B57556">
        <w:rPr>
          <w:rFonts w:asciiTheme="majorBidi" w:hAnsiTheme="majorBidi" w:cstheme="majorBidi"/>
        </w:rPr>
        <w:t xml:space="preserve">directly </w:t>
      </w:r>
      <w:r w:rsidRPr="00C270C5">
        <w:rPr>
          <w:rFonts w:asciiTheme="majorBidi" w:hAnsiTheme="majorBidi" w:cstheme="majorBidi"/>
        </w:rPr>
        <w:t xml:space="preserve">as </w:t>
      </w:r>
      <w:r w:rsidR="00B57556">
        <w:rPr>
          <w:rFonts w:asciiTheme="majorBidi" w:hAnsiTheme="majorBidi" w:cstheme="majorBidi"/>
        </w:rPr>
        <w:t xml:space="preserve">identified </w:t>
      </w:r>
      <w:r w:rsidRPr="00C270C5">
        <w:rPr>
          <w:rFonts w:asciiTheme="majorBidi" w:hAnsiTheme="majorBidi" w:cstheme="majorBidi"/>
        </w:rPr>
        <w:t xml:space="preserve">in the </w:t>
      </w:r>
      <w:r w:rsidR="00B30233">
        <w:rPr>
          <w:rFonts w:asciiTheme="majorBidi" w:hAnsiTheme="majorBidi" w:cstheme="majorBidi"/>
        </w:rPr>
        <w:t>following index</w:t>
      </w:r>
      <w:r w:rsidRPr="00C270C5">
        <w:rPr>
          <w:rFonts w:asciiTheme="majorBidi" w:hAnsiTheme="majorBidi" w:cstheme="majorBidi"/>
        </w:rPr>
        <w:t>.</w:t>
      </w:r>
      <w:r w:rsidRPr="00C270C5" w:rsidR="007841AD">
        <w:rPr>
          <w:rFonts w:asciiTheme="majorBidi" w:hAnsiTheme="majorBidi" w:cstheme="majorBidi"/>
        </w:rPr>
        <w:t xml:space="preserve"> </w:t>
      </w:r>
    </w:p>
    <w:p w:rsidRPr="00C270C5" w:rsidR="00C15D86" w:rsidRDefault="00C15D86" w14:paraId="1A3191C6" w14:textId="77777777">
      <w:pPr>
        <w:rPr>
          <w:rFonts w:asciiTheme="majorBidi" w:hAnsiTheme="majorBidi" w:cstheme="majorBidi"/>
        </w:rPr>
      </w:pPr>
    </w:p>
    <w:tbl>
      <w:tblPr>
        <w:tblW w:w="50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5"/>
        <w:gridCol w:w="7650"/>
      </w:tblGrid>
      <w:tr w:rsidRPr="00C270C5" w:rsidR="00C270C5" w:rsidTr="00473C9F" w14:paraId="3C788A62" w14:textId="77777777">
        <w:trPr>
          <w:trHeight w:val="414"/>
        </w:trPr>
        <w:tc>
          <w:tcPr>
            <w:tcW w:w="950" w:type="pct"/>
            <w:vAlign w:val="center"/>
          </w:tcPr>
          <w:p w:rsidRPr="00C270C5" w:rsidR="009C1A05" w:rsidRDefault="009C1A05" w14:paraId="7AB223DB" w14:textId="77777777">
            <w:pPr>
              <w:rPr>
                <w:rFonts w:asciiTheme="majorBidi" w:hAnsiTheme="majorBidi" w:cstheme="majorBidi"/>
                <w:b/>
                <w:bCs/>
              </w:rPr>
            </w:pPr>
            <w:r w:rsidRPr="00C270C5">
              <w:rPr>
                <w:rFonts w:asciiTheme="majorBidi" w:hAnsiTheme="majorBidi" w:cstheme="majorBidi"/>
                <w:b/>
                <w:bCs/>
              </w:rPr>
              <w:t>Attachment A:</w:t>
            </w:r>
          </w:p>
        </w:tc>
        <w:tc>
          <w:tcPr>
            <w:tcW w:w="4050" w:type="pct"/>
            <w:vAlign w:val="center"/>
          </w:tcPr>
          <w:p w:rsidRPr="00C270C5" w:rsidR="009C1A05" w:rsidP="00DB6E3D" w:rsidRDefault="009C1A05" w14:paraId="1F167AFA" w14:textId="77777777">
            <w:pPr>
              <w:rPr>
                <w:rFonts w:asciiTheme="majorBidi" w:hAnsiTheme="majorBidi" w:cstheme="majorBidi"/>
                <w:b/>
                <w:bCs/>
              </w:rPr>
            </w:pPr>
            <w:r w:rsidRPr="00C270C5">
              <w:rPr>
                <w:rFonts w:asciiTheme="majorBidi" w:hAnsiTheme="majorBidi" w:cstheme="majorBidi"/>
                <w:b/>
                <w:bCs/>
              </w:rPr>
              <w:t>7 U.S.C. 136a – Section 3 of FIFRA</w:t>
            </w:r>
            <w:r w:rsidRPr="00C270C5">
              <w:rPr>
                <w:rFonts w:asciiTheme="majorBidi" w:hAnsiTheme="majorBidi" w:cstheme="majorBidi"/>
              </w:rPr>
              <w:t xml:space="preserve">. </w:t>
            </w:r>
            <w:r w:rsidR="00635154">
              <w:rPr>
                <w:rFonts w:asciiTheme="majorBidi" w:hAnsiTheme="majorBidi" w:cstheme="majorBidi"/>
              </w:rPr>
              <w:t xml:space="preserve">EPA provides a summary of this law, along with a link to the U.S. Code, on our website: </w:t>
            </w:r>
            <w:hyperlink w:history="1" r:id="rId18">
              <w:r w:rsidR="00635154">
                <w:rPr>
                  <w:rStyle w:val="Hyperlink"/>
                </w:rPr>
                <w:t>https://www.epa.gov/laws-regulations/summary-federal-insecticide-fungicide-and-rodenticide-act</w:t>
              </w:r>
            </w:hyperlink>
            <w:r w:rsidRPr="00C270C5">
              <w:rPr>
                <w:rFonts w:asciiTheme="majorBidi" w:hAnsiTheme="majorBidi" w:cstheme="majorBidi"/>
              </w:rPr>
              <w:t xml:space="preserve"> </w:t>
            </w:r>
          </w:p>
        </w:tc>
      </w:tr>
      <w:tr w:rsidRPr="00C270C5" w:rsidR="00635154" w:rsidTr="00B57556" w14:paraId="1451EF48" w14:textId="77777777">
        <w:trPr>
          <w:trHeight w:val="432"/>
        </w:trPr>
        <w:tc>
          <w:tcPr>
            <w:tcW w:w="950" w:type="pct"/>
            <w:vAlign w:val="center"/>
          </w:tcPr>
          <w:p w:rsidRPr="00C270C5" w:rsidR="00635154" w:rsidP="00635154" w:rsidRDefault="007E67C3" w14:paraId="7761A8F7" w14:textId="77777777">
            <w:pPr>
              <w:rPr>
                <w:rFonts w:asciiTheme="majorBidi" w:hAnsiTheme="majorBidi" w:cstheme="majorBidi"/>
                <w:b/>
              </w:rPr>
            </w:pPr>
            <w:r>
              <w:rPr>
                <w:rFonts w:asciiTheme="majorBidi" w:hAnsiTheme="majorBidi" w:cstheme="majorBidi"/>
                <w:b/>
                <w:bCs/>
              </w:rPr>
              <w:t>Attachment B</w:t>
            </w:r>
            <w:r w:rsidRPr="00C270C5" w:rsidR="00635154">
              <w:rPr>
                <w:rFonts w:asciiTheme="majorBidi" w:hAnsiTheme="majorBidi" w:cstheme="majorBidi"/>
                <w:b/>
                <w:bCs/>
              </w:rPr>
              <w:t>:</w:t>
            </w:r>
          </w:p>
        </w:tc>
        <w:tc>
          <w:tcPr>
            <w:tcW w:w="4050" w:type="pct"/>
            <w:vAlign w:val="center"/>
          </w:tcPr>
          <w:p w:rsidRPr="00635154" w:rsidR="00635154" w:rsidDel="00946695" w:rsidP="00635154" w:rsidRDefault="007E67C3" w14:paraId="789C03FD" w14:textId="77777777">
            <w:pPr>
              <w:rPr>
                <w:rFonts w:asciiTheme="majorBidi" w:hAnsiTheme="majorBidi" w:cstheme="majorBidi"/>
              </w:rPr>
            </w:pPr>
            <w:r>
              <w:rPr>
                <w:rFonts w:asciiTheme="majorBidi" w:hAnsiTheme="majorBidi" w:cstheme="majorBidi"/>
                <w:b/>
              </w:rPr>
              <w:t>40 CFR part 158 – Current Regulations</w:t>
            </w:r>
            <w:r w:rsidR="00635154">
              <w:rPr>
                <w:rFonts w:asciiTheme="majorBidi" w:hAnsiTheme="majorBidi" w:cstheme="majorBidi"/>
                <w:b/>
              </w:rPr>
              <w:t>.</w:t>
            </w:r>
            <w:r w:rsidR="00635154">
              <w:rPr>
                <w:rFonts w:asciiTheme="majorBidi" w:hAnsiTheme="majorBidi" w:cstheme="majorBidi"/>
              </w:rPr>
              <w:t xml:space="preserve"> </w:t>
            </w:r>
            <w:r w:rsidR="004E0FE5">
              <w:rPr>
                <w:rFonts w:asciiTheme="majorBidi" w:hAnsiTheme="majorBidi" w:cstheme="majorBidi"/>
              </w:rPr>
              <w:t>An electronic version of</w:t>
            </w:r>
            <w:r>
              <w:rPr>
                <w:rFonts w:asciiTheme="majorBidi" w:hAnsiTheme="majorBidi" w:cstheme="majorBidi"/>
              </w:rPr>
              <w:t xml:space="preserve"> part 158,</w:t>
            </w:r>
            <w:r w:rsidR="004E0FE5">
              <w:rPr>
                <w:rFonts w:asciiTheme="majorBidi" w:hAnsiTheme="majorBidi" w:cstheme="majorBidi"/>
              </w:rPr>
              <w:t xml:space="preserve"> entitled “</w:t>
            </w:r>
            <w:r>
              <w:rPr>
                <w:rFonts w:asciiTheme="majorBidi" w:hAnsiTheme="majorBidi" w:cstheme="majorBidi"/>
              </w:rPr>
              <w:t>Data Requirements for Pesticides</w:t>
            </w:r>
            <w:r w:rsidR="004E0FE5">
              <w:rPr>
                <w:rFonts w:asciiTheme="majorBidi" w:hAnsiTheme="majorBidi" w:cstheme="majorBidi"/>
              </w:rPr>
              <w:t xml:space="preserve">,” is maintained by the Government Printing Office here: </w:t>
            </w:r>
            <w:hyperlink w:history="1" r:id="rId19">
              <w:r w:rsidR="004E0FE5">
                <w:rPr>
                  <w:rStyle w:val="Hyperlink"/>
                </w:rPr>
                <w:t>https://www.ecfr.gov/</w:t>
              </w:r>
            </w:hyperlink>
            <w:r w:rsidRPr="00635154" w:rsidDel="00946695" w:rsidR="004E0FE5">
              <w:rPr>
                <w:rFonts w:asciiTheme="majorBidi" w:hAnsiTheme="majorBidi" w:cstheme="majorBidi"/>
              </w:rPr>
              <w:t xml:space="preserve"> </w:t>
            </w:r>
          </w:p>
        </w:tc>
      </w:tr>
      <w:tr w:rsidRPr="00C270C5" w:rsidR="00635154" w:rsidTr="004E0FE5" w14:paraId="70E0C2CC" w14:textId="77777777">
        <w:trPr>
          <w:trHeight w:val="432"/>
        </w:trPr>
        <w:tc>
          <w:tcPr>
            <w:tcW w:w="950" w:type="pct"/>
            <w:vAlign w:val="center"/>
          </w:tcPr>
          <w:p w:rsidRPr="00C270C5" w:rsidR="00635154" w:rsidP="00635154" w:rsidRDefault="007E67C3" w14:paraId="26556610" w14:textId="77777777">
            <w:pPr>
              <w:rPr>
                <w:rFonts w:asciiTheme="majorBidi" w:hAnsiTheme="majorBidi" w:cstheme="majorBidi"/>
                <w:b/>
              </w:rPr>
            </w:pPr>
            <w:r>
              <w:rPr>
                <w:rFonts w:asciiTheme="majorBidi" w:hAnsiTheme="majorBidi" w:cstheme="majorBidi"/>
                <w:b/>
                <w:bCs/>
              </w:rPr>
              <w:t>Attachment C</w:t>
            </w:r>
            <w:r w:rsidRPr="00C270C5" w:rsidR="00635154">
              <w:rPr>
                <w:rFonts w:asciiTheme="majorBidi" w:hAnsiTheme="majorBidi" w:cstheme="majorBidi"/>
                <w:b/>
                <w:bCs/>
              </w:rPr>
              <w:t>:</w:t>
            </w:r>
          </w:p>
        </w:tc>
        <w:tc>
          <w:tcPr>
            <w:tcW w:w="4050" w:type="pct"/>
            <w:vAlign w:val="center"/>
          </w:tcPr>
          <w:p w:rsidRPr="00970828" w:rsidR="00635154" w:rsidDel="00946695" w:rsidP="00635154" w:rsidRDefault="007E67C3" w14:paraId="3539438A" w14:textId="77777777">
            <w:pPr>
              <w:rPr>
                <w:rFonts w:asciiTheme="majorBidi" w:hAnsiTheme="majorBidi" w:cstheme="majorBidi"/>
                <w:b/>
              </w:rPr>
            </w:pPr>
            <w:r w:rsidRPr="00970828">
              <w:rPr>
                <w:rFonts w:asciiTheme="majorBidi" w:hAnsiTheme="majorBidi" w:cstheme="majorBidi"/>
                <w:b/>
              </w:rPr>
              <w:t>Proposed Rule</w:t>
            </w:r>
            <w:r w:rsidRPr="00970828" w:rsidR="004E0FE5">
              <w:rPr>
                <w:rFonts w:asciiTheme="majorBidi" w:hAnsiTheme="majorBidi" w:cstheme="majorBidi"/>
                <w:b/>
              </w:rPr>
              <w:t xml:space="preserve"> – </w:t>
            </w:r>
            <w:r w:rsidRPr="00970828" w:rsidR="004E0FE5">
              <w:rPr>
                <w:rFonts w:asciiTheme="majorBidi" w:hAnsiTheme="majorBidi" w:cstheme="majorBidi"/>
              </w:rPr>
              <w:t>The proposed rule is in the docket.</w:t>
            </w:r>
            <w:r w:rsidRPr="00970828" w:rsidR="004E0FE5">
              <w:rPr>
                <w:rFonts w:asciiTheme="majorBidi" w:hAnsiTheme="majorBidi" w:cstheme="majorBidi"/>
                <w:b/>
              </w:rPr>
              <w:t xml:space="preserve"> </w:t>
            </w:r>
          </w:p>
        </w:tc>
      </w:tr>
      <w:tr w:rsidRPr="00C270C5" w:rsidR="00635154" w:rsidTr="00473C9F" w14:paraId="53EF120A" w14:textId="77777777">
        <w:trPr>
          <w:trHeight w:val="720"/>
        </w:trPr>
        <w:tc>
          <w:tcPr>
            <w:tcW w:w="950" w:type="pct"/>
            <w:vAlign w:val="center"/>
          </w:tcPr>
          <w:p w:rsidRPr="00C270C5" w:rsidR="00635154" w:rsidP="00635154" w:rsidRDefault="007E67C3" w14:paraId="799DF8C1" w14:textId="77777777">
            <w:pPr>
              <w:rPr>
                <w:rFonts w:asciiTheme="majorBidi" w:hAnsiTheme="majorBidi" w:cstheme="majorBidi"/>
                <w:b/>
              </w:rPr>
            </w:pPr>
            <w:r>
              <w:rPr>
                <w:rFonts w:asciiTheme="majorBidi" w:hAnsiTheme="majorBidi" w:cstheme="majorBidi"/>
                <w:b/>
                <w:bCs/>
              </w:rPr>
              <w:t>Attachment D</w:t>
            </w:r>
            <w:r w:rsidRPr="00C270C5" w:rsidR="00635154">
              <w:rPr>
                <w:rFonts w:asciiTheme="majorBidi" w:hAnsiTheme="majorBidi" w:cstheme="majorBidi"/>
                <w:b/>
                <w:bCs/>
              </w:rPr>
              <w:t>:</w:t>
            </w:r>
          </w:p>
        </w:tc>
        <w:tc>
          <w:tcPr>
            <w:tcW w:w="4050" w:type="pct"/>
            <w:vAlign w:val="center"/>
          </w:tcPr>
          <w:p w:rsidRPr="00970828" w:rsidR="00635154" w:rsidDel="00946695" w:rsidP="00635154" w:rsidRDefault="004E0FE5" w14:paraId="3C5CECA4" w14:textId="7B744B94">
            <w:pPr>
              <w:rPr>
                <w:rFonts w:asciiTheme="majorBidi" w:hAnsiTheme="majorBidi" w:cstheme="majorBidi"/>
                <w:b/>
              </w:rPr>
            </w:pPr>
            <w:r w:rsidRPr="00970828">
              <w:rPr>
                <w:rFonts w:asciiTheme="majorBidi" w:hAnsiTheme="majorBidi" w:cstheme="majorBidi"/>
                <w:b/>
              </w:rPr>
              <w:t xml:space="preserve">Currently Approved ICR </w:t>
            </w:r>
          </w:p>
        </w:tc>
      </w:tr>
      <w:tr w:rsidRPr="00C270C5" w:rsidR="00635154" w:rsidTr="00473C9F" w14:paraId="7463E36D" w14:textId="77777777">
        <w:trPr>
          <w:trHeight w:val="711"/>
        </w:trPr>
        <w:tc>
          <w:tcPr>
            <w:tcW w:w="950" w:type="pct"/>
            <w:vAlign w:val="center"/>
          </w:tcPr>
          <w:p w:rsidRPr="00C270C5" w:rsidR="00635154" w:rsidP="00635154" w:rsidRDefault="007E67C3" w14:paraId="1593E7E5" w14:textId="77777777">
            <w:pPr>
              <w:rPr>
                <w:rFonts w:asciiTheme="majorBidi" w:hAnsiTheme="majorBidi" w:cstheme="majorBidi"/>
                <w:b/>
                <w:bCs/>
              </w:rPr>
            </w:pPr>
            <w:r>
              <w:rPr>
                <w:rFonts w:asciiTheme="majorBidi" w:hAnsiTheme="majorBidi" w:cstheme="majorBidi"/>
                <w:b/>
              </w:rPr>
              <w:lastRenderedPageBreak/>
              <w:t>Attachment E</w:t>
            </w:r>
            <w:r w:rsidRPr="00C270C5" w:rsidR="00635154">
              <w:rPr>
                <w:rFonts w:asciiTheme="majorBidi" w:hAnsiTheme="majorBidi" w:cstheme="majorBidi"/>
                <w:b/>
              </w:rPr>
              <w:t>:</w:t>
            </w:r>
            <w:r w:rsidRPr="00C270C5" w:rsidR="00635154">
              <w:rPr>
                <w:rFonts w:asciiTheme="majorBidi" w:hAnsiTheme="majorBidi" w:cstheme="majorBidi"/>
                <w:b/>
                <w:bCs/>
              </w:rPr>
              <w:t xml:space="preserve"> </w:t>
            </w:r>
          </w:p>
        </w:tc>
        <w:tc>
          <w:tcPr>
            <w:tcW w:w="4050" w:type="pct"/>
            <w:vAlign w:val="center"/>
          </w:tcPr>
          <w:p w:rsidRPr="00970828" w:rsidR="00635154" w:rsidP="00635154" w:rsidRDefault="007E67C3" w14:paraId="663402FF" w14:textId="77777777">
            <w:pPr>
              <w:rPr>
                <w:rFonts w:asciiTheme="majorBidi" w:hAnsiTheme="majorBidi" w:cstheme="majorBidi"/>
                <w:b/>
              </w:rPr>
            </w:pPr>
            <w:r w:rsidRPr="00970828">
              <w:rPr>
                <w:rFonts w:asciiTheme="majorBidi" w:hAnsiTheme="majorBidi" w:cstheme="majorBidi"/>
                <w:b/>
              </w:rPr>
              <w:t>PRIA 4</w:t>
            </w:r>
          </w:p>
        </w:tc>
      </w:tr>
    </w:tbl>
    <w:p w:rsidRPr="00C270C5" w:rsidR="00FD318E" w:rsidP="008B7CCF" w:rsidRDefault="00FD318E" w14:paraId="3718B0ED" w14:textId="77777777">
      <w:pPr>
        <w:rPr>
          <w:rFonts w:asciiTheme="majorBidi" w:hAnsiTheme="majorBidi" w:cstheme="majorBidi"/>
        </w:rPr>
      </w:pPr>
    </w:p>
    <w:sectPr w:rsidRPr="00C270C5" w:rsidR="00FD318E" w:rsidSect="003F76E4">
      <w:headerReference w:type="default" r:id="rId20"/>
      <w:footerReference w:type="default" r:id="rId21"/>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F671E" w14:textId="77777777" w:rsidR="004432D8" w:rsidRDefault="004432D8" w:rsidP="00C47DDD">
      <w:r>
        <w:separator/>
      </w:r>
    </w:p>
  </w:endnote>
  <w:endnote w:type="continuationSeparator" w:id="0">
    <w:p w14:paraId="20C5140E" w14:textId="77777777" w:rsidR="004432D8" w:rsidRDefault="004432D8" w:rsidP="00C47DDD">
      <w:r>
        <w:continuationSeparator/>
      </w:r>
    </w:p>
  </w:endnote>
  <w:endnote w:type="continuationNotice" w:id="1">
    <w:p w14:paraId="49E6437E" w14:textId="77777777" w:rsidR="004432D8" w:rsidRDefault="00443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478374665"/>
      <w:docPartObj>
        <w:docPartGallery w:val="Page Numbers (Bottom of Page)"/>
        <w:docPartUnique/>
      </w:docPartObj>
    </w:sdtPr>
    <w:sdtEndPr/>
    <w:sdtContent>
      <w:sdt>
        <w:sdtPr>
          <w:rPr>
            <w:sz w:val="20"/>
            <w:szCs w:val="20"/>
          </w:rPr>
          <w:id w:val="-677729625"/>
          <w:docPartObj>
            <w:docPartGallery w:val="Page Numbers (Bottom of Page)"/>
            <w:docPartUnique/>
          </w:docPartObj>
        </w:sdtPr>
        <w:sdtEndPr/>
        <w:sdtContent>
          <w:sdt>
            <w:sdtPr>
              <w:rPr>
                <w:sz w:val="20"/>
                <w:szCs w:val="20"/>
              </w:rPr>
              <w:id w:val="712853151"/>
              <w:docPartObj>
                <w:docPartGallery w:val="Page Numbers (Top of Page)"/>
                <w:docPartUnique/>
              </w:docPartObj>
            </w:sdtPr>
            <w:sdtEndPr/>
            <w:sdtContent>
              <w:p w14:paraId="04EF13A8" w14:textId="4CBF9E64" w:rsidR="00C451A0" w:rsidRPr="00687496" w:rsidRDefault="00C451A0" w:rsidP="003F76E4">
                <w:pPr>
                  <w:pStyle w:val="Footer"/>
                  <w:spacing w:before="120"/>
                  <w:jc w:val="center"/>
                  <w:rPr>
                    <w:sz w:val="20"/>
                    <w:szCs w:val="20"/>
                  </w:rPr>
                </w:pPr>
                <w:r w:rsidRPr="005A59D5">
                  <w:rPr>
                    <w:sz w:val="20"/>
                    <w:szCs w:val="20"/>
                  </w:rPr>
                  <w:t xml:space="preserve">Page </w:t>
                </w:r>
                <w:r w:rsidRPr="005A59D5">
                  <w:rPr>
                    <w:bCs/>
                    <w:sz w:val="20"/>
                    <w:szCs w:val="20"/>
                  </w:rPr>
                  <w:fldChar w:fldCharType="begin"/>
                </w:r>
                <w:r w:rsidRPr="005A59D5">
                  <w:rPr>
                    <w:bCs/>
                    <w:sz w:val="20"/>
                    <w:szCs w:val="20"/>
                  </w:rPr>
                  <w:instrText xml:space="preserve"> PAGE </w:instrText>
                </w:r>
                <w:r w:rsidRPr="005A59D5">
                  <w:rPr>
                    <w:bCs/>
                    <w:sz w:val="20"/>
                    <w:szCs w:val="20"/>
                  </w:rPr>
                  <w:fldChar w:fldCharType="separate"/>
                </w:r>
                <w:r w:rsidR="00C445A3">
                  <w:rPr>
                    <w:bCs/>
                    <w:noProof/>
                    <w:sz w:val="20"/>
                    <w:szCs w:val="20"/>
                  </w:rPr>
                  <w:t>13</w:t>
                </w:r>
                <w:r w:rsidRPr="005A59D5">
                  <w:rPr>
                    <w:bCs/>
                    <w:sz w:val="20"/>
                    <w:szCs w:val="20"/>
                  </w:rPr>
                  <w:fldChar w:fldCharType="end"/>
                </w:r>
                <w:r w:rsidRPr="005A59D5">
                  <w:rPr>
                    <w:sz w:val="20"/>
                    <w:szCs w:val="20"/>
                  </w:rPr>
                  <w:t xml:space="preserve"> of </w:t>
                </w:r>
                <w:r w:rsidRPr="005A59D5">
                  <w:rPr>
                    <w:bCs/>
                    <w:sz w:val="20"/>
                    <w:szCs w:val="20"/>
                  </w:rPr>
                  <w:fldChar w:fldCharType="begin"/>
                </w:r>
                <w:r w:rsidRPr="005A59D5">
                  <w:rPr>
                    <w:bCs/>
                    <w:sz w:val="20"/>
                    <w:szCs w:val="20"/>
                  </w:rPr>
                  <w:instrText xml:space="preserve"> NUMPAGES  </w:instrText>
                </w:r>
                <w:r w:rsidRPr="005A59D5">
                  <w:rPr>
                    <w:bCs/>
                    <w:sz w:val="20"/>
                    <w:szCs w:val="20"/>
                  </w:rPr>
                  <w:fldChar w:fldCharType="separate"/>
                </w:r>
                <w:r w:rsidR="00C445A3">
                  <w:rPr>
                    <w:bCs/>
                    <w:noProof/>
                    <w:sz w:val="20"/>
                    <w:szCs w:val="20"/>
                  </w:rPr>
                  <w:t>13</w:t>
                </w:r>
                <w:r w:rsidRPr="005A59D5">
                  <w:rPr>
                    <w:bCs/>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42D15" w14:textId="77777777" w:rsidR="004432D8" w:rsidRDefault="004432D8" w:rsidP="00C47DDD">
      <w:r>
        <w:separator/>
      </w:r>
    </w:p>
  </w:footnote>
  <w:footnote w:type="continuationSeparator" w:id="0">
    <w:p w14:paraId="371C46E0" w14:textId="77777777" w:rsidR="004432D8" w:rsidRDefault="004432D8" w:rsidP="00C47DDD">
      <w:r>
        <w:continuationSeparator/>
      </w:r>
    </w:p>
  </w:footnote>
  <w:footnote w:type="continuationNotice" w:id="1">
    <w:p w14:paraId="3C3C5598" w14:textId="77777777" w:rsidR="004432D8" w:rsidRDefault="004432D8"/>
  </w:footnote>
  <w:footnote w:id="2">
    <w:p w14:paraId="0DA1F4C0" w14:textId="64ED6C02" w:rsidR="00175B7D" w:rsidRPr="00970828" w:rsidRDefault="00175B7D">
      <w:pPr>
        <w:pStyle w:val="FootnoteText"/>
      </w:pPr>
      <w:r>
        <w:rPr>
          <w:rStyle w:val="FootnoteReference"/>
        </w:rPr>
        <w:footnoteRef/>
      </w:r>
      <w:r>
        <w:t xml:space="preserve"> 12 data </w:t>
      </w:r>
      <w:r w:rsidRPr="00970828">
        <w:t>package submissions x $1,282/submission</w:t>
      </w:r>
    </w:p>
  </w:footnote>
  <w:footnote w:id="3">
    <w:p w14:paraId="254B01F2" w14:textId="1C3B05CA" w:rsidR="00AA68AB" w:rsidRDefault="00AA68AB">
      <w:pPr>
        <w:pStyle w:val="FootnoteText"/>
      </w:pPr>
      <w:r w:rsidRPr="00970828">
        <w:rPr>
          <w:rStyle w:val="FootnoteReference"/>
        </w:rPr>
        <w:footnoteRef/>
      </w:r>
      <w:r w:rsidRPr="00970828">
        <w:t xml:space="preserve"> 12 data package submissions x 14 hours/submission</w:t>
      </w:r>
    </w:p>
  </w:footnote>
  <w:footnote w:id="4">
    <w:p w14:paraId="49739F24" w14:textId="53A7EDA3" w:rsidR="00AA68AB" w:rsidRDefault="00AA68AB" w:rsidP="00AA68AB">
      <w:pPr>
        <w:pStyle w:val="FootnoteText"/>
      </w:pPr>
      <w:r w:rsidRPr="00970828">
        <w:rPr>
          <w:rStyle w:val="FootnoteReference"/>
        </w:rPr>
        <w:footnoteRef/>
      </w:r>
      <w:r w:rsidRPr="00970828">
        <w:t xml:space="preserve"> Fully loaded hourly labor wage rates are $121.72 for managerial labor, $72.01 for technical labor, and $40.93 for clerical labor.  See Attachment J of the New and Amended Pesticide Registration ICR for information on how fully loaded labor wage rates are calculated.</w:t>
      </w:r>
    </w:p>
  </w:footnote>
  <w:footnote w:id="5">
    <w:p w14:paraId="7416964A" w14:textId="11412458" w:rsidR="005B3D6D" w:rsidRDefault="005B3D6D">
      <w:pPr>
        <w:pStyle w:val="FootnoteText"/>
      </w:pPr>
      <w:r>
        <w:rPr>
          <w:rStyle w:val="FootnoteReference"/>
        </w:rPr>
        <w:footnoteRef/>
      </w:r>
      <w:r>
        <w:t xml:space="preserve"> </w:t>
      </w:r>
      <w:r w:rsidRPr="00396653">
        <w:rPr>
          <w:rFonts w:asciiTheme="majorBidi" w:hAnsiTheme="majorBidi" w:cstheme="majorBidi"/>
        </w:rPr>
        <w:t xml:space="preserve">2,080 hours/FTE </w:t>
      </w:r>
      <w:r>
        <w:rPr>
          <w:rFonts w:asciiTheme="majorBidi" w:hAnsiTheme="majorBidi" w:cstheme="majorBidi"/>
        </w:rPr>
        <w:t>x</w:t>
      </w:r>
      <w:r w:rsidRPr="00396653">
        <w:rPr>
          <w:rFonts w:asciiTheme="majorBidi" w:hAnsiTheme="majorBidi" w:cstheme="majorBidi"/>
        </w:rPr>
        <w:t xml:space="preserve"> 177 FTEs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EACE2" w14:textId="63EC63FE" w:rsidR="00C451A0" w:rsidRDefault="00F867A8" w:rsidP="00687496">
    <w:pPr>
      <w:pStyle w:val="Header"/>
      <w:jc w:val="right"/>
    </w:pPr>
    <w:r>
      <w:rPr>
        <w:sz w:val="20"/>
        <w:szCs w:val="20"/>
      </w:rPr>
      <w:t>January</w:t>
    </w:r>
    <w:r w:rsidR="00DD07ED">
      <w:rPr>
        <w:sz w:val="20"/>
        <w:szCs w:val="20"/>
      </w:rPr>
      <w:t xml:space="preserve"> 2</w:t>
    </w:r>
    <w:r>
      <w:rPr>
        <w:sz w:val="20"/>
        <w:szCs w:val="20"/>
      </w:rPr>
      <w:t>6</w:t>
    </w:r>
    <w:r w:rsidR="00C451A0">
      <w:rPr>
        <w:sz w:val="20"/>
        <w:szCs w:val="20"/>
      </w:rPr>
      <w:t>, 202</w:t>
    </w:r>
    <w:r>
      <w:rPr>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2EAB"/>
    <w:multiLevelType w:val="hybridMultilevel"/>
    <w:tmpl w:val="3AF0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61EA"/>
    <w:multiLevelType w:val="hybridMultilevel"/>
    <w:tmpl w:val="F76C7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31D5"/>
    <w:multiLevelType w:val="hybridMultilevel"/>
    <w:tmpl w:val="ED84A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8408D"/>
    <w:multiLevelType w:val="singleLevel"/>
    <w:tmpl w:val="32771255"/>
    <w:lvl w:ilvl="0">
      <w:start w:val="1"/>
      <w:numFmt w:val="decimal"/>
      <w:lvlText w:val="%1."/>
      <w:lvlJc w:val="left"/>
      <w:pPr>
        <w:tabs>
          <w:tab w:val="num" w:pos="1440"/>
        </w:tabs>
        <w:ind w:left="720"/>
      </w:pPr>
      <w:rPr>
        <w:color w:val="000000"/>
      </w:rPr>
    </w:lvl>
  </w:abstractNum>
  <w:abstractNum w:abstractNumId="4" w15:restartNumberingAfterBreak="0">
    <w:nsid w:val="0CB11FA8"/>
    <w:multiLevelType w:val="hybridMultilevel"/>
    <w:tmpl w:val="7294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60434"/>
    <w:multiLevelType w:val="hybridMultilevel"/>
    <w:tmpl w:val="18D87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30B33"/>
    <w:multiLevelType w:val="hybridMultilevel"/>
    <w:tmpl w:val="B31CC310"/>
    <w:lvl w:ilvl="0" w:tplc="59FA6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881730"/>
    <w:multiLevelType w:val="hybridMultilevel"/>
    <w:tmpl w:val="9A1208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8F4E3F"/>
    <w:multiLevelType w:val="hybridMultilevel"/>
    <w:tmpl w:val="092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F94023"/>
    <w:multiLevelType w:val="hybridMultilevel"/>
    <w:tmpl w:val="7DE06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1E058D"/>
    <w:multiLevelType w:val="hybridMultilevel"/>
    <w:tmpl w:val="F864C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10610"/>
    <w:multiLevelType w:val="hybridMultilevel"/>
    <w:tmpl w:val="13504528"/>
    <w:lvl w:ilvl="0" w:tplc="90CA068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5084C"/>
    <w:multiLevelType w:val="hybridMultilevel"/>
    <w:tmpl w:val="F9D06C30"/>
    <w:lvl w:ilvl="0" w:tplc="09A4213E">
      <w:start w:val="1"/>
      <w:numFmt w:val="bullet"/>
      <w:lvlText w:val="•"/>
      <w:lvlJc w:val="left"/>
      <w:pPr>
        <w:tabs>
          <w:tab w:val="num" w:pos="720"/>
        </w:tabs>
        <w:ind w:left="720" w:hanging="360"/>
      </w:pPr>
      <w:rPr>
        <w:rFonts w:ascii="Arial" w:hAnsi="Arial" w:hint="default"/>
      </w:rPr>
    </w:lvl>
    <w:lvl w:ilvl="1" w:tplc="9D44AE08">
      <w:numFmt w:val="bullet"/>
      <w:lvlText w:val="•"/>
      <w:lvlJc w:val="left"/>
      <w:pPr>
        <w:tabs>
          <w:tab w:val="num" w:pos="1440"/>
        </w:tabs>
        <w:ind w:left="1440" w:hanging="360"/>
      </w:pPr>
      <w:rPr>
        <w:rFonts w:ascii="Arial" w:hAnsi="Arial" w:hint="default"/>
      </w:rPr>
    </w:lvl>
    <w:lvl w:ilvl="2" w:tplc="E6804536" w:tentative="1">
      <w:start w:val="1"/>
      <w:numFmt w:val="bullet"/>
      <w:lvlText w:val="•"/>
      <w:lvlJc w:val="left"/>
      <w:pPr>
        <w:tabs>
          <w:tab w:val="num" w:pos="2160"/>
        </w:tabs>
        <w:ind w:left="2160" w:hanging="360"/>
      </w:pPr>
      <w:rPr>
        <w:rFonts w:ascii="Arial" w:hAnsi="Arial" w:hint="default"/>
      </w:rPr>
    </w:lvl>
    <w:lvl w:ilvl="3" w:tplc="A566A7A6" w:tentative="1">
      <w:start w:val="1"/>
      <w:numFmt w:val="bullet"/>
      <w:lvlText w:val="•"/>
      <w:lvlJc w:val="left"/>
      <w:pPr>
        <w:tabs>
          <w:tab w:val="num" w:pos="2880"/>
        </w:tabs>
        <w:ind w:left="2880" w:hanging="360"/>
      </w:pPr>
      <w:rPr>
        <w:rFonts w:ascii="Arial" w:hAnsi="Arial" w:hint="default"/>
      </w:rPr>
    </w:lvl>
    <w:lvl w:ilvl="4" w:tplc="FD9CFD7C" w:tentative="1">
      <w:start w:val="1"/>
      <w:numFmt w:val="bullet"/>
      <w:lvlText w:val="•"/>
      <w:lvlJc w:val="left"/>
      <w:pPr>
        <w:tabs>
          <w:tab w:val="num" w:pos="3600"/>
        </w:tabs>
        <w:ind w:left="3600" w:hanging="360"/>
      </w:pPr>
      <w:rPr>
        <w:rFonts w:ascii="Arial" w:hAnsi="Arial" w:hint="default"/>
      </w:rPr>
    </w:lvl>
    <w:lvl w:ilvl="5" w:tplc="285E17FA" w:tentative="1">
      <w:start w:val="1"/>
      <w:numFmt w:val="bullet"/>
      <w:lvlText w:val="•"/>
      <w:lvlJc w:val="left"/>
      <w:pPr>
        <w:tabs>
          <w:tab w:val="num" w:pos="4320"/>
        </w:tabs>
        <w:ind w:left="4320" w:hanging="360"/>
      </w:pPr>
      <w:rPr>
        <w:rFonts w:ascii="Arial" w:hAnsi="Arial" w:hint="default"/>
      </w:rPr>
    </w:lvl>
    <w:lvl w:ilvl="6" w:tplc="15FCA5A0" w:tentative="1">
      <w:start w:val="1"/>
      <w:numFmt w:val="bullet"/>
      <w:lvlText w:val="•"/>
      <w:lvlJc w:val="left"/>
      <w:pPr>
        <w:tabs>
          <w:tab w:val="num" w:pos="5040"/>
        </w:tabs>
        <w:ind w:left="5040" w:hanging="360"/>
      </w:pPr>
      <w:rPr>
        <w:rFonts w:ascii="Arial" w:hAnsi="Arial" w:hint="default"/>
      </w:rPr>
    </w:lvl>
    <w:lvl w:ilvl="7" w:tplc="56E03600" w:tentative="1">
      <w:start w:val="1"/>
      <w:numFmt w:val="bullet"/>
      <w:lvlText w:val="•"/>
      <w:lvlJc w:val="left"/>
      <w:pPr>
        <w:tabs>
          <w:tab w:val="num" w:pos="5760"/>
        </w:tabs>
        <w:ind w:left="5760" w:hanging="360"/>
      </w:pPr>
      <w:rPr>
        <w:rFonts w:ascii="Arial" w:hAnsi="Arial" w:hint="default"/>
      </w:rPr>
    </w:lvl>
    <w:lvl w:ilvl="8" w:tplc="1FC65E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6193D"/>
    <w:multiLevelType w:val="hybridMultilevel"/>
    <w:tmpl w:val="640471D8"/>
    <w:lvl w:ilvl="0" w:tplc="F5600A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BC5D3B"/>
    <w:multiLevelType w:val="hybridMultilevel"/>
    <w:tmpl w:val="BF70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3751A"/>
    <w:multiLevelType w:val="hybridMultilevel"/>
    <w:tmpl w:val="10445BB0"/>
    <w:lvl w:ilvl="0" w:tplc="FDF67E2C">
      <w:start w:val="1"/>
      <w:numFmt w:val="bullet"/>
      <w:lvlText w:val=""/>
      <w:lvlJc w:val="left"/>
      <w:pPr>
        <w:ind w:left="1080" w:hanging="360"/>
      </w:pPr>
      <w:rPr>
        <w:rFonts w:ascii="Symbol"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676350"/>
    <w:multiLevelType w:val="hybridMultilevel"/>
    <w:tmpl w:val="0B3EBA38"/>
    <w:lvl w:ilvl="0" w:tplc="09345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44821"/>
    <w:multiLevelType w:val="hybridMultilevel"/>
    <w:tmpl w:val="A79CB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8F2707"/>
    <w:multiLevelType w:val="hybridMultilevel"/>
    <w:tmpl w:val="BCDCE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5F37041"/>
    <w:multiLevelType w:val="hybridMultilevel"/>
    <w:tmpl w:val="110E8E2C"/>
    <w:lvl w:ilvl="0" w:tplc="064E17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3311A6"/>
    <w:multiLevelType w:val="hybridMultilevel"/>
    <w:tmpl w:val="0EDC6D88"/>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690D20"/>
    <w:multiLevelType w:val="multilevel"/>
    <w:tmpl w:val="4E8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954E9"/>
    <w:multiLevelType w:val="hybridMultilevel"/>
    <w:tmpl w:val="4886D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A90288"/>
    <w:multiLevelType w:val="hybridMultilevel"/>
    <w:tmpl w:val="6ECC12DE"/>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B6C5DBC"/>
    <w:multiLevelType w:val="multilevel"/>
    <w:tmpl w:val="7980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86495B"/>
    <w:multiLevelType w:val="hybridMultilevel"/>
    <w:tmpl w:val="7078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313D7F"/>
    <w:multiLevelType w:val="hybridMultilevel"/>
    <w:tmpl w:val="40D4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14521"/>
    <w:multiLevelType w:val="hybridMultilevel"/>
    <w:tmpl w:val="915E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90B39"/>
    <w:multiLevelType w:val="hybridMultilevel"/>
    <w:tmpl w:val="017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22BAB"/>
    <w:multiLevelType w:val="hybridMultilevel"/>
    <w:tmpl w:val="B11605A6"/>
    <w:lvl w:ilvl="0" w:tplc="87C2950E">
      <w:start w:val="1"/>
      <w:numFmt w:val="decimal"/>
      <w:lvlText w:val="(%1)"/>
      <w:lvlJc w:val="left"/>
      <w:pPr>
        <w:ind w:left="726" w:hanging="51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0" w15:restartNumberingAfterBreak="0">
    <w:nsid w:val="5BDF4AA7"/>
    <w:multiLevelType w:val="hybridMultilevel"/>
    <w:tmpl w:val="A81A9206"/>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EA4122"/>
    <w:multiLevelType w:val="hybridMultilevel"/>
    <w:tmpl w:val="E9CE0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B3C35"/>
    <w:multiLevelType w:val="hybridMultilevel"/>
    <w:tmpl w:val="DBF0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C59A9"/>
    <w:multiLevelType w:val="hybridMultilevel"/>
    <w:tmpl w:val="E59AF7AA"/>
    <w:lvl w:ilvl="0" w:tplc="87C295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16BF1"/>
    <w:multiLevelType w:val="hybridMultilevel"/>
    <w:tmpl w:val="EB26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F7B81"/>
    <w:multiLevelType w:val="hybridMultilevel"/>
    <w:tmpl w:val="9EA00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B2058FD"/>
    <w:multiLevelType w:val="hybridMultilevel"/>
    <w:tmpl w:val="3730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C6035C"/>
    <w:multiLevelType w:val="hybridMultilevel"/>
    <w:tmpl w:val="FB42C2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E11189"/>
    <w:multiLevelType w:val="hybridMultilevel"/>
    <w:tmpl w:val="D1BA6686"/>
    <w:lvl w:ilvl="0" w:tplc="14BA6D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7D72C0"/>
    <w:multiLevelType w:val="hybridMultilevel"/>
    <w:tmpl w:val="1C868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3"/>
  </w:num>
  <w:num w:numId="3">
    <w:abstractNumId w:val="23"/>
  </w:num>
  <w:num w:numId="4">
    <w:abstractNumId w:val="7"/>
  </w:num>
  <w:num w:numId="5">
    <w:abstractNumId w:val="0"/>
  </w:num>
  <w:num w:numId="6">
    <w:abstractNumId w:val="37"/>
  </w:num>
  <w:num w:numId="7">
    <w:abstractNumId w:val="18"/>
  </w:num>
  <w:num w:numId="8">
    <w:abstractNumId w:val="11"/>
  </w:num>
  <w:num w:numId="9">
    <w:abstractNumId w:val="25"/>
  </w:num>
  <w:num w:numId="10">
    <w:abstractNumId w:val="39"/>
  </w:num>
  <w:num w:numId="11">
    <w:abstractNumId w:val="35"/>
  </w:num>
  <w:num w:numId="12">
    <w:abstractNumId w:val="9"/>
  </w:num>
  <w:num w:numId="13">
    <w:abstractNumId w:val="22"/>
  </w:num>
  <w:num w:numId="14">
    <w:abstractNumId w:val="8"/>
  </w:num>
  <w:num w:numId="15">
    <w:abstractNumId w:val="17"/>
  </w:num>
  <w:num w:numId="16">
    <w:abstractNumId w:val="5"/>
  </w:num>
  <w:num w:numId="17">
    <w:abstractNumId w:val="21"/>
  </w:num>
  <w:num w:numId="18">
    <w:abstractNumId w:val="1"/>
  </w:num>
  <w:num w:numId="19">
    <w:abstractNumId w:val="27"/>
  </w:num>
  <w:num w:numId="20">
    <w:abstractNumId w:val="31"/>
  </w:num>
  <w:num w:numId="21">
    <w:abstractNumId w:val="15"/>
  </w:num>
  <w:num w:numId="22">
    <w:abstractNumId w:val="2"/>
  </w:num>
  <w:num w:numId="23">
    <w:abstractNumId w:val="29"/>
  </w:num>
  <w:num w:numId="24">
    <w:abstractNumId w:val="4"/>
  </w:num>
  <w:num w:numId="25">
    <w:abstractNumId w:val="30"/>
  </w:num>
  <w:num w:numId="26">
    <w:abstractNumId w:val="20"/>
  </w:num>
  <w:num w:numId="27">
    <w:abstractNumId w:val="24"/>
  </w:num>
  <w:num w:numId="28">
    <w:abstractNumId w:val="28"/>
  </w:num>
  <w:num w:numId="29">
    <w:abstractNumId w:val="10"/>
  </w:num>
  <w:num w:numId="30">
    <w:abstractNumId w:val="26"/>
  </w:num>
  <w:num w:numId="31">
    <w:abstractNumId w:val="16"/>
  </w:num>
  <w:num w:numId="32">
    <w:abstractNumId w:val="38"/>
  </w:num>
  <w:num w:numId="33">
    <w:abstractNumId w:val="34"/>
  </w:num>
  <w:num w:numId="34">
    <w:abstractNumId w:val="36"/>
  </w:num>
  <w:num w:numId="35">
    <w:abstractNumId w:val="14"/>
  </w:num>
  <w:num w:numId="36">
    <w:abstractNumId w:val="13"/>
  </w:num>
  <w:num w:numId="37">
    <w:abstractNumId w:val="6"/>
  </w:num>
  <w:num w:numId="38">
    <w:abstractNumId w:val="32"/>
  </w:num>
  <w:num w:numId="39">
    <w:abstractNumId w:val="33"/>
  </w:num>
  <w:num w:numId="40">
    <w:abstractNumId w:val="24"/>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NDA2NjI0NzMyNzNQ0lEKTi0uzszPAykwrAUAfO+1SywAAAA="/>
  </w:docVars>
  <w:rsids>
    <w:rsidRoot w:val="00C47DDD"/>
    <w:rsid w:val="00000081"/>
    <w:rsid w:val="00004097"/>
    <w:rsid w:val="0002030C"/>
    <w:rsid w:val="00020447"/>
    <w:rsid w:val="00021B93"/>
    <w:rsid w:val="00022786"/>
    <w:rsid w:val="00024363"/>
    <w:rsid w:val="00025BE6"/>
    <w:rsid w:val="0002771E"/>
    <w:rsid w:val="00027994"/>
    <w:rsid w:val="00027D2B"/>
    <w:rsid w:val="000307B9"/>
    <w:rsid w:val="00030BE9"/>
    <w:rsid w:val="00030E51"/>
    <w:rsid w:val="00031A07"/>
    <w:rsid w:val="00031CC2"/>
    <w:rsid w:val="00032146"/>
    <w:rsid w:val="000325E0"/>
    <w:rsid w:val="00032D2E"/>
    <w:rsid w:val="000368AC"/>
    <w:rsid w:val="00036CB3"/>
    <w:rsid w:val="00036EAB"/>
    <w:rsid w:val="00040626"/>
    <w:rsid w:val="00040EB7"/>
    <w:rsid w:val="00041563"/>
    <w:rsid w:val="00041663"/>
    <w:rsid w:val="00041DD1"/>
    <w:rsid w:val="0004228A"/>
    <w:rsid w:val="000438C1"/>
    <w:rsid w:val="000439E0"/>
    <w:rsid w:val="00043C33"/>
    <w:rsid w:val="00044760"/>
    <w:rsid w:val="00045CDD"/>
    <w:rsid w:val="000467E5"/>
    <w:rsid w:val="00046A6E"/>
    <w:rsid w:val="00047734"/>
    <w:rsid w:val="00047CFB"/>
    <w:rsid w:val="00047E0F"/>
    <w:rsid w:val="00050117"/>
    <w:rsid w:val="00050AE3"/>
    <w:rsid w:val="00050B42"/>
    <w:rsid w:val="00051BF8"/>
    <w:rsid w:val="00052697"/>
    <w:rsid w:val="00053E05"/>
    <w:rsid w:val="00054872"/>
    <w:rsid w:val="00054D06"/>
    <w:rsid w:val="00055083"/>
    <w:rsid w:val="00055CEA"/>
    <w:rsid w:val="00056AD9"/>
    <w:rsid w:val="00057838"/>
    <w:rsid w:val="00061124"/>
    <w:rsid w:val="00062274"/>
    <w:rsid w:val="0006236F"/>
    <w:rsid w:val="00062CB6"/>
    <w:rsid w:val="00062E6F"/>
    <w:rsid w:val="00064F7C"/>
    <w:rsid w:val="00064FAF"/>
    <w:rsid w:val="00065831"/>
    <w:rsid w:val="00067701"/>
    <w:rsid w:val="000707A5"/>
    <w:rsid w:val="00070C8D"/>
    <w:rsid w:val="000716E6"/>
    <w:rsid w:val="00073056"/>
    <w:rsid w:val="00073CA1"/>
    <w:rsid w:val="00073E98"/>
    <w:rsid w:val="000761E2"/>
    <w:rsid w:val="00077EF0"/>
    <w:rsid w:val="000805A5"/>
    <w:rsid w:val="00082DA0"/>
    <w:rsid w:val="00085230"/>
    <w:rsid w:val="00086126"/>
    <w:rsid w:val="000867C5"/>
    <w:rsid w:val="00086D01"/>
    <w:rsid w:val="0008759F"/>
    <w:rsid w:val="00090DF2"/>
    <w:rsid w:val="000913BE"/>
    <w:rsid w:val="00091D5D"/>
    <w:rsid w:val="00094EF7"/>
    <w:rsid w:val="0009736B"/>
    <w:rsid w:val="000A16A8"/>
    <w:rsid w:val="000A20A1"/>
    <w:rsid w:val="000A260C"/>
    <w:rsid w:val="000A2711"/>
    <w:rsid w:val="000A2E92"/>
    <w:rsid w:val="000A456C"/>
    <w:rsid w:val="000A6BB1"/>
    <w:rsid w:val="000A6BEF"/>
    <w:rsid w:val="000B004F"/>
    <w:rsid w:val="000B00BD"/>
    <w:rsid w:val="000B0760"/>
    <w:rsid w:val="000B5081"/>
    <w:rsid w:val="000B6821"/>
    <w:rsid w:val="000C0E10"/>
    <w:rsid w:val="000C0E8E"/>
    <w:rsid w:val="000C258B"/>
    <w:rsid w:val="000C2CD5"/>
    <w:rsid w:val="000C2E2C"/>
    <w:rsid w:val="000C3135"/>
    <w:rsid w:val="000C430E"/>
    <w:rsid w:val="000C4DA9"/>
    <w:rsid w:val="000D0938"/>
    <w:rsid w:val="000D2E49"/>
    <w:rsid w:val="000D32D1"/>
    <w:rsid w:val="000D359F"/>
    <w:rsid w:val="000D369B"/>
    <w:rsid w:val="000D678A"/>
    <w:rsid w:val="000E19D5"/>
    <w:rsid w:val="000E37D2"/>
    <w:rsid w:val="000E390C"/>
    <w:rsid w:val="000E43FA"/>
    <w:rsid w:val="000E5882"/>
    <w:rsid w:val="000E5B09"/>
    <w:rsid w:val="000E6472"/>
    <w:rsid w:val="000F215D"/>
    <w:rsid w:val="000F2654"/>
    <w:rsid w:val="000F35FE"/>
    <w:rsid w:val="000F38CF"/>
    <w:rsid w:val="000F6B66"/>
    <w:rsid w:val="00100DFB"/>
    <w:rsid w:val="00101CF2"/>
    <w:rsid w:val="00105B10"/>
    <w:rsid w:val="00105D34"/>
    <w:rsid w:val="00107870"/>
    <w:rsid w:val="00110041"/>
    <w:rsid w:val="001106E3"/>
    <w:rsid w:val="00110D43"/>
    <w:rsid w:val="00111428"/>
    <w:rsid w:val="00111DFD"/>
    <w:rsid w:val="00113037"/>
    <w:rsid w:val="0011371E"/>
    <w:rsid w:val="00113DF1"/>
    <w:rsid w:val="001144FE"/>
    <w:rsid w:val="00115901"/>
    <w:rsid w:val="00121FBC"/>
    <w:rsid w:val="00122867"/>
    <w:rsid w:val="00124475"/>
    <w:rsid w:val="00124501"/>
    <w:rsid w:val="001254B1"/>
    <w:rsid w:val="001254BE"/>
    <w:rsid w:val="001259C4"/>
    <w:rsid w:val="00131D6C"/>
    <w:rsid w:val="0013201F"/>
    <w:rsid w:val="001333F1"/>
    <w:rsid w:val="00133A34"/>
    <w:rsid w:val="00135A54"/>
    <w:rsid w:val="0014074C"/>
    <w:rsid w:val="00141191"/>
    <w:rsid w:val="00141E89"/>
    <w:rsid w:val="001422CD"/>
    <w:rsid w:val="00142E94"/>
    <w:rsid w:val="001432C4"/>
    <w:rsid w:val="0014535C"/>
    <w:rsid w:val="0015132A"/>
    <w:rsid w:val="00151AEC"/>
    <w:rsid w:val="00152185"/>
    <w:rsid w:val="00152295"/>
    <w:rsid w:val="00153B4D"/>
    <w:rsid w:val="00154B6C"/>
    <w:rsid w:val="0015567E"/>
    <w:rsid w:val="001578B2"/>
    <w:rsid w:val="00160314"/>
    <w:rsid w:val="001616D7"/>
    <w:rsid w:val="0016260F"/>
    <w:rsid w:val="00162E01"/>
    <w:rsid w:val="00163D90"/>
    <w:rsid w:val="00164E16"/>
    <w:rsid w:val="001664A0"/>
    <w:rsid w:val="00167170"/>
    <w:rsid w:val="00171AF0"/>
    <w:rsid w:val="00173D77"/>
    <w:rsid w:val="001752A0"/>
    <w:rsid w:val="0017544C"/>
    <w:rsid w:val="00175B7D"/>
    <w:rsid w:val="001761AA"/>
    <w:rsid w:val="00181061"/>
    <w:rsid w:val="00181384"/>
    <w:rsid w:val="00182959"/>
    <w:rsid w:val="00182D87"/>
    <w:rsid w:val="00184006"/>
    <w:rsid w:val="0018422A"/>
    <w:rsid w:val="001846B1"/>
    <w:rsid w:val="00184E0C"/>
    <w:rsid w:val="001852FE"/>
    <w:rsid w:val="001857CB"/>
    <w:rsid w:val="00185821"/>
    <w:rsid w:val="00186403"/>
    <w:rsid w:val="001866EF"/>
    <w:rsid w:val="00187D04"/>
    <w:rsid w:val="00190AAE"/>
    <w:rsid w:val="001914E4"/>
    <w:rsid w:val="00192AD8"/>
    <w:rsid w:val="00193014"/>
    <w:rsid w:val="001943DE"/>
    <w:rsid w:val="00194E86"/>
    <w:rsid w:val="00195C89"/>
    <w:rsid w:val="00195D5F"/>
    <w:rsid w:val="001963DA"/>
    <w:rsid w:val="00196BAF"/>
    <w:rsid w:val="00197A26"/>
    <w:rsid w:val="001A2D0C"/>
    <w:rsid w:val="001A38E7"/>
    <w:rsid w:val="001A5C9F"/>
    <w:rsid w:val="001B07A3"/>
    <w:rsid w:val="001B0C31"/>
    <w:rsid w:val="001B13E8"/>
    <w:rsid w:val="001B19E6"/>
    <w:rsid w:val="001B1E32"/>
    <w:rsid w:val="001B1FFA"/>
    <w:rsid w:val="001B2398"/>
    <w:rsid w:val="001B3D5F"/>
    <w:rsid w:val="001B4E7F"/>
    <w:rsid w:val="001B526F"/>
    <w:rsid w:val="001B639E"/>
    <w:rsid w:val="001C1C8F"/>
    <w:rsid w:val="001C21FD"/>
    <w:rsid w:val="001C22B9"/>
    <w:rsid w:val="001C44AA"/>
    <w:rsid w:val="001C4D7E"/>
    <w:rsid w:val="001C4ED6"/>
    <w:rsid w:val="001C5E58"/>
    <w:rsid w:val="001C7096"/>
    <w:rsid w:val="001C7F02"/>
    <w:rsid w:val="001D0832"/>
    <w:rsid w:val="001D122E"/>
    <w:rsid w:val="001D30BF"/>
    <w:rsid w:val="001D339B"/>
    <w:rsid w:val="001D3F10"/>
    <w:rsid w:val="001D52A6"/>
    <w:rsid w:val="001D766A"/>
    <w:rsid w:val="001E057B"/>
    <w:rsid w:val="001E0CC8"/>
    <w:rsid w:val="001E1DD8"/>
    <w:rsid w:val="001E1EC1"/>
    <w:rsid w:val="001E1F3C"/>
    <w:rsid w:val="001E1FC5"/>
    <w:rsid w:val="001E2B7F"/>
    <w:rsid w:val="001E377A"/>
    <w:rsid w:val="001E3C03"/>
    <w:rsid w:val="001E4A66"/>
    <w:rsid w:val="001E50BC"/>
    <w:rsid w:val="001E51E9"/>
    <w:rsid w:val="001E747C"/>
    <w:rsid w:val="001E7C18"/>
    <w:rsid w:val="001E7CAB"/>
    <w:rsid w:val="001E7D32"/>
    <w:rsid w:val="001F0A45"/>
    <w:rsid w:val="001F0B8F"/>
    <w:rsid w:val="001F192E"/>
    <w:rsid w:val="001F216E"/>
    <w:rsid w:val="001F3A27"/>
    <w:rsid w:val="001F4F67"/>
    <w:rsid w:val="001F584A"/>
    <w:rsid w:val="001F6F6E"/>
    <w:rsid w:val="001F7B86"/>
    <w:rsid w:val="002004E1"/>
    <w:rsid w:val="0020093F"/>
    <w:rsid w:val="0020138B"/>
    <w:rsid w:val="002021BF"/>
    <w:rsid w:val="00202BD1"/>
    <w:rsid w:val="00203F9F"/>
    <w:rsid w:val="00204BEE"/>
    <w:rsid w:val="0020630C"/>
    <w:rsid w:val="002103BE"/>
    <w:rsid w:val="00210D34"/>
    <w:rsid w:val="00210DE1"/>
    <w:rsid w:val="0021119C"/>
    <w:rsid w:val="00211C9E"/>
    <w:rsid w:val="00211F43"/>
    <w:rsid w:val="0021329B"/>
    <w:rsid w:val="002136E5"/>
    <w:rsid w:val="00213736"/>
    <w:rsid w:val="00213EEB"/>
    <w:rsid w:val="002155D4"/>
    <w:rsid w:val="00216001"/>
    <w:rsid w:val="00216AA7"/>
    <w:rsid w:val="002179F8"/>
    <w:rsid w:val="00217ADE"/>
    <w:rsid w:val="002223BB"/>
    <w:rsid w:val="002235ED"/>
    <w:rsid w:val="0022480B"/>
    <w:rsid w:val="00225E9F"/>
    <w:rsid w:val="00232306"/>
    <w:rsid w:val="002328C1"/>
    <w:rsid w:val="00233734"/>
    <w:rsid w:val="0023430D"/>
    <w:rsid w:val="00234FDB"/>
    <w:rsid w:val="002373EE"/>
    <w:rsid w:val="0024623D"/>
    <w:rsid w:val="002472E5"/>
    <w:rsid w:val="00250AB0"/>
    <w:rsid w:val="002518D6"/>
    <w:rsid w:val="00254C95"/>
    <w:rsid w:val="00255DA4"/>
    <w:rsid w:val="00256B9A"/>
    <w:rsid w:val="00257A3A"/>
    <w:rsid w:val="002620E3"/>
    <w:rsid w:val="0026296E"/>
    <w:rsid w:val="00265247"/>
    <w:rsid w:val="0026668C"/>
    <w:rsid w:val="00270A05"/>
    <w:rsid w:val="00271612"/>
    <w:rsid w:val="00272CD6"/>
    <w:rsid w:val="00272E88"/>
    <w:rsid w:val="002737A4"/>
    <w:rsid w:val="0027509D"/>
    <w:rsid w:val="002755D5"/>
    <w:rsid w:val="00275F49"/>
    <w:rsid w:val="00275FFE"/>
    <w:rsid w:val="00277501"/>
    <w:rsid w:val="00280076"/>
    <w:rsid w:val="00280389"/>
    <w:rsid w:val="002812C7"/>
    <w:rsid w:val="00281A6D"/>
    <w:rsid w:val="00281C62"/>
    <w:rsid w:val="00282F4B"/>
    <w:rsid w:val="002834D2"/>
    <w:rsid w:val="00283E1E"/>
    <w:rsid w:val="002860AB"/>
    <w:rsid w:val="00287E6E"/>
    <w:rsid w:val="00290DB6"/>
    <w:rsid w:val="002911EC"/>
    <w:rsid w:val="0029163A"/>
    <w:rsid w:val="00291F4C"/>
    <w:rsid w:val="00291F99"/>
    <w:rsid w:val="00292742"/>
    <w:rsid w:val="00292C0F"/>
    <w:rsid w:val="002930DA"/>
    <w:rsid w:val="002939DD"/>
    <w:rsid w:val="00293C54"/>
    <w:rsid w:val="00295F92"/>
    <w:rsid w:val="00296057"/>
    <w:rsid w:val="00296E8C"/>
    <w:rsid w:val="002A1D7F"/>
    <w:rsid w:val="002A2D2D"/>
    <w:rsid w:val="002A37EE"/>
    <w:rsid w:val="002A5AFB"/>
    <w:rsid w:val="002A5CF2"/>
    <w:rsid w:val="002A5F83"/>
    <w:rsid w:val="002B2748"/>
    <w:rsid w:val="002B39B0"/>
    <w:rsid w:val="002B4B11"/>
    <w:rsid w:val="002B543E"/>
    <w:rsid w:val="002B5EC1"/>
    <w:rsid w:val="002B664D"/>
    <w:rsid w:val="002B68A6"/>
    <w:rsid w:val="002B6C86"/>
    <w:rsid w:val="002B6DB4"/>
    <w:rsid w:val="002B7493"/>
    <w:rsid w:val="002C0A7C"/>
    <w:rsid w:val="002C12F1"/>
    <w:rsid w:val="002C1486"/>
    <w:rsid w:val="002C278C"/>
    <w:rsid w:val="002C28F6"/>
    <w:rsid w:val="002C31FC"/>
    <w:rsid w:val="002C39BD"/>
    <w:rsid w:val="002C4420"/>
    <w:rsid w:val="002C70D1"/>
    <w:rsid w:val="002D0E9E"/>
    <w:rsid w:val="002D279A"/>
    <w:rsid w:val="002D4303"/>
    <w:rsid w:val="002D4F5F"/>
    <w:rsid w:val="002D5D4C"/>
    <w:rsid w:val="002D6477"/>
    <w:rsid w:val="002E006B"/>
    <w:rsid w:val="002E04F7"/>
    <w:rsid w:val="002E06AC"/>
    <w:rsid w:val="002E17CA"/>
    <w:rsid w:val="002E1C9B"/>
    <w:rsid w:val="002E23C7"/>
    <w:rsid w:val="002E27D2"/>
    <w:rsid w:val="002E2D21"/>
    <w:rsid w:val="002E3821"/>
    <w:rsid w:val="002E3CBA"/>
    <w:rsid w:val="002E416F"/>
    <w:rsid w:val="002E68BD"/>
    <w:rsid w:val="002E6A5D"/>
    <w:rsid w:val="002E6DB4"/>
    <w:rsid w:val="002E6F41"/>
    <w:rsid w:val="002E7605"/>
    <w:rsid w:val="002E7AF3"/>
    <w:rsid w:val="002E7F8B"/>
    <w:rsid w:val="002F052E"/>
    <w:rsid w:val="002F15CC"/>
    <w:rsid w:val="002F4016"/>
    <w:rsid w:val="002F69F7"/>
    <w:rsid w:val="00300CF6"/>
    <w:rsid w:val="00301FE6"/>
    <w:rsid w:val="0030369B"/>
    <w:rsid w:val="00303A80"/>
    <w:rsid w:val="003041F2"/>
    <w:rsid w:val="0030484E"/>
    <w:rsid w:val="00305C34"/>
    <w:rsid w:val="003062E9"/>
    <w:rsid w:val="003075A0"/>
    <w:rsid w:val="00307E52"/>
    <w:rsid w:val="00310DDA"/>
    <w:rsid w:val="00312ACF"/>
    <w:rsid w:val="00312FD9"/>
    <w:rsid w:val="00314BAC"/>
    <w:rsid w:val="003176E4"/>
    <w:rsid w:val="00317955"/>
    <w:rsid w:val="003200FC"/>
    <w:rsid w:val="0032048D"/>
    <w:rsid w:val="003206A1"/>
    <w:rsid w:val="00320F2D"/>
    <w:rsid w:val="00322D54"/>
    <w:rsid w:val="00322D9E"/>
    <w:rsid w:val="00322EC1"/>
    <w:rsid w:val="0032322A"/>
    <w:rsid w:val="00325E82"/>
    <w:rsid w:val="00326872"/>
    <w:rsid w:val="0032731F"/>
    <w:rsid w:val="00331699"/>
    <w:rsid w:val="003319DB"/>
    <w:rsid w:val="0033256D"/>
    <w:rsid w:val="00332A17"/>
    <w:rsid w:val="003338A5"/>
    <w:rsid w:val="00333BCE"/>
    <w:rsid w:val="00333F21"/>
    <w:rsid w:val="003346CF"/>
    <w:rsid w:val="00334F32"/>
    <w:rsid w:val="00337019"/>
    <w:rsid w:val="00337EAD"/>
    <w:rsid w:val="00340017"/>
    <w:rsid w:val="0034069A"/>
    <w:rsid w:val="00340B4D"/>
    <w:rsid w:val="00341011"/>
    <w:rsid w:val="00342E7A"/>
    <w:rsid w:val="00344304"/>
    <w:rsid w:val="00344F00"/>
    <w:rsid w:val="003465CC"/>
    <w:rsid w:val="00351727"/>
    <w:rsid w:val="00351E14"/>
    <w:rsid w:val="003526C0"/>
    <w:rsid w:val="0035365B"/>
    <w:rsid w:val="00356C46"/>
    <w:rsid w:val="003573D3"/>
    <w:rsid w:val="003576E8"/>
    <w:rsid w:val="00357AC6"/>
    <w:rsid w:val="003626ED"/>
    <w:rsid w:val="00362E04"/>
    <w:rsid w:val="003632F6"/>
    <w:rsid w:val="00364DDC"/>
    <w:rsid w:val="00364FD9"/>
    <w:rsid w:val="00365D44"/>
    <w:rsid w:val="003671E1"/>
    <w:rsid w:val="00367668"/>
    <w:rsid w:val="00367AFA"/>
    <w:rsid w:val="00370916"/>
    <w:rsid w:val="00371177"/>
    <w:rsid w:val="00372654"/>
    <w:rsid w:val="00372B13"/>
    <w:rsid w:val="0037435F"/>
    <w:rsid w:val="00375BC1"/>
    <w:rsid w:val="003804C2"/>
    <w:rsid w:val="00381D02"/>
    <w:rsid w:val="00384A73"/>
    <w:rsid w:val="00384D22"/>
    <w:rsid w:val="00385035"/>
    <w:rsid w:val="00393228"/>
    <w:rsid w:val="00393DC7"/>
    <w:rsid w:val="00395815"/>
    <w:rsid w:val="00395F6B"/>
    <w:rsid w:val="00396653"/>
    <w:rsid w:val="003A1485"/>
    <w:rsid w:val="003A1A85"/>
    <w:rsid w:val="003A1DDE"/>
    <w:rsid w:val="003A1F2B"/>
    <w:rsid w:val="003A3432"/>
    <w:rsid w:val="003A3C64"/>
    <w:rsid w:val="003A6619"/>
    <w:rsid w:val="003A6E9A"/>
    <w:rsid w:val="003A6F3A"/>
    <w:rsid w:val="003A7497"/>
    <w:rsid w:val="003B2DF6"/>
    <w:rsid w:val="003B2F59"/>
    <w:rsid w:val="003B371A"/>
    <w:rsid w:val="003B3EB4"/>
    <w:rsid w:val="003B5E29"/>
    <w:rsid w:val="003B6361"/>
    <w:rsid w:val="003C0031"/>
    <w:rsid w:val="003C11A2"/>
    <w:rsid w:val="003C222F"/>
    <w:rsid w:val="003C3BAF"/>
    <w:rsid w:val="003C7DA2"/>
    <w:rsid w:val="003D0192"/>
    <w:rsid w:val="003D0617"/>
    <w:rsid w:val="003D16EF"/>
    <w:rsid w:val="003D1DBF"/>
    <w:rsid w:val="003D2A57"/>
    <w:rsid w:val="003D2DE9"/>
    <w:rsid w:val="003D31D0"/>
    <w:rsid w:val="003D3AE8"/>
    <w:rsid w:val="003D3DBA"/>
    <w:rsid w:val="003D43AD"/>
    <w:rsid w:val="003D4F49"/>
    <w:rsid w:val="003D54AD"/>
    <w:rsid w:val="003D7B3D"/>
    <w:rsid w:val="003E27E8"/>
    <w:rsid w:val="003E2C2B"/>
    <w:rsid w:val="003E3CC0"/>
    <w:rsid w:val="003E3E7A"/>
    <w:rsid w:val="003E691C"/>
    <w:rsid w:val="003F09F8"/>
    <w:rsid w:val="003F0E9A"/>
    <w:rsid w:val="003F2D78"/>
    <w:rsid w:val="003F30F6"/>
    <w:rsid w:val="003F3824"/>
    <w:rsid w:val="003F393A"/>
    <w:rsid w:val="003F61F4"/>
    <w:rsid w:val="003F6689"/>
    <w:rsid w:val="003F76E4"/>
    <w:rsid w:val="00400AD8"/>
    <w:rsid w:val="004021AF"/>
    <w:rsid w:val="0040421E"/>
    <w:rsid w:val="004049F6"/>
    <w:rsid w:val="004054ED"/>
    <w:rsid w:val="00405556"/>
    <w:rsid w:val="0040561A"/>
    <w:rsid w:val="004060D1"/>
    <w:rsid w:val="00406620"/>
    <w:rsid w:val="004074D7"/>
    <w:rsid w:val="00410217"/>
    <w:rsid w:val="00410944"/>
    <w:rsid w:val="00412F50"/>
    <w:rsid w:val="00413B25"/>
    <w:rsid w:val="004147EA"/>
    <w:rsid w:val="00414DBC"/>
    <w:rsid w:val="00414DDC"/>
    <w:rsid w:val="00414E35"/>
    <w:rsid w:val="004150FB"/>
    <w:rsid w:val="004157BB"/>
    <w:rsid w:val="004159E3"/>
    <w:rsid w:val="00416019"/>
    <w:rsid w:val="00420054"/>
    <w:rsid w:val="00420214"/>
    <w:rsid w:val="00420413"/>
    <w:rsid w:val="00421A03"/>
    <w:rsid w:val="00423CF3"/>
    <w:rsid w:val="004241B6"/>
    <w:rsid w:val="00425F2E"/>
    <w:rsid w:val="00426211"/>
    <w:rsid w:val="00430E93"/>
    <w:rsid w:val="004310AD"/>
    <w:rsid w:val="004315F8"/>
    <w:rsid w:val="00431FA2"/>
    <w:rsid w:val="00432464"/>
    <w:rsid w:val="00434E5B"/>
    <w:rsid w:val="00437070"/>
    <w:rsid w:val="00440BF8"/>
    <w:rsid w:val="00442281"/>
    <w:rsid w:val="004432D8"/>
    <w:rsid w:val="004435FE"/>
    <w:rsid w:val="00443F8D"/>
    <w:rsid w:val="004441B7"/>
    <w:rsid w:val="004445F4"/>
    <w:rsid w:val="004448E1"/>
    <w:rsid w:val="00444918"/>
    <w:rsid w:val="004449C4"/>
    <w:rsid w:val="00451CD5"/>
    <w:rsid w:val="00451D51"/>
    <w:rsid w:val="004558C4"/>
    <w:rsid w:val="004558CD"/>
    <w:rsid w:val="00455C48"/>
    <w:rsid w:val="00455FF9"/>
    <w:rsid w:val="0045643C"/>
    <w:rsid w:val="004579EA"/>
    <w:rsid w:val="00457C64"/>
    <w:rsid w:val="00457C68"/>
    <w:rsid w:val="004606B3"/>
    <w:rsid w:val="004614D0"/>
    <w:rsid w:val="004643B5"/>
    <w:rsid w:val="00465EAE"/>
    <w:rsid w:val="004663F4"/>
    <w:rsid w:val="00470D92"/>
    <w:rsid w:val="00471B79"/>
    <w:rsid w:val="00472544"/>
    <w:rsid w:val="00472724"/>
    <w:rsid w:val="00473A0C"/>
    <w:rsid w:val="00473C9F"/>
    <w:rsid w:val="0047460D"/>
    <w:rsid w:val="0047711A"/>
    <w:rsid w:val="00482025"/>
    <w:rsid w:val="004825FB"/>
    <w:rsid w:val="00483E44"/>
    <w:rsid w:val="0048490D"/>
    <w:rsid w:val="00484EBF"/>
    <w:rsid w:val="00487C39"/>
    <w:rsid w:val="0049008B"/>
    <w:rsid w:val="004927B3"/>
    <w:rsid w:val="00492EAF"/>
    <w:rsid w:val="004936A6"/>
    <w:rsid w:val="00493712"/>
    <w:rsid w:val="00493B80"/>
    <w:rsid w:val="00495318"/>
    <w:rsid w:val="004961EA"/>
    <w:rsid w:val="00496382"/>
    <w:rsid w:val="00496F0C"/>
    <w:rsid w:val="004973CD"/>
    <w:rsid w:val="004976F4"/>
    <w:rsid w:val="004A14F8"/>
    <w:rsid w:val="004A28E5"/>
    <w:rsid w:val="004A35E6"/>
    <w:rsid w:val="004A6331"/>
    <w:rsid w:val="004A6CF5"/>
    <w:rsid w:val="004B0398"/>
    <w:rsid w:val="004B03C2"/>
    <w:rsid w:val="004B0AB5"/>
    <w:rsid w:val="004B148C"/>
    <w:rsid w:val="004B14BB"/>
    <w:rsid w:val="004B1A09"/>
    <w:rsid w:val="004B2895"/>
    <w:rsid w:val="004B3413"/>
    <w:rsid w:val="004B36D3"/>
    <w:rsid w:val="004B447D"/>
    <w:rsid w:val="004B50AE"/>
    <w:rsid w:val="004B5B7C"/>
    <w:rsid w:val="004C32CD"/>
    <w:rsid w:val="004C33C6"/>
    <w:rsid w:val="004C3B6A"/>
    <w:rsid w:val="004C7F8E"/>
    <w:rsid w:val="004D011E"/>
    <w:rsid w:val="004D18DA"/>
    <w:rsid w:val="004D2191"/>
    <w:rsid w:val="004D21C2"/>
    <w:rsid w:val="004D32C3"/>
    <w:rsid w:val="004D3C5B"/>
    <w:rsid w:val="004D424C"/>
    <w:rsid w:val="004D6DC3"/>
    <w:rsid w:val="004D7A08"/>
    <w:rsid w:val="004E0FE5"/>
    <w:rsid w:val="004E1187"/>
    <w:rsid w:val="004E2260"/>
    <w:rsid w:val="004E3234"/>
    <w:rsid w:val="004E33C4"/>
    <w:rsid w:val="004E49CA"/>
    <w:rsid w:val="004E55E6"/>
    <w:rsid w:val="004F0385"/>
    <w:rsid w:val="004F1A89"/>
    <w:rsid w:val="004F1F2A"/>
    <w:rsid w:val="004F31B5"/>
    <w:rsid w:val="005005BA"/>
    <w:rsid w:val="00500FE3"/>
    <w:rsid w:val="0050217F"/>
    <w:rsid w:val="0050291B"/>
    <w:rsid w:val="00503D7B"/>
    <w:rsid w:val="00504885"/>
    <w:rsid w:val="00504969"/>
    <w:rsid w:val="00504FE0"/>
    <w:rsid w:val="00505187"/>
    <w:rsid w:val="00505A78"/>
    <w:rsid w:val="005060A7"/>
    <w:rsid w:val="00506565"/>
    <w:rsid w:val="00507952"/>
    <w:rsid w:val="005216F4"/>
    <w:rsid w:val="005226A6"/>
    <w:rsid w:val="005266A6"/>
    <w:rsid w:val="00526A9F"/>
    <w:rsid w:val="005271BB"/>
    <w:rsid w:val="00527275"/>
    <w:rsid w:val="00527493"/>
    <w:rsid w:val="00527D4E"/>
    <w:rsid w:val="005303C0"/>
    <w:rsid w:val="00531A06"/>
    <w:rsid w:val="00532D61"/>
    <w:rsid w:val="005339B0"/>
    <w:rsid w:val="005341CC"/>
    <w:rsid w:val="00535895"/>
    <w:rsid w:val="00536F54"/>
    <w:rsid w:val="005410B4"/>
    <w:rsid w:val="005412D8"/>
    <w:rsid w:val="00541A05"/>
    <w:rsid w:val="005425DD"/>
    <w:rsid w:val="00542855"/>
    <w:rsid w:val="0054482F"/>
    <w:rsid w:val="00544A1C"/>
    <w:rsid w:val="005459DF"/>
    <w:rsid w:val="00547514"/>
    <w:rsid w:val="005502CD"/>
    <w:rsid w:val="00551B32"/>
    <w:rsid w:val="00552A01"/>
    <w:rsid w:val="00552CEF"/>
    <w:rsid w:val="00553668"/>
    <w:rsid w:val="00553DB3"/>
    <w:rsid w:val="00554200"/>
    <w:rsid w:val="00555012"/>
    <w:rsid w:val="00555337"/>
    <w:rsid w:val="005553B1"/>
    <w:rsid w:val="0055732C"/>
    <w:rsid w:val="00560642"/>
    <w:rsid w:val="00560726"/>
    <w:rsid w:val="00560954"/>
    <w:rsid w:val="00560DF1"/>
    <w:rsid w:val="00561A5F"/>
    <w:rsid w:val="0056259D"/>
    <w:rsid w:val="00564784"/>
    <w:rsid w:val="00564E4D"/>
    <w:rsid w:val="005659C8"/>
    <w:rsid w:val="00565CA1"/>
    <w:rsid w:val="0056650A"/>
    <w:rsid w:val="005700F3"/>
    <w:rsid w:val="00570595"/>
    <w:rsid w:val="005715A8"/>
    <w:rsid w:val="00571CF1"/>
    <w:rsid w:val="005720F7"/>
    <w:rsid w:val="005740FD"/>
    <w:rsid w:val="005746E5"/>
    <w:rsid w:val="00576571"/>
    <w:rsid w:val="005775CD"/>
    <w:rsid w:val="00580714"/>
    <w:rsid w:val="00580A71"/>
    <w:rsid w:val="00580B3B"/>
    <w:rsid w:val="0058130A"/>
    <w:rsid w:val="00581994"/>
    <w:rsid w:val="00582E67"/>
    <w:rsid w:val="00584989"/>
    <w:rsid w:val="00585760"/>
    <w:rsid w:val="0058610A"/>
    <w:rsid w:val="00586D28"/>
    <w:rsid w:val="00587DF7"/>
    <w:rsid w:val="00590B5A"/>
    <w:rsid w:val="00592E8A"/>
    <w:rsid w:val="00594C2A"/>
    <w:rsid w:val="0059509A"/>
    <w:rsid w:val="00595586"/>
    <w:rsid w:val="00595637"/>
    <w:rsid w:val="00595B62"/>
    <w:rsid w:val="00597CBF"/>
    <w:rsid w:val="005A1EA1"/>
    <w:rsid w:val="005A4498"/>
    <w:rsid w:val="005A4AEC"/>
    <w:rsid w:val="005A527A"/>
    <w:rsid w:val="005A59D5"/>
    <w:rsid w:val="005A6304"/>
    <w:rsid w:val="005A6F74"/>
    <w:rsid w:val="005B01A5"/>
    <w:rsid w:val="005B037A"/>
    <w:rsid w:val="005B13D4"/>
    <w:rsid w:val="005B1813"/>
    <w:rsid w:val="005B2C0F"/>
    <w:rsid w:val="005B3D6D"/>
    <w:rsid w:val="005B4667"/>
    <w:rsid w:val="005B5B94"/>
    <w:rsid w:val="005B606B"/>
    <w:rsid w:val="005B64B5"/>
    <w:rsid w:val="005C0558"/>
    <w:rsid w:val="005C06EA"/>
    <w:rsid w:val="005C137F"/>
    <w:rsid w:val="005C295B"/>
    <w:rsid w:val="005C2B5B"/>
    <w:rsid w:val="005C44AD"/>
    <w:rsid w:val="005C4F3C"/>
    <w:rsid w:val="005C6829"/>
    <w:rsid w:val="005D00CF"/>
    <w:rsid w:val="005D1F0A"/>
    <w:rsid w:val="005D5368"/>
    <w:rsid w:val="005E06FB"/>
    <w:rsid w:val="005E1D02"/>
    <w:rsid w:val="005E2A87"/>
    <w:rsid w:val="005E364A"/>
    <w:rsid w:val="005E413B"/>
    <w:rsid w:val="005E4C96"/>
    <w:rsid w:val="005F362D"/>
    <w:rsid w:val="005F6830"/>
    <w:rsid w:val="005F6D1F"/>
    <w:rsid w:val="00600E2E"/>
    <w:rsid w:val="00601236"/>
    <w:rsid w:val="0060151C"/>
    <w:rsid w:val="00603940"/>
    <w:rsid w:val="006057C8"/>
    <w:rsid w:val="006066A7"/>
    <w:rsid w:val="0060681D"/>
    <w:rsid w:val="00607EAD"/>
    <w:rsid w:val="00610311"/>
    <w:rsid w:val="00611CDE"/>
    <w:rsid w:val="00612EE7"/>
    <w:rsid w:val="006130DC"/>
    <w:rsid w:val="00613A1B"/>
    <w:rsid w:val="006146B5"/>
    <w:rsid w:val="00614D67"/>
    <w:rsid w:val="00615E39"/>
    <w:rsid w:val="0062152C"/>
    <w:rsid w:val="00626B60"/>
    <w:rsid w:val="006278C2"/>
    <w:rsid w:val="00627AA6"/>
    <w:rsid w:val="0063035F"/>
    <w:rsid w:val="00630AD8"/>
    <w:rsid w:val="00631856"/>
    <w:rsid w:val="00632210"/>
    <w:rsid w:val="0063397D"/>
    <w:rsid w:val="0063502D"/>
    <w:rsid w:val="00635154"/>
    <w:rsid w:val="006356EC"/>
    <w:rsid w:val="00640946"/>
    <w:rsid w:val="00643347"/>
    <w:rsid w:val="0064335F"/>
    <w:rsid w:val="00643E2D"/>
    <w:rsid w:val="006446E0"/>
    <w:rsid w:val="00646625"/>
    <w:rsid w:val="006476A5"/>
    <w:rsid w:val="00650B2D"/>
    <w:rsid w:val="00652101"/>
    <w:rsid w:val="006525B3"/>
    <w:rsid w:val="00655101"/>
    <w:rsid w:val="00656BB8"/>
    <w:rsid w:val="00657B58"/>
    <w:rsid w:val="00662081"/>
    <w:rsid w:val="00662F48"/>
    <w:rsid w:val="0066400A"/>
    <w:rsid w:val="00665564"/>
    <w:rsid w:val="00667790"/>
    <w:rsid w:val="00667C61"/>
    <w:rsid w:val="00667D21"/>
    <w:rsid w:val="00670E8D"/>
    <w:rsid w:val="0067229D"/>
    <w:rsid w:val="00672E07"/>
    <w:rsid w:val="00675A1C"/>
    <w:rsid w:val="00676555"/>
    <w:rsid w:val="00676BA5"/>
    <w:rsid w:val="00676BE3"/>
    <w:rsid w:val="00676DA4"/>
    <w:rsid w:val="00680721"/>
    <w:rsid w:val="00683917"/>
    <w:rsid w:val="00685D10"/>
    <w:rsid w:val="0068698D"/>
    <w:rsid w:val="00687496"/>
    <w:rsid w:val="00687D24"/>
    <w:rsid w:val="0069064B"/>
    <w:rsid w:val="0069162C"/>
    <w:rsid w:val="00691ABC"/>
    <w:rsid w:val="00691E2B"/>
    <w:rsid w:val="006934CC"/>
    <w:rsid w:val="00693CF5"/>
    <w:rsid w:val="00694330"/>
    <w:rsid w:val="00694609"/>
    <w:rsid w:val="00694620"/>
    <w:rsid w:val="00694EC6"/>
    <w:rsid w:val="00695269"/>
    <w:rsid w:val="006974DA"/>
    <w:rsid w:val="006A2BF3"/>
    <w:rsid w:val="006A3301"/>
    <w:rsid w:val="006A346C"/>
    <w:rsid w:val="006A34EC"/>
    <w:rsid w:val="006A38F5"/>
    <w:rsid w:val="006A4E9A"/>
    <w:rsid w:val="006A5ED4"/>
    <w:rsid w:val="006A64F6"/>
    <w:rsid w:val="006A6677"/>
    <w:rsid w:val="006A6D64"/>
    <w:rsid w:val="006A7016"/>
    <w:rsid w:val="006B316C"/>
    <w:rsid w:val="006B41BA"/>
    <w:rsid w:val="006B592D"/>
    <w:rsid w:val="006B5939"/>
    <w:rsid w:val="006B6D06"/>
    <w:rsid w:val="006C65D8"/>
    <w:rsid w:val="006C75AC"/>
    <w:rsid w:val="006D09DF"/>
    <w:rsid w:val="006D3B4A"/>
    <w:rsid w:val="006D524E"/>
    <w:rsid w:val="006D5852"/>
    <w:rsid w:val="006D58B6"/>
    <w:rsid w:val="006D7787"/>
    <w:rsid w:val="006D77A3"/>
    <w:rsid w:val="006E3590"/>
    <w:rsid w:val="006E368F"/>
    <w:rsid w:val="006E57C8"/>
    <w:rsid w:val="006E5C7A"/>
    <w:rsid w:val="006E7074"/>
    <w:rsid w:val="006F049C"/>
    <w:rsid w:val="006F0B3C"/>
    <w:rsid w:val="006F10AB"/>
    <w:rsid w:val="006F19F0"/>
    <w:rsid w:val="006F1E6D"/>
    <w:rsid w:val="006F2B80"/>
    <w:rsid w:val="006F3C0B"/>
    <w:rsid w:val="006F440C"/>
    <w:rsid w:val="006F5A82"/>
    <w:rsid w:val="00704553"/>
    <w:rsid w:val="00704668"/>
    <w:rsid w:val="00704E80"/>
    <w:rsid w:val="00706707"/>
    <w:rsid w:val="00707165"/>
    <w:rsid w:val="00710055"/>
    <w:rsid w:val="00711F19"/>
    <w:rsid w:val="00713332"/>
    <w:rsid w:val="00713355"/>
    <w:rsid w:val="00714163"/>
    <w:rsid w:val="00714D96"/>
    <w:rsid w:val="0071599F"/>
    <w:rsid w:val="007160F5"/>
    <w:rsid w:val="00716707"/>
    <w:rsid w:val="00716C6D"/>
    <w:rsid w:val="00717072"/>
    <w:rsid w:val="00720B10"/>
    <w:rsid w:val="00721A36"/>
    <w:rsid w:val="007229EC"/>
    <w:rsid w:val="007247A6"/>
    <w:rsid w:val="00725012"/>
    <w:rsid w:val="0072623A"/>
    <w:rsid w:val="007278E0"/>
    <w:rsid w:val="00727EE2"/>
    <w:rsid w:val="0073060E"/>
    <w:rsid w:val="00730A38"/>
    <w:rsid w:val="007322BC"/>
    <w:rsid w:val="007341EE"/>
    <w:rsid w:val="00734AC2"/>
    <w:rsid w:val="007357EB"/>
    <w:rsid w:val="00736901"/>
    <w:rsid w:val="00736E52"/>
    <w:rsid w:val="007373EE"/>
    <w:rsid w:val="0074075E"/>
    <w:rsid w:val="00740FE7"/>
    <w:rsid w:val="007410FA"/>
    <w:rsid w:val="0074306D"/>
    <w:rsid w:val="0074327A"/>
    <w:rsid w:val="00744615"/>
    <w:rsid w:val="00745014"/>
    <w:rsid w:val="0074540D"/>
    <w:rsid w:val="00745950"/>
    <w:rsid w:val="00747D1E"/>
    <w:rsid w:val="0075012F"/>
    <w:rsid w:val="00752EF6"/>
    <w:rsid w:val="00753CB5"/>
    <w:rsid w:val="00753E9B"/>
    <w:rsid w:val="00753F7E"/>
    <w:rsid w:val="00754A8C"/>
    <w:rsid w:val="00756289"/>
    <w:rsid w:val="00757A7A"/>
    <w:rsid w:val="007600BB"/>
    <w:rsid w:val="00761F38"/>
    <w:rsid w:val="00762CD0"/>
    <w:rsid w:val="00764C90"/>
    <w:rsid w:val="00765390"/>
    <w:rsid w:val="00765F61"/>
    <w:rsid w:val="00766BBD"/>
    <w:rsid w:val="00767431"/>
    <w:rsid w:val="00767815"/>
    <w:rsid w:val="0077175C"/>
    <w:rsid w:val="00771957"/>
    <w:rsid w:val="007720D4"/>
    <w:rsid w:val="00772DEE"/>
    <w:rsid w:val="00772F0C"/>
    <w:rsid w:val="00773105"/>
    <w:rsid w:val="0077388A"/>
    <w:rsid w:val="0077413F"/>
    <w:rsid w:val="00774CAB"/>
    <w:rsid w:val="0077566A"/>
    <w:rsid w:val="00775859"/>
    <w:rsid w:val="0077635C"/>
    <w:rsid w:val="00777B5A"/>
    <w:rsid w:val="00777F30"/>
    <w:rsid w:val="00780E6A"/>
    <w:rsid w:val="00780F81"/>
    <w:rsid w:val="007813C0"/>
    <w:rsid w:val="00781584"/>
    <w:rsid w:val="007818A8"/>
    <w:rsid w:val="007823EA"/>
    <w:rsid w:val="007841AA"/>
    <w:rsid w:val="007841AD"/>
    <w:rsid w:val="007869D6"/>
    <w:rsid w:val="007906C3"/>
    <w:rsid w:val="00790D8F"/>
    <w:rsid w:val="00790E27"/>
    <w:rsid w:val="00791009"/>
    <w:rsid w:val="00791649"/>
    <w:rsid w:val="00791CB9"/>
    <w:rsid w:val="00792310"/>
    <w:rsid w:val="00792343"/>
    <w:rsid w:val="00793B94"/>
    <w:rsid w:val="00793F19"/>
    <w:rsid w:val="00794DEF"/>
    <w:rsid w:val="007961C2"/>
    <w:rsid w:val="007965EA"/>
    <w:rsid w:val="00796F76"/>
    <w:rsid w:val="00797883"/>
    <w:rsid w:val="007A0E5F"/>
    <w:rsid w:val="007A10C3"/>
    <w:rsid w:val="007A15F8"/>
    <w:rsid w:val="007A18E4"/>
    <w:rsid w:val="007A18E6"/>
    <w:rsid w:val="007A1E55"/>
    <w:rsid w:val="007A34BA"/>
    <w:rsid w:val="007A3B5A"/>
    <w:rsid w:val="007A3F71"/>
    <w:rsid w:val="007A471C"/>
    <w:rsid w:val="007A6249"/>
    <w:rsid w:val="007A6470"/>
    <w:rsid w:val="007A6A0D"/>
    <w:rsid w:val="007A6DE2"/>
    <w:rsid w:val="007B1483"/>
    <w:rsid w:val="007B14E9"/>
    <w:rsid w:val="007B2652"/>
    <w:rsid w:val="007B306E"/>
    <w:rsid w:val="007B38FF"/>
    <w:rsid w:val="007B4243"/>
    <w:rsid w:val="007B5116"/>
    <w:rsid w:val="007B5962"/>
    <w:rsid w:val="007B5B59"/>
    <w:rsid w:val="007B62E9"/>
    <w:rsid w:val="007B75A6"/>
    <w:rsid w:val="007B7BEE"/>
    <w:rsid w:val="007C1975"/>
    <w:rsid w:val="007C35A3"/>
    <w:rsid w:val="007C3ADE"/>
    <w:rsid w:val="007C42D7"/>
    <w:rsid w:val="007C448B"/>
    <w:rsid w:val="007C4FEF"/>
    <w:rsid w:val="007C611B"/>
    <w:rsid w:val="007C64DA"/>
    <w:rsid w:val="007C6BD9"/>
    <w:rsid w:val="007D0D35"/>
    <w:rsid w:val="007D140D"/>
    <w:rsid w:val="007D2855"/>
    <w:rsid w:val="007D3078"/>
    <w:rsid w:val="007D3353"/>
    <w:rsid w:val="007D440F"/>
    <w:rsid w:val="007D6A43"/>
    <w:rsid w:val="007D6E10"/>
    <w:rsid w:val="007E0642"/>
    <w:rsid w:val="007E30CB"/>
    <w:rsid w:val="007E3C6F"/>
    <w:rsid w:val="007E3CE4"/>
    <w:rsid w:val="007E4165"/>
    <w:rsid w:val="007E4A60"/>
    <w:rsid w:val="007E6634"/>
    <w:rsid w:val="007E67C3"/>
    <w:rsid w:val="007E69EC"/>
    <w:rsid w:val="007E7028"/>
    <w:rsid w:val="007E77FC"/>
    <w:rsid w:val="007F0BA5"/>
    <w:rsid w:val="007F26B0"/>
    <w:rsid w:val="007F2923"/>
    <w:rsid w:val="007F4202"/>
    <w:rsid w:val="007F44ED"/>
    <w:rsid w:val="007F460A"/>
    <w:rsid w:val="007F5496"/>
    <w:rsid w:val="007F5571"/>
    <w:rsid w:val="007F5BC6"/>
    <w:rsid w:val="007F5F95"/>
    <w:rsid w:val="007F63A6"/>
    <w:rsid w:val="007F64A2"/>
    <w:rsid w:val="00801E8F"/>
    <w:rsid w:val="00802289"/>
    <w:rsid w:val="00802D4C"/>
    <w:rsid w:val="0080300D"/>
    <w:rsid w:val="00803A7D"/>
    <w:rsid w:val="00803B30"/>
    <w:rsid w:val="0080471D"/>
    <w:rsid w:val="00805493"/>
    <w:rsid w:val="00807380"/>
    <w:rsid w:val="008105F5"/>
    <w:rsid w:val="00811159"/>
    <w:rsid w:val="008115AE"/>
    <w:rsid w:val="00812E62"/>
    <w:rsid w:val="008130DD"/>
    <w:rsid w:val="0081365C"/>
    <w:rsid w:val="0081477F"/>
    <w:rsid w:val="00814C3B"/>
    <w:rsid w:val="00815A42"/>
    <w:rsid w:val="00817A11"/>
    <w:rsid w:val="008207A2"/>
    <w:rsid w:val="0082135C"/>
    <w:rsid w:val="00822572"/>
    <w:rsid w:val="00823B55"/>
    <w:rsid w:val="00823FA3"/>
    <w:rsid w:val="0082459B"/>
    <w:rsid w:val="008253DD"/>
    <w:rsid w:val="00826B6D"/>
    <w:rsid w:val="00827043"/>
    <w:rsid w:val="00827314"/>
    <w:rsid w:val="00830370"/>
    <w:rsid w:val="00832560"/>
    <w:rsid w:val="0083388A"/>
    <w:rsid w:val="00835A73"/>
    <w:rsid w:val="00837E81"/>
    <w:rsid w:val="00840057"/>
    <w:rsid w:val="008409DC"/>
    <w:rsid w:val="00840D9E"/>
    <w:rsid w:val="008423ED"/>
    <w:rsid w:val="00842A37"/>
    <w:rsid w:val="00844E2D"/>
    <w:rsid w:val="00844E8C"/>
    <w:rsid w:val="0084521B"/>
    <w:rsid w:val="00845555"/>
    <w:rsid w:val="00851AE4"/>
    <w:rsid w:val="00857DA5"/>
    <w:rsid w:val="008602E3"/>
    <w:rsid w:val="00861702"/>
    <w:rsid w:val="00863021"/>
    <w:rsid w:val="008640E9"/>
    <w:rsid w:val="00864268"/>
    <w:rsid w:val="0086594A"/>
    <w:rsid w:val="008659D4"/>
    <w:rsid w:val="008666F7"/>
    <w:rsid w:val="00866988"/>
    <w:rsid w:val="00866AF5"/>
    <w:rsid w:val="00871B3A"/>
    <w:rsid w:val="00871D74"/>
    <w:rsid w:val="00872F61"/>
    <w:rsid w:val="0087337C"/>
    <w:rsid w:val="008736B3"/>
    <w:rsid w:val="00876A28"/>
    <w:rsid w:val="0088106E"/>
    <w:rsid w:val="0088292C"/>
    <w:rsid w:val="00883003"/>
    <w:rsid w:val="00883FD0"/>
    <w:rsid w:val="00884BDD"/>
    <w:rsid w:val="0088529D"/>
    <w:rsid w:val="00885551"/>
    <w:rsid w:val="00885CEF"/>
    <w:rsid w:val="008909A1"/>
    <w:rsid w:val="00891446"/>
    <w:rsid w:val="0089163C"/>
    <w:rsid w:val="00891D75"/>
    <w:rsid w:val="00892505"/>
    <w:rsid w:val="00892B2E"/>
    <w:rsid w:val="00894DCB"/>
    <w:rsid w:val="00896ACD"/>
    <w:rsid w:val="008974CD"/>
    <w:rsid w:val="008976D1"/>
    <w:rsid w:val="008A05D1"/>
    <w:rsid w:val="008A12B4"/>
    <w:rsid w:val="008A169C"/>
    <w:rsid w:val="008A1B58"/>
    <w:rsid w:val="008A2C2A"/>
    <w:rsid w:val="008A2EC3"/>
    <w:rsid w:val="008A2F9B"/>
    <w:rsid w:val="008A42D2"/>
    <w:rsid w:val="008A4E1E"/>
    <w:rsid w:val="008A7FB6"/>
    <w:rsid w:val="008B226C"/>
    <w:rsid w:val="008B2A70"/>
    <w:rsid w:val="008B32DD"/>
    <w:rsid w:val="008B445D"/>
    <w:rsid w:val="008B539B"/>
    <w:rsid w:val="008B5578"/>
    <w:rsid w:val="008B5691"/>
    <w:rsid w:val="008B63DA"/>
    <w:rsid w:val="008B746E"/>
    <w:rsid w:val="008B7CCF"/>
    <w:rsid w:val="008B7F36"/>
    <w:rsid w:val="008C14D7"/>
    <w:rsid w:val="008C4637"/>
    <w:rsid w:val="008C5643"/>
    <w:rsid w:val="008D0188"/>
    <w:rsid w:val="008D0FC4"/>
    <w:rsid w:val="008D253D"/>
    <w:rsid w:val="008D2B50"/>
    <w:rsid w:val="008D60AB"/>
    <w:rsid w:val="008D6A81"/>
    <w:rsid w:val="008D79E5"/>
    <w:rsid w:val="008E1890"/>
    <w:rsid w:val="008E2FA8"/>
    <w:rsid w:val="008E48FF"/>
    <w:rsid w:val="008E4F7A"/>
    <w:rsid w:val="008E6A4C"/>
    <w:rsid w:val="008F0A65"/>
    <w:rsid w:val="008F2D45"/>
    <w:rsid w:val="008F353D"/>
    <w:rsid w:val="008F469A"/>
    <w:rsid w:val="008F4D9A"/>
    <w:rsid w:val="008F521E"/>
    <w:rsid w:val="00901157"/>
    <w:rsid w:val="0090190E"/>
    <w:rsid w:val="009023C8"/>
    <w:rsid w:val="009023EB"/>
    <w:rsid w:val="00902F95"/>
    <w:rsid w:val="009043BB"/>
    <w:rsid w:val="009045F4"/>
    <w:rsid w:val="0090557C"/>
    <w:rsid w:val="00905BD6"/>
    <w:rsid w:val="00910DB3"/>
    <w:rsid w:val="00911512"/>
    <w:rsid w:val="00911BF8"/>
    <w:rsid w:val="00911CD8"/>
    <w:rsid w:val="00911FFF"/>
    <w:rsid w:val="0091338F"/>
    <w:rsid w:val="009143BE"/>
    <w:rsid w:val="00914A9A"/>
    <w:rsid w:val="009154DF"/>
    <w:rsid w:val="0091659A"/>
    <w:rsid w:val="00916814"/>
    <w:rsid w:val="00916BE1"/>
    <w:rsid w:val="00917DE3"/>
    <w:rsid w:val="00921988"/>
    <w:rsid w:val="009227BF"/>
    <w:rsid w:val="00924F19"/>
    <w:rsid w:val="00926632"/>
    <w:rsid w:val="00926C3E"/>
    <w:rsid w:val="00926CCA"/>
    <w:rsid w:val="009272A4"/>
    <w:rsid w:val="00927A09"/>
    <w:rsid w:val="00927E9E"/>
    <w:rsid w:val="009316F3"/>
    <w:rsid w:val="00932424"/>
    <w:rsid w:val="009357D9"/>
    <w:rsid w:val="00935E36"/>
    <w:rsid w:val="00935E45"/>
    <w:rsid w:val="009367CF"/>
    <w:rsid w:val="0094113D"/>
    <w:rsid w:val="0094273F"/>
    <w:rsid w:val="009451BE"/>
    <w:rsid w:val="00946695"/>
    <w:rsid w:val="00947489"/>
    <w:rsid w:val="00947D95"/>
    <w:rsid w:val="00950625"/>
    <w:rsid w:val="00950A80"/>
    <w:rsid w:val="0095137C"/>
    <w:rsid w:val="009522AA"/>
    <w:rsid w:val="009528AD"/>
    <w:rsid w:val="0095336D"/>
    <w:rsid w:val="009548F9"/>
    <w:rsid w:val="00956A1E"/>
    <w:rsid w:val="00956B00"/>
    <w:rsid w:val="00960BAF"/>
    <w:rsid w:val="0096196A"/>
    <w:rsid w:val="009619E2"/>
    <w:rsid w:val="00961A53"/>
    <w:rsid w:val="0096265D"/>
    <w:rsid w:val="0096300A"/>
    <w:rsid w:val="00963DD8"/>
    <w:rsid w:val="009644C8"/>
    <w:rsid w:val="009649CC"/>
    <w:rsid w:val="00964C05"/>
    <w:rsid w:val="00964CD5"/>
    <w:rsid w:val="00964D55"/>
    <w:rsid w:val="00965685"/>
    <w:rsid w:val="00966013"/>
    <w:rsid w:val="00966276"/>
    <w:rsid w:val="00966B68"/>
    <w:rsid w:val="00966E1E"/>
    <w:rsid w:val="00970828"/>
    <w:rsid w:val="00970B5B"/>
    <w:rsid w:val="00972381"/>
    <w:rsid w:val="0097275D"/>
    <w:rsid w:val="00972F99"/>
    <w:rsid w:val="0097306D"/>
    <w:rsid w:val="009744AB"/>
    <w:rsid w:val="009752AF"/>
    <w:rsid w:val="00977193"/>
    <w:rsid w:val="00977C5F"/>
    <w:rsid w:val="00982363"/>
    <w:rsid w:val="00982625"/>
    <w:rsid w:val="0098346A"/>
    <w:rsid w:val="0098367A"/>
    <w:rsid w:val="00985972"/>
    <w:rsid w:val="009862E2"/>
    <w:rsid w:val="00987EC6"/>
    <w:rsid w:val="0099007A"/>
    <w:rsid w:val="00991FE2"/>
    <w:rsid w:val="00991FE5"/>
    <w:rsid w:val="00992A4B"/>
    <w:rsid w:val="00992D52"/>
    <w:rsid w:val="0099473F"/>
    <w:rsid w:val="009954C1"/>
    <w:rsid w:val="009974D2"/>
    <w:rsid w:val="009A00B5"/>
    <w:rsid w:val="009A0956"/>
    <w:rsid w:val="009A1486"/>
    <w:rsid w:val="009A14C3"/>
    <w:rsid w:val="009A3204"/>
    <w:rsid w:val="009A425A"/>
    <w:rsid w:val="009A4569"/>
    <w:rsid w:val="009A46CB"/>
    <w:rsid w:val="009A4AB3"/>
    <w:rsid w:val="009A4F7F"/>
    <w:rsid w:val="009A4FEB"/>
    <w:rsid w:val="009A5CF4"/>
    <w:rsid w:val="009A6E10"/>
    <w:rsid w:val="009A74F8"/>
    <w:rsid w:val="009A7703"/>
    <w:rsid w:val="009B07A6"/>
    <w:rsid w:val="009B1139"/>
    <w:rsid w:val="009B13C1"/>
    <w:rsid w:val="009B157C"/>
    <w:rsid w:val="009B25FA"/>
    <w:rsid w:val="009B279B"/>
    <w:rsid w:val="009B29CB"/>
    <w:rsid w:val="009B3155"/>
    <w:rsid w:val="009B6D36"/>
    <w:rsid w:val="009B72A1"/>
    <w:rsid w:val="009B77FE"/>
    <w:rsid w:val="009C0745"/>
    <w:rsid w:val="009C1068"/>
    <w:rsid w:val="009C1A05"/>
    <w:rsid w:val="009C2537"/>
    <w:rsid w:val="009C385F"/>
    <w:rsid w:val="009C3B39"/>
    <w:rsid w:val="009C3CC5"/>
    <w:rsid w:val="009C4328"/>
    <w:rsid w:val="009C43A5"/>
    <w:rsid w:val="009C457E"/>
    <w:rsid w:val="009C4FC0"/>
    <w:rsid w:val="009C576E"/>
    <w:rsid w:val="009C5F74"/>
    <w:rsid w:val="009C69A2"/>
    <w:rsid w:val="009D1100"/>
    <w:rsid w:val="009D166A"/>
    <w:rsid w:val="009D1758"/>
    <w:rsid w:val="009D3482"/>
    <w:rsid w:val="009D4233"/>
    <w:rsid w:val="009D5F58"/>
    <w:rsid w:val="009D6F6C"/>
    <w:rsid w:val="009E23FA"/>
    <w:rsid w:val="009E3261"/>
    <w:rsid w:val="009E40B5"/>
    <w:rsid w:val="009E41DF"/>
    <w:rsid w:val="009E5FFA"/>
    <w:rsid w:val="009E63E9"/>
    <w:rsid w:val="009E6B9B"/>
    <w:rsid w:val="009E6E16"/>
    <w:rsid w:val="009E7A92"/>
    <w:rsid w:val="009F0596"/>
    <w:rsid w:val="009F1E73"/>
    <w:rsid w:val="009F3758"/>
    <w:rsid w:val="009F46D2"/>
    <w:rsid w:val="009F49B3"/>
    <w:rsid w:val="009F4B57"/>
    <w:rsid w:val="009F54B4"/>
    <w:rsid w:val="009F6256"/>
    <w:rsid w:val="009F668D"/>
    <w:rsid w:val="009F7BC9"/>
    <w:rsid w:val="00A0113A"/>
    <w:rsid w:val="00A019CE"/>
    <w:rsid w:val="00A04491"/>
    <w:rsid w:val="00A109C2"/>
    <w:rsid w:val="00A115E8"/>
    <w:rsid w:val="00A12965"/>
    <w:rsid w:val="00A142D8"/>
    <w:rsid w:val="00A16077"/>
    <w:rsid w:val="00A16550"/>
    <w:rsid w:val="00A16C77"/>
    <w:rsid w:val="00A17021"/>
    <w:rsid w:val="00A22E1D"/>
    <w:rsid w:val="00A233D5"/>
    <w:rsid w:val="00A234A0"/>
    <w:rsid w:val="00A25EBE"/>
    <w:rsid w:val="00A2652E"/>
    <w:rsid w:val="00A26FD8"/>
    <w:rsid w:val="00A30C34"/>
    <w:rsid w:val="00A30F88"/>
    <w:rsid w:val="00A335F9"/>
    <w:rsid w:val="00A36B1C"/>
    <w:rsid w:val="00A37574"/>
    <w:rsid w:val="00A401CC"/>
    <w:rsid w:val="00A4030C"/>
    <w:rsid w:val="00A44C6A"/>
    <w:rsid w:val="00A4697A"/>
    <w:rsid w:val="00A46D89"/>
    <w:rsid w:val="00A525F6"/>
    <w:rsid w:val="00A547AE"/>
    <w:rsid w:val="00A56F2A"/>
    <w:rsid w:val="00A57A3C"/>
    <w:rsid w:val="00A57B5F"/>
    <w:rsid w:val="00A6133D"/>
    <w:rsid w:val="00A63404"/>
    <w:rsid w:val="00A6387C"/>
    <w:rsid w:val="00A63902"/>
    <w:rsid w:val="00A64E20"/>
    <w:rsid w:val="00A65CA6"/>
    <w:rsid w:val="00A6653C"/>
    <w:rsid w:val="00A710D9"/>
    <w:rsid w:val="00A73F74"/>
    <w:rsid w:val="00A750C7"/>
    <w:rsid w:val="00A7628B"/>
    <w:rsid w:val="00A7744B"/>
    <w:rsid w:val="00A8100B"/>
    <w:rsid w:val="00A81D2B"/>
    <w:rsid w:val="00A84431"/>
    <w:rsid w:val="00A85B2D"/>
    <w:rsid w:val="00A865E4"/>
    <w:rsid w:val="00A8753B"/>
    <w:rsid w:val="00A900D2"/>
    <w:rsid w:val="00A92DB0"/>
    <w:rsid w:val="00A9366B"/>
    <w:rsid w:val="00A944B3"/>
    <w:rsid w:val="00A9488B"/>
    <w:rsid w:val="00A94F6D"/>
    <w:rsid w:val="00A951E9"/>
    <w:rsid w:val="00A958BF"/>
    <w:rsid w:val="00A95B15"/>
    <w:rsid w:val="00A960B8"/>
    <w:rsid w:val="00A96172"/>
    <w:rsid w:val="00AA0A79"/>
    <w:rsid w:val="00AA119C"/>
    <w:rsid w:val="00AA3BFE"/>
    <w:rsid w:val="00AA68AB"/>
    <w:rsid w:val="00AA7393"/>
    <w:rsid w:val="00AA7D9B"/>
    <w:rsid w:val="00AB010B"/>
    <w:rsid w:val="00AB106F"/>
    <w:rsid w:val="00AB1396"/>
    <w:rsid w:val="00AB1641"/>
    <w:rsid w:val="00AB1D87"/>
    <w:rsid w:val="00AB2DE4"/>
    <w:rsid w:val="00AB613C"/>
    <w:rsid w:val="00AB7A4D"/>
    <w:rsid w:val="00AC03C9"/>
    <w:rsid w:val="00AC22C4"/>
    <w:rsid w:val="00AC375A"/>
    <w:rsid w:val="00AC599C"/>
    <w:rsid w:val="00AC7B20"/>
    <w:rsid w:val="00AD055F"/>
    <w:rsid w:val="00AD2449"/>
    <w:rsid w:val="00AD400C"/>
    <w:rsid w:val="00AD4B08"/>
    <w:rsid w:val="00AD4BB6"/>
    <w:rsid w:val="00AD60AB"/>
    <w:rsid w:val="00AD7532"/>
    <w:rsid w:val="00AD78BA"/>
    <w:rsid w:val="00AD7A14"/>
    <w:rsid w:val="00AD7A21"/>
    <w:rsid w:val="00AE2211"/>
    <w:rsid w:val="00AE2E47"/>
    <w:rsid w:val="00AE4E04"/>
    <w:rsid w:val="00AE6B69"/>
    <w:rsid w:val="00AE76B0"/>
    <w:rsid w:val="00AF0D53"/>
    <w:rsid w:val="00AF31D6"/>
    <w:rsid w:val="00AF3732"/>
    <w:rsid w:val="00AF420D"/>
    <w:rsid w:val="00AF5B3B"/>
    <w:rsid w:val="00AF741A"/>
    <w:rsid w:val="00B005C9"/>
    <w:rsid w:val="00B00D54"/>
    <w:rsid w:val="00B01DCE"/>
    <w:rsid w:val="00B039D7"/>
    <w:rsid w:val="00B04C0A"/>
    <w:rsid w:val="00B04FAA"/>
    <w:rsid w:val="00B064FB"/>
    <w:rsid w:val="00B06878"/>
    <w:rsid w:val="00B111C6"/>
    <w:rsid w:val="00B168DF"/>
    <w:rsid w:val="00B16EE0"/>
    <w:rsid w:val="00B17C95"/>
    <w:rsid w:val="00B22EEB"/>
    <w:rsid w:val="00B22F9E"/>
    <w:rsid w:val="00B24741"/>
    <w:rsid w:val="00B2548A"/>
    <w:rsid w:val="00B25F6D"/>
    <w:rsid w:val="00B264E2"/>
    <w:rsid w:val="00B27331"/>
    <w:rsid w:val="00B278A8"/>
    <w:rsid w:val="00B30169"/>
    <w:rsid w:val="00B301D1"/>
    <w:rsid w:val="00B30233"/>
    <w:rsid w:val="00B3023A"/>
    <w:rsid w:val="00B30BC9"/>
    <w:rsid w:val="00B325F6"/>
    <w:rsid w:val="00B33DDF"/>
    <w:rsid w:val="00B35871"/>
    <w:rsid w:val="00B40B2A"/>
    <w:rsid w:val="00B410B8"/>
    <w:rsid w:val="00B41F5B"/>
    <w:rsid w:val="00B43581"/>
    <w:rsid w:val="00B44F75"/>
    <w:rsid w:val="00B45C63"/>
    <w:rsid w:val="00B514BD"/>
    <w:rsid w:val="00B5220F"/>
    <w:rsid w:val="00B52B3F"/>
    <w:rsid w:val="00B52BC0"/>
    <w:rsid w:val="00B546EC"/>
    <w:rsid w:val="00B54D6E"/>
    <w:rsid w:val="00B556F5"/>
    <w:rsid w:val="00B574AA"/>
    <w:rsid w:val="00B57556"/>
    <w:rsid w:val="00B601F1"/>
    <w:rsid w:val="00B618F4"/>
    <w:rsid w:val="00B61E53"/>
    <w:rsid w:val="00B6226F"/>
    <w:rsid w:val="00B6286D"/>
    <w:rsid w:val="00B62CED"/>
    <w:rsid w:val="00B63D14"/>
    <w:rsid w:val="00B6452E"/>
    <w:rsid w:val="00B650B2"/>
    <w:rsid w:val="00B66B87"/>
    <w:rsid w:val="00B6749E"/>
    <w:rsid w:val="00B67581"/>
    <w:rsid w:val="00B7163D"/>
    <w:rsid w:val="00B728E1"/>
    <w:rsid w:val="00B74D02"/>
    <w:rsid w:val="00B74FAD"/>
    <w:rsid w:val="00B75549"/>
    <w:rsid w:val="00B769EC"/>
    <w:rsid w:val="00B77BF5"/>
    <w:rsid w:val="00B816F9"/>
    <w:rsid w:val="00B81DB2"/>
    <w:rsid w:val="00B823CF"/>
    <w:rsid w:val="00B82B5D"/>
    <w:rsid w:val="00B84135"/>
    <w:rsid w:val="00B85DF7"/>
    <w:rsid w:val="00B8665A"/>
    <w:rsid w:val="00B86F5E"/>
    <w:rsid w:val="00B902A7"/>
    <w:rsid w:val="00B90300"/>
    <w:rsid w:val="00B910EA"/>
    <w:rsid w:val="00B92E4E"/>
    <w:rsid w:val="00B93BE6"/>
    <w:rsid w:val="00B960B4"/>
    <w:rsid w:val="00B96BE0"/>
    <w:rsid w:val="00B96C33"/>
    <w:rsid w:val="00B97BC0"/>
    <w:rsid w:val="00BA0039"/>
    <w:rsid w:val="00BA14A2"/>
    <w:rsid w:val="00BA389A"/>
    <w:rsid w:val="00BA3FED"/>
    <w:rsid w:val="00BA45FF"/>
    <w:rsid w:val="00BA4AB0"/>
    <w:rsid w:val="00BA50D3"/>
    <w:rsid w:val="00BA5FED"/>
    <w:rsid w:val="00BA6A63"/>
    <w:rsid w:val="00BA772A"/>
    <w:rsid w:val="00BB21BD"/>
    <w:rsid w:val="00BB3251"/>
    <w:rsid w:val="00BB34B8"/>
    <w:rsid w:val="00BB3BC6"/>
    <w:rsid w:val="00BB3F3B"/>
    <w:rsid w:val="00BB480B"/>
    <w:rsid w:val="00BB4B23"/>
    <w:rsid w:val="00BB60D4"/>
    <w:rsid w:val="00BB69C2"/>
    <w:rsid w:val="00BB6F1A"/>
    <w:rsid w:val="00BB708C"/>
    <w:rsid w:val="00BB7AE8"/>
    <w:rsid w:val="00BC06B4"/>
    <w:rsid w:val="00BC29CF"/>
    <w:rsid w:val="00BC456A"/>
    <w:rsid w:val="00BC4805"/>
    <w:rsid w:val="00BD017B"/>
    <w:rsid w:val="00BD0BDE"/>
    <w:rsid w:val="00BD3A4E"/>
    <w:rsid w:val="00BD3E75"/>
    <w:rsid w:val="00BD4065"/>
    <w:rsid w:val="00BD504B"/>
    <w:rsid w:val="00BD6581"/>
    <w:rsid w:val="00BD6644"/>
    <w:rsid w:val="00BD7116"/>
    <w:rsid w:val="00BE0AEF"/>
    <w:rsid w:val="00BE23CB"/>
    <w:rsid w:val="00BE651F"/>
    <w:rsid w:val="00BE695C"/>
    <w:rsid w:val="00BF0F50"/>
    <w:rsid w:val="00BF0F77"/>
    <w:rsid w:val="00BF265D"/>
    <w:rsid w:val="00BF2B17"/>
    <w:rsid w:val="00BF314F"/>
    <w:rsid w:val="00BF33EB"/>
    <w:rsid w:val="00BF3D9B"/>
    <w:rsid w:val="00BF5DC2"/>
    <w:rsid w:val="00BF7FFA"/>
    <w:rsid w:val="00C00AAD"/>
    <w:rsid w:val="00C03299"/>
    <w:rsid w:val="00C0354B"/>
    <w:rsid w:val="00C05BE9"/>
    <w:rsid w:val="00C05CA2"/>
    <w:rsid w:val="00C06357"/>
    <w:rsid w:val="00C11606"/>
    <w:rsid w:val="00C12321"/>
    <w:rsid w:val="00C1437E"/>
    <w:rsid w:val="00C14ADB"/>
    <w:rsid w:val="00C14BBD"/>
    <w:rsid w:val="00C14D8A"/>
    <w:rsid w:val="00C15472"/>
    <w:rsid w:val="00C15A21"/>
    <w:rsid w:val="00C15D86"/>
    <w:rsid w:val="00C164EB"/>
    <w:rsid w:val="00C20102"/>
    <w:rsid w:val="00C20A8E"/>
    <w:rsid w:val="00C25440"/>
    <w:rsid w:val="00C26144"/>
    <w:rsid w:val="00C270C5"/>
    <w:rsid w:val="00C300FD"/>
    <w:rsid w:val="00C310BF"/>
    <w:rsid w:val="00C31587"/>
    <w:rsid w:val="00C34219"/>
    <w:rsid w:val="00C342D0"/>
    <w:rsid w:val="00C34856"/>
    <w:rsid w:val="00C36C4C"/>
    <w:rsid w:val="00C36D43"/>
    <w:rsid w:val="00C37F5F"/>
    <w:rsid w:val="00C37FB8"/>
    <w:rsid w:val="00C41E46"/>
    <w:rsid w:val="00C42296"/>
    <w:rsid w:val="00C436C3"/>
    <w:rsid w:val="00C4372A"/>
    <w:rsid w:val="00C44244"/>
    <w:rsid w:val="00C445A3"/>
    <w:rsid w:val="00C451A0"/>
    <w:rsid w:val="00C457E8"/>
    <w:rsid w:val="00C458EC"/>
    <w:rsid w:val="00C46A57"/>
    <w:rsid w:val="00C4749E"/>
    <w:rsid w:val="00C47656"/>
    <w:rsid w:val="00C47DDD"/>
    <w:rsid w:val="00C50297"/>
    <w:rsid w:val="00C516F2"/>
    <w:rsid w:val="00C51A10"/>
    <w:rsid w:val="00C51B5F"/>
    <w:rsid w:val="00C51F5B"/>
    <w:rsid w:val="00C52AF3"/>
    <w:rsid w:val="00C52E7B"/>
    <w:rsid w:val="00C5410C"/>
    <w:rsid w:val="00C5555A"/>
    <w:rsid w:val="00C565FB"/>
    <w:rsid w:val="00C56E53"/>
    <w:rsid w:val="00C57183"/>
    <w:rsid w:val="00C578F6"/>
    <w:rsid w:val="00C6044D"/>
    <w:rsid w:val="00C60E37"/>
    <w:rsid w:val="00C6127D"/>
    <w:rsid w:val="00C62733"/>
    <w:rsid w:val="00C644FB"/>
    <w:rsid w:val="00C64785"/>
    <w:rsid w:val="00C64DE3"/>
    <w:rsid w:val="00C651D7"/>
    <w:rsid w:val="00C65328"/>
    <w:rsid w:val="00C6563D"/>
    <w:rsid w:val="00C65A82"/>
    <w:rsid w:val="00C66206"/>
    <w:rsid w:val="00C668B2"/>
    <w:rsid w:val="00C66D2D"/>
    <w:rsid w:val="00C70797"/>
    <w:rsid w:val="00C71DFC"/>
    <w:rsid w:val="00C742CC"/>
    <w:rsid w:val="00C7455F"/>
    <w:rsid w:val="00C74B96"/>
    <w:rsid w:val="00C772E7"/>
    <w:rsid w:val="00C77D16"/>
    <w:rsid w:val="00C8029E"/>
    <w:rsid w:val="00C815DA"/>
    <w:rsid w:val="00C83245"/>
    <w:rsid w:val="00C83881"/>
    <w:rsid w:val="00C85DBC"/>
    <w:rsid w:val="00C86405"/>
    <w:rsid w:val="00C86FE5"/>
    <w:rsid w:val="00C909F0"/>
    <w:rsid w:val="00C91C3D"/>
    <w:rsid w:val="00C92290"/>
    <w:rsid w:val="00C922CF"/>
    <w:rsid w:val="00C9384C"/>
    <w:rsid w:val="00C93BB0"/>
    <w:rsid w:val="00C93EF3"/>
    <w:rsid w:val="00C948AD"/>
    <w:rsid w:val="00C94FCC"/>
    <w:rsid w:val="00C95E04"/>
    <w:rsid w:val="00C96270"/>
    <w:rsid w:val="00CA1A82"/>
    <w:rsid w:val="00CA1E44"/>
    <w:rsid w:val="00CA36C0"/>
    <w:rsid w:val="00CA5631"/>
    <w:rsid w:val="00CA6789"/>
    <w:rsid w:val="00CA75B2"/>
    <w:rsid w:val="00CB2F03"/>
    <w:rsid w:val="00CB3962"/>
    <w:rsid w:val="00CB3B2A"/>
    <w:rsid w:val="00CB40F4"/>
    <w:rsid w:val="00CB48B8"/>
    <w:rsid w:val="00CB54BA"/>
    <w:rsid w:val="00CB7162"/>
    <w:rsid w:val="00CC1A46"/>
    <w:rsid w:val="00CC1B24"/>
    <w:rsid w:val="00CC1D57"/>
    <w:rsid w:val="00CC3E71"/>
    <w:rsid w:val="00CC785E"/>
    <w:rsid w:val="00CC7872"/>
    <w:rsid w:val="00CD158E"/>
    <w:rsid w:val="00CD362C"/>
    <w:rsid w:val="00CD49A8"/>
    <w:rsid w:val="00CD52D8"/>
    <w:rsid w:val="00CD604A"/>
    <w:rsid w:val="00CD7293"/>
    <w:rsid w:val="00CD75C4"/>
    <w:rsid w:val="00CE0423"/>
    <w:rsid w:val="00CE1E31"/>
    <w:rsid w:val="00CE20E7"/>
    <w:rsid w:val="00CE3189"/>
    <w:rsid w:val="00CE44AE"/>
    <w:rsid w:val="00CE53E5"/>
    <w:rsid w:val="00CE6176"/>
    <w:rsid w:val="00CF0762"/>
    <w:rsid w:val="00CF4537"/>
    <w:rsid w:val="00CF5509"/>
    <w:rsid w:val="00CF583A"/>
    <w:rsid w:val="00CF7111"/>
    <w:rsid w:val="00CF7408"/>
    <w:rsid w:val="00CF7459"/>
    <w:rsid w:val="00D00EA0"/>
    <w:rsid w:val="00D01247"/>
    <w:rsid w:val="00D022FA"/>
    <w:rsid w:val="00D02877"/>
    <w:rsid w:val="00D02D8E"/>
    <w:rsid w:val="00D030BC"/>
    <w:rsid w:val="00D0456A"/>
    <w:rsid w:val="00D06142"/>
    <w:rsid w:val="00D06218"/>
    <w:rsid w:val="00D066C6"/>
    <w:rsid w:val="00D103AD"/>
    <w:rsid w:val="00D10544"/>
    <w:rsid w:val="00D12496"/>
    <w:rsid w:val="00D128B5"/>
    <w:rsid w:val="00D12983"/>
    <w:rsid w:val="00D1446D"/>
    <w:rsid w:val="00D1502C"/>
    <w:rsid w:val="00D153B6"/>
    <w:rsid w:val="00D16F7B"/>
    <w:rsid w:val="00D17875"/>
    <w:rsid w:val="00D20DE4"/>
    <w:rsid w:val="00D22A94"/>
    <w:rsid w:val="00D23E05"/>
    <w:rsid w:val="00D248D7"/>
    <w:rsid w:val="00D24CF7"/>
    <w:rsid w:val="00D32125"/>
    <w:rsid w:val="00D35083"/>
    <w:rsid w:val="00D35216"/>
    <w:rsid w:val="00D3545F"/>
    <w:rsid w:val="00D35AD3"/>
    <w:rsid w:val="00D36689"/>
    <w:rsid w:val="00D3682F"/>
    <w:rsid w:val="00D37E1C"/>
    <w:rsid w:val="00D43C56"/>
    <w:rsid w:val="00D43CFF"/>
    <w:rsid w:val="00D45DB7"/>
    <w:rsid w:val="00D5036D"/>
    <w:rsid w:val="00D5080F"/>
    <w:rsid w:val="00D50EE7"/>
    <w:rsid w:val="00D50F3E"/>
    <w:rsid w:val="00D52372"/>
    <w:rsid w:val="00D52907"/>
    <w:rsid w:val="00D5386D"/>
    <w:rsid w:val="00D547D0"/>
    <w:rsid w:val="00D55993"/>
    <w:rsid w:val="00D56B7D"/>
    <w:rsid w:val="00D56C03"/>
    <w:rsid w:val="00D57741"/>
    <w:rsid w:val="00D6106C"/>
    <w:rsid w:val="00D61C0B"/>
    <w:rsid w:val="00D626C8"/>
    <w:rsid w:val="00D63293"/>
    <w:rsid w:val="00D634EB"/>
    <w:rsid w:val="00D636E3"/>
    <w:rsid w:val="00D64602"/>
    <w:rsid w:val="00D6563D"/>
    <w:rsid w:val="00D67116"/>
    <w:rsid w:val="00D67BE5"/>
    <w:rsid w:val="00D707A9"/>
    <w:rsid w:val="00D7104A"/>
    <w:rsid w:val="00D71365"/>
    <w:rsid w:val="00D71582"/>
    <w:rsid w:val="00D73662"/>
    <w:rsid w:val="00D75A2F"/>
    <w:rsid w:val="00D7775D"/>
    <w:rsid w:val="00D806F3"/>
    <w:rsid w:val="00D808CD"/>
    <w:rsid w:val="00D82752"/>
    <w:rsid w:val="00D833DA"/>
    <w:rsid w:val="00D83B59"/>
    <w:rsid w:val="00D83BF6"/>
    <w:rsid w:val="00D83ED0"/>
    <w:rsid w:val="00D85F2B"/>
    <w:rsid w:val="00D87ACC"/>
    <w:rsid w:val="00D904D6"/>
    <w:rsid w:val="00D90C24"/>
    <w:rsid w:val="00D914DD"/>
    <w:rsid w:val="00D918AF"/>
    <w:rsid w:val="00D91F16"/>
    <w:rsid w:val="00D959DC"/>
    <w:rsid w:val="00D96798"/>
    <w:rsid w:val="00D96D10"/>
    <w:rsid w:val="00D97B58"/>
    <w:rsid w:val="00D97EDF"/>
    <w:rsid w:val="00DA0317"/>
    <w:rsid w:val="00DA172B"/>
    <w:rsid w:val="00DA36E7"/>
    <w:rsid w:val="00DA7180"/>
    <w:rsid w:val="00DA7AB9"/>
    <w:rsid w:val="00DB0ABB"/>
    <w:rsid w:val="00DB5948"/>
    <w:rsid w:val="00DB6D6F"/>
    <w:rsid w:val="00DB6E3D"/>
    <w:rsid w:val="00DB7E0D"/>
    <w:rsid w:val="00DC1743"/>
    <w:rsid w:val="00DC2691"/>
    <w:rsid w:val="00DC27D6"/>
    <w:rsid w:val="00DC286A"/>
    <w:rsid w:val="00DC45FC"/>
    <w:rsid w:val="00DC6C7E"/>
    <w:rsid w:val="00DC74E3"/>
    <w:rsid w:val="00DD0183"/>
    <w:rsid w:val="00DD0677"/>
    <w:rsid w:val="00DD07ED"/>
    <w:rsid w:val="00DD0C81"/>
    <w:rsid w:val="00DD1066"/>
    <w:rsid w:val="00DD20F3"/>
    <w:rsid w:val="00DD3062"/>
    <w:rsid w:val="00DD36DA"/>
    <w:rsid w:val="00DD3C46"/>
    <w:rsid w:val="00DD3CD0"/>
    <w:rsid w:val="00DD50AF"/>
    <w:rsid w:val="00DD5504"/>
    <w:rsid w:val="00DD5F06"/>
    <w:rsid w:val="00DD7F1D"/>
    <w:rsid w:val="00DE10D6"/>
    <w:rsid w:val="00DE2410"/>
    <w:rsid w:val="00DE3B03"/>
    <w:rsid w:val="00DE4D08"/>
    <w:rsid w:val="00DE4E23"/>
    <w:rsid w:val="00DE5871"/>
    <w:rsid w:val="00DE5C17"/>
    <w:rsid w:val="00DE6763"/>
    <w:rsid w:val="00DF06F8"/>
    <w:rsid w:val="00DF329D"/>
    <w:rsid w:val="00DF3820"/>
    <w:rsid w:val="00DF581E"/>
    <w:rsid w:val="00DF5F72"/>
    <w:rsid w:val="00DF6A41"/>
    <w:rsid w:val="00DF70AE"/>
    <w:rsid w:val="00E025EF"/>
    <w:rsid w:val="00E02E4A"/>
    <w:rsid w:val="00E04A80"/>
    <w:rsid w:val="00E06F82"/>
    <w:rsid w:val="00E07D17"/>
    <w:rsid w:val="00E11A72"/>
    <w:rsid w:val="00E11E89"/>
    <w:rsid w:val="00E127B9"/>
    <w:rsid w:val="00E134CE"/>
    <w:rsid w:val="00E13B2D"/>
    <w:rsid w:val="00E1427E"/>
    <w:rsid w:val="00E14638"/>
    <w:rsid w:val="00E151ED"/>
    <w:rsid w:val="00E2085A"/>
    <w:rsid w:val="00E20FC6"/>
    <w:rsid w:val="00E2106C"/>
    <w:rsid w:val="00E214D1"/>
    <w:rsid w:val="00E21DDE"/>
    <w:rsid w:val="00E2319C"/>
    <w:rsid w:val="00E23D63"/>
    <w:rsid w:val="00E23E12"/>
    <w:rsid w:val="00E2402E"/>
    <w:rsid w:val="00E25653"/>
    <w:rsid w:val="00E2567D"/>
    <w:rsid w:val="00E25B9C"/>
    <w:rsid w:val="00E273BB"/>
    <w:rsid w:val="00E27F81"/>
    <w:rsid w:val="00E3053B"/>
    <w:rsid w:val="00E306EF"/>
    <w:rsid w:val="00E30EF4"/>
    <w:rsid w:val="00E30F65"/>
    <w:rsid w:val="00E31880"/>
    <w:rsid w:val="00E353F4"/>
    <w:rsid w:val="00E37879"/>
    <w:rsid w:val="00E407A7"/>
    <w:rsid w:val="00E41E8F"/>
    <w:rsid w:val="00E43ACC"/>
    <w:rsid w:val="00E43D59"/>
    <w:rsid w:val="00E44621"/>
    <w:rsid w:val="00E45046"/>
    <w:rsid w:val="00E46114"/>
    <w:rsid w:val="00E46E4D"/>
    <w:rsid w:val="00E46E87"/>
    <w:rsid w:val="00E475AD"/>
    <w:rsid w:val="00E503E9"/>
    <w:rsid w:val="00E509BA"/>
    <w:rsid w:val="00E50F96"/>
    <w:rsid w:val="00E538A9"/>
    <w:rsid w:val="00E5662B"/>
    <w:rsid w:val="00E5773E"/>
    <w:rsid w:val="00E57A6E"/>
    <w:rsid w:val="00E57E4F"/>
    <w:rsid w:val="00E60230"/>
    <w:rsid w:val="00E60AA9"/>
    <w:rsid w:val="00E6149C"/>
    <w:rsid w:val="00E61917"/>
    <w:rsid w:val="00E64153"/>
    <w:rsid w:val="00E64528"/>
    <w:rsid w:val="00E659DA"/>
    <w:rsid w:val="00E71E33"/>
    <w:rsid w:val="00E72C48"/>
    <w:rsid w:val="00E74BC6"/>
    <w:rsid w:val="00E750A0"/>
    <w:rsid w:val="00E76036"/>
    <w:rsid w:val="00E76C06"/>
    <w:rsid w:val="00E80CC6"/>
    <w:rsid w:val="00E82894"/>
    <w:rsid w:val="00E83C1D"/>
    <w:rsid w:val="00E855C1"/>
    <w:rsid w:val="00E8595D"/>
    <w:rsid w:val="00E866F4"/>
    <w:rsid w:val="00E86D7C"/>
    <w:rsid w:val="00E87964"/>
    <w:rsid w:val="00E87F38"/>
    <w:rsid w:val="00E90434"/>
    <w:rsid w:val="00E906C7"/>
    <w:rsid w:val="00E92832"/>
    <w:rsid w:val="00E938AF"/>
    <w:rsid w:val="00E973F4"/>
    <w:rsid w:val="00EA109C"/>
    <w:rsid w:val="00EA2BA5"/>
    <w:rsid w:val="00EA379E"/>
    <w:rsid w:val="00EA40F0"/>
    <w:rsid w:val="00EA46C9"/>
    <w:rsid w:val="00EA4A0A"/>
    <w:rsid w:val="00EB0285"/>
    <w:rsid w:val="00EB0A83"/>
    <w:rsid w:val="00EB1B26"/>
    <w:rsid w:val="00EB1FFE"/>
    <w:rsid w:val="00EB22CB"/>
    <w:rsid w:val="00EB2329"/>
    <w:rsid w:val="00EB48F9"/>
    <w:rsid w:val="00EB4F56"/>
    <w:rsid w:val="00EB5198"/>
    <w:rsid w:val="00EB7448"/>
    <w:rsid w:val="00EC0C01"/>
    <w:rsid w:val="00EC26E5"/>
    <w:rsid w:val="00EC3963"/>
    <w:rsid w:val="00EC7E2E"/>
    <w:rsid w:val="00ED044F"/>
    <w:rsid w:val="00ED10EB"/>
    <w:rsid w:val="00ED1F17"/>
    <w:rsid w:val="00ED308C"/>
    <w:rsid w:val="00ED614C"/>
    <w:rsid w:val="00EE1E45"/>
    <w:rsid w:val="00EE204D"/>
    <w:rsid w:val="00EE27EC"/>
    <w:rsid w:val="00EE362F"/>
    <w:rsid w:val="00EE393A"/>
    <w:rsid w:val="00EE4D7C"/>
    <w:rsid w:val="00EE5BFF"/>
    <w:rsid w:val="00EE7333"/>
    <w:rsid w:val="00EE7706"/>
    <w:rsid w:val="00EF027D"/>
    <w:rsid w:val="00EF0731"/>
    <w:rsid w:val="00EF0794"/>
    <w:rsid w:val="00EF1E58"/>
    <w:rsid w:val="00EF1F9E"/>
    <w:rsid w:val="00EF34E1"/>
    <w:rsid w:val="00EF3EC6"/>
    <w:rsid w:val="00EF4491"/>
    <w:rsid w:val="00EF66D9"/>
    <w:rsid w:val="00EF6829"/>
    <w:rsid w:val="00EF7140"/>
    <w:rsid w:val="00F02AA1"/>
    <w:rsid w:val="00F02D3D"/>
    <w:rsid w:val="00F03C71"/>
    <w:rsid w:val="00F114A0"/>
    <w:rsid w:val="00F11784"/>
    <w:rsid w:val="00F11C94"/>
    <w:rsid w:val="00F11E1C"/>
    <w:rsid w:val="00F11F3D"/>
    <w:rsid w:val="00F12152"/>
    <w:rsid w:val="00F121A1"/>
    <w:rsid w:val="00F12D1C"/>
    <w:rsid w:val="00F14C02"/>
    <w:rsid w:val="00F151C0"/>
    <w:rsid w:val="00F15219"/>
    <w:rsid w:val="00F15FD2"/>
    <w:rsid w:val="00F165BE"/>
    <w:rsid w:val="00F167B3"/>
    <w:rsid w:val="00F204D4"/>
    <w:rsid w:val="00F20537"/>
    <w:rsid w:val="00F20B63"/>
    <w:rsid w:val="00F21385"/>
    <w:rsid w:val="00F219B4"/>
    <w:rsid w:val="00F21E06"/>
    <w:rsid w:val="00F22175"/>
    <w:rsid w:val="00F22969"/>
    <w:rsid w:val="00F2348E"/>
    <w:rsid w:val="00F23C5D"/>
    <w:rsid w:val="00F24019"/>
    <w:rsid w:val="00F24050"/>
    <w:rsid w:val="00F26915"/>
    <w:rsid w:val="00F26DCD"/>
    <w:rsid w:val="00F35749"/>
    <w:rsid w:val="00F36CA8"/>
    <w:rsid w:val="00F37929"/>
    <w:rsid w:val="00F37DBB"/>
    <w:rsid w:val="00F41026"/>
    <w:rsid w:val="00F4183C"/>
    <w:rsid w:val="00F42A6E"/>
    <w:rsid w:val="00F42D50"/>
    <w:rsid w:val="00F434E2"/>
    <w:rsid w:val="00F442E4"/>
    <w:rsid w:val="00F44583"/>
    <w:rsid w:val="00F45726"/>
    <w:rsid w:val="00F46754"/>
    <w:rsid w:val="00F507A3"/>
    <w:rsid w:val="00F514CA"/>
    <w:rsid w:val="00F527E9"/>
    <w:rsid w:val="00F53990"/>
    <w:rsid w:val="00F55233"/>
    <w:rsid w:val="00F553CD"/>
    <w:rsid w:val="00F55BDE"/>
    <w:rsid w:val="00F55DD9"/>
    <w:rsid w:val="00F563F1"/>
    <w:rsid w:val="00F6046C"/>
    <w:rsid w:val="00F611F5"/>
    <w:rsid w:val="00F61571"/>
    <w:rsid w:val="00F61EAC"/>
    <w:rsid w:val="00F62C52"/>
    <w:rsid w:val="00F67A41"/>
    <w:rsid w:val="00F67DBB"/>
    <w:rsid w:val="00F70299"/>
    <w:rsid w:val="00F714A6"/>
    <w:rsid w:val="00F72AC4"/>
    <w:rsid w:val="00F738E1"/>
    <w:rsid w:val="00F73F2C"/>
    <w:rsid w:val="00F749C1"/>
    <w:rsid w:val="00F75761"/>
    <w:rsid w:val="00F757B8"/>
    <w:rsid w:val="00F761D1"/>
    <w:rsid w:val="00F8144A"/>
    <w:rsid w:val="00F81AB1"/>
    <w:rsid w:val="00F82A08"/>
    <w:rsid w:val="00F833FE"/>
    <w:rsid w:val="00F84419"/>
    <w:rsid w:val="00F84A21"/>
    <w:rsid w:val="00F85CF3"/>
    <w:rsid w:val="00F85FC1"/>
    <w:rsid w:val="00F86466"/>
    <w:rsid w:val="00F867A8"/>
    <w:rsid w:val="00F8753F"/>
    <w:rsid w:val="00F908F3"/>
    <w:rsid w:val="00F91E8A"/>
    <w:rsid w:val="00F93566"/>
    <w:rsid w:val="00FA1B1D"/>
    <w:rsid w:val="00FA3485"/>
    <w:rsid w:val="00FA3BB2"/>
    <w:rsid w:val="00FA4A92"/>
    <w:rsid w:val="00FA5DBD"/>
    <w:rsid w:val="00FA7F1A"/>
    <w:rsid w:val="00FB0A6E"/>
    <w:rsid w:val="00FB2A60"/>
    <w:rsid w:val="00FB2F87"/>
    <w:rsid w:val="00FB2FDC"/>
    <w:rsid w:val="00FB30D6"/>
    <w:rsid w:val="00FB330E"/>
    <w:rsid w:val="00FB4A2A"/>
    <w:rsid w:val="00FB5659"/>
    <w:rsid w:val="00FB569E"/>
    <w:rsid w:val="00FB5CEC"/>
    <w:rsid w:val="00FC003B"/>
    <w:rsid w:val="00FC19D0"/>
    <w:rsid w:val="00FC1A41"/>
    <w:rsid w:val="00FC20CC"/>
    <w:rsid w:val="00FC24F9"/>
    <w:rsid w:val="00FC2EB9"/>
    <w:rsid w:val="00FC361B"/>
    <w:rsid w:val="00FC386A"/>
    <w:rsid w:val="00FC4513"/>
    <w:rsid w:val="00FC4A8B"/>
    <w:rsid w:val="00FC594A"/>
    <w:rsid w:val="00FC65BE"/>
    <w:rsid w:val="00FC66B4"/>
    <w:rsid w:val="00FC7BFE"/>
    <w:rsid w:val="00FD0CB9"/>
    <w:rsid w:val="00FD1706"/>
    <w:rsid w:val="00FD318E"/>
    <w:rsid w:val="00FD4A9D"/>
    <w:rsid w:val="00FD6598"/>
    <w:rsid w:val="00FE0250"/>
    <w:rsid w:val="00FE051A"/>
    <w:rsid w:val="00FE059A"/>
    <w:rsid w:val="00FE0611"/>
    <w:rsid w:val="00FE09A1"/>
    <w:rsid w:val="00FE0BA5"/>
    <w:rsid w:val="00FE19F2"/>
    <w:rsid w:val="00FE2751"/>
    <w:rsid w:val="00FE283C"/>
    <w:rsid w:val="00FE3095"/>
    <w:rsid w:val="00FE39F0"/>
    <w:rsid w:val="00FE3BD8"/>
    <w:rsid w:val="00FE3BE1"/>
    <w:rsid w:val="00FE3DA7"/>
    <w:rsid w:val="00FE4C96"/>
    <w:rsid w:val="00FF0355"/>
    <w:rsid w:val="00FF076C"/>
    <w:rsid w:val="00FF18FF"/>
    <w:rsid w:val="00FF1CCD"/>
    <w:rsid w:val="00FF5847"/>
    <w:rsid w:val="00FF6E48"/>
    <w:rsid w:val="065BB81F"/>
    <w:rsid w:val="095E94BD"/>
    <w:rsid w:val="0A322B60"/>
    <w:rsid w:val="0D716033"/>
    <w:rsid w:val="0F94DA3D"/>
    <w:rsid w:val="0FF0C9AB"/>
    <w:rsid w:val="12B5D809"/>
    <w:rsid w:val="134A0AF4"/>
    <w:rsid w:val="193E34D8"/>
    <w:rsid w:val="19FBF8BA"/>
    <w:rsid w:val="1A6B7761"/>
    <w:rsid w:val="1A8F0551"/>
    <w:rsid w:val="1B37F8E2"/>
    <w:rsid w:val="1F63E7C9"/>
    <w:rsid w:val="22F703B5"/>
    <w:rsid w:val="23919254"/>
    <w:rsid w:val="23D07DBC"/>
    <w:rsid w:val="24ABA235"/>
    <w:rsid w:val="271D7AA0"/>
    <w:rsid w:val="2A3258B1"/>
    <w:rsid w:val="2E076769"/>
    <w:rsid w:val="30618066"/>
    <w:rsid w:val="31767C52"/>
    <w:rsid w:val="3636E3D0"/>
    <w:rsid w:val="39C6310C"/>
    <w:rsid w:val="3B89A703"/>
    <w:rsid w:val="3C18D9B0"/>
    <w:rsid w:val="3C934C4E"/>
    <w:rsid w:val="3DF2EC12"/>
    <w:rsid w:val="3EC1DDA8"/>
    <w:rsid w:val="3EF19389"/>
    <w:rsid w:val="405EB9DB"/>
    <w:rsid w:val="46361F97"/>
    <w:rsid w:val="47C76352"/>
    <w:rsid w:val="498E8E20"/>
    <w:rsid w:val="4FF0CA39"/>
    <w:rsid w:val="524A4F68"/>
    <w:rsid w:val="5445A5E9"/>
    <w:rsid w:val="55396A9B"/>
    <w:rsid w:val="553E6702"/>
    <w:rsid w:val="56079866"/>
    <w:rsid w:val="5A038148"/>
    <w:rsid w:val="5A59979E"/>
    <w:rsid w:val="5D13F8C5"/>
    <w:rsid w:val="5DC4C80E"/>
    <w:rsid w:val="5F1F0C0F"/>
    <w:rsid w:val="62B520A4"/>
    <w:rsid w:val="6385DC7A"/>
    <w:rsid w:val="67E966DF"/>
    <w:rsid w:val="685E050B"/>
    <w:rsid w:val="68A4D590"/>
    <w:rsid w:val="6964E08B"/>
    <w:rsid w:val="6A063D3B"/>
    <w:rsid w:val="6A53BDB2"/>
    <w:rsid w:val="6C3B2451"/>
    <w:rsid w:val="6C7FADC0"/>
    <w:rsid w:val="6E571919"/>
    <w:rsid w:val="70116C8E"/>
    <w:rsid w:val="70C9A0A3"/>
    <w:rsid w:val="7211498A"/>
    <w:rsid w:val="72F83891"/>
    <w:rsid w:val="732A2595"/>
    <w:rsid w:val="741EE4A7"/>
    <w:rsid w:val="76F922A1"/>
    <w:rsid w:val="7A348A32"/>
    <w:rsid w:val="7A80B6C0"/>
    <w:rsid w:val="7B18B765"/>
    <w:rsid w:val="7CDD5816"/>
    <w:rsid w:val="7D16F954"/>
    <w:rsid w:val="7F0596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46388"/>
  <w15:docId w15:val="{1AF19A81-06A4-469F-A385-7DDCE6E4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6E4"/>
    <w:pPr>
      <w:widowControl w:val="0"/>
      <w:spacing w:after="0" w:line="240" w:lineRule="auto"/>
    </w:pPr>
    <w:rPr>
      <w:rFonts w:ascii="Times New Roman" w:eastAsia="Times New Roman" w:hAnsi="Times New Roman" w:cs="Times New Roman"/>
      <w:color w:val="000000" w:themeColor="text1"/>
      <w:sz w:val="24"/>
      <w:szCs w:val="24"/>
    </w:rPr>
  </w:style>
  <w:style w:type="paragraph" w:styleId="Heading1">
    <w:name w:val="heading 1"/>
    <w:basedOn w:val="Normal"/>
    <w:next w:val="Normal"/>
    <w:link w:val="Heading1Char"/>
    <w:uiPriority w:val="9"/>
    <w:qFormat/>
    <w:rsid w:val="003F76E4"/>
    <w:pPr>
      <w:spacing w:before="12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D0183"/>
    <w:pPr>
      <w:spacing w:before="120"/>
      <w:ind w:left="720"/>
      <w:outlineLvl w:val="1"/>
    </w:pPr>
    <w:rPr>
      <w:rFonts w:eastAsiaTheme="majorEastAsia" w:cstheme="majorBidi"/>
      <w:b/>
      <w:sz w:val="26"/>
      <w:szCs w:val="26"/>
    </w:rPr>
  </w:style>
  <w:style w:type="paragraph" w:styleId="Heading3">
    <w:name w:val="heading 3"/>
    <w:basedOn w:val="Normal"/>
    <w:next w:val="Normal"/>
    <w:link w:val="Heading3Char"/>
    <w:qFormat/>
    <w:rsid w:val="002755D5"/>
    <w:pPr>
      <w:autoSpaceDE w:val="0"/>
      <w:autoSpaceDN w:val="0"/>
      <w:adjustRightInd w:val="0"/>
      <w:spacing w:before="120" w:after="60"/>
      <w:ind w:left="720"/>
      <w:outlineLvl w:val="2"/>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7DDD"/>
    <w:pPr>
      <w:tabs>
        <w:tab w:val="center" w:pos="4320"/>
        <w:tab w:val="right" w:pos="8640"/>
      </w:tabs>
    </w:pPr>
  </w:style>
  <w:style w:type="character" w:customStyle="1" w:styleId="HeaderChar">
    <w:name w:val="Header Char"/>
    <w:basedOn w:val="DefaultParagraphFont"/>
    <w:link w:val="Header"/>
    <w:rsid w:val="00C47DDD"/>
    <w:rPr>
      <w:rFonts w:ascii="Times New Roman" w:eastAsia="Times New Roman" w:hAnsi="Times New Roman" w:cs="Times New Roman"/>
      <w:sz w:val="24"/>
      <w:szCs w:val="24"/>
    </w:rPr>
  </w:style>
  <w:style w:type="paragraph" w:styleId="Footer">
    <w:name w:val="footer"/>
    <w:basedOn w:val="Normal"/>
    <w:link w:val="FooterChar"/>
    <w:uiPriority w:val="99"/>
    <w:rsid w:val="00C47DDD"/>
    <w:pPr>
      <w:tabs>
        <w:tab w:val="center" w:pos="4320"/>
        <w:tab w:val="right" w:pos="8640"/>
      </w:tabs>
    </w:pPr>
  </w:style>
  <w:style w:type="character" w:customStyle="1" w:styleId="FooterChar">
    <w:name w:val="Footer Char"/>
    <w:basedOn w:val="DefaultParagraphFont"/>
    <w:link w:val="Footer"/>
    <w:uiPriority w:val="99"/>
    <w:rsid w:val="00C47DDD"/>
    <w:rPr>
      <w:rFonts w:ascii="Times New Roman" w:eastAsia="Times New Roman" w:hAnsi="Times New Roman" w:cs="Times New Roman"/>
      <w:sz w:val="24"/>
      <w:szCs w:val="24"/>
    </w:rPr>
  </w:style>
  <w:style w:type="table" w:styleId="TableGrid">
    <w:name w:val="Table Grid"/>
    <w:basedOn w:val="TableNormal"/>
    <w:uiPriority w:val="59"/>
    <w:rsid w:val="00C47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47DDD"/>
    <w:rPr>
      <w:color w:val="0000FF"/>
      <w:u w:val="single"/>
    </w:rPr>
  </w:style>
  <w:style w:type="paragraph" w:styleId="DocumentMap">
    <w:name w:val="Document Map"/>
    <w:basedOn w:val="Normal"/>
    <w:link w:val="DocumentMapChar"/>
    <w:semiHidden/>
    <w:rsid w:val="00C47D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47DDD"/>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C47DDD"/>
    <w:rPr>
      <w:sz w:val="20"/>
      <w:szCs w:val="20"/>
    </w:rPr>
  </w:style>
  <w:style w:type="character" w:customStyle="1" w:styleId="FootnoteTextChar">
    <w:name w:val="Footnote Text Char"/>
    <w:basedOn w:val="DefaultParagraphFont"/>
    <w:link w:val="FootnoteText"/>
    <w:semiHidden/>
    <w:rsid w:val="00C47DDD"/>
    <w:rPr>
      <w:rFonts w:ascii="Times New Roman" w:eastAsia="Times New Roman" w:hAnsi="Times New Roman" w:cs="Times New Roman"/>
      <w:sz w:val="20"/>
      <w:szCs w:val="20"/>
    </w:rPr>
  </w:style>
  <w:style w:type="character" w:styleId="FootnoteReference">
    <w:name w:val="footnote reference"/>
    <w:basedOn w:val="DefaultParagraphFont"/>
    <w:semiHidden/>
    <w:rsid w:val="00C47DDD"/>
    <w:rPr>
      <w:vertAlign w:val="superscript"/>
    </w:rPr>
  </w:style>
  <w:style w:type="character" w:styleId="FollowedHyperlink">
    <w:name w:val="FollowedHyperlink"/>
    <w:basedOn w:val="DefaultParagraphFont"/>
    <w:rsid w:val="00C47DDD"/>
    <w:rPr>
      <w:color w:val="800080"/>
      <w:u w:val="single"/>
    </w:rPr>
  </w:style>
  <w:style w:type="table" w:customStyle="1" w:styleId="TableGrid1">
    <w:name w:val="Table Grid1"/>
    <w:basedOn w:val="TableNormal"/>
    <w:next w:val="TableGrid"/>
    <w:rsid w:val="00C47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7DDD"/>
    <w:rPr>
      <w:rFonts w:ascii="Tahoma" w:hAnsi="Tahoma" w:cs="Tahoma"/>
      <w:sz w:val="16"/>
      <w:szCs w:val="16"/>
    </w:rPr>
  </w:style>
  <w:style w:type="character" w:customStyle="1" w:styleId="BalloonTextChar">
    <w:name w:val="Balloon Text Char"/>
    <w:basedOn w:val="DefaultParagraphFont"/>
    <w:link w:val="BalloonText"/>
    <w:semiHidden/>
    <w:rsid w:val="00C47DDD"/>
    <w:rPr>
      <w:rFonts w:ascii="Tahoma" w:eastAsia="Times New Roman" w:hAnsi="Tahoma" w:cs="Tahoma"/>
      <w:sz w:val="16"/>
      <w:szCs w:val="16"/>
    </w:rPr>
  </w:style>
  <w:style w:type="character" w:styleId="CommentReference">
    <w:name w:val="annotation reference"/>
    <w:basedOn w:val="DefaultParagraphFont"/>
    <w:uiPriority w:val="99"/>
    <w:rsid w:val="00C47DDD"/>
    <w:rPr>
      <w:sz w:val="16"/>
      <w:szCs w:val="16"/>
    </w:rPr>
  </w:style>
  <w:style w:type="paragraph" w:styleId="CommentText">
    <w:name w:val="annotation text"/>
    <w:basedOn w:val="Normal"/>
    <w:link w:val="CommentTextChar"/>
    <w:uiPriority w:val="99"/>
    <w:rsid w:val="00C47DDD"/>
    <w:rPr>
      <w:sz w:val="20"/>
      <w:szCs w:val="20"/>
    </w:rPr>
  </w:style>
  <w:style w:type="character" w:customStyle="1" w:styleId="CommentTextChar">
    <w:name w:val="Comment Text Char"/>
    <w:basedOn w:val="DefaultParagraphFont"/>
    <w:link w:val="CommentText"/>
    <w:uiPriority w:val="99"/>
    <w:rsid w:val="00C47D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47DDD"/>
    <w:rPr>
      <w:b/>
      <w:bCs/>
    </w:rPr>
  </w:style>
  <w:style w:type="character" w:customStyle="1" w:styleId="CommentSubjectChar">
    <w:name w:val="Comment Subject Char"/>
    <w:basedOn w:val="CommentTextChar"/>
    <w:link w:val="CommentSubject"/>
    <w:rsid w:val="00C47DDD"/>
    <w:rPr>
      <w:rFonts w:ascii="Times New Roman" w:eastAsia="Times New Roman" w:hAnsi="Times New Roman" w:cs="Times New Roman"/>
      <w:b/>
      <w:bCs/>
      <w:sz w:val="20"/>
      <w:szCs w:val="20"/>
    </w:rPr>
  </w:style>
  <w:style w:type="paragraph" w:styleId="Revision">
    <w:name w:val="Revision"/>
    <w:hidden/>
    <w:uiPriority w:val="99"/>
    <w:semiHidden/>
    <w:rsid w:val="00C47D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7DDD"/>
    <w:pPr>
      <w:ind w:left="720"/>
      <w:contextualSpacing/>
    </w:pPr>
  </w:style>
  <w:style w:type="character" w:customStyle="1" w:styleId="Heading3Char">
    <w:name w:val="Heading 3 Char"/>
    <w:basedOn w:val="DefaultParagraphFont"/>
    <w:link w:val="Heading3"/>
    <w:rsid w:val="002755D5"/>
    <w:rPr>
      <w:rFonts w:ascii="Times New Roman" w:eastAsia="Times New Roman" w:hAnsi="Times New Roman" w:cs="Times New Roman"/>
      <w:bCs/>
      <w:i/>
      <w:color w:val="000000" w:themeColor="text1"/>
      <w:sz w:val="24"/>
      <w:szCs w:val="24"/>
    </w:rPr>
  </w:style>
  <w:style w:type="paragraph" w:styleId="NoSpacing">
    <w:name w:val="No Spacing"/>
    <w:uiPriority w:val="1"/>
    <w:qFormat/>
    <w:rsid w:val="002C278C"/>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BodyText">
    <w:name w:val="Body Text"/>
    <w:basedOn w:val="Normal"/>
    <w:link w:val="BodyTextChar"/>
    <w:uiPriority w:val="99"/>
    <w:semiHidden/>
    <w:unhideWhenUsed/>
    <w:rsid w:val="002C278C"/>
    <w:pPr>
      <w:spacing w:after="120"/>
    </w:pPr>
  </w:style>
  <w:style w:type="character" w:customStyle="1" w:styleId="BodyTextChar">
    <w:name w:val="Body Text Char"/>
    <w:basedOn w:val="DefaultParagraphFont"/>
    <w:link w:val="BodyText"/>
    <w:uiPriority w:val="99"/>
    <w:semiHidden/>
    <w:rsid w:val="002C278C"/>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2C278C"/>
    <w:pPr>
      <w:autoSpaceDE w:val="0"/>
      <w:autoSpaceDN w:val="0"/>
      <w:adjustRightInd w:val="0"/>
      <w:ind w:firstLine="210"/>
    </w:pPr>
    <w:rPr>
      <w:szCs w:val="20"/>
    </w:rPr>
  </w:style>
  <w:style w:type="character" w:customStyle="1" w:styleId="BodyTextFirstIndentChar">
    <w:name w:val="Body Text First Indent Char"/>
    <w:basedOn w:val="BodyTextChar"/>
    <w:link w:val="BodyTextFirstIndent"/>
    <w:rsid w:val="002C278C"/>
    <w:rPr>
      <w:rFonts w:ascii="Times New Roman" w:eastAsia="Times New Roman" w:hAnsi="Times New Roman" w:cs="Times New Roman"/>
      <w:sz w:val="24"/>
      <w:szCs w:val="20"/>
    </w:rPr>
  </w:style>
  <w:style w:type="paragraph" w:styleId="NormalWeb">
    <w:name w:val="Normal (Web)"/>
    <w:basedOn w:val="Normal"/>
    <w:uiPriority w:val="99"/>
    <w:unhideWhenUsed/>
    <w:rsid w:val="004054ED"/>
    <w:pPr>
      <w:spacing w:before="100" w:beforeAutospacing="1" w:after="100" w:afterAutospacing="1"/>
    </w:pPr>
  </w:style>
  <w:style w:type="character" w:customStyle="1" w:styleId="apple-converted-space">
    <w:name w:val="apple-converted-space"/>
    <w:basedOn w:val="DefaultParagraphFont"/>
    <w:rsid w:val="004054ED"/>
  </w:style>
  <w:style w:type="paragraph" w:customStyle="1" w:styleId="SectionHeading">
    <w:name w:val="Section Heading"/>
    <w:basedOn w:val="Normal"/>
    <w:rsid w:val="004054ED"/>
    <w:rPr>
      <w:rFonts w:ascii="Book Antiqua" w:hAnsi="Book Antiqua"/>
      <w:b/>
      <w:szCs w:val="20"/>
    </w:rPr>
  </w:style>
  <w:style w:type="character" w:styleId="Strong">
    <w:name w:val="Strong"/>
    <w:basedOn w:val="DefaultParagraphFont"/>
    <w:uiPriority w:val="22"/>
    <w:qFormat/>
    <w:rsid w:val="0059509A"/>
    <w:rPr>
      <w:b/>
      <w:bCs/>
    </w:rPr>
  </w:style>
  <w:style w:type="character" w:customStyle="1" w:styleId="Heading2Char">
    <w:name w:val="Heading 2 Char"/>
    <w:basedOn w:val="DefaultParagraphFont"/>
    <w:link w:val="Heading2"/>
    <w:uiPriority w:val="9"/>
    <w:rsid w:val="00DD0183"/>
    <w:rPr>
      <w:rFonts w:ascii="Times New Roman" w:eastAsiaTheme="majorEastAsia" w:hAnsi="Times New Roman" w:cstheme="majorBidi"/>
      <w:b/>
      <w:color w:val="000000" w:themeColor="text1"/>
      <w:sz w:val="26"/>
      <w:szCs w:val="26"/>
    </w:rPr>
  </w:style>
  <w:style w:type="character" w:customStyle="1" w:styleId="volume">
    <w:name w:val="volume"/>
    <w:basedOn w:val="DefaultParagraphFont"/>
    <w:rsid w:val="000B6821"/>
  </w:style>
  <w:style w:type="character" w:customStyle="1" w:styleId="page">
    <w:name w:val="page"/>
    <w:basedOn w:val="DefaultParagraphFont"/>
    <w:rsid w:val="000B6821"/>
  </w:style>
  <w:style w:type="paragraph" w:customStyle="1" w:styleId="Default">
    <w:name w:val="Default"/>
    <w:rsid w:val="00C77D16"/>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D4F5F"/>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2D4F5F"/>
    <w:rPr>
      <w:rFonts w:ascii="Calibri" w:eastAsiaTheme="minorEastAsia" w:hAnsi="Calibri"/>
      <w:szCs w:val="21"/>
      <w:lang w:eastAsia="zh-CN"/>
    </w:rPr>
  </w:style>
  <w:style w:type="character" w:styleId="UnresolvedMention">
    <w:name w:val="Unresolved Mention"/>
    <w:basedOn w:val="DefaultParagraphFont"/>
    <w:uiPriority w:val="99"/>
    <w:semiHidden/>
    <w:unhideWhenUsed/>
    <w:rsid w:val="00FE19F2"/>
    <w:rPr>
      <w:color w:val="605E5C"/>
      <w:shd w:val="clear" w:color="auto" w:fill="E1DFDD"/>
    </w:rPr>
  </w:style>
  <w:style w:type="character" w:customStyle="1" w:styleId="Heading1Char">
    <w:name w:val="Heading 1 Char"/>
    <w:basedOn w:val="DefaultParagraphFont"/>
    <w:link w:val="Heading1"/>
    <w:uiPriority w:val="9"/>
    <w:rsid w:val="003F76E4"/>
    <w:rPr>
      <w:rFonts w:ascii="Times New Roman" w:eastAsiaTheme="majorEastAsia" w:hAnsi="Times New Roman" w:cstheme="majorBidi"/>
      <w:b/>
      <w:color w:val="000000" w:themeColor="text1"/>
      <w:sz w:val="28"/>
      <w:szCs w:val="32"/>
    </w:rPr>
  </w:style>
  <w:style w:type="paragraph" w:styleId="Title">
    <w:name w:val="Title"/>
    <w:basedOn w:val="Normal"/>
    <w:next w:val="Normal"/>
    <w:link w:val="TitleChar"/>
    <w:uiPriority w:val="10"/>
    <w:qFormat/>
    <w:rsid w:val="00805493"/>
    <w:pPr>
      <w:spacing w:before="40" w:after="24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5493"/>
    <w:rPr>
      <w:rFonts w:ascii="Times New Roman" w:eastAsiaTheme="majorEastAsia" w:hAnsi="Times New Roman" w:cstheme="majorBidi"/>
      <w:b/>
      <w:color w:val="000000" w:themeColor="text1"/>
      <w:spacing w:val="-10"/>
      <w:kern w:val="28"/>
      <w:sz w:val="28"/>
      <w:szCs w:val="56"/>
    </w:rPr>
  </w:style>
  <w:style w:type="character" w:customStyle="1" w:styleId="normaltextrun1">
    <w:name w:val="normaltextrun1"/>
    <w:basedOn w:val="DefaultParagraphFont"/>
    <w:rsid w:val="00152185"/>
  </w:style>
  <w:style w:type="table" w:customStyle="1" w:styleId="TableGrid3">
    <w:name w:val="Table Grid3"/>
    <w:basedOn w:val="TableNormal"/>
    <w:next w:val="TableGrid"/>
    <w:uiPriority w:val="39"/>
    <w:rsid w:val="0013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66506">
      <w:bodyDiv w:val="1"/>
      <w:marLeft w:val="0"/>
      <w:marRight w:val="0"/>
      <w:marTop w:val="0"/>
      <w:marBottom w:val="0"/>
      <w:divBdr>
        <w:top w:val="none" w:sz="0" w:space="0" w:color="auto"/>
        <w:left w:val="none" w:sz="0" w:space="0" w:color="auto"/>
        <w:bottom w:val="none" w:sz="0" w:space="0" w:color="auto"/>
        <w:right w:val="none" w:sz="0" w:space="0" w:color="auto"/>
      </w:divBdr>
    </w:div>
    <w:div w:id="104080229">
      <w:bodyDiv w:val="1"/>
      <w:marLeft w:val="0"/>
      <w:marRight w:val="0"/>
      <w:marTop w:val="0"/>
      <w:marBottom w:val="0"/>
      <w:divBdr>
        <w:top w:val="none" w:sz="0" w:space="0" w:color="auto"/>
        <w:left w:val="none" w:sz="0" w:space="0" w:color="auto"/>
        <w:bottom w:val="none" w:sz="0" w:space="0" w:color="auto"/>
        <w:right w:val="none" w:sz="0" w:space="0" w:color="auto"/>
      </w:divBdr>
      <w:divsChild>
        <w:div w:id="1526165749">
          <w:marLeft w:val="0"/>
          <w:marRight w:val="0"/>
          <w:marTop w:val="0"/>
          <w:marBottom w:val="0"/>
          <w:divBdr>
            <w:top w:val="none" w:sz="0" w:space="0" w:color="auto"/>
            <w:left w:val="none" w:sz="0" w:space="0" w:color="auto"/>
            <w:bottom w:val="none" w:sz="0" w:space="0" w:color="auto"/>
            <w:right w:val="none" w:sz="0" w:space="0" w:color="auto"/>
          </w:divBdr>
          <w:divsChild>
            <w:div w:id="1667856054">
              <w:marLeft w:val="0"/>
              <w:marRight w:val="0"/>
              <w:marTop w:val="0"/>
              <w:marBottom w:val="0"/>
              <w:divBdr>
                <w:top w:val="none" w:sz="0" w:space="0" w:color="auto"/>
                <w:left w:val="none" w:sz="0" w:space="0" w:color="auto"/>
                <w:bottom w:val="none" w:sz="0" w:space="0" w:color="auto"/>
                <w:right w:val="none" w:sz="0" w:space="0" w:color="auto"/>
              </w:divBdr>
              <w:divsChild>
                <w:div w:id="789935685">
                  <w:marLeft w:val="0"/>
                  <w:marRight w:val="0"/>
                  <w:marTop w:val="0"/>
                  <w:marBottom w:val="0"/>
                  <w:divBdr>
                    <w:top w:val="none" w:sz="0" w:space="0" w:color="auto"/>
                    <w:left w:val="none" w:sz="0" w:space="0" w:color="auto"/>
                    <w:bottom w:val="none" w:sz="0" w:space="0" w:color="auto"/>
                    <w:right w:val="none" w:sz="0" w:space="0" w:color="auto"/>
                  </w:divBdr>
                  <w:divsChild>
                    <w:div w:id="777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8118">
      <w:bodyDiv w:val="1"/>
      <w:marLeft w:val="0"/>
      <w:marRight w:val="0"/>
      <w:marTop w:val="0"/>
      <w:marBottom w:val="0"/>
      <w:divBdr>
        <w:top w:val="none" w:sz="0" w:space="0" w:color="auto"/>
        <w:left w:val="none" w:sz="0" w:space="0" w:color="auto"/>
        <w:bottom w:val="none" w:sz="0" w:space="0" w:color="auto"/>
        <w:right w:val="none" w:sz="0" w:space="0" w:color="auto"/>
      </w:divBdr>
      <w:divsChild>
        <w:div w:id="90661158">
          <w:marLeft w:val="547"/>
          <w:marRight w:val="0"/>
          <w:marTop w:val="134"/>
          <w:marBottom w:val="0"/>
          <w:divBdr>
            <w:top w:val="none" w:sz="0" w:space="0" w:color="auto"/>
            <w:left w:val="none" w:sz="0" w:space="0" w:color="auto"/>
            <w:bottom w:val="none" w:sz="0" w:space="0" w:color="auto"/>
            <w:right w:val="none" w:sz="0" w:space="0" w:color="auto"/>
          </w:divBdr>
        </w:div>
        <w:div w:id="466775303">
          <w:marLeft w:val="1166"/>
          <w:marRight w:val="0"/>
          <w:marTop w:val="115"/>
          <w:marBottom w:val="0"/>
          <w:divBdr>
            <w:top w:val="none" w:sz="0" w:space="0" w:color="auto"/>
            <w:left w:val="none" w:sz="0" w:space="0" w:color="auto"/>
            <w:bottom w:val="none" w:sz="0" w:space="0" w:color="auto"/>
            <w:right w:val="none" w:sz="0" w:space="0" w:color="auto"/>
          </w:divBdr>
        </w:div>
        <w:div w:id="530068887">
          <w:marLeft w:val="1166"/>
          <w:marRight w:val="0"/>
          <w:marTop w:val="115"/>
          <w:marBottom w:val="0"/>
          <w:divBdr>
            <w:top w:val="none" w:sz="0" w:space="0" w:color="auto"/>
            <w:left w:val="none" w:sz="0" w:space="0" w:color="auto"/>
            <w:bottom w:val="none" w:sz="0" w:space="0" w:color="auto"/>
            <w:right w:val="none" w:sz="0" w:space="0" w:color="auto"/>
          </w:divBdr>
        </w:div>
        <w:div w:id="2076319465">
          <w:marLeft w:val="1166"/>
          <w:marRight w:val="0"/>
          <w:marTop w:val="115"/>
          <w:marBottom w:val="0"/>
          <w:divBdr>
            <w:top w:val="none" w:sz="0" w:space="0" w:color="auto"/>
            <w:left w:val="none" w:sz="0" w:space="0" w:color="auto"/>
            <w:bottom w:val="none" w:sz="0" w:space="0" w:color="auto"/>
            <w:right w:val="none" w:sz="0" w:space="0" w:color="auto"/>
          </w:divBdr>
        </w:div>
      </w:divsChild>
    </w:div>
    <w:div w:id="142894043">
      <w:bodyDiv w:val="1"/>
      <w:marLeft w:val="0"/>
      <w:marRight w:val="0"/>
      <w:marTop w:val="0"/>
      <w:marBottom w:val="0"/>
      <w:divBdr>
        <w:top w:val="none" w:sz="0" w:space="0" w:color="auto"/>
        <w:left w:val="none" w:sz="0" w:space="0" w:color="auto"/>
        <w:bottom w:val="none" w:sz="0" w:space="0" w:color="auto"/>
        <w:right w:val="none" w:sz="0" w:space="0" w:color="auto"/>
      </w:divBdr>
    </w:div>
    <w:div w:id="224799147">
      <w:bodyDiv w:val="1"/>
      <w:marLeft w:val="0"/>
      <w:marRight w:val="0"/>
      <w:marTop w:val="0"/>
      <w:marBottom w:val="0"/>
      <w:divBdr>
        <w:top w:val="none" w:sz="0" w:space="0" w:color="auto"/>
        <w:left w:val="none" w:sz="0" w:space="0" w:color="auto"/>
        <w:bottom w:val="none" w:sz="0" w:space="0" w:color="auto"/>
        <w:right w:val="none" w:sz="0" w:space="0" w:color="auto"/>
      </w:divBdr>
    </w:div>
    <w:div w:id="225386045">
      <w:bodyDiv w:val="1"/>
      <w:marLeft w:val="0"/>
      <w:marRight w:val="0"/>
      <w:marTop w:val="0"/>
      <w:marBottom w:val="0"/>
      <w:divBdr>
        <w:top w:val="none" w:sz="0" w:space="0" w:color="auto"/>
        <w:left w:val="none" w:sz="0" w:space="0" w:color="auto"/>
        <w:bottom w:val="none" w:sz="0" w:space="0" w:color="auto"/>
        <w:right w:val="none" w:sz="0" w:space="0" w:color="auto"/>
      </w:divBdr>
    </w:div>
    <w:div w:id="288778615">
      <w:bodyDiv w:val="1"/>
      <w:marLeft w:val="0"/>
      <w:marRight w:val="0"/>
      <w:marTop w:val="0"/>
      <w:marBottom w:val="0"/>
      <w:divBdr>
        <w:top w:val="none" w:sz="0" w:space="0" w:color="auto"/>
        <w:left w:val="none" w:sz="0" w:space="0" w:color="auto"/>
        <w:bottom w:val="none" w:sz="0" w:space="0" w:color="auto"/>
        <w:right w:val="none" w:sz="0" w:space="0" w:color="auto"/>
      </w:divBdr>
    </w:div>
    <w:div w:id="347411554">
      <w:bodyDiv w:val="1"/>
      <w:marLeft w:val="0"/>
      <w:marRight w:val="0"/>
      <w:marTop w:val="0"/>
      <w:marBottom w:val="0"/>
      <w:divBdr>
        <w:top w:val="none" w:sz="0" w:space="0" w:color="auto"/>
        <w:left w:val="none" w:sz="0" w:space="0" w:color="auto"/>
        <w:bottom w:val="none" w:sz="0" w:space="0" w:color="auto"/>
        <w:right w:val="none" w:sz="0" w:space="0" w:color="auto"/>
      </w:divBdr>
    </w:div>
    <w:div w:id="352462688">
      <w:bodyDiv w:val="1"/>
      <w:marLeft w:val="0"/>
      <w:marRight w:val="0"/>
      <w:marTop w:val="0"/>
      <w:marBottom w:val="0"/>
      <w:divBdr>
        <w:top w:val="none" w:sz="0" w:space="0" w:color="auto"/>
        <w:left w:val="none" w:sz="0" w:space="0" w:color="auto"/>
        <w:bottom w:val="none" w:sz="0" w:space="0" w:color="auto"/>
        <w:right w:val="none" w:sz="0" w:space="0" w:color="auto"/>
      </w:divBdr>
    </w:div>
    <w:div w:id="368917856">
      <w:bodyDiv w:val="1"/>
      <w:marLeft w:val="0"/>
      <w:marRight w:val="0"/>
      <w:marTop w:val="0"/>
      <w:marBottom w:val="0"/>
      <w:divBdr>
        <w:top w:val="none" w:sz="0" w:space="0" w:color="auto"/>
        <w:left w:val="none" w:sz="0" w:space="0" w:color="auto"/>
        <w:bottom w:val="none" w:sz="0" w:space="0" w:color="auto"/>
        <w:right w:val="none" w:sz="0" w:space="0" w:color="auto"/>
      </w:divBdr>
    </w:div>
    <w:div w:id="377048603">
      <w:bodyDiv w:val="1"/>
      <w:marLeft w:val="0"/>
      <w:marRight w:val="0"/>
      <w:marTop w:val="0"/>
      <w:marBottom w:val="0"/>
      <w:divBdr>
        <w:top w:val="none" w:sz="0" w:space="0" w:color="auto"/>
        <w:left w:val="none" w:sz="0" w:space="0" w:color="auto"/>
        <w:bottom w:val="none" w:sz="0" w:space="0" w:color="auto"/>
        <w:right w:val="none" w:sz="0" w:space="0" w:color="auto"/>
      </w:divBdr>
    </w:div>
    <w:div w:id="382675045">
      <w:bodyDiv w:val="1"/>
      <w:marLeft w:val="0"/>
      <w:marRight w:val="0"/>
      <w:marTop w:val="0"/>
      <w:marBottom w:val="0"/>
      <w:divBdr>
        <w:top w:val="none" w:sz="0" w:space="0" w:color="auto"/>
        <w:left w:val="none" w:sz="0" w:space="0" w:color="auto"/>
        <w:bottom w:val="none" w:sz="0" w:space="0" w:color="auto"/>
        <w:right w:val="none" w:sz="0" w:space="0" w:color="auto"/>
      </w:divBdr>
    </w:div>
    <w:div w:id="602760063">
      <w:bodyDiv w:val="1"/>
      <w:marLeft w:val="0"/>
      <w:marRight w:val="0"/>
      <w:marTop w:val="0"/>
      <w:marBottom w:val="0"/>
      <w:divBdr>
        <w:top w:val="none" w:sz="0" w:space="0" w:color="auto"/>
        <w:left w:val="none" w:sz="0" w:space="0" w:color="auto"/>
        <w:bottom w:val="none" w:sz="0" w:space="0" w:color="auto"/>
        <w:right w:val="none" w:sz="0" w:space="0" w:color="auto"/>
      </w:divBdr>
    </w:div>
    <w:div w:id="683869727">
      <w:bodyDiv w:val="1"/>
      <w:marLeft w:val="0"/>
      <w:marRight w:val="0"/>
      <w:marTop w:val="0"/>
      <w:marBottom w:val="0"/>
      <w:divBdr>
        <w:top w:val="none" w:sz="0" w:space="0" w:color="auto"/>
        <w:left w:val="none" w:sz="0" w:space="0" w:color="auto"/>
        <w:bottom w:val="none" w:sz="0" w:space="0" w:color="auto"/>
        <w:right w:val="none" w:sz="0" w:space="0" w:color="auto"/>
      </w:divBdr>
    </w:div>
    <w:div w:id="695547017">
      <w:bodyDiv w:val="1"/>
      <w:marLeft w:val="0"/>
      <w:marRight w:val="0"/>
      <w:marTop w:val="0"/>
      <w:marBottom w:val="0"/>
      <w:divBdr>
        <w:top w:val="none" w:sz="0" w:space="0" w:color="auto"/>
        <w:left w:val="none" w:sz="0" w:space="0" w:color="auto"/>
        <w:bottom w:val="none" w:sz="0" w:space="0" w:color="auto"/>
        <w:right w:val="none" w:sz="0" w:space="0" w:color="auto"/>
      </w:divBdr>
    </w:div>
    <w:div w:id="770006024">
      <w:bodyDiv w:val="1"/>
      <w:marLeft w:val="0"/>
      <w:marRight w:val="0"/>
      <w:marTop w:val="0"/>
      <w:marBottom w:val="0"/>
      <w:divBdr>
        <w:top w:val="none" w:sz="0" w:space="0" w:color="auto"/>
        <w:left w:val="none" w:sz="0" w:space="0" w:color="auto"/>
        <w:bottom w:val="none" w:sz="0" w:space="0" w:color="auto"/>
        <w:right w:val="none" w:sz="0" w:space="0" w:color="auto"/>
      </w:divBdr>
      <w:divsChild>
        <w:div w:id="868765606">
          <w:marLeft w:val="0"/>
          <w:marRight w:val="0"/>
          <w:marTop w:val="0"/>
          <w:marBottom w:val="0"/>
          <w:divBdr>
            <w:top w:val="none" w:sz="0" w:space="0" w:color="auto"/>
            <w:left w:val="none" w:sz="0" w:space="0" w:color="auto"/>
            <w:bottom w:val="none" w:sz="0" w:space="0" w:color="auto"/>
            <w:right w:val="none" w:sz="0" w:space="0" w:color="auto"/>
          </w:divBdr>
          <w:divsChild>
            <w:div w:id="1416318883">
              <w:marLeft w:val="-240"/>
              <w:marRight w:val="-240"/>
              <w:marTop w:val="0"/>
              <w:marBottom w:val="0"/>
              <w:divBdr>
                <w:top w:val="none" w:sz="0" w:space="0" w:color="auto"/>
                <w:left w:val="none" w:sz="0" w:space="0" w:color="auto"/>
                <w:bottom w:val="none" w:sz="0" w:space="0" w:color="auto"/>
                <w:right w:val="none" w:sz="0" w:space="0" w:color="auto"/>
              </w:divBdr>
              <w:divsChild>
                <w:div w:id="1844974312">
                  <w:marLeft w:val="0"/>
                  <w:marRight w:val="0"/>
                  <w:marTop w:val="0"/>
                  <w:marBottom w:val="0"/>
                  <w:divBdr>
                    <w:top w:val="none" w:sz="0" w:space="0" w:color="auto"/>
                    <w:left w:val="none" w:sz="0" w:space="0" w:color="auto"/>
                    <w:bottom w:val="none" w:sz="0" w:space="0" w:color="auto"/>
                    <w:right w:val="none" w:sz="0" w:space="0" w:color="auto"/>
                  </w:divBdr>
                  <w:divsChild>
                    <w:div w:id="997422501">
                      <w:marLeft w:val="0"/>
                      <w:marRight w:val="0"/>
                      <w:marTop w:val="0"/>
                      <w:marBottom w:val="0"/>
                      <w:divBdr>
                        <w:top w:val="none" w:sz="0" w:space="0" w:color="auto"/>
                        <w:left w:val="none" w:sz="0" w:space="0" w:color="auto"/>
                        <w:bottom w:val="none" w:sz="0" w:space="0" w:color="auto"/>
                        <w:right w:val="none" w:sz="0" w:space="0" w:color="auto"/>
                      </w:divBdr>
                      <w:divsChild>
                        <w:div w:id="1497913395">
                          <w:marLeft w:val="0"/>
                          <w:marRight w:val="0"/>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82335">
      <w:bodyDiv w:val="1"/>
      <w:marLeft w:val="0"/>
      <w:marRight w:val="0"/>
      <w:marTop w:val="0"/>
      <w:marBottom w:val="0"/>
      <w:divBdr>
        <w:top w:val="none" w:sz="0" w:space="0" w:color="auto"/>
        <w:left w:val="none" w:sz="0" w:space="0" w:color="auto"/>
        <w:bottom w:val="none" w:sz="0" w:space="0" w:color="auto"/>
        <w:right w:val="none" w:sz="0" w:space="0" w:color="auto"/>
      </w:divBdr>
    </w:div>
    <w:div w:id="849217160">
      <w:bodyDiv w:val="1"/>
      <w:marLeft w:val="0"/>
      <w:marRight w:val="0"/>
      <w:marTop w:val="0"/>
      <w:marBottom w:val="0"/>
      <w:divBdr>
        <w:top w:val="none" w:sz="0" w:space="0" w:color="auto"/>
        <w:left w:val="none" w:sz="0" w:space="0" w:color="auto"/>
        <w:bottom w:val="none" w:sz="0" w:space="0" w:color="auto"/>
        <w:right w:val="none" w:sz="0" w:space="0" w:color="auto"/>
      </w:divBdr>
    </w:div>
    <w:div w:id="1007907438">
      <w:bodyDiv w:val="1"/>
      <w:marLeft w:val="0"/>
      <w:marRight w:val="0"/>
      <w:marTop w:val="0"/>
      <w:marBottom w:val="0"/>
      <w:divBdr>
        <w:top w:val="none" w:sz="0" w:space="0" w:color="auto"/>
        <w:left w:val="none" w:sz="0" w:space="0" w:color="auto"/>
        <w:bottom w:val="none" w:sz="0" w:space="0" w:color="auto"/>
        <w:right w:val="none" w:sz="0" w:space="0" w:color="auto"/>
      </w:divBdr>
    </w:div>
    <w:div w:id="1054306077">
      <w:bodyDiv w:val="1"/>
      <w:marLeft w:val="0"/>
      <w:marRight w:val="0"/>
      <w:marTop w:val="0"/>
      <w:marBottom w:val="0"/>
      <w:divBdr>
        <w:top w:val="none" w:sz="0" w:space="0" w:color="auto"/>
        <w:left w:val="none" w:sz="0" w:space="0" w:color="auto"/>
        <w:bottom w:val="none" w:sz="0" w:space="0" w:color="auto"/>
        <w:right w:val="none" w:sz="0" w:space="0" w:color="auto"/>
      </w:divBdr>
      <w:divsChild>
        <w:div w:id="424958753">
          <w:marLeft w:val="1166"/>
          <w:marRight w:val="0"/>
          <w:marTop w:val="115"/>
          <w:marBottom w:val="0"/>
          <w:divBdr>
            <w:top w:val="none" w:sz="0" w:space="0" w:color="auto"/>
            <w:left w:val="none" w:sz="0" w:space="0" w:color="auto"/>
            <w:bottom w:val="none" w:sz="0" w:space="0" w:color="auto"/>
            <w:right w:val="none" w:sz="0" w:space="0" w:color="auto"/>
          </w:divBdr>
        </w:div>
        <w:div w:id="774516645">
          <w:marLeft w:val="547"/>
          <w:marRight w:val="0"/>
          <w:marTop w:val="134"/>
          <w:marBottom w:val="0"/>
          <w:divBdr>
            <w:top w:val="none" w:sz="0" w:space="0" w:color="auto"/>
            <w:left w:val="none" w:sz="0" w:space="0" w:color="auto"/>
            <w:bottom w:val="none" w:sz="0" w:space="0" w:color="auto"/>
            <w:right w:val="none" w:sz="0" w:space="0" w:color="auto"/>
          </w:divBdr>
        </w:div>
        <w:div w:id="1000233823">
          <w:marLeft w:val="1166"/>
          <w:marRight w:val="0"/>
          <w:marTop w:val="115"/>
          <w:marBottom w:val="0"/>
          <w:divBdr>
            <w:top w:val="none" w:sz="0" w:space="0" w:color="auto"/>
            <w:left w:val="none" w:sz="0" w:space="0" w:color="auto"/>
            <w:bottom w:val="none" w:sz="0" w:space="0" w:color="auto"/>
            <w:right w:val="none" w:sz="0" w:space="0" w:color="auto"/>
          </w:divBdr>
        </w:div>
        <w:div w:id="1948387564">
          <w:marLeft w:val="1166"/>
          <w:marRight w:val="0"/>
          <w:marTop w:val="115"/>
          <w:marBottom w:val="0"/>
          <w:divBdr>
            <w:top w:val="none" w:sz="0" w:space="0" w:color="auto"/>
            <w:left w:val="none" w:sz="0" w:space="0" w:color="auto"/>
            <w:bottom w:val="none" w:sz="0" w:space="0" w:color="auto"/>
            <w:right w:val="none" w:sz="0" w:space="0" w:color="auto"/>
          </w:divBdr>
        </w:div>
      </w:divsChild>
    </w:div>
    <w:div w:id="1199972272">
      <w:bodyDiv w:val="1"/>
      <w:marLeft w:val="0"/>
      <w:marRight w:val="0"/>
      <w:marTop w:val="0"/>
      <w:marBottom w:val="0"/>
      <w:divBdr>
        <w:top w:val="none" w:sz="0" w:space="0" w:color="auto"/>
        <w:left w:val="none" w:sz="0" w:space="0" w:color="auto"/>
        <w:bottom w:val="none" w:sz="0" w:space="0" w:color="auto"/>
        <w:right w:val="none" w:sz="0" w:space="0" w:color="auto"/>
      </w:divBdr>
    </w:div>
    <w:div w:id="1545365887">
      <w:bodyDiv w:val="1"/>
      <w:marLeft w:val="0"/>
      <w:marRight w:val="0"/>
      <w:marTop w:val="0"/>
      <w:marBottom w:val="0"/>
      <w:divBdr>
        <w:top w:val="none" w:sz="0" w:space="0" w:color="auto"/>
        <w:left w:val="none" w:sz="0" w:space="0" w:color="auto"/>
        <w:bottom w:val="none" w:sz="0" w:space="0" w:color="auto"/>
        <w:right w:val="none" w:sz="0" w:space="0" w:color="auto"/>
      </w:divBdr>
    </w:div>
    <w:div w:id="1565482306">
      <w:bodyDiv w:val="1"/>
      <w:marLeft w:val="0"/>
      <w:marRight w:val="0"/>
      <w:marTop w:val="0"/>
      <w:marBottom w:val="0"/>
      <w:divBdr>
        <w:top w:val="none" w:sz="0" w:space="0" w:color="auto"/>
        <w:left w:val="none" w:sz="0" w:space="0" w:color="auto"/>
        <w:bottom w:val="none" w:sz="0" w:space="0" w:color="auto"/>
        <w:right w:val="none" w:sz="0" w:space="0" w:color="auto"/>
      </w:divBdr>
    </w:div>
    <w:div w:id="1589997671">
      <w:bodyDiv w:val="1"/>
      <w:marLeft w:val="0"/>
      <w:marRight w:val="0"/>
      <w:marTop w:val="0"/>
      <w:marBottom w:val="0"/>
      <w:divBdr>
        <w:top w:val="none" w:sz="0" w:space="0" w:color="auto"/>
        <w:left w:val="none" w:sz="0" w:space="0" w:color="auto"/>
        <w:bottom w:val="none" w:sz="0" w:space="0" w:color="auto"/>
        <w:right w:val="none" w:sz="0" w:space="0" w:color="auto"/>
      </w:divBdr>
    </w:div>
    <w:div w:id="1619680103">
      <w:bodyDiv w:val="1"/>
      <w:marLeft w:val="0"/>
      <w:marRight w:val="0"/>
      <w:marTop w:val="0"/>
      <w:marBottom w:val="0"/>
      <w:divBdr>
        <w:top w:val="none" w:sz="0" w:space="0" w:color="auto"/>
        <w:left w:val="none" w:sz="0" w:space="0" w:color="auto"/>
        <w:bottom w:val="none" w:sz="0" w:space="0" w:color="auto"/>
        <w:right w:val="none" w:sz="0" w:space="0" w:color="auto"/>
      </w:divBdr>
    </w:div>
    <w:div w:id="1660035118">
      <w:bodyDiv w:val="1"/>
      <w:marLeft w:val="0"/>
      <w:marRight w:val="0"/>
      <w:marTop w:val="0"/>
      <w:marBottom w:val="0"/>
      <w:divBdr>
        <w:top w:val="none" w:sz="0" w:space="0" w:color="auto"/>
        <w:left w:val="none" w:sz="0" w:space="0" w:color="auto"/>
        <w:bottom w:val="none" w:sz="0" w:space="0" w:color="auto"/>
        <w:right w:val="none" w:sz="0" w:space="0" w:color="auto"/>
      </w:divBdr>
      <w:divsChild>
        <w:div w:id="1020736018">
          <w:marLeft w:val="0"/>
          <w:marRight w:val="0"/>
          <w:marTop w:val="0"/>
          <w:marBottom w:val="0"/>
          <w:divBdr>
            <w:top w:val="none" w:sz="0" w:space="0" w:color="auto"/>
            <w:left w:val="none" w:sz="0" w:space="0" w:color="auto"/>
            <w:bottom w:val="none" w:sz="0" w:space="0" w:color="auto"/>
            <w:right w:val="none" w:sz="0" w:space="0" w:color="auto"/>
          </w:divBdr>
          <w:divsChild>
            <w:div w:id="630064040">
              <w:marLeft w:val="0"/>
              <w:marRight w:val="0"/>
              <w:marTop w:val="0"/>
              <w:marBottom w:val="0"/>
              <w:divBdr>
                <w:top w:val="none" w:sz="0" w:space="0" w:color="auto"/>
                <w:left w:val="none" w:sz="0" w:space="0" w:color="auto"/>
                <w:bottom w:val="none" w:sz="0" w:space="0" w:color="auto"/>
                <w:right w:val="none" w:sz="0" w:space="0" w:color="auto"/>
              </w:divBdr>
              <w:divsChild>
                <w:div w:id="2034527077">
                  <w:marLeft w:val="0"/>
                  <w:marRight w:val="0"/>
                  <w:marTop w:val="0"/>
                  <w:marBottom w:val="0"/>
                  <w:divBdr>
                    <w:top w:val="none" w:sz="0" w:space="0" w:color="auto"/>
                    <w:left w:val="none" w:sz="0" w:space="0" w:color="auto"/>
                    <w:bottom w:val="none" w:sz="0" w:space="0" w:color="auto"/>
                    <w:right w:val="none" w:sz="0" w:space="0" w:color="auto"/>
                  </w:divBdr>
                  <w:divsChild>
                    <w:div w:id="17745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19933">
      <w:bodyDiv w:val="1"/>
      <w:marLeft w:val="0"/>
      <w:marRight w:val="0"/>
      <w:marTop w:val="0"/>
      <w:marBottom w:val="0"/>
      <w:divBdr>
        <w:top w:val="none" w:sz="0" w:space="0" w:color="auto"/>
        <w:left w:val="none" w:sz="0" w:space="0" w:color="auto"/>
        <w:bottom w:val="none" w:sz="0" w:space="0" w:color="auto"/>
        <w:right w:val="none" w:sz="0" w:space="0" w:color="auto"/>
      </w:divBdr>
      <w:divsChild>
        <w:div w:id="627472195">
          <w:marLeft w:val="0"/>
          <w:marRight w:val="0"/>
          <w:marTop w:val="0"/>
          <w:marBottom w:val="0"/>
          <w:divBdr>
            <w:top w:val="none" w:sz="0" w:space="0" w:color="auto"/>
            <w:left w:val="none" w:sz="0" w:space="0" w:color="auto"/>
            <w:bottom w:val="none" w:sz="0" w:space="0" w:color="auto"/>
            <w:right w:val="none" w:sz="0" w:space="0" w:color="auto"/>
          </w:divBdr>
          <w:divsChild>
            <w:div w:id="3750857">
              <w:marLeft w:val="0"/>
              <w:marRight w:val="0"/>
              <w:marTop w:val="0"/>
              <w:marBottom w:val="0"/>
              <w:divBdr>
                <w:top w:val="none" w:sz="0" w:space="0" w:color="auto"/>
                <w:left w:val="none" w:sz="0" w:space="0" w:color="auto"/>
                <w:bottom w:val="none" w:sz="0" w:space="0" w:color="auto"/>
                <w:right w:val="none" w:sz="0" w:space="0" w:color="auto"/>
              </w:divBdr>
              <w:divsChild>
                <w:div w:id="781807340">
                  <w:marLeft w:val="0"/>
                  <w:marRight w:val="0"/>
                  <w:marTop w:val="0"/>
                  <w:marBottom w:val="0"/>
                  <w:divBdr>
                    <w:top w:val="none" w:sz="0" w:space="0" w:color="auto"/>
                    <w:left w:val="none" w:sz="0" w:space="0" w:color="auto"/>
                    <w:bottom w:val="none" w:sz="0" w:space="0" w:color="auto"/>
                    <w:right w:val="none" w:sz="0" w:space="0" w:color="auto"/>
                  </w:divBdr>
                  <w:divsChild>
                    <w:div w:id="1491409389">
                      <w:marLeft w:val="0"/>
                      <w:marRight w:val="0"/>
                      <w:marTop w:val="0"/>
                      <w:marBottom w:val="0"/>
                      <w:divBdr>
                        <w:top w:val="none" w:sz="0" w:space="0" w:color="auto"/>
                        <w:left w:val="none" w:sz="0" w:space="0" w:color="auto"/>
                        <w:bottom w:val="none" w:sz="0" w:space="0" w:color="auto"/>
                        <w:right w:val="none" w:sz="0" w:space="0" w:color="auto"/>
                      </w:divBdr>
                      <w:divsChild>
                        <w:div w:id="1010178756">
                          <w:marLeft w:val="0"/>
                          <w:marRight w:val="0"/>
                          <w:marTop w:val="0"/>
                          <w:marBottom w:val="0"/>
                          <w:divBdr>
                            <w:top w:val="none" w:sz="0" w:space="0" w:color="auto"/>
                            <w:left w:val="none" w:sz="0" w:space="0" w:color="auto"/>
                            <w:bottom w:val="none" w:sz="0" w:space="0" w:color="auto"/>
                            <w:right w:val="none" w:sz="0" w:space="0" w:color="auto"/>
                          </w:divBdr>
                          <w:divsChild>
                            <w:div w:id="1961105050">
                              <w:marLeft w:val="0"/>
                              <w:marRight w:val="0"/>
                              <w:marTop w:val="0"/>
                              <w:marBottom w:val="0"/>
                              <w:divBdr>
                                <w:top w:val="none" w:sz="0" w:space="0" w:color="auto"/>
                                <w:left w:val="none" w:sz="0" w:space="0" w:color="auto"/>
                                <w:bottom w:val="none" w:sz="0" w:space="0" w:color="auto"/>
                                <w:right w:val="none" w:sz="0" w:space="0" w:color="auto"/>
                              </w:divBdr>
                              <w:divsChild>
                                <w:div w:id="156850038">
                                  <w:marLeft w:val="0"/>
                                  <w:marRight w:val="0"/>
                                  <w:marTop w:val="0"/>
                                  <w:marBottom w:val="0"/>
                                  <w:divBdr>
                                    <w:top w:val="none" w:sz="0" w:space="0" w:color="auto"/>
                                    <w:left w:val="none" w:sz="0" w:space="0" w:color="auto"/>
                                    <w:bottom w:val="none" w:sz="0" w:space="0" w:color="auto"/>
                                    <w:right w:val="none" w:sz="0" w:space="0" w:color="auto"/>
                                  </w:divBdr>
                                  <w:divsChild>
                                    <w:div w:id="709111238">
                                      <w:marLeft w:val="0"/>
                                      <w:marRight w:val="0"/>
                                      <w:marTop w:val="0"/>
                                      <w:marBottom w:val="0"/>
                                      <w:divBdr>
                                        <w:top w:val="none" w:sz="0" w:space="0" w:color="auto"/>
                                        <w:left w:val="none" w:sz="0" w:space="0" w:color="auto"/>
                                        <w:bottom w:val="none" w:sz="0" w:space="0" w:color="auto"/>
                                        <w:right w:val="none" w:sz="0" w:space="0" w:color="auto"/>
                                      </w:divBdr>
                                      <w:divsChild>
                                        <w:div w:id="2056585978">
                                          <w:marLeft w:val="0"/>
                                          <w:marRight w:val="0"/>
                                          <w:marTop w:val="0"/>
                                          <w:marBottom w:val="0"/>
                                          <w:divBdr>
                                            <w:top w:val="none" w:sz="0" w:space="0" w:color="auto"/>
                                            <w:left w:val="none" w:sz="0" w:space="0" w:color="auto"/>
                                            <w:bottom w:val="none" w:sz="0" w:space="0" w:color="auto"/>
                                            <w:right w:val="none" w:sz="0" w:space="0" w:color="auto"/>
                                          </w:divBdr>
                                          <w:divsChild>
                                            <w:div w:id="13422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323786">
      <w:bodyDiv w:val="1"/>
      <w:marLeft w:val="0"/>
      <w:marRight w:val="0"/>
      <w:marTop w:val="0"/>
      <w:marBottom w:val="0"/>
      <w:divBdr>
        <w:top w:val="none" w:sz="0" w:space="0" w:color="auto"/>
        <w:left w:val="none" w:sz="0" w:space="0" w:color="auto"/>
        <w:bottom w:val="none" w:sz="0" w:space="0" w:color="auto"/>
        <w:right w:val="none" w:sz="0" w:space="0" w:color="auto"/>
      </w:divBdr>
    </w:div>
    <w:div w:id="1824809951">
      <w:bodyDiv w:val="1"/>
      <w:marLeft w:val="0"/>
      <w:marRight w:val="0"/>
      <w:marTop w:val="0"/>
      <w:marBottom w:val="0"/>
      <w:divBdr>
        <w:top w:val="none" w:sz="0" w:space="0" w:color="auto"/>
        <w:left w:val="none" w:sz="0" w:space="0" w:color="auto"/>
        <w:bottom w:val="none" w:sz="0" w:space="0" w:color="auto"/>
        <w:right w:val="none" w:sz="0" w:space="0" w:color="auto"/>
      </w:divBdr>
    </w:div>
    <w:div w:id="1883591494">
      <w:bodyDiv w:val="1"/>
      <w:marLeft w:val="0"/>
      <w:marRight w:val="0"/>
      <w:marTop w:val="0"/>
      <w:marBottom w:val="0"/>
      <w:divBdr>
        <w:top w:val="none" w:sz="0" w:space="0" w:color="auto"/>
        <w:left w:val="none" w:sz="0" w:space="0" w:color="auto"/>
        <w:bottom w:val="none" w:sz="0" w:space="0" w:color="auto"/>
        <w:right w:val="none" w:sz="0" w:space="0" w:color="auto"/>
      </w:divBdr>
    </w:div>
    <w:div w:id="1916351202">
      <w:bodyDiv w:val="1"/>
      <w:marLeft w:val="0"/>
      <w:marRight w:val="0"/>
      <w:marTop w:val="0"/>
      <w:marBottom w:val="0"/>
      <w:divBdr>
        <w:top w:val="none" w:sz="0" w:space="0" w:color="auto"/>
        <w:left w:val="none" w:sz="0" w:space="0" w:color="auto"/>
        <w:bottom w:val="none" w:sz="0" w:space="0" w:color="auto"/>
        <w:right w:val="none" w:sz="0" w:space="0" w:color="auto"/>
      </w:divBdr>
      <w:divsChild>
        <w:div w:id="134758824">
          <w:marLeft w:val="1166"/>
          <w:marRight w:val="0"/>
          <w:marTop w:val="115"/>
          <w:marBottom w:val="0"/>
          <w:divBdr>
            <w:top w:val="none" w:sz="0" w:space="0" w:color="auto"/>
            <w:left w:val="none" w:sz="0" w:space="0" w:color="auto"/>
            <w:bottom w:val="none" w:sz="0" w:space="0" w:color="auto"/>
            <w:right w:val="none" w:sz="0" w:space="0" w:color="auto"/>
          </w:divBdr>
        </w:div>
        <w:div w:id="759450965">
          <w:marLeft w:val="1166"/>
          <w:marRight w:val="0"/>
          <w:marTop w:val="115"/>
          <w:marBottom w:val="0"/>
          <w:divBdr>
            <w:top w:val="none" w:sz="0" w:space="0" w:color="auto"/>
            <w:left w:val="none" w:sz="0" w:space="0" w:color="auto"/>
            <w:bottom w:val="none" w:sz="0" w:space="0" w:color="auto"/>
            <w:right w:val="none" w:sz="0" w:space="0" w:color="auto"/>
          </w:divBdr>
        </w:div>
        <w:div w:id="1542286965">
          <w:marLeft w:val="1166"/>
          <w:marRight w:val="0"/>
          <w:marTop w:val="115"/>
          <w:marBottom w:val="0"/>
          <w:divBdr>
            <w:top w:val="none" w:sz="0" w:space="0" w:color="auto"/>
            <w:left w:val="none" w:sz="0" w:space="0" w:color="auto"/>
            <w:bottom w:val="none" w:sz="0" w:space="0" w:color="auto"/>
            <w:right w:val="none" w:sz="0" w:space="0" w:color="auto"/>
          </w:divBdr>
        </w:div>
        <w:div w:id="1674189244">
          <w:marLeft w:val="547"/>
          <w:marRight w:val="0"/>
          <w:marTop w:val="134"/>
          <w:marBottom w:val="0"/>
          <w:divBdr>
            <w:top w:val="none" w:sz="0" w:space="0" w:color="auto"/>
            <w:left w:val="none" w:sz="0" w:space="0" w:color="auto"/>
            <w:bottom w:val="none" w:sz="0" w:space="0" w:color="auto"/>
            <w:right w:val="none" w:sz="0" w:space="0" w:color="auto"/>
          </w:divBdr>
        </w:div>
      </w:divsChild>
    </w:div>
    <w:div w:id="2057467384">
      <w:bodyDiv w:val="1"/>
      <w:marLeft w:val="0"/>
      <w:marRight w:val="0"/>
      <w:marTop w:val="0"/>
      <w:marBottom w:val="0"/>
      <w:divBdr>
        <w:top w:val="none" w:sz="0" w:space="0" w:color="auto"/>
        <w:left w:val="none" w:sz="0" w:space="0" w:color="auto"/>
        <w:bottom w:val="none" w:sz="0" w:space="0" w:color="auto"/>
        <w:right w:val="none" w:sz="0" w:space="0" w:color="auto"/>
      </w:divBdr>
    </w:div>
    <w:div w:id="20803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epa.gov/laws-regulations/summary-federal-insecticide-fungicide-and-rodenticide-a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2.epa.gov/pesticide-registration/electronic-submissions-pesticide-applications"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ecfr.gov/cgi-bin/text-idx?SID=6ef1f82af5cd7c5c636fa6b9cbbf300a&amp;mc=true&amp;tpl=/ecfrbrowse/Title40/40cfr174_main_02.tp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SharedWithUsers xmlns="f15e4d92-675c-4df7-a5c5-11f59c7da362">
      <UserInfo>
        <DisplayName>Rosenblatt, Daniel</DisplayName>
        <AccountId>913</AccountId>
        <AccountType/>
      </UserInfo>
      <UserInfo>
        <DisplayName>Hill, Shaunta</DisplayName>
        <AccountId>884</AccountId>
        <AccountType/>
      </UserInfo>
      <UserInfo>
        <DisplayName>Schuler, Dominic</DisplayName>
        <AccountId>1208</AccountId>
        <AccountType/>
      </UserInfo>
      <UserInfo>
        <DisplayName>Forrest, Robert A</DisplayName>
        <AccountId>1231</AccountId>
        <AccountType/>
      </UserInfo>
      <UserInfo>
        <DisplayName>Schaible, Stephen</DisplayName>
        <AccountId>986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2021-01-15T01:27:48+00:00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29f62856-1543-49d4-a736-4569d363f533"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1094-6204-45BE-87BA-938274F2A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59B0D-C8E2-4D9B-8E61-15A37AFC5182}">
  <ds:schemaRefs>
    <ds:schemaRef ds:uri="http://schemas.openxmlformats.org/officeDocument/2006/bibliography"/>
  </ds:schemaRefs>
</ds:datastoreItem>
</file>

<file path=customXml/itemProps3.xml><?xml version="1.0" encoding="utf-8"?>
<ds:datastoreItem xmlns:ds="http://schemas.openxmlformats.org/officeDocument/2006/customXml" ds:itemID="{968D611E-E7DB-4C2B-9106-AC6952B92137}">
  <ds:schemaRefs>
    <ds:schemaRef ds:uri="http://schemas.openxmlformats.org/officeDocument/2006/bibliography"/>
  </ds:schemaRefs>
</ds:datastoreItem>
</file>

<file path=customXml/itemProps4.xml><?xml version="1.0" encoding="utf-8"?>
<ds:datastoreItem xmlns:ds="http://schemas.openxmlformats.org/officeDocument/2006/customXml" ds:itemID="{EF6B9B5D-6D9B-4C4C-9FBE-BC99A32DABE5}">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f15e4d92-675c-4df7-a5c5-11f59c7da362"/>
    <ds:schemaRef ds:uri="http://schemas.openxmlformats.org/package/2006/metadata/core-properties"/>
    <ds:schemaRef ds:uri="http://schemas.microsoft.com/office/2006/documentManagement/types"/>
    <ds:schemaRef ds:uri="ffd424e3-3e10-40ea-b00d-c50faa10651f"/>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06103DBB-561C-453A-9298-1E25588CEE08}">
  <ds:schemaRefs>
    <ds:schemaRef ds:uri="http://schemas.microsoft.com/sharepoint/v3/contenttype/forms"/>
  </ds:schemaRefs>
</ds:datastoreItem>
</file>

<file path=customXml/itemProps6.xml><?xml version="1.0" encoding="utf-8"?>
<ds:datastoreItem xmlns:ds="http://schemas.openxmlformats.org/officeDocument/2006/customXml" ds:itemID="{F33C32D4-9F80-4B7D-B422-8AC5043B96B1}">
  <ds:schemaRefs>
    <ds:schemaRef ds:uri="Microsoft.SharePoint.Taxonomy.ContentTypeSync"/>
  </ds:schemaRefs>
</ds:datastoreItem>
</file>

<file path=customXml/itemProps7.xml><?xml version="1.0" encoding="utf-8"?>
<ds:datastoreItem xmlns:ds="http://schemas.openxmlformats.org/officeDocument/2006/customXml" ds:itemID="{A35D6690-ABCA-4F29-A9B6-B758C574483E}">
  <ds:schemaRefs>
    <ds:schemaRef ds:uri="http://schemas.openxmlformats.org/officeDocument/2006/bibliography"/>
  </ds:schemaRefs>
</ds:datastoreItem>
</file>

<file path=customXml/itemProps8.xml><?xml version="1.0" encoding="utf-8"?>
<ds:datastoreItem xmlns:ds="http://schemas.openxmlformats.org/officeDocument/2006/customXml" ds:itemID="{4AC4CED6-F7D8-4CA4-AB95-0C5566AF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13</Pages>
  <Words>5304</Words>
  <Characters>30237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Clean ICR 04_08_2020_BEAD</vt:lpstr>
    </vt:vector>
  </TitlesOfParts>
  <Company>US-EPA</Company>
  <LinksUpToDate>false</LinksUpToDate>
  <CharactersWithSpaces>35471</CharactersWithSpaces>
  <SharedDoc>false</SharedDoc>
  <HLinks>
    <vt:vector size="30" baseType="variant">
      <vt:variant>
        <vt:i4>4915225</vt:i4>
      </vt:variant>
      <vt:variant>
        <vt:i4>12</vt:i4>
      </vt:variant>
      <vt:variant>
        <vt:i4>0</vt:i4>
      </vt:variant>
      <vt:variant>
        <vt:i4>5</vt:i4>
      </vt:variant>
      <vt:variant>
        <vt:lpwstr>https://www.ecfr.gov/cgi-bin/text-idx?SID=6ef1f82af5cd7c5c636fa6b9cbbf300a&amp;mc=true&amp;tpl=/ecfrbrowse/Title40/40cfr174_main_02.tpl</vt:lpwstr>
      </vt:variant>
      <vt:variant>
        <vt:lpwstr/>
      </vt:variant>
      <vt:variant>
        <vt:i4>3342376</vt:i4>
      </vt:variant>
      <vt:variant>
        <vt:i4>9</vt:i4>
      </vt:variant>
      <vt:variant>
        <vt:i4>0</vt:i4>
      </vt:variant>
      <vt:variant>
        <vt:i4>5</vt:i4>
      </vt:variant>
      <vt:variant>
        <vt:lpwstr>https://www.epa.gov/laws-regulations/summary-federal-insecticide-fungicide-and-rodenticide-act</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786432</vt:i4>
      </vt:variant>
      <vt:variant>
        <vt:i4>0</vt:i4>
      </vt:variant>
      <vt:variant>
        <vt:i4>0</vt:i4>
      </vt:variant>
      <vt:variant>
        <vt:i4>5</vt:i4>
      </vt:variant>
      <vt:variant>
        <vt:lpwstr>http://www2.epa.gov/pesticide-registration/electronic-submissions-pesticide-applications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ICR 04_08_2020_BEAD</dc:title>
  <dc:subject/>
  <dc:creator>newuser</dc:creator>
  <cp:keywords/>
  <dc:description/>
  <cp:lastModifiedBy>Schultz, Eric</cp:lastModifiedBy>
  <cp:revision>3</cp:revision>
  <cp:lastPrinted>2019-12-10T16:18:00Z</cp:lastPrinted>
  <dcterms:created xsi:type="dcterms:W3CDTF">2021-03-24T23:55:00Z</dcterms:created>
  <dcterms:modified xsi:type="dcterms:W3CDTF">2021-03-26T01:05:00Z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0x0101002274334ADE6F1449A54A4F49D59A3694</vt:lpwstr>
  </property>
  <property fmtid="{D5CDD505-2E9C-101B-9397-08002B2CF9AE}" pid="4" name="TaxKeyword">
    <vt:lpwstr/>
  </property>
  <property fmtid="{D5CDD505-2E9C-101B-9397-08002B2CF9AE}" pid="5" name="Document Type">
    <vt:lpwstr/>
  </property>
  <property fmtid="{D5CDD505-2E9C-101B-9397-08002B2CF9AE}" pid="6" name="EPA Subject">
    <vt:lpwstr/>
  </property>
</Properties>
</file>