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5ADD" w:rsidRDefault="00C35ADD" w14:paraId="3703D2CC" w14:textId="77777777">
      <w:pPr>
        <w:pStyle w:val="Title"/>
      </w:pPr>
      <w:r>
        <w:t>Paperwork Reduction Act</w:t>
      </w:r>
    </w:p>
    <w:p w:rsidR="00C35ADD" w:rsidRDefault="00C35ADD" w14:paraId="28BAAE62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6000"/>
        <w:gridCol w:w="1440"/>
        <w:gridCol w:w="510"/>
        <w:gridCol w:w="2610"/>
      </w:tblGrid>
      <w:tr w:rsidR="00C35ADD" w14:paraId="75F36D5F" w14:textId="77777777">
        <w:tblPrEx>
          <w:tblCellMar>
            <w:top w:w="0" w:type="dxa"/>
            <w:bottom w:w="0" w:type="dxa"/>
          </w:tblCellMar>
        </w:tblPrEx>
        <w:tc>
          <w:tcPr>
            <w:tcW w:w="778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C35ADD" w:rsidRDefault="00C35ADD" w14:paraId="1CC0AA03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C35ADD" w:rsidRDefault="00C35ADD" w14:paraId="264708B6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C35ADD" w:rsidRDefault="00C35ADD" w14:paraId="0E25FCDF" w14:textId="77777777">
            <w:pPr>
              <w:spacing w:before="4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 xml:space="preserve">Office of Public and Indian Housing </w:t>
            </w:r>
          </w:p>
        </w:tc>
        <w:tc>
          <w:tcPr>
            <w:tcW w:w="3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C35ADD" w:rsidRDefault="00C35ADD" w14:paraId="6262A6D0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C35ADD" w:rsidRDefault="003D6918" w14:paraId="7DA6756A" w14:textId="77777777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color w:val="000000"/>
              </w:rPr>
              <w:t>2577-</w:t>
            </w:r>
            <w:r w:rsidR="0021563A">
              <w:rPr>
                <w:color w:val="000000"/>
              </w:rPr>
              <w:t>0216</w:t>
            </w:r>
          </w:p>
        </w:tc>
      </w:tr>
      <w:tr w:rsidR="00C35ADD" w:rsidTr="00950776" w14:paraId="0039E0C7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bottom w:val="nil"/>
            </w:tcBorders>
            <w:vAlign w:val="center"/>
          </w:tcPr>
          <w:p w:rsidR="00C35ADD" w:rsidRDefault="00C35ADD" w14:paraId="16B7DE1C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1950" w:type="dxa"/>
            <w:gridSpan w:val="2"/>
            <w:tcBorders>
              <w:bottom w:val="nil"/>
            </w:tcBorders>
          </w:tcPr>
          <w:p w:rsidR="00C35ADD" w:rsidRDefault="00C35ADD" w14:paraId="26D090BF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610" w:type="dxa"/>
            <w:tcBorders>
              <w:bottom w:val="nil"/>
            </w:tcBorders>
          </w:tcPr>
          <w:p w:rsidR="00C35ADD" w:rsidRDefault="00C35ADD" w14:paraId="2A4DA82F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:rsidR="00C35ADD" w:rsidTr="00950776" w14:paraId="65A5D901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020B2D" w:rsidP="00020B2D" w:rsidRDefault="00020B2D" w14:paraId="4770F3A1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21563A" w:rsidP="0021563A" w:rsidRDefault="0021563A" w14:paraId="533F5050" w14:textId="77777777">
            <w:pPr>
              <w:overflowPunct/>
              <w:textAlignment w:val="auto"/>
            </w:pPr>
            <w:r>
              <w:rPr>
                <w:rFonts w:ascii="Helvetica" w:hAnsi="Helvetica"/>
                <w:color w:val="000000"/>
              </w:rPr>
              <w:t>HUD-50900</w:t>
            </w:r>
            <w:r w:rsidR="006B1331">
              <w:rPr>
                <w:rFonts w:ascii="Helvetica" w:hAnsi="Helvetica"/>
                <w:color w:val="000000"/>
              </w:rPr>
              <w:t xml:space="preserve"> </w:t>
            </w:r>
            <w:r>
              <w:t>Elements for the Annual Moving to Work Plan and</w:t>
            </w:r>
          </w:p>
          <w:p w:rsidR="00976C41" w:rsidP="0021563A" w:rsidRDefault="0021563A" w14:paraId="3EF8F9B5" w14:textId="77777777">
            <w:pPr>
              <w:spacing w:before="60" w:after="60"/>
              <w:rPr>
                <w:rFonts w:ascii="Helvetica" w:hAnsi="Helvetica"/>
                <w:color w:val="000000"/>
              </w:rPr>
            </w:pPr>
            <w:r>
              <w:t>Annual Moving to Work Report</w:t>
            </w:r>
          </w:p>
        </w:tc>
        <w:tc>
          <w:tcPr>
            <w:tcW w:w="195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:rsidRPr="006B7799" w:rsidR="00E745FE" w:rsidRDefault="00020B2D" w14:paraId="70907D20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N/A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:rsidR="00E745FE" w:rsidRDefault="00020B2D" w14:paraId="721D35CC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C35ADD" w:rsidTr="00950776" w14:paraId="61C74341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C35ADD" w:rsidRDefault="00C35ADD" w14:paraId="2682EBFB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1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C35ADD" w:rsidRDefault="00C35ADD" w14:paraId="07A3D640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6" w:space="0"/>
            </w:tcBorders>
          </w:tcPr>
          <w:p w:rsidR="00C35ADD" w:rsidRDefault="00C35ADD" w14:paraId="335F1577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C35ADD" w:rsidTr="00950776" w14:paraId="73140F4B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C35ADD" w:rsidRDefault="00C35ADD" w14:paraId="346C0A54" w14:textId="77777777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195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C35ADD" w:rsidRDefault="003D6918" w14:paraId="2FD4F9B4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</w:tcPr>
          <w:p w:rsidR="00C35ADD" w:rsidRDefault="003D6918" w14:paraId="187C4948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:rsidR="00C35ADD" w:rsidTr="00950776" w14:paraId="446E3A35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C35ADD" w:rsidRDefault="00C35ADD" w14:paraId="639B9CAA" w14:textId="77777777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1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C35ADD" w:rsidRDefault="003D6918" w14:paraId="63D61FAA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  <w:tc>
          <w:tcPr>
            <w:tcW w:w="2610" w:type="dxa"/>
            <w:tcBorders>
              <w:top w:val="single" w:color="auto" w:sz="6" w:space="0"/>
              <w:left w:val="nil"/>
              <w:bottom w:val="nil"/>
            </w:tcBorders>
          </w:tcPr>
          <w:p w:rsidR="00C35ADD" w:rsidRDefault="003D6918" w14:paraId="2889AAE7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:rsidR="00C35ADD" w:rsidTr="00950776" w14:paraId="4893904B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color="auto" w:sz="6" w:space="0"/>
              <w:right w:val="nil"/>
            </w:tcBorders>
          </w:tcPr>
          <w:p w:rsidR="00C35ADD" w:rsidRDefault="00C35ADD" w14:paraId="53BBD85F" w14:textId="77777777">
            <w:pPr>
              <w:pBdr>
                <w:top w:val="single" w:color="auto" w:sz="6" w:space="1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195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C35ADD" w:rsidRDefault="003D6918" w14:paraId="68689B8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  <w:r w:rsidR="00C35ADD"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61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C35ADD" w:rsidRDefault="003D6918" w14:paraId="1023CD9C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  <w:r w:rsidR="00C35ADD"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:rsidR="00C35ADD" w:rsidTr="00950776" w14:paraId="1CB82A39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C35ADD" w:rsidRDefault="00C35ADD" w14:paraId="6013770B" w14:textId="77777777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195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C35ADD" w:rsidRDefault="003D6918" w14:paraId="65CACD1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</w:tcPr>
          <w:p w:rsidR="00C35ADD" w:rsidRDefault="003D6918" w14:paraId="302BD5DC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:rsidR="00C35ADD" w:rsidTr="00950776" w14:paraId="3D624CFB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C35ADD" w:rsidRDefault="00C35ADD" w14:paraId="60388341" w14:textId="77777777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195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C35ADD" w:rsidRDefault="00C35ADD" w14:paraId="7310377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C35ADD" w:rsidRDefault="003D6918" w14:paraId="502BDA4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:rsidR="00C35ADD" w:rsidTr="00950776" w14:paraId="11AA3DC9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C35ADD" w:rsidRDefault="00C35ADD" w14:paraId="7F301BF0" w14:textId="77777777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C35ADD" w:rsidRDefault="00C35ADD" w14:paraId="73ACAF75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C35ADD" w:rsidRDefault="00C35ADD" w14:paraId="42D423A6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195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C35ADD" w:rsidRDefault="00C35ADD" w14:paraId="5F6872CA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</w:tcPr>
          <w:p w:rsidR="00C35ADD" w:rsidRDefault="003D6918" w14:paraId="4508A745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  <w:p w:rsidR="00C35ADD" w:rsidRDefault="003D6918" w14:paraId="7805CD84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:rsidR="00C35ADD" w:rsidTr="00950776" w14:paraId="61DD5D27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C35ADD" w:rsidRDefault="00C35ADD" w14:paraId="4B11132C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19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pct20" w:color="auto" w:fill="auto"/>
          </w:tcPr>
          <w:p w:rsidR="00C35ADD" w:rsidRDefault="00C35ADD" w14:paraId="69195FF0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pct20" w:color="auto" w:fill="auto"/>
          </w:tcPr>
          <w:p w:rsidR="00C35ADD" w:rsidRDefault="00C35ADD" w14:paraId="0D827C0B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C35ADD" w:rsidTr="00950776" w14:paraId="7DCA7385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C35ADD" w:rsidRDefault="00C35ADD" w14:paraId="044B92FD" w14:textId="77777777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195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C35ADD" w:rsidRDefault="003D6918" w14:paraId="6252A403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</w:tcPr>
          <w:p w:rsidR="00C35ADD" w:rsidRDefault="003D6918" w14:paraId="176AF876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C35ADD" w:rsidTr="00950776" w14:paraId="13F573DB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C35ADD" w:rsidRDefault="00C35ADD" w14:paraId="5ABEBF68" w14:textId="77777777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1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C35ADD" w:rsidRDefault="003D6918" w14:paraId="62C1EFF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61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C35ADD" w:rsidRDefault="003D6918" w14:paraId="4520BCBD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C35ADD" w:rsidTr="00950776" w14:paraId="64430678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C35ADD" w:rsidRDefault="00C35ADD" w14:paraId="4A6A6031" w14:textId="77777777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195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C35ADD" w:rsidRDefault="003D6918" w14:paraId="6DF9042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</w:tcPr>
          <w:p w:rsidR="00C35ADD" w:rsidRDefault="003D6918" w14:paraId="05212988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C35ADD" w:rsidTr="00950776" w14:paraId="245C7412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C35ADD" w:rsidRDefault="00C35ADD" w14:paraId="7A5C0F0B" w14:textId="77777777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195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C35ADD" w:rsidRDefault="00C35ADD" w14:paraId="38BA16F4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C35ADD" w:rsidRDefault="003D6918" w14:paraId="560F4F27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C35ADD" w:rsidTr="00950776" w14:paraId="1AFEF11F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C35ADD" w:rsidRDefault="00C35ADD" w14:paraId="09DD9568" w14:textId="77777777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C35ADD" w:rsidRDefault="00C35ADD" w14:paraId="14B97978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C35ADD" w:rsidRDefault="00C35ADD" w14:paraId="2A75BD66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19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0" w:color="auto" w:fill="auto"/>
          </w:tcPr>
          <w:p w:rsidR="00C35ADD" w:rsidP="00FB17D7" w:rsidRDefault="00C35ADD" w14:paraId="01EFAC81" w14:textId="77777777">
            <w:pPr>
              <w:spacing w:before="60" w:after="60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nil"/>
              <w:left w:val="nil"/>
            </w:tcBorders>
          </w:tcPr>
          <w:p w:rsidR="00C35ADD" w:rsidRDefault="003D6918" w14:paraId="62B9780D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  <w:p w:rsidR="00C35ADD" w:rsidRDefault="003D6918" w14:paraId="003F647E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</w:tbl>
    <w:p w:rsidRPr="00413FA5" w:rsidR="00C35ADD" w:rsidP="00413FA5" w:rsidRDefault="00C35ADD" w14:paraId="3BCF6D08" w14:textId="4233305F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21563A" w:rsidRDefault="00413FA5" w14:paraId="1F969650" w14:textId="0AE237B9">
      <w:pPr>
        <w:spacing w:before="40" w:line="2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</w:t>
      </w:r>
      <w:r w:rsidR="0021563A">
        <w:rPr>
          <w:color w:val="000000"/>
          <w:sz w:val="24"/>
          <w:szCs w:val="24"/>
        </w:rPr>
        <w:t xml:space="preserve">he MTW Office is proposing the following </w:t>
      </w:r>
      <w:r>
        <w:rPr>
          <w:color w:val="000000"/>
          <w:sz w:val="24"/>
          <w:szCs w:val="24"/>
        </w:rPr>
        <w:t>non-substantive changes</w:t>
      </w:r>
      <w:r w:rsidR="0021563A">
        <w:rPr>
          <w:color w:val="000000"/>
          <w:sz w:val="24"/>
          <w:szCs w:val="24"/>
        </w:rPr>
        <w:t>:</w:t>
      </w:r>
    </w:p>
    <w:p w:rsidR="00413FA5" w:rsidRDefault="00413FA5" w14:paraId="23806CB4" w14:textId="77777777">
      <w:pPr>
        <w:spacing w:before="40" w:line="260" w:lineRule="exact"/>
        <w:rPr>
          <w:color w:val="000000"/>
          <w:sz w:val="24"/>
          <w:szCs w:val="24"/>
        </w:rPr>
      </w:pPr>
    </w:p>
    <w:p w:rsidR="0021563A" w:rsidRDefault="0021563A" w14:paraId="6F113CB2" w14:textId="78FAAB07">
      <w:pPr>
        <w:spacing w:before="40" w:line="2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 </w:t>
      </w:r>
      <w:r w:rsidR="00413FA5">
        <w:rPr>
          <w:color w:val="000000"/>
          <w:sz w:val="24"/>
          <w:szCs w:val="24"/>
        </w:rPr>
        <w:t>Change</w:t>
      </w:r>
      <w:r>
        <w:rPr>
          <w:color w:val="000000"/>
          <w:sz w:val="24"/>
          <w:szCs w:val="24"/>
        </w:rPr>
        <w:t xml:space="preserve"> the name of Moving to Work Public Housing Agencies (MTW PHAs), who have been part of the MTW Program Demonstration since December 15, 2015 to Initial MTW PHAs.  This </w:t>
      </w:r>
      <w:r w:rsidR="00413FA5">
        <w:rPr>
          <w:color w:val="000000"/>
          <w:sz w:val="24"/>
          <w:szCs w:val="24"/>
        </w:rPr>
        <w:t>will</w:t>
      </w:r>
      <w:r>
        <w:rPr>
          <w:color w:val="000000"/>
          <w:sz w:val="24"/>
          <w:szCs w:val="24"/>
        </w:rPr>
        <w:t xml:space="preserve"> </w:t>
      </w:r>
      <w:r w:rsidR="00413FA5">
        <w:rPr>
          <w:color w:val="000000"/>
          <w:sz w:val="24"/>
          <w:szCs w:val="24"/>
        </w:rPr>
        <w:t xml:space="preserve">help </w:t>
      </w:r>
      <w:r>
        <w:rPr>
          <w:color w:val="000000"/>
          <w:sz w:val="24"/>
          <w:szCs w:val="24"/>
        </w:rPr>
        <w:t>differentiate these 39 MTW PHAs from newly selected PHAs that are part of the MTW Expansion as of March 14, 2021</w:t>
      </w:r>
      <w:r w:rsidR="00413FA5">
        <w:rPr>
          <w:color w:val="000000"/>
          <w:sz w:val="24"/>
          <w:szCs w:val="24"/>
        </w:rPr>
        <w:t>.</w:t>
      </w:r>
    </w:p>
    <w:p w:rsidR="00413FA5" w:rsidRDefault="00413FA5" w14:paraId="36F952DB" w14:textId="77777777">
      <w:pPr>
        <w:spacing w:before="40" w:line="260" w:lineRule="exact"/>
        <w:rPr>
          <w:color w:val="000000"/>
          <w:sz w:val="24"/>
          <w:szCs w:val="24"/>
        </w:rPr>
      </w:pPr>
    </w:p>
    <w:p w:rsidR="0021563A" w:rsidRDefault="0021563A" w14:paraId="03527D5E" w14:textId="11CCCDAA">
      <w:pPr>
        <w:spacing w:before="40" w:line="2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 </w:t>
      </w:r>
      <w:r w:rsidR="00413FA5">
        <w:rPr>
          <w:color w:val="000000"/>
          <w:sz w:val="24"/>
          <w:szCs w:val="24"/>
        </w:rPr>
        <w:t>Provide clari</w:t>
      </w:r>
      <w:r w:rsidR="00460F65">
        <w:rPr>
          <w:color w:val="000000"/>
          <w:sz w:val="24"/>
          <w:szCs w:val="24"/>
        </w:rPr>
        <w:t>fication</w:t>
      </w:r>
      <w:r w:rsidR="00413FA5">
        <w:rPr>
          <w:color w:val="000000"/>
          <w:sz w:val="24"/>
          <w:szCs w:val="24"/>
        </w:rPr>
        <w:t xml:space="preserve"> on t</w:t>
      </w:r>
      <w:r>
        <w:rPr>
          <w:color w:val="000000"/>
          <w:sz w:val="24"/>
          <w:szCs w:val="24"/>
        </w:rPr>
        <w:t>he Standard Metrics and acknowledg</w:t>
      </w:r>
      <w:r w:rsidR="00413FA5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that HUD will work with the individual MTW PHA to determine metrics for any new MTW Activity that they intend to propose and implement</w:t>
      </w:r>
      <w:r w:rsidR="00413FA5">
        <w:rPr>
          <w:color w:val="000000"/>
          <w:sz w:val="24"/>
          <w:szCs w:val="24"/>
        </w:rPr>
        <w:t>.</w:t>
      </w:r>
    </w:p>
    <w:p w:rsidR="00413FA5" w:rsidRDefault="00413FA5" w14:paraId="28C5B9BB" w14:textId="77777777">
      <w:pPr>
        <w:spacing w:before="40" w:line="260" w:lineRule="exact"/>
        <w:rPr>
          <w:color w:val="000000"/>
          <w:sz w:val="24"/>
          <w:szCs w:val="24"/>
        </w:rPr>
      </w:pPr>
    </w:p>
    <w:p w:rsidRPr="005447BD" w:rsidR="0021563A" w:rsidRDefault="0021563A" w14:paraId="0EA026A4" w14:textId="7524F649">
      <w:pPr>
        <w:spacing w:before="40" w:line="2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 Updat</w:t>
      </w:r>
      <w:r w:rsidR="00413FA5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the Certificate of Compliance with current language from the office of Fair Housing, as related to the MTW PHAs responsibilities with furthering Fair Housing and</w:t>
      </w:r>
      <w:r w:rsidR="00D264A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address</w:t>
      </w:r>
      <w:r w:rsidR="00D264A3">
        <w:rPr>
          <w:color w:val="000000"/>
          <w:sz w:val="24"/>
          <w:szCs w:val="24"/>
        </w:rPr>
        <w:t>es</w:t>
      </w:r>
      <w:r>
        <w:rPr>
          <w:color w:val="000000"/>
          <w:sz w:val="24"/>
          <w:szCs w:val="24"/>
        </w:rPr>
        <w:t xml:space="preserve"> local impediments to fair housing in their local jurisdiction.</w:t>
      </w:r>
    </w:p>
    <w:p w:rsidRPr="005447BD" w:rsidR="004516BA" w:rsidRDefault="004516BA" w14:paraId="30F70A7E" w14:textId="77777777">
      <w:pPr>
        <w:spacing w:before="40" w:line="260" w:lineRule="exact"/>
        <w:rPr>
          <w:sz w:val="24"/>
          <w:szCs w:val="24"/>
        </w:rPr>
      </w:pPr>
    </w:p>
    <w:p w:rsidRPr="00413FA5" w:rsidR="004516BA" w:rsidRDefault="004516BA" w14:paraId="747B9094" w14:textId="72503923">
      <w:pPr>
        <w:spacing w:before="40" w:line="260" w:lineRule="exact"/>
        <w:rPr>
          <w:color w:val="000000"/>
          <w:sz w:val="24"/>
          <w:szCs w:val="24"/>
        </w:rPr>
        <w:sectPr w:rsidRPr="00413FA5" w:rsidR="004516BA">
          <w:footerReference w:type="default" r:id="rId11"/>
          <w:pgSz w:w="12240" w:h="15840"/>
          <w:pgMar w:top="480" w:right="720" w:bottom="480" w:left="720" w:header="480" w:footer="480" w:gutter="0"/>
          <w:cols w:space="720"/>
        </w:sectPr>
      </w:pPr>
      <w:r w:rsidRPr="005447BD">
        <w:rPr>
          <w:sz w:val="24"/>
          <w:szCs w:val="24"/>
        </w:rPr>
        <w:t>Th</w:t>
      </w:r>
      <w:r w:rsidR="0021563A">
        <w:rPr>
          <w:sz w:val="24"/>
          <w:szCs w:val="24"/>
        </w:rPr>
        <w:t>e</w:t>
      </w:r>
      <w:r w:rsidR="00D264A3">
        <w:rPr>
          <w:sz w:val="24"/>
          <w:szCs w:val="24"/>
        </w:rPr>
        <w:t xml:space="preserve"> updates </w:t>
      </w:r>
      <w:r w:rsidR="0021563A">
        <w:rPr>
          <w:sz w:val="24"/>
          <w:szCs w:val="24"/>
        </w:rPr>
        <w:t>to HUD-50900</w:t>
      </w:r>
      <w:r w:rsidRPr="005447BD">
        <w:rPr>
          <w:sz w:val="24"/>
          <w:szCs w:val="24"/>
        </w:rPr>
        <w:t xml:space="preserve"> will have</w:t>
      </w:r>
      <w:r w:rsidRPr="005447BD" w:rsidR="00020B2D">
        <w:rPr>
          <w:sz w:val="24"/>
          <w:szCs w:val="24"/>
        </w:rPr>
        <w:t xml:space="preserve"> no</w:t>
      </w:r>
      <w:r w:rsidRPr="005447BD">
        <w:rPr>
          <w:sz w:val="24"/>
          <w:szCs w:val="24"/>
        </w:rPr>
        <w:t xml:space="preserve"> </w:t>
      </w:r>
      <w:r w:rsidRPr="005447BD" w:rsidR="005447BD">
        <w:rPr>
          <w:sz w:val="24"/>
          <w:szCs w:val="24"/>
        </w:rPr>
        <w:t xml:space="preserve">significant </w:t>
      </w:r>
      <w:r w:rsidRPr="005447BD">
        <w:rPr>
          <w:color w:val="000000"/>
          <w:sz w:val="24"/>
          <w:szCs w:val="24"/>
        </w:rPr>
        <w:t xml:space="preserve">impact on </w:t>
      </w:r>
      <w:r w:rsidR="0021563A">
        <w:rPr>
          <w:color w:val="000000"/>
          <w:sz w:val="24"/>
          <w:szCs w:val="24"/>
        </w:rPr>
        <w:t xml:space="preserve">the </w:t>
      </w:r>
      <w:r w:rsidRPr="005447BD">
        <w:rPr>
          <w:color w:val="000000"/>
          <w:sz w:val="24"/>
          <w:szCs w:val="24"/>
        </w:rPr>
        <w:t>information collection</w:t>
      </w:r>
      <w:r w:rsidR="00D264A3">
        <w:rPr>
          <w:color w:val="000000"/>
          <w:sz w:val="24"/>
          <w:szCs w:val="24"/>
        </w:rPr>
        <w:t xml:space="preserve"> and there are no changes to burden hours or costs</w:t>
      </w:r>
      <w:r w:rsidRPr="005447BD">
        <w:rPr>
          <w:color w:val="000000"/>
          <w:sz w:val="24"/>
          <w:szCs w:val="24"/>
        </w:rPr>
        <w:t>.</w:t>
      </w:r>
      <w:r w:rsidR="002E5FDD">
        <w:rPr>
          <w:color w:val="000000"/>
          <w:sz w:val="24"/>
          <w:szCs w:val="24"/>
        </w:rPr>
        <w:t xml:space="preserve"> </w:t>
      </w:r>
      <w:r w:rsidR="00D264A3">
        <w:rPr>
          <w:color w:val="000000"/>
          <w:sz w:val="24"/>
          <w:szCs w:val="24"/>
        </w:rPr>
        <w:t xml:space="preserve">       </w:t>
      </w:r>
    </w:p>
    <w:p w:rsidR="00C35ADD" w:rsidP="00E745FE" w:rsidRDefault="00C35ADD" w14:paraId="436664B8" w14:textId="77777777">
      <w:pPr>
        <w:spacing w:before="40" w:line="260" w:lineRule="exact"/>
      </w:pPr>
    </w:p>
    <w:sectPr w:rsidR="00C35A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2673A" w14:textId="77777777" w:rsidR="00433D92" w:rsidRDefault="00433D92">
      <w:r>
        <w:separator/>
      </w:r>
    </w:p>
  </w:endnote>
  <w:endnote w:type="continuationSeparator" w:id="0">
    <w:p w14:paraId="22D61560" w14:textId="77777777" w:rsidR="00433D92" w:rsidRDefault="0043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628"/>
      <w:gridCol w:w="2040"/>
      <w:gridCol w:w="3348"/>
    </w:tblGrid>
    <w:tr w:rsidR="00E745FE" w14:paraId="567A293B" w14:textId="77777777">
      <w:tblPrEx>
        <w:tblCellMar>
          <w:top w:w="0" w:type="dxa"/>
          <w:bottom w:w="0" w:type="dxa"/>
        </w:tblCellMar>
      </w:tblPrEx>
      <w:tc>
        <w:tcPr>
          <w:tcW w:w="5628" w:type="dxa"/>
          <w:tcBorders>
            <w:right w:val="nil"/>
          </w:tcBorders>
        </w:tcPr>
        <w:p w14:paraId="0B9ECB71" w14:textId="77777777" w:rsidR="00E745FE" w:rsidRDefault="00E745FE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14:paraId="65EF5649" w14:textId="77777777" w:rsidR="00E745FE" w:rsidRDefault="00E745FE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29CE1D1E" w14:textId="77777777" w:rsidR="00E745FE" w:rsidRDefault="00E745FE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633FBF45" w14:textId="77777777" w:rsidR="00E745FE" w:rsidRDefault="00E745FE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1F999CD3" w14:textId="77777777" w:rsidR="00E745FE" w:rsidRDefault="00E745FE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63220D90" w14:textId="77777777" w:rsidR="00E745FE" w:rsidRDefault="00E745FE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 w:rsidR="0074610A">
            <w:rPr>
              <w:rFonts w:ascii="Helvetica" w:hAnsi="Helvetica"/>
              <w:sz w:val="16"/>
            </w:rPr>
            <w:t xml:space="preserve"> Colette Pollard</w:t>
          </w:r>
          <w:r>
            <w:rPr>
              <w:rFonts w:ascii="Helvetica" w:hAnsi="Helvetica"/>
              <w:sz w:val="16"/>
            </w:rPr>
            <w:t>, Departmental Reports Management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2C6F2F05" w14:textId="77777777" w:rsidR="00E745FE" w:rsidRDefault="00E745FE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14:paraId="406BA743" w14:textId="77777777" w:rsidR="00E745FE" w:rsidRDefault="00E745FE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14:paraId="7CFC8403" w14:textId="77777777" w:rsidR="00E745FE" w:rsidRDefault="00E745FE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7E615CA6" w14:textId="77777777" w:rsidR="00E745FE" w:rsidRDefault="00E745FE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782C4C5B" w14:textId="77777777" w:rsidR="00E745FE" w:rsidRDefault="00E745FE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14:paraId="278CA51C" w14:textId="77777777" w:rsidR="00E745FE" w:rsidRDefault="00E745FE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14:paraId="59A6F37E" w14:textId="77777777" w:rsidR="00E745FE" w:rsidRDefault="00E745FE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07A53" w14:textId="77777777" w:rsidR="00E745FE" w:rsidRDefault="00E745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BF0CE" w14:textId="77777777" w:rsidR="00E745FE" w:rsidRDefault="00E745FE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0010C" w14:textId="77777777" w:rsidR="00E745FE" w:rsidRDefault="00E74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9E72F" w14:textId="77777777" w:rsidR="00433D92" w:rsidRDefault="00433D92">
      <w:r>
        <w:separator/>
      </w:r>
    </w:p>
  </w:footnote>
  <w:footnote w:type="continuationSeparator" w:id="0">
    <w:p w14:paraId="2B8D0B39" w14:textId="77777777" w:rsidR="00433D92" w:rsidRDefault="00433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AE31E" w14:textId="77777777" w:rsidR="00E745FE" w:rsidRDefault="00E74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FFB07" w14:textId="77777777" w:rsidR="00E745FE" w:rsidRDefault="00E745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91C23" w14:textId="77777777" w:rsidR="00E745FE" w:rsidRDefault="00E745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6C41"/>
    <w:rsid w:val="00020B2D"/>
    <w:rsid w:val="00074954"/>
    <w:rsid w:val="00107218"/>
    <w:rsid w:val="00112D27"/>
    <w:rsid w:val="0019126D"/>
    <w:rsid w:val="001A27C1"/>
    <w:rsid w:val="00203F12"/>
    <w:rsid w:val="002102BF"/>
    <w:rsid w:val="00210BE1"/>
    <w:rsid w:val="0021563A"/>
    <w:rsid w:val="0023403A"/>
    <w:rsid w:val="002C348B"/>
    <w:rsid w:val="002E383F"/>
    <w:rsid w:val="002E5FDD"/>
    <w:rsid w:val="00307551"/>
    <w:rsid w:val="003651C4"/>
    <w:rsid w:val="003D6918"/>
    <w:rsid w:val="00413FA5"/>
    <w:rsid w:val="00433D92"/>
    <w:rsid w:val="004516BA"/>
    <w:rsid w:val="00460F65"/>
    <w:rsid w:val="004762E6"/>
    <w:rsid w:val="004C2E2B"/>
    <w:rsid w:val="004D3717"/>
    <w:rsid w:val="00535EC3"/>
    <w:rsid w:val="005447BD"/>
    <w:rsid w:val="005615C9"/>
    <w:rsid w:val="00563FF4"/>
    <w:rsid w:val="005D2E51"/>
    <w:rsid w:val="005E1C85"/>
    <w:rsid w:val="00662CFD"/>
    <w:rsid w:val="006A43D8"/>
    <w:rsid w:val="006B1331"/>
    <w:rsid w:val="006B7799"/>
    <w:rsid w:val="007037C9"/>
    <w:rsid w:val="00727BEC"/>
    <w:rsid w:val="00734E77"/>
    <w:rsid w:val="0074610A"/>
    <w:rsid w:val="0075654F"/>
    <w:rsid w:val="007611DD"/>
    <w:rsid w:val="007D2408"/>
    <w:rsid w:val="007F0F92"/>
    <w:rsid w:val="007F1C2D"/>
    <w:rsid w:val="007F2C8F"/>
    <w:rsid w:val="008C4023"/>
    <w:rsid w:val="00950776"/>
    <w:rsid w:val="00952077"/>
    <w:rsid w:val="00976C41"/>
    <w:rsid w:val="00A105CF"/>
    <w:rsid w:val="00A5796F"/>
    <w:rsid w:val="00B27BF2"/>
    <w:rsid w:val="00B40BE0"/>
    <w:rsid w:val="00C312FD"/>
    <w:rsid w:val="00C35ADD"/>
    <w:rsid w:val="00CA079C"/>
    <w:rsid w:val="00CC450E"/>
    <w:rsid w:val="00CE2558"/>
    <w:rsid w:val="00D264A3"/>
    <w:rsid w:val="00D56EFF"/>
    <w:rsid w:val="00D57FEA"/>
    <w:rsid w:val="00DA6E00"/>
    <w:rsid w:val="00E745FE"/>
    <w:rsid w:val="00EA7E34"/>
    <w:rsid w:val="00FB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B5EB7C7"/>
  <w15:chartTrackingRefBased/>
  <w15:docId w15:val="{03AC60E0-3DE9-4A54-8383-DCE54946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color w:val="000000"/>
      <w:sz w:val="28"/>
    </w:rPr>
  </w:style>
  <w:style w:type="paragraph" w:styleId="BalloonText">
    <w:name w:val="Balloon Text"/>
    <w:basedOn w:val="Normal"/>
    <w:semiHidden/>
    <w:rsid w:val="00EA7E3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516BA"/>
    <w:rPr>
      <w:color w:val="0563C1"/>
      <w:u w:val="single"/>
    </w:rPr>
  </w:style>
  <w:style w:type="character" w:styleId="CommentReference">
    <w:name w:val="annotation reference"/>
    <w:rsid w:val="00DA6E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6E00"/>
  </w:style>
  <w:style w:type="character" w:customStyle="1" w:styleId="CommentTextChar">
    <w:name w:val="Comment Text Char"/>
    <w:basedOn w:val="DefaultParagraphFont"/>
    <w:link w:val="CommentText"/>
    <w:rsid w:val="00DA6E00"/>
  </w:style>
  <w:style w:type="paragraph" w:styleId="CommentSubject">
    <w:name w:val="annotation subject"/>
    <w:basedOn w:val="CommentText"/>
    <w:next w:val="CommentText"/>
    <w:link w:val="CommentSubjectChar"/>
    <w:rsid w:val="00DA6E00"/>
    <w:rPr>
      <w:b/>
      <w:bCs/>
    </w:rPr>
  </w:style>
  <w:style w:type="character" w:customStyle="1" w:styleId="CommentSubjectChar">
    <w:name w:val="Comment Subject Char"/>
    <w:link w:val="CommentSubject"/>
    <w:rsid w:val="00DA6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ispm\pra\Forms\Forms%2083i%20etc\83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E27003353954888358C37D25A1389" ma:contentTypeVersion="7" ma:contentTypeDescription="Create a new document." ma:contentTypeScope="" ma:versionID="c9ca685b2d6b797b6b70d8faab11dc4b">
  <xsd:schema xmlns:xsd="http://www.w3.org/2001/XMLSchema" xmlns:xs="http://www.w3.org/2001/XMLSchema" xmlns:p="http://schemas.microsoft.com/office/2006/metadata/properties" xmlns:ns2="ae2a2941-2dbe-4eaa-9281-19e6e20101f1" xmlns:ns3="dca89f83-e7cb-46ce-8e9f-cb067c1b6911" xmlns:ns4="57b6deb9-dc41-4ced-bf19-f2d6f59f6165" targetNamespace="http://schemas.microsoft.com/office/2006/metadata/properties" ma:root="true" ma:fieldsID="fd2b59b92f9fa63492eddecdc07fa97f" ns2:_="" ns3:_="" ns4:_="">
    <xsd:import namespace="ae2a2941-2dbe-4eaa-9281-19e6e20101f1"/>
    <xsd:import namespace="dca89f83-e7cb-46ce-8e9f-cb067c1b6911"/>
    <xsd:import namespace="57b6deb9-dc41-4ced-bf19-f2d6f59f6165"/>
    <xsd:element name="properties">
      <xsd:complexType>
        <xsd:sequence>
          <xsd:element name="documentManagement">
            <xsd:complexType>
              <xsd:all>
                <xsd:element ref="ns2:Clearance" minOccurs="0"/>
                <xsd:element ref="ns2:Clearance_x003a_Clearance_x0020_Name" minOccurs="0"/>
                <xsd:element ref="ns2:Clearance_x003a_Clearance_x0020_Number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a2941-2dbe-4eaa-9281-19e6e20101f1" elementFormDefault="qualified">
    <xsd:import namespace="http://schemas.microsoft.com/office/2006/documentManagement/types"/>
    <xsd:import namespace="http://schemas.microsoft.com/office/infopath/2007/PartnerControls"/>
    <xsd:element name="Clearance" ma:index="4" nillable="true" ma:displayName="Clearance" ma:list="{7bf3ecff-3704-4e92-a7de-53154701d469}" ma:internalName="Clearance" ma:showField="Title" ma:web="57b6deb9-dc41-4ced-bf19-f2d6f59f6165">
      <xsd:simpleType>
        <xsd:restriction base="dms:Lookup"/>
      </xsd:simpleType>
    </xsd:element>
    <xsd:element name="Clearance_x003a_Clearance_x0020_Name" ma:index="5" nillable="true" ma:displayName="Clearance:Clearance Name" ma:list="{7bf3ecff-3704-4e92-a7de-53154701d469}" ma:internalName="Clearance_x003a_Clearance_x0020_Name" ma:readOnly="true" ma:showField="Title" ma:web="57b6deb9-dc41-4ced-bf19-f2d6f59f6165">
      <xsd:simpleType>
        <xsd:restriction base="dms:Lookup"/>
      </xsd:simpleType>
    </xsd:element>
    <xsd:element name="Clearance_x003a_Clearance_x0020_Number" ma:index="6" nillable="true" ma:displayName="Clearance:Clearance Number" ma:list="{7bf3ecff-3704-4e92-a7de-53154701d469}" ma:internalName="Clearance_x003a_Clearance_x0020_Number" ma:readOnly="true" ma:showField="Clearance_x0020_Number" ma:web="57b6deb9-dc41-4ced-bf19-f2d6f59f616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89f83-e7cb-46ce-8e9f-cb067c1b6911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6deb9-dc41-4ced-bf19-f2d6f59f6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earance xmlns="ae2a2941-2dbe-4eaa-9281-19e6e20101f1">2078</Clearance>
  </documentManagement>
</p:properties>
</file>

<file path=customXml/itemProps1.xml><?xml version="1.0" encoding="utf-8"?>
<ds:datastoreItem xmlns:ds="http://schemas.openxmlformats.org/officeDocument/2006/customXml" ds:itemID="{4BA3D77C-2AC9-47E6-B3BA-7ECDF79C6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a2941-2dbe-4eaa-9281-19e6e20101f1"/>
    <ds:schemaRef ds:uri="dca89f83-e7cb-46ce-8e9f-cb067c1b6911"/>
    <ds:schemaRef ds:uri="57b6deb9-dc41-4ced-bf19-f2d6f59f6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CF71B-F7F2-48F8-A2DE-8DB54F50EBB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B1F8420-A3DA-4061-B93F-05F18C52A3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843CBB-57F6-4435-9B54-C83701E2428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5253FF7-D73E-4FF9-8332-09AEB11AF7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83c.dot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HUD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User</dc:creator>
  <cp:keywords/>
  <cp:lastModifiedBy>Rogers, Dacia A</cp:lastModifiedBy>
  <cp:revision>2</cp:revision>
  <cp:lastPrinted>2005-11-17T21:12:00Z</cp:lastPrinted>
  <dcterms:created xsi:type="dcterms:W3CDTF">2021-03-29T19:16:00Z</dcterms:created>
  <dcterms:modified xsi:type="dcterms:W3CDTF">2021-03-29T19:16:00Z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