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642B6A" w:rsidRDefault="00642B6A" w14:paraId="50F42292" w14:textId="77777777">
      <w:pPr>
        <w:suppressAutoHyphens/>
        <w:jc w:val="center"/>
        <w:rPr>
          <w:rFonts w:eastAsia="Times New Roman" w:cs="Times New Roman"/>
          <w:b/>
          <w:szCs w:val="24"/>
        </w:rPr>
      </w:pPr>
      <w:bookmarkStart w:name="_GoBack" w:id="0"/>
      <w:bookmarkEnd w:id="0"/>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437CC3C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607B6C">
        <w:rPr>
          <w:rFonts w:eastAsia="Times New Roman" w:cs="Times New Roman"/>
          <w:b/>
          <w:szCs w:val="24"/>
        </w:rPr>
        <w:t>96</w:t>
      </w:r>
    </w:p>
    <w:p w:rsidR="00607B6C" w:rsidP="00DD3B04" w:rsidRDefault="00607B6C" w14:paraId="0C8EB42D" w14:textId="11E1396F">
      <w:pPr>
        <w:spacing w:after="240"/>
        <w:jc w:val="center"/>
        <w:outlineLvl w:val="0"/>
        <w:rPr>
          <w:rFonts w:eastAsia="Times New Roman" w:cs="Times New Roman"/>
          <w:szCs w:val="24"/>
        </w:rPr>
      </w:pPr>
      <w:r w:rsidRPr="00607B6C">
        <w:rPr>
          <w:rFonts w:eastAsia="Times New Roman" w:cs="Times New Roman"/>
          <w:szCs w:val="24"/>
        </w:rPr>
        <w:t>Swap Data Recordkeeping and Reporting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Pr="00E54279" w:rsidR="00642B6A" w:rsidP="00E54279" w:rsidRDefault="00607B6C" w14:paraId="50F42298" w14:textId="4889685B">
      <w:pPr>
        <w:tabs>
          <w:tab w:val="left" w:pos="-720"/>
          <w:tab w:val="left" w:pos="0"/>
        </w:tabs>
        <w:spacing w:after="240"/>
        <w:ind w:firstLine="720"/>
        <w:rPr>
          <w:rFonts w:eastAsia="Times New Roman" w:cs="Times New Roman"/>
          <w:szCs w:val="20"/>
        </w:rPr>
      </w:pPr>
      <w:r>
        <w:t>S</w:t>
      </w:r>
      <w:r w:rsidRPr="0073151D">
        <w:t>ection 2(a)(13)(G) of the Commodity Exchange Act (“CEA”</w:t>
      </w:r>
      <w:r>
        <w:t xml:space="preserve">) requires that </w:t>
      </w:r>
      <w:r w:rsidRPr="0073151D">
        <w:t>all swaps, whether cleared or uncleared, must be reported to SDRs. CEA section 21(b) directs the Commission to prescribe standards for swap data recordkeeping and reporting, which are to apply to both registered entities and cou</w:t>
      </w:r>
      <w:r>
        <w:t>nterparties involved with swaps</w:t>
      </w:r>
      <w:r w:rsidR="00E54279">
        <w:rPr>
          <w:rFonts w:eastAsia="Times New Roman" w:cs="Times New Roman"/>
          <w:szCs w:val="20"/>
        </w:rPr>
        <w:t xml:space="preserve">. </w:t>
      </w:r>
      <w:r w:rsidR="00ED251F">
        <w:rPr>
          <w:rFonts w:eastAsia="Times New Roman" w:cs="Times New Roman"/>
          <w:szCs w:val="20"/>
        </w:rPr>
        <w:t xml:space="preserve">The Commission established these regulations in </w:t>
      </w:r>
      <w:r w:rsidR="00E54279">
        <w:rPr>
          <w:rFonts w:eastAsia="Times New Roman" w:cs="Times New Roman"/>
          <w:szCs w:val="20"/>
        </w:rPr>
        <w:t>Part 4</w:t>
      </w:r>
      <w:r w:rsidR="007C72FB">
        <w:rPr>
          <w:rFonts w:eastAsia="Times New Roman" w:cs="Times New Roman"/>
          <w:szCs w:val="20"/>
        </w:rPr>
        <w:t>5</w:t>
      </w:r>
      <w:r w:rsidR="00E54279">
        <w:rPr>
          <w:rFonts w:eastAsia="Times New Roman" w:cs="Times New Roman"/>
          <w:szCs w:val="20"/>
        </w:rPr>
        <w:t xml:space="preserve"> of the Commission’s regulations</w:t>
      </w:r>
      <w:r w:rsidR="00ED251F">
        <w:rPr>
          <w:rFonts w:eastAsia="Times New Roman" w:cs="Times New Roman"/>
          <w:szCs w:val="20"/>
        </w:rPr>
        <w:t xml:space="preserve">. The regulations </w:t>
      </w:r>
      <w:r w:rsidR="007C72FB">
        <w:rPr>
          <w:rFonts w:eastAsia="Times New Roman" w:cs="Times New Roman"/>
          <w:szCs w:val="20"/>
        </w:rPr>
        <w:t xml:space="preserve">establish swap </w:t>
      </w:r>
      <w:r w:rsidR="00E54279">
        <w:rPr>
          <w:rFonts w:eastAsia="Times New Roman" w:cs="Times New Roman"/>
          <w:szCs w:val="20"/>
        </w:rPr>
        <w:t>reporting</w:t>
      </w:r>
      <w:r w:rsidR="007C72FB">
        <w:rPr>
          <w:rFonts w:eastAsia="Times New Roman" w:cs="Times New Roman"/>
          <w:szCs w:val="20"/>
        </w:rPr>
        <w:t xml:space="preserve"> and recordkeeping requirements 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 </w:t>
      </w:r>
    </w:p>
    <w:p w:rsidR="00A02F67" w:rsidP="00A02F67" w:rsidRDefault="00E54279" w14:paraId="7CC1F1F7" w14:textId="7F78CE30">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w:t>
      </w:r>
      <w:r w:rsidR="007705A1">
        <w:rPr>
          <w:rFonts w:eastAsia="Times New Roman" w:cs="Times New Roman"/>
          <w:color w:val="000000"/>
          <w:szCs w:val="24"/>
        </w:rPr>
        <w:t>adopt</w:t>
      </w:r>
      <w:r w:rsidR="005C6DDB">
        <w:rPr>
          <w:rFonts w:eastAsia="Times New Roman" w:cs="Times New Roman"/>
          <w:color w:val="000000"/>
          <w:szCs w:val="24"/>
        </w:rPr>
        <w:t>ed</w:t>
      </w:r>
      <w:r w:rsidR="007705A1">
        <w:rPr>
          <w:rFonts w:eastAsia="Times New Roman" w:cs="Times New Roman"/>
          <w:color w:val="000000"/>
          <w:szCs w:val="24"/>
        </w:rPr>
        <w:t xml:space="preserve"> </w:t>
      </w:r>
      <w:r w:rsidR="00ED251F">
        <w:rPr>
          <w:rFonts w:eastAsia="Times New Roman" w:cs="Times New Roman"/>
          <w:color w:val="000000"/>
          <w:szCs w:val="24"/>
        </w:rPr>
        <w:t>amendments to Part 4</w:t>
      </w:r>
      <w:r w:rsidR="007C72FB">
        <w:rPr>
          <w:rFonts w:eastAsia="Times New Roman" w:cs="Times New Roman"/>
          <w:color w:val="000000"/>
          <w:szCs w:val="24"/>
        </w:rPr>
        <w:t>5</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072EF3">
        <w:rPr>
          <w:rStyle w:val="FootnoteReference"/>
          <w:rFonts w:eastAsia="Times New Roman" w:cs="Times New Roman"/>
          <w:color w:val="000000"/>
          <w:szCs w:val="24"/>
        </w:rPr>
        <w:footnoteReference w:id="2"/>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he Commission is revis</w:t>
      </w:r>
      <w:r w:rsidR="007705A1">
        <w:rPr>
          <w:rFonts w:eastAsia="Times New Roman" w:cs="Times New Roman"/>
          <w:color w:val="000000"/>
          <w:szCs w:val="24"/>
        </w:rPr>
        <w:t>ing</w:t>
      </w:r>
      <w:r w:rsidRPr="00A02F67" w:rsidR="00A02F67">
        <w:rPr>
          <w:rFonts w:eastAsia="Times New Roman" w:cs="Times New Roman"/>
          <w:color w:val="000000"/>
          <w:szCs w:val="24"/>
        </w:rPr>
        <w:t xml:space="preserve"> </w:t>
      </w:r>
      <w:r w:rsidR="00A02F67">
        <w:rPr>
          <w:rFonts w:eastAsia="Times New Roman" w:cs="Times New Roman"/>
          <w:color w:val="000000"/>
          <w:szCs w:val="24"/>
        </w:rPr>
        <w:t>Information Collection 3038-00</w:t>
      </w:r>
      <w:r w:rsidR="007C72FB">
        <w:rPr>
          <w:rFonts w:eastAsia="Times New Roman" w:cs="Times New Roman"/>
          <w:color w:val="000000"/>
          <w:szCs w:val="24"/>
        </w:rPr>
        <w:t>96</w:t>
      </w:r>
      <w:r w:rsidRPr="00A02F67" w:rsidR="00A02F67">
        <w:rPr>
          <w:rFonts w:eastAsia="Times New Roman" w:cs="Times New Roman"/>
          <w:color w:val="000000"/>
          <w:szCs w:val="24"/>
        </w:rPr>
        <w:t xml:space="preserve"> to account for 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8D135F">
        <w:rPr>
          <w:rFonts w:eastAsia="Times New Roman" w:cs="Times New Roman"/>
          <w:color w:val="000000"/>
          <w:szCs w:val="24"/>
        </w:rPr>
        <w:t xml:space="preserve"> resulting from these changes</w:t>
      </w:r>
      <w:r w:rsidR="00A02F67">
        <w:rPr>
          <w:rFonts w:eastAsia="Times New Roman" w:cs="Times New Roman"/>
          <w:color w:val="000000"/>
          <w:szCs w:val="24"/>
        </w:rPr>
        <w:t xml:space="preserve">. </w:t>
      </w:r>
      <w:r w:rsidR="00405AC8">
        <w:rPr>
          <w:rFonts w:eastAsia="Times New Roman" w:cs="Times New Roman"/>
          <w:color w:val="000000"/>
          <w:szCs w:val="24"/>
        </w:rPr>
        <w:t>Some</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3038-00</w:t>
      </w:r>
      <w:r w:rsidR="007C72FB">
        <w:rPr>
          <w:rFonts w:eastAsia="Times New Roman" w:cs="Times New Roman"/>
          <w:color w:val="000000"/>
          <w:szCs w:val="24"/>
        </w:rPr>
        <w:t>96</w:t>
      </w:r>
      <w:r w:rsidRPr="00A02F67" w:rsidR="00A02F67">
        <w:rPr>
          <w:rFonts w:eastAsia="Times New Roman" w:cs="Times New Roman"/>
          <w:color w:val="000000"/>
          <w:szCs w:val="24"/>
        </w:rPr>
        <w:t xml:space="preserve"> </w:t>
      </w:r>
      <w:r w:rsidR="00301DE9">
        <w:rPr>
          <w:rFonts w:eastAsia="Times New Roman" w:cs="Times New Roman"/>
          <w:color w:val="000000"/>
          <w:szCs w:val="24"/>
        </w:rPr>
        <w:t>are</w:t>
      </w:r>
      <w:r w:rsidRPr="00A02F67" w:rsidR="00A02F67">
        <w:rPr>
          <w:rFonts w:eastAsia="Times New Roman" w:cs="Times New Roman"/>
          <w:color w:val="000000"/>
          <w:szCs w:val="24"/>
        </w:rPr>
        <w:t xml:space="preserve"> not impacted by the </w:t>
      </w:r>
      <w:r w:rsidR="007705A1">
        <w:rPr>
          <w:rFonts w:eastAsia="Times New Roman" w:cs="Times New Roman"/>
          <w:color w:val="000000"/>
          <w:szCs w:val="24"/>
        </w:rPr>
        <w:t>Commission’s changes</w:t>
      </w:r>
      <w:r w:rsidRPr="00A02F67" w:rsidR="00A02F67">
        <w:rPr>
          <w:rFonts w:eastAsia="Times New Roman" w:cs="Times New Roman"/>
          <w:color w:val="000000"/>
          <w:szCs w:val="24"/>
        </w:rPr>
        <w:t>, and the Commission is not revis</w:t>
      </w:r>
      <w:r w:rsidR="007705A1">
        <w:rPr>
          <w:rFonts w:eastAsia="Times New Roman" w:cs="Times New Roman"/>
          <w:color w:val="000000"/>
          <w:szCs w:val="24"/>
        </w:rPr>
        <w:t>ing</w:t>
      </w:r>
      <w:r w:rsidRPr="00A02F67" w:rsidR="00A02F67">
        <w:rPr>
          <w:rFonts w:eastAsia="Times New Roman" w:cs="Times New Roman"/>
          <w:color w:val="000000"/>
          <w:szCs w:val="24"/>
        </w:rPr>
        <w:t xml:space="preserve"> the estimated burdens ass</w:t>
      </w:r>
      <w:r w:rsidR="009E356F">
        <w:rPr>
          <w:rFonts w:eastAsia="Times New Roman" w:cs="Times New Roman"/>
          <w:color w:val="000000"/>
          <w:szCs w:val="24"/>
        </w:rPr>
        <w:t>ociated with those collections.</w:t>
      </w:r>
      <w:r w:rsidR="00A261BC">
        <w:rPr>
          <w:rFonts w:eastAsia="Times New Roman" w:cs="Times New Roman"/>
          <w:color w:val="000000"/>
          <w:szCs w:val="24"/>
        </w:rPr>
        <w:t xml:space="preserve"> In other areas, the Commission is correct</w:t>
      </w:r>
      <w:r w:rsidR="007705A1">
        <w:rPr>
          <w:rFonts w:eastAsia="Times New Roman" w:cs="Times New Roman"/>
          <w:color w:val="000000"/>
          <w:szCs w:val="24"/>
        </w:rPr>
        <w:t>ing</w:t>
      </w:r>
      <w:r w:rsidR="00A261BC">
        <w:rPr>
          <w:rFonts w:eastAsia="Times New Roman" w:cs="Times New Roman"/>
          <w:color w:val="000000"/>
          <w:szCs w:val="24"/>
        </w:rPr>
        <w:t xml:space="preserve"> errors in the current estimated burdens</w:t>
      </w:r>
      <w:r w:rsidR="007705A1">
        <w:rPr>
          <w:rFonts w:eastAsia="Times New Roman" w:cs="Times New Roman"/>
          <w:color w:val="000000"/>
          <w:szCs w:val="24"/>
        </w:rPr>
        <w:t>.</w:t>
      </w:r>
    </w:p>
    <w:p w:rsidR="001D4BB9" w:rsidP="009E356F" w:rsidRDefault="001D4BB9" w14:paraId="69453790" w14:textId="77777777">
      <w:pPr>
        <w:autoSpaceDE w:val="0"/>
        <w:autoSpaceDN w:val="0"/>
        <w:adjustRightInd w:val="0"/>
        <w:ind w:firstLine="720"/>
        <w:rPr>
          <w:rFonts w:eastAsia="Times New Roman" w:cs="Times New Roman"/>
          <w:color w:val="000000"/>
          <w:szCs w:val="24"/>
        </w:rPr>
      </w:pPr>
    </w:p>
    <w:p w:rsidR="00624B4F" w:rsidP="00624B4F" w:rsidRDefault="00624B4F" w14:paraId="1FCAAB60" w14:textId="42C93332">
      <w:pPr>
        <w:widowControl w:val="0"/>
        <w:autoSpaceDE w:val="0"/>
        <w:autoSpaceDN w:val="0"/>
        <w:adjustRightInd w:val="0"/>
        <w:ind w:firstLine="720"/>
      </w:pPr>
      <w:r>
        <w:t xml:space="preserve">The </w:t>
      </w:r>
      <w:r w:rsidR="008D135F">
        <w:t>changes the Commission is adopting</w:t>
      </w:r>
      <w:r w:rsidRPr="008A4ECD">
        <w:t xml:space="preserve"> </w:t>
      </w:r>
      <w:r w:rsidR="008D135F">
        <w:t>impact</w:t>
      </w:r>
      <w:r w:rsidRPr="008A4ECD">
        <w:t xml:space="preserve"> SDRs</w:t>
      </w:r>
      <w:r>
        <w:t>, SEFs, DCMs, and reporting counterparties</w:t>
      </w:r>
      <w:r w:rsidRPr="008A4ECD">
        <w:t xml:space="preserve"> </w:t>
      </w:r>
      <w:r>
        <w:t>that report swap data for the Commission to perform its regulatory duties of risk monitoring and ensuring compliance with its rules, among other things</w:t>
      </w:r>
      <w:r w:rsidRPr="008A4ECD">
        <w:t>. The Commission is add</w:t>
      </w:r>
      <w:r w:rsidR="008D135F">
        <w:t>ing</w:t>
      </w:r>
      <w:r w:rsidRPr="008A4ECD">
        <w:t xml:space="preserve"> or modify</w:t>
      </w:r>
      <w:r w:rsidR="008D135F">
        <w:t>ing</w:t>
      </w:r>
      <w:r w:rsidRPr="008A4ECD">
        <w:t xml:space="preserve"> information collections for the following regulations:</w:t>
      </w:r>
    </w:p>
    <w:p w:rsidR="00624B4F" w:rsidP="00624B4F" w:rsidRDefault="00624B4F" w14:paraId="3D1D5173" w14:textId="77777777">
      <w:pPr>
        <w:widowControl w:val="0"/>
        <w:autoSpaceDE w:val="0"/>
        <w:autoSpaceDN w:val="0"/>
        <w:adjustRightInd w:val="0"/>
        <w:ind w:firstLine="720"/>
      </w:pPr>
    </w:p>
    <w:p w:rsidRPr="008A4ECD" w:rsidR="00624B4F" w:rsidP="00624B4F" w:rsidRDefault="00624B4F" w14:paraId="28CA7EDF" w14:textId="4C6C3DEA">
      <w:pPr>
        <w:pStyle w:val="ListParagraph"/>
        <w:numPr>
          <w:ilvl w:val="0"/>
          <w:numId w:val="13"/>
        </w:numPr>
        <w:autoSpaceDE w:val="0"/>
        <w:autoSpaceDN w:val="0"/>
        <w:adjustRightInd w:val="0"/>
        <w:rPr>
          <w:rFonts w:eastAsia="Times New Roman" w:cs="Times New Roman"/>
          <w:color w:val="000000"/>
          <w:szCs w:val="24"/>
        </w:rPr>
      </w:pPr>
      <w:r>
        <w:t xml:space="preserve">Regulation 45.3 contains the requirements related to required swap creation data reporting when counterparties execute new swaps. </w:t>
      </w:r>
      <w:r w:rsidR="008D135F">
        <w:t>Amended</w:t>
      </w:r>
      <w:r>
        <w:t xml:space="preserve"> § 45.3 eliminate</w:t>
      </w:r>
      <w:r w:rsidR="008D135F">
        <w:t>s</w:t>
      </w:r>
      <w:r>
        <w:t xml:space="preserve"> the requirement to send separate confirmation data reports, and the requirement for reporting counterparties to report two pieces of information about international swaps.</w:t>
      </w:r>
    </w:p>
    <w:p w:rsidRPr="008A4ECD" w:rsidR="00624B4F" w:rsidP="00624B4F" w:rsidRDefault="00624B4F" w14:paraId="7B71FF89" w14:textId="77777777">
      <w:pPr>
        <w:pStyle w:val="ListParagraph"/>
        <w:autoSpaceDE w:val="0"/>
        <w:autoSpaceDN w:val="0"/>
        <w:adjustRightInd w:val="0"/>
        <w:rPr>
          <w:rFonts w:eastAsia="Times New Roman" w:cs="Times New Roman"/>
          <w:color w:val="000000"/>
          <w:szCs w:val="24"/>
        </w:rPr>
      </w:pPr>
    </w:p>
    <w:p w:rsidR="00624B4F" w:rsidP="00624B4F" w:rsidRDefault="00624B4F" w14:paraId="5F651265" w14:textId="115DC49B">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45.4 contains the requirements for reporting changes to swaps after execution, as well as to report daily or quarterly valuation data for swaps. </w:t>
      </w:r>
      <w:r w:rsidR="008D135F">
        <w:rPr>
          <w:rFonts w:eastAsia="Times New Roman" w:cs="Times New Roman"/>
          <w:color w:val="000000"/>
          <w:szCs w:val="24"/>
        </w:rPr>
        <w:t xml:space="preserve">Amended </w:t>
      </w:r>
      <w:r>
        <w:rPr>
          <w:rFonts w:eastAsia="Times New Roman" w:cs="Times New Roman"/>
          <w:color w:val="000000"/>
          <w:szCs w:val="24"/>
        </w:rPr>
        <w:t>§ 45.4 eliminate</w:t>
      </w:r>
      <w:r w:rsidR="008D135F">
        <w:rPr>
          <w:rFonts w:eastAsia="Times New Roman" w:cs="Times New Roman"/>
          <w:color w:val="000000"/>
          <w:szCs w:val="24"/>
        </w:rPr>
        <w:t>s</w:t>
      </w:r>
      <w:r>
        <w:rPr>
          <w:rFonts w:eastAsia="Times New Roman" w:cs="Times New Roman"/>
          <w:color w:val="000000"/>
          <w:szCs w:val="24"/>
        </w:rPr>
        <w:t xml:space="preserve"> the option for reporting changes to swaps through daily state data reports, and </w:t>
      </w:r>
      <w:r>
        <w:rPr>
          <w:rFonts w:eastAsia="Times New Roman" w:cs="Times New Roman"/>
          <w:color w:val="000000"/>
          <w:szCs w:val="24"/>
        </w:rPr>
        <w:lastRenderedPageBreak/>
        <w:t>the requirement for non-SD/MSP/DCO reporting counterparties to report valuation data quarterly.</w:t>
      </w:r>
    </w:p>
    <w:p w:rsidRPr="008A4ECD" w:rsidR="00624B4F" w:rsidP="00624B4F" w:rsidRDefault="00624B4F" w14:paraId="437F8E9F" w14:textId="77777777">
      <w:pPr>
        <w:pStyle w:val="ListParagraph"/>
        <w:rPr>
          <w:rFonts w:eastAsia="Times New Roman" w:cs="Times New Roman"/>
          <w:color w:val="000000"/>
          <w:szCs w:val="24"/>
        </w:rPr>
      </w:pPr>
    </w:p>
    <w:p w:rsidR="00624B4F" w:rsidP="00624B4F" w:rsidRDefault="00624B4F" w14:paraId="0F8F531D" w14:textId="743DC0EE">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45.5 contains the requirements for reporting identifiers for each swap report. </w:t>
      </w:r>
      <w:r w:rsidR="00EE720E">
        <w:rPr>
          <w:rFonts w:eastAsia="Times New Roman" w:cs="Times New Roman"/>
          <w:color w:val="000000"/>
          <w:szCs w:val="24"/>
        </w:rPr>
        <w:t>Amended</w:t>
      </w:r>
      <w:r>
        <w:rPr>
          <w:rFonts w:eastAsia="Times New Roman" w:cs="Times New Roman"/>
          <w:color w:val="000000"/>
          <w:szCs w:val="24"/>
        </w:rPr>
        <w:t xml:space="preserve"> § 45.5 </w:t>
      </w:r>
      <w:r w:rsidR="00EE720E">
        <w:rPr>
          <w:rFonts w:eastAsia="Times New Roman" w:cs="Times New Roman"/>
          <w:color w:val="000000"/>
          <w:szCs w:val="24"/>
        </w:rPr>
        <w:t>requires</w:t>
      </w:r>
      <w:r>
        <w:rPr>
          <w:rFonts w:eastAsia="Times New Roman" w:cs="Times New Roman"/>
          <w:color w:val="000000"/>
          <w:szCs w:val="24"/>
        </w:rPr>
        <w:t xml:space="preserve"> entities to use unique transaction identifiers (“UTIs”) instead of unique swap identifiers (“USIs”), and non-SD/MSP/DCO reporting counterparties that are financial </w:t>
      </w:r>
      <w:r w:rsidR="00AA043A">
        <w:rPr>
          <w:rFonts w:eastAsia="Times New Roman" w:cs="Times New Roman"/>
          <w:color w:val="000000"/>
          <w:szCs w:val="24"/>
        </w:rPr>
        <w:t xml:space="preserve">entities </w:t>
      </w:r>
      <w:r>
        <w:rPr>
          <w:rFonts w:eastAsia="Times New Roman" w:cs="Times New Roman"/>
          <w:color w:val="000000"/>
          <w:szCs w:val="24"/>
        </w:rPr>
        <w:t>to generate UTIs instead of SDRs.</w:t>
      </w:r>
    </w:p>
    <w:p w:rsidRPr="008A4ECD" w:rsidR="00624B4F" w:rsidP="00624B4F" w:rsidRDefault="00624B4F" w14:paraId="087441DA" w14:textId="77777777">
      <w:pPr>
        <w:pStyle w:val="ListParagraph"/>
        <w:rPr>
          <w:rFonts w:eastAsia="Times New Roman" w:cs="Times New Roman"/>
          <w:color w:val="000000"/>
          <w:szCs w:val="24"/>
        </w:rPr>
      </w:pPr>
    </w:p>
    <w:p w:rsidR="00624B4F" w:rsidP="00624B4F" w:rsidRDefault="00624B4F" w14:paraId="6F0EF227" w14:textId="6E9648FA">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45.6 contains the requirements for each entity to be identified in all swap reports by a legal entity identifier (“LEI”). </w:t>
      </w:r>
      <w:r w:rsidR="00EE720E">
        <w:rPr>
          <w:rFonts w:eastAsia="Times New Roman" w:cs="Times New Roman"/>
          <w:color w:val="000000"/>
          <w:szCs w:val="24"/>
        </w:rPr>
        <w:t>Amended</w:t>
      </w:r>
      <w:r>
        <w:rPr>
          <w:rFonts w:eastAsia="Times New Roman" w:cs="Times New Roman"/>
          <w:color w:val="000000"/>
          <w:szCs w:val="24"/>
        </w:rPr>
        <w:t xml:space="preserve"> § 45.6 require</w:t>
      </w:r>
      <w:r w:rsidR="00EE720E">
        <w:rPr>
          <w:rFonts w:eastAsia="Times New Roman" w:cs="Times New Roman"/>
          <w:color w:val="000000"/>
          <w:szCs w:val="24"/>
        </w:rPr>
        <w:t>s</w:t>
      </w:r>
      <w:r>
        <w:rPr>
          <w:rFonts w:eastAsia="Times New Roman" w:cs="Times New Roman"/>
          <w:color w:val="000000"/>
          <w:szCs w:val="24"/>
        </w:rPr>
        <w:t xml:space="preserve"> certain entities to renew their LEIs, in addition to obtaining and having an LEI.</w:t>
      </w:r>
    </w:p>
    <w:p w:rsidRPr="008A4ECD" w:rsidR="00624B4F" w:rsidP="00624B4F" w:rsidRDefault="00624B4F" w14:paraId="2B6CB795" w14:textId="77777777">
      <w:pPr>
        <w:pStyle w:val="ListParagraph"/>
        <w:rPr>
          <w:rFonts w:eastAsia="Times New Roman" w:cs="Times New Roman"/>
          <w:color w:val="000000"/>
          <w:szCs w:val="24"/>
        </w:rPr>
      </w:pPr>
    </w:p>
    <w:p w:rsidRPr="00624B4F" w:rsidR="003B1162" w:rsidP="00624B4F" w:rsidRDefault="00624B4F" w14:paraId="375C8D77" w14:textId="74A74F3A">
      <w:pPr>
        <w:pStyle w:val="ListParagraph"/>
        <w:numPr>
          <w:ilvl w:val="0"/>
          <w:numId w:val="13"/>
        </w:numPr>
        <w:autoSpaceDE w:val="0"/>
        <w:autoSpaceDN w:val="0"/>
        <w:adjustRightInd w:val="0"/>
        <w:rPr>
          <w:bCs/>
        </w:rPr>
      </w:pPr>
      <w:r w:rsidRPr="00624B4F">
        <w:rPr>
          <w:rFonts w:eastAsia="Times New Roman" w:cs="Times New Roman"/>
          <w:color w:val="000000"/>
          <w:szCs w:val="24"/>
        </w:rPr>
        <w:t xml:space="preserve">Regulation 45.10 contains the requirements for reporting swaps to a single SDR. </w:t>
      </w:r>
      <w:r w:rsidR="00EE720E">
        <w:rPr>
          <w:rFonts w:eastAsia="Times New Roman" w:cs="Times New Roman"/>
          <w:color w:val="000000"/>
          <w:szCs w:val="24"/>
        </w:rPr>
        <w:t>Amended</w:t>
      </w:r>
      <w:r w:rsidRPr="00624B4F">
        <w:rPr>
          <w:rFonts w:eastAsia="Times New Roman" w:cs="Times New Roman"/>
          <w:color w:val="000000"/>
          <w:szCs w:val="24"/>
        </w:rPr>
        <w:t xml:space="preserve"> § 45.10 permit</w:t>
      </w:r>
      <w:r w:rsidR="00EE720E">
        <w:rPr>
          <w:rFonts w:eastAsia="Times New Roman" w:cs="Times New Roman"/>
          <w:color w:val="000000"/>
          <w:szCs w:val="24"/>
        </w:rPr>
        <w:t>s</w:t>
      </w:r>
      <w:r w:rsidRPr="00624B4F">
        <w:rPr>
          <w:rFonts w:eastAsia="Times New Roman" w:cs="Times New Roman"/>
          <w:color w:val="000000"/>
          <w:szCs w:val="24"/>
        </w:rPr>
        <w:t xml:space="preserve"> reporting counterparties to change SDRs, subject to certain notification requirements.</w:t>
      </w:r>
    </w:p>
    <w:p w:rsidRPr="0066471D" w:rsidR="006961A9" w:rsidP="006961A9" w:rsidRDefault="006961A9" w14:paraId="31AF8453" w14:textId="0ECA764F">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7910432C">
      <w:pPr>
        <w:rPr>
          <w:rFonts w:eastAsia="Times New Roman" w:cs="Times New Roman"/>
          <w:color w:val="000000"/>
          <w:szCs w:val="24"/>
        </w:rPr>
      </w:pPr>
      <w:r>
        <w:rPr>
          <w:rFonts w:eastAsia="Times New Roman" w:cs="Times New Roman"/>
          <w:color w:val="000000"/>
          <w:szCs w:val="24"/>
        </w:rPr>
        <w:tab/>
        <w:t xml:space="preserve">The Commission’s regulations in </w:t>
      </w:r>
      <w:r w:rsidR="00DD3B04">
        <w:rPr>
          <w:rFonts w:eastAsia="Times New Roman" w:cs="Times New Roman"/>
          <w:color w:val="000000"/>
          <w:szCs w:val="24"/>
        </w:rPr>
        <w:t>P</w:t>
      </w:r>
      <w:r>
        <w:rPr>
          <w:rFonts w:eastAsia="Times New Roman" w:cs="Times New Roman"/>
          <w:color w:val="000000"/>
          <w:szCs w:val="24"/>
        </w:rPr>
        <w:t>art 4</w:t>
      </w:r>
      <w:r w:rsidR="0035705B">
        <w:rPr>
          <w:rFonts w:eastAsia="Times New Roman" w:cs="Times New Roman"/>
          <w:color w:val="000000"/>
          <w:szCs w:val="24"/>
        </w:rPr>
        <w:t>5</w:t>
      </w:r>
      <w:r>
        <w:rPr>
          <w:rFonts w:eastAsia="Times New Roman" w:cs="Times New Roman"/>
          <w:color w:val="000000"/>
          <w:szCs w:val="24"/>
        </w:rPr>
        <w:t xml:space="preserve"> require SEFs, DCMs, and reporting counterparties to report swap </w:t>
      </w:r>
      <w:r w:rsidR="0035705B">
        <w:rPr>
          <w:rFonts w:eastAsia="Times New Roman" w:cs="Times New Roman"/>
          <w:color w:val="000000"/>
          <w:szCs w:val="24"/>
        </w:rPr>
        <w:t xml:space="preserve">data </w:t>
      </w:r>
      <w:r>
        <w:rPr>
          <w:rFonts w:eastAsia="Times New Roman" w:cs="Times New Roman"/>
          <w:color w:val="000000"/>
          <w:szCs w:val="24"/>
        </w:rPr>
        <w:t xml:space="preserve">to SDRs. The SDRs provide this data to the Commission directly. The Commission </w:t>
      </w:r>
      <w:r w:rsidR="0035705B">
        <w:rPr>
          <w:rFonts w:eastAsia="Times New Roman" w:cs="Times New Roman"/>
          <w:color w:val="000000"/>
          <w:szCs w:val="24"/>
        </w:rPr>
        <w:t xml:space="preserve">uses </w:t>
      </w:r>
      <w:r>
        <w:rPr>
          <w:rFonts w:eastAsia="Times New Roman" w:cs="Times New Roman"/>
          <w:color w:val="000000"/>
          <w:szCs w:val="24"/>
        </w:rPr>
        <w:t>swap data in connection with fulfilling its regulatory duties.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519750DE">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3038-00</w:t>
      </w:r>
      <w:r w:rsidR="00330578">
        <w:rPr>
          <w:rFonts w:eastAsia="Times New Roman" w:cs="Times New Roman"/>
          <w:szCs w:val="24"/>
        </w:rPr>
        <w:t>96</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4CA317E5">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collected pursuant to part 4</w:t>
      </w:r>
      <w:r w:rsidR="00330578">
        <w:rPr>
          <w:rFonts w:eastAsia="Times New Roman" w:cs="Times New Roman"/>
          <w:szCs w:val="24"/>
        </w:rPr>
        <w:t>5</w:t>
      </w:r>
      <w:r w:rsidRPr="00AD0896" w:rsidR="00AD0896">
        <w:rPr>
          <w:rFonts w:eastAsia="Times New Roman" w:cs="Times New Roman"/>
          <w:szCs w:val="24"/>
        </w:rPr>
        <w:t xml:space="preserve"> of the Commission’s regulations is not already collected by the Commission or other regulator</w:t>
      </w:r>
      <w:r w:rsidR="00755D76">
        <w:rPr>
          <w:rFonts w:eastAsia="Times New Roman" w:cs="Times New Roman"/>
          <w:szCs w:val="24"/>
        </w:rPr>
        <w:t>s</w:t>
      </w:r>
      <w:r w:rsidRPr="00AD0896" w:rsidR="00AD0896">
        <w:rPr>
          <w:rFonts w:eastAsia="Times New Roman" w:cs="Times New Roman"/>
          <w:szCs w:val="24"/>
        </w:rPr>
        <w:t xml:space="preserve"> for any other purpose and is not publicly available through </w:t>
      </w:r>
      <w:r w:rsidR="00AD0896">
        <w:rPr>
          <w:rFonts w:eastAsia="Times New Roman" w:cs="Times New Roman"/>
          <w:szCs w:val="24"/>
        </w:rPr>
        <w:t xml:space="preserve">another source. The </w:t>
      </w:r>
      <w:r w:rsidR="00330578">
        <w:rPr>
          <w:rFonts w:eastAsia="Times New Roman" w:cs="Times New Roman"/>
          <w:szCs w:val="24"/>
        </w:rPr>
        <w:t xml:space="preserve">swap </w:t>
      </w:r>
      <w:r w:rsidR="00AD0896">
        <w:rPr>
          <w:rFonts w:eastAsia="Times New Roman" w:cs="Times New Roman"/>
          <w:szCs w:val="24"/>
        </w:rPr>
        <w:t xml:space="preserve">data </w:t>
      </w:r>
      <w:r w:rsidRPr="00AD0896" w:rsidR="00AD0896">
        <w:rPr>
          <w:rFonts w:eastAsia="Times New Roman" w:cs="Times New Roman"/>
          <w:szCs w:val="24"/>
        </w:rPr>
        <w:t>is unique and no other similar</w:t>
      </w:r>
      <w:r w:rsidR="00330578">
        <w:rPr>
          <w:rFonts w:eastAsia="Times New Roman" w:cs="Times New Roman"/>
          <w:szCs w:val="24"/>
        </w:rPr>
        <w:t xml:space="preserve"> transaction-level</w:t>
      </w:r>
      <w:r w:rsidRPr="00AD0896" w:rsidR="00AD0896">
        <w:rPr>
          <w:rFonts w:eastAsia="Times New Roman" w:cs="Times New Roman"/>
          <w:szCs w:val="24"/>
        </w:rPr>
        <w:t xml:space="preserve">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3CD95699">
      <w:pPr>
        <w:tabs>
          <w:tab w:val="left" w:pos="-720"/>
        </w:tabs>
        <w:spacing w:after="240"/>
        <w:rPr>
          <w:rFonts w:eastAsia="Times New Roman" w:cs="Times New Roman"/>
          <w:szCs w:val="24"/>
        </w:rPr>
      </w:pPr>
      <w:r w:rsidRPr="00642B6A">
        <w:rPr>
          <w:rFonts w:eastAsia="Times New Roman" w:cs="Times New Roman"/>
          <w:szCs w:val="24"/>
        </w:rPr>
        <w:lastRenderedPageBreak/>
        <w:tab/>
      </w:r>
      <w:r w:rsidR="00AD0896">
        <w:rPr>
          <w:rFonts w:eastAsia="Times New Roman" w:cs="Times New Roman"/>
          <w:szCs w:val="24"/>
        </w:rPr>
        <w:t xml:space="preserve">The Commission has previously established that </w:t>
      </w:r>
      <w:r w:rsidRPr="00E010A4" w:rsidR="00E010A4">
        <w:rPr>
          <w:rFonts w:eastAsia="Times New Roman" w:cs="Times New Roman"/>
          <w:szCs w:val="24"/>
        </w:rPr>
        <w:t xml:space="preserve">DCMs, DCOs, MSPs, SDs, SDRs, and SEFs are not small entities. In addition, based on its review of publicly available data, the Commission believes that the overwhelming majority of non-SD/MSP/DCO reporting counterparties affected by this rulemaking are eligible contract participants (“ECPs”) that the Commission has previously determined are not small entities or do not otherwise meet the definition of “small entity.” Accordingly, the Commission does not believe that this collection of information </w:t>
      </w:r>
      <w:r w:rsidR="00301DE9">
        <w:rPr>
          <w:rFonts w:eastAsia="Times New Roman" w:cs="Times New Roman"/>
          <w:szCs w:val="24"/>
        </w:rPr>
        <w:t>will</w:t>
      </w:r>
      <w:r w:rsidRPr="00E010A4" w:rsidR="00E010A4">
        <w:rPr>
          <w:rFonts w:eastAsia="Times New Roman" w:cs="Times New Roman"/>
          <w:szCs w:val="24"/>
        </w:rPr>
        <w:t xml:space="preserve"> affect a substantial number of small entities</w:t>
      </w:r>
      <w:r w:rsidR="00AD0896">
        <w:rPr>
          <w:rFonts w:eastAsia="Times New Roman" w:cs="Times New Roman"/>
          <w:szCs w:val="24"/>
        </w:rPr>
        <w:t>.</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61A36AFB">
      <w:pPr>
        <w:ind w:firstLine="720"/>
        <w:rPr>
          <w:rFonts w:eastAsia="Times New Roman" w:cs="Times New Roman"/>
          <w:color w:val="000000"/>
          <w:szCs w:val="24"/>
        </w:rPr>
      </w:pPr>
      <w:r>
        <w:rPr>
          <w:rFonts w:eastAsia="Times New Roman" w:cs="Times New Roman"/>
          <w:color w:val="000000"/>
          <w:szCs w:val="24"/>
        </w:rPr>
        <w:t xml:space="preserve">Without the required frequency of reporting 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554C028A">
      <w:pPr>
        <w:tabs>
          <w:tab w:val="left" w:pos="-720"/>
        </w:tabs>
        <w:spacing w:after="240"/>
        <w:rPr>
          <w:rFonts w:eastAsia="Times New Roman" w:cs="Times New Roman"/>
          <w:szCs w:val="24"/>
        </w:rPr>
      </w:pPr>
      <w:r w:rsidRPr="00642B6A">
        <w:rPr>
          <w:rFonts w:eastAsia="Times New Roman" w:cs="Times New Roman"/>
          <w:szCs w:val="24"/>
        </w:rPr>
        <w:tab/>
      </w:r>
      <w:r w:rsidR="00330578">
        <w:rPr>
          <w:rFonts w:eastAsia="Times New Roman" w:cs="Times New Roman"/>
          <w:szCs w:val="24"/>
        </w:rPr>
        <w:t>Swap data</w:t>
      </w:r>
      <w:r w:rsidR="009402E6">
        <w:rPr>
          <w:rFonts w:eastAsia="Times New Roman" w:cs="Times New Roman"/>
          <w:szCs w:val="24"/>
        </w:rPr>
        <w:t xml:space="preserve"> is not required to be reported to the Commission.</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5BCB979C">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The amendments to part 4</w:t>
      </w:r>
      <w:r w:rsidR="00330578">
        <w:rPr>
          <w:rFonts w:eastAsia="Times New Roman" w:cs="Times New Roman"/>
          <w:szCs w:val="24"/>
        </w:rPr>
        <w:t>5</w:t>
      </w:r>
      <w:r w:rsidRPr="00CE561C" w:rsidR="00BA10C3">
        <w:rPr>
          <w:rFonts w:eastAsia="Times New Roman" w:cs="Times New Roman"/>
          <w:szCs w:val="24"/>
        </w:rPr>
        <w:t xml:space="preserve"> </w:t>
      </w:r>
      <w:r w:rsidRPr="00EC127C" w:rsidR="00EC127C">
        <w:rPr>
          <w:rFonts w:eastAsia="Times New Roman" w:cs="Times New Roman"/>
          <w:szCs w:val="24"/>
        </w:rPr>
        <w:t>covered by this supporting statement will</w:t>
      </w:r>
      <w:r w:rsidRPr="00CE561C" w:rsidR="00BA10C3">
        <w:rPr>
          <w:rFonts w:eastAsia="Times New Roman" w:cs="Times New Roman"/>
          <w:szCs w:val="24"/>
        </w:rPr>
        <w:t xml:space="preserve"> not modify Information Collection 3038-00</w:t>
      </w:r>
      <w:r w:rsidR="00330578">
        <w:rPr>
          <w:rFonts w:eastAsia="Times New Roman" w:cs="Times New Roman"/>
          <w:szCs w:val="24"/>
        </w:rPr>
        <w:t>96</w:t>
      </w:r>
      <w:r w:rsidRPr="00CE561C" w:rsidR="00BA10C3">
        <w:rPr>
          <w:rFonts w:eastAsia="Times New Roman" w:cs="Times New Roman"/>
          <w:szCs w:val="24"/>
        </w:rPr>
        <w:t xml:space="preserve"> in regards to recordkeeping requirements</w:t>
      </w:r>
      <w:r w:rsidR="00666FBF">
        <w:rPr>
          <w:rFonts w:eastAsia="Times New Roman" w:cs="Times New Roman"/>
          <w:szCs w:val="24"/>
        </w:rPr>
        <w:t>.</w:t>
      </w:r>
      <w:r w:rsidR="00B05EE5">
        <w:rPr>
          <w:rStyle w:val="FootnoteReference"/>
          <w:rFonts w:eastAsia="Times New Roman" w:cs="Times New Roman"/>
          <w:szCs w:val="24"/>
        </w:rPr>
        <w:footnoteReference w:id="3"/>
      </w:r>
      <w:r w:rsidR="00666FBF">
        <w:rPr>
          <w:rFonts w:eastAsia="Times New Roman" w:cs="Times New Roman"/>
          <w:szCs w:val="24"/>
        </w:rPr>
        <w:t xml:space="preserve"> </w:t>
      </w:r>
      <w:r w:rsidR="00CE561C">
        <w:rPr>
          <w:rFonts w:eastAsia="Times New Roman" w:cs="Times New Roman"/>
          <w:szCs w:val="24"/>
        </w:rPr>
        <w:t xml:space="preserve">Other Commission regulations, including §§ 1.31, 45.2, and 49.12, would require records, including </w:t>
      </w:r>
      <w:r w:rsidR="00666FBF">
        <w:rPr>
          <w:rFonts w:eastAsia="Times New Roman" w:cs="Times New Roman"/>
          <w:szCs w:val="24"/>
        </w:rPr>
        <w:t xml:space="preserve">much of </w:t>
      </w:r>
      <w:r w:rsidR="00CE561C">
        <w:rPr>
          <w:rFonts w:eastAsia="Times New Roman" w:cs="Times New Roman"/>
          <w:szCs w:val="24"/>
        </w:rPr>
        <w:t>the information provided under Information Collection 3038-00</w:t>
      </w:r>
      <w:r w:rsidR="00330578">
        <w:rPr>
          <w:rFonts w:eastAsia="Times New Roman" w:cs="Times New Roman"/>
          <w:szCs w:val="24"/>
        </w:rPr>
        <w:t>96</w:t>
      </w:r>
      <w:r w:rsidR="00CE561C">
        <w:rPr>
          <w:rFonts w:eastAsia="Times New Roman" w:cs="Times New Roman"/>
          <w:szCs w:val="24"/>
        </w:rPr>
        <w:t>, to be kept for at least five years. Those recordkeeping requirements are discussed in the information collections for those other regulations.</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 xml:space="preserve">in connection with a statistical survey, that is not designed to produce valid and reliable results that can be generalized to the universe of study; </w:t>
      </w:r>
    </w:p>
    <w:p w:rsidR="00697065" w:rsidP="00AD0896" w:rsidRDefault="00AD0896" w14:paraId="50F422AE" w14:textId="47B6D427">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4BF5BC73">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4F552859">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10F9C284">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to submit proprietary or other confidential information </w:t>
      </w:r>
      <w:r w:rsidR="00834BFB">
        <w:rPr>
          <w:rFonts w:eastAsia="Times New Roman" w:cs="Times New Roman"/>
          <w:szCs w:val="24"/>
        </w:rPr>
        <w:t xml:space="preserve">in the collection </w:t>
      </w:r>
      <w:r w:rsidRPr="00AD0896">
        <w:rPr>
          <w:rFonts w:eastAsia="Times New Roman" w:cs="Times New Roman"/>
          <w:szCs w:val="24"/>
        </w:rPr>
        <w:t xml:space="preserve">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00653547" w:rsidRDefault="009B0194" w14:paraId="50F422B4" w14:textId="50E51BCD">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9B0194">
        <w:rPr>
          <w:rFonts w:eastAsia="Times New Roman" w:cs="Times New Roman"/>
          <w:szCs w:val="24"/>
        </w:rPr>
        <w:t>As part of the rulemaking proces</w:t>
      </w:r>
      <w:r>
        <w:rPr>
          <w:rFonts w:eastAsia="Times New Roman" w:cs="Times New Roman"/>
          <w:szCs w:val="24"/>
        </w:rPr>
        <w:t xml:space="preserve">s, the proposed amendments were </w:t>
      </w:r>
      <w:r w:rsidRPr="009B0194">
        <w:rPr>
          <w:rFonts w:eastAsia="Times New Roman" w:cs="Times New Roman"/>
          <w:szCs w:val="24"/>
        </w:rPr>
        <w:t xml:space="preserve">published in the Federal Register at </w:t>
      </w:r>
      <w:r>
        <w:rPr>
          <w:rFonts w:eastAsia="Times New Roman" w:cs="Times New Roman"/>
          <w:szCs w:val="24"/>
        </w:rPr>
        <w:t>85 FR 21578</w:t>
      </w:r>
      <w:r w:rsidRPr="009B0194">
        <w:rPr>
          <w:rFonts w:eastAsia="Times New Roman" w:cs="Times New Roman"/>
          <w:szCs w:val="24"/>
        </w:rPr>
        <w:t xml:space="preserve"> (</w:t>
      </w:r>
      <w:r>
        <w:rPr>
          <w:rFonts w:eastAsia="Times New Roman" w:cs="Times New Roman"/>
          <w:szCs w:val="24"/>
        </w:rPr>
        <w:t>Apr. 17, 2020</w:t>
      </w:r>
      <w:r w:rsidRPr="009B0194">
        <w:rPr>
          <w:rFonts w:eastAsia="Times New Roman" w:cs="Times New Roman"/>
          <w:szCs w:val="24"/>
        </w:rPr>
        <w:t xml:space="preserve">). </w:t>
      </w:r>
      <w:r w:rsidRPr="00A027D4" w:rsidR="00A027D4">
        <w:rPr>
          <w:rFonts w:eastAsia="Times New Roman" w:cs="Times New Roman"/>
          <w:szCs w:val="24"/>
        </w:rPr>
        <w:t>The Commission did not receive any comments on the information collection</w:t>
      </w:r>
      <w:r w:rsidR="00A027D4">
        <w:rPr>
          <w:rFonts w:eastAsia="Times New Roman" w:cs="Times New Roman"/>
          <w:szCs w:val="24"/>
        </w:rPr>
        <w:t xml:space="preserve">. </w:t>
      </w:r>
    </w:p>
    <w:p w:rsidR="00EA2583" w:rsidP="00EA2583" w:rsidRDefault="007B5DCD" w14:paraId="374BE877" w14:textId="00685939">
      <w:pPr>
        <w:tabs>
          <w:tab w:val="left" w:pos="-720"/>
          <w:tab w:val="left" w:pos="0"/>
        </w:tabs>
        <w:overflowPunct w:val="0"/>
        <w:autoSpaceDE w:val="0"/>
        <w:autoSpaceDN w:val="0"/>
        <w:adjustRightInd w:val="0"/>
        <w:spacing w:after="240"/>
        <w:textAlignment w:val="baseline"/>
        <w:rPr>
          <w:rFonts w:eastAsia="Times New Roman" w:cs="Times New Roman"/>
          <w:szCs w:val="24"/>
        </w:rPr>
      </w:pPr>
      <w:r w:rsidRPr="007B5DCD">
        <w:rPr>
          <w:rFonts w:eastAsia="Times New Roman" w:cs="Times New Roman"/>
          <w:szCs w:val="24"/>
        </w:rPr>
        <w:tab/>
      </w:r>
      <w:r>
        <w:rPr>
          <w:rFonts w:eastAsia="Times New Roman" w:cs="Times New Roman"/>
          <w:szCs w:val="24"/>
        </w:rPr>
        <w:t>In addition, o</w:t>
      </w:r>
      <w:r w:rsidRPr="007B5DCD">
        <w:rPr>
          <w:rFonts w:eastAsia="Times New Roman" w:cs="Times New Roman"/>
          <w:szCs w:val="24"/>
        </w:rPr>
        <w:t xml:space="preserve">n December 2, 2020, the Commission published in the Federal Register notice of the proposed revision of this information collection and provided 60 days for public comment on the proposed </w:t>
      </w:r>
      <w:r w:rsidR="00927274">
        <w:rPr>
          <w:rFonts w:eastAsia="Times New Roman" w:cs="Times New Roman"/>
          <w:szCs w:val="24"/>
        </w:rPr>
        <w:t>revision</w:t>
      </w:r>
      <w:r w:rsidRPr="007B5DCD">
        <w:rPr>
          <w:rFonts w:eastAsia="Times New Roman" w:cs="Times New Roman"/>
          <w:szCs w:val="24"/>
        </w:rPr>
        <w:t>, 85 FR 77435 (“60-Day Notice”). The Commission did not receive any comments on the 60-Day Notice.</w:t>
      </w:r>
      <w:r w:rsidR="00EA2583">
        <w:rPr>
          <w:rFonts w:eastAsia="Times New Roman" w:cs="Times New Roman"/>
          <w:szCs w:val="24"/>
        </w:rPr>
        <w:t xml:space="preserve"> </w:t>
      </w:r>
      <w:r w:rsidRPr="009B0194" w:rsidR="00EA2583">
        <w:rPr>
          <w:rFonts w:eastAsia="Times New Roman" w:cs="Times New Roman"/>
          <w:szCs w:val="24"/>
        </w:rPr>
        <w:t xml:space="preserve">Thus, members of the public, including respondents, have </w:t>
      </w:r>
      <w:r w:rsidR="00EA2583">
        <w:rPr>
          <w:rFonts w:eastAsia="Times New Roman" w:cs="Times New Roman"/>
          <w:szCs w:val="24"/>
        </w:rPr>
        <w:t xml:space="preserve">had </w:t>
      </w:r>
      <w:r w:rsidRPr="009B0194" w:rsidR="00EA2583">
        <w:rPr>
          <w:rFonts w:eastAsia="Times New Roman" w:cs="Times New Roman"/>
          <w:szCs w:val="24"/>
        </w:rPr>
        <w:t>an opportunity to comment on the rule and related matters, including issues and other paperwork burdens.</w:t>
      </w:r>
    </w:p>
    <w:p w:rsidRPr="00642B6A" w:rsidR="007B5DCD" w:rsidRDefault="007B5DCD" w14:paraId="1EA2FAF8" w14:textId="5B5DC498">
      <w:pPr>
        <w:tabs>
          <w:tab w:val="left" w:pos="-720"/>
          <w:tab w:val="left" w:pos="0"/>
        </w:tabs>
        <w:overflowPunct w:val="0"/>
        <w:autoSpaceDE w:val="0"/>
        <w:autoSpaceDN w:val="0"/>
        <w:adjustRightInd w:val="0"/>
        <w:spacing w:after="240"/>
        <w:textAlignment w:val="baseline"/>
        <w:rPr>
          <w:rFonts w:eastAsia="Times New Roman" w:cs="Times New Roman"/>
          <w:szCs w:val="24"/>
        </w:rPr>
      </w:pP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536C1A" w14:paraId="50F422B8" w14:textId="1D2CEA11">
      <w:pPr>
        <w:tabs>
          <w:tab w:val="left" w:pos="-720"/>
        </w:tabs>
        <w:spacing w:after="240"/>
        <w:ind w:firstLine="720"/>
        <w:rPr>
          <w:rFonts w:eastAsia="Times New Roman" w:cs="Times New Roman"/>
          <w:szCs w:val="24"/>
        </w:rPr>
      </w:pPr>
      <w:r w:rsidRPr="00536C1A">
        <w:rPr>
          <w:rFonts w:eastAsia="Times New Roman" w:cs="Times New Roman"/>
          <w:szCs w:val="24"/>
        </w:rPr>
        <w:t xml:space="preserve">The Commission does not provide respondents with an assurance of confidentiality beyond that provided by applicable law. </w:t>
      </w:r>
      <w:r w:rsidRPr="007A1013" w:rsidR="007A1013">
        <w:rPr>
          <w:rFonts w:eastAsia="Times New Roman" w:cs="Times New Roman"/>
          <w:szCs w:val="24"/>
        </w:rPr>
        <w:t xml:space="preserve">All requirements </w:t>
      </w:r>
      <w:r w:rsidR="00834BFB">
        <w:rPr>
          <w:rFonts w:eastAsia="Times New Roman" w:cs="Times New Roman"/>
          <w:szCs w:val="24"/>
        </w:rPr>
        <w:t>in the collection</w:t>
      </w:r>
      <w:r w:rsidRPr="007A1013" w:rsidR="007A1013">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376BEAD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1E9AD2E4">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 xml:space="preserve">The cost of contracting out or paying outside parties for information collection </w:t>
      </w:r>
      <w:r w:rsidRPr="00642B6A">
        <w:rPr>
          <w:rFonts w:eastAsia="Times New Roman" w:cs="Times New Roman"/>
          <w:b/>
          <w:szCs w:val="24"/>
        </w:rPr>
        <w:lastRenderedPageBreak/>
        <w:t>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672710" w:rsidP="00D52F91" w:rsidRDefault="00D52F91" w14:paraId="1C20F764" w14:textId="77777777">
      <w:pPr>
        <w:ind w:firstLine="720"/>
        <w:rPr>
          <w:rFonts w:eastAsia="Times New Roman" w:cs="Times New Roman"/>
          <w:color w:val="000000"/>
          <w:szCs w:val="24"/>
        </w:rPr>
      </w:pPr>
      <w:r w:rsidRPr="008F41C5">
        <w:rPr>
          <w:rFonts w:eastAsia="Times New Roman" w:cs="Times New Roman"/>
          <w:color w:val="000000"/>
          <w:szCs w:val="24"/>
        </w:rPr>
        <w:t xml:space="preserve">Please see attachment A for </w:t>
      </w:r>
      <w:r>
        <w:rPr>
          <w:rFonts w:eastAsia="Times New Roman" w:cs="Times New Roman"/>
          <w:color w:val="000000"/>
          <w:szCs w:val="24"/>
        </w:rPr>
        <w:t>estimates of the hour burden</w:t>
      </w:r>
      <w:r w:rsidRPr="008F41C5">
        <w:rPr>
          <w:rFonts w:eastAsia="Times New Roman" w:cs="Times New Roman"/>
          <w:color w:val="000000"/>
          <w:szCs w:val="24"/>
        </w:rPr>
        <w:t xml:space="preserve"> for the collection</w:t>
      </w:r>
      <w:r w:rsidR="00DB68D3">
        <w:rPr>
          <w:rFonts w:eastAsia="Times New Roman" w:cs="Times New Roman"/>
          <w:color w:val="000000"/>
          <w:szCs w:val="24"/>
        </w:rPr>
        <w:t>s</w:t>
      </w:r>
      <w:r w:rsidRPr="008F41C5">
        <w:rPr>
          <w:rFonts w:eastAsia="Times New Roman" w:cs="Times New Roman"/>
          <w:color w:val="000000"/>
          <w:szCs w:val="24"/>
        </w:rPr>
        <w:t xml:space="preserve"> of information</w:t>
      </w:r>
      <w:r>
        <w:rPr>
          <w:rFonts w:eastAsia="Times New Roman" w:cs="Times New Roman"/>
          <w:color w:val="000000"/>
          <w:szCs w:val="24"/>
        </w:rPr>
        <w:t xml:space="preserve"> under OMB 3038-0096</w:t>
      </w:r>
      <w:r w:rsidR="00700481">
        <w:rPr>
          <w:rFonts w:eastAsia="Times New Roman" w:cs="Times New Roman"/>
          <w:color w:val="000000"/>
          <w:szCs w:val="24"/>
        </w:rPr>
        <w:t xml:space="preserve"> </w:t>
      </w:r>
      <w:r w:rsidR="00DB68D3">
        <w:rPr>
          <w:rFonts w:eastAsia="Times New Roman" w:cs="Times New Roman"/>
          <w:color w:val="000000"/>
          <w:szCs w:val="24"/>
        </w:rPr>
        <w:t>discussed in this supporting statement</w:t>
      </w:r>
      <w:r w:rsidR="00700481">
        <w:rPr>
          <w:rFonts w:eastAsia="Times New Roman" w:cs="Times New Roman"/>
          <w:color w:val="000000"/>
          <w:szCs w:val="24"/>
        </w:rPr>
        <w:t xml:space="preserve"> for swap market participants and SDRs</w:t>
      </w:r>
      <w:r w:rsidRPr="00374C10" w:rsidR="00700481">
        <w:rPr>
          <w:rFonts w:eastAsia="Times New Roman" w:cs="Times New Roman"/>
          <w:color w:val="000000"/>
          <w:szCs w:val="24"/>
        </w:rPr>
        <w:t>.</w:t>
      </w:r>
    </w:p>
    <w:p w:rsidR="00672710" w:rsidP="00D52F91" w:rsidRDefault="00672710" w14:paraId="47489D4C" w14:textId="77777777">
      <w:pPr>
        <w:ind w:firstLine="720"/>
        <w:rPr>
          <w:rFonts w:eastAsia="Times New Roman" w:cs="Times New Roman"/>
          <w:color w:val="000000"/>
          <w:szCs w:val="24"/>
        </w:rPr>
      </w:pPr>
    </w:p>
    <w:p w:rsidR="00D52F91" w:rsidP="00D52F91" w:rsidRDefault="00D52F91" w14:paraId="7D110B2D" w14:textId="6B816AEA">
      <w:pPr>
        <w:ind w:firstLine="720"/>
        <w:rPr>
          <w:rFonts w:eastAsia="Times New Roman" w:cs="Times New Roman"/>
          <w:color w:val="000000"/>
          <w:szCs w:val="24"/>
        </w:rPr>
      </w:pPr>
      <w:r w:rsidRPr="008F41C5">
        <w:rPr>
          <w:rFonts w:eastAsia="Times New Roman" w:cs="Times New Roman"/>
          <w:color w:val="000000"/>
          <w:szCs w:val="24"/>
        </w:rPr>
        <w:t xml:space="preserve">In calculating </w:t>
      </w:r>
      <w:r w:rsidRPr="008F41C5" w:rsidR="002F4E6B">
        <w:rPr>
          <w:rFonts w:eastAsia="Times New Roman" w:cs="Times New Roman"/>
          <w:color w:val="000000"/>
          <w:szCs w:val="24"/>
        </w:rPr>
        <w:t>th</w:t>
      </w:r>
      <w:r w:rsidR="002F4E6B">
        <w:rPr>
          <w:rFonts w:eastAsia="Times New Roman" w:cs="Times New Roman"/>
          <w:color w:val="000000"/>
          <w:szCs w:val="24"/>
        </w:rPr>
        <w:t>e annualized cost to respondents for the hour burdens for the collections of information</w:t>
      </w:r>
      <w:r w:rsidRPr="008F41C5">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$72.</w:t>
      </w:r>
      <w:r>
        <w:rPr>
          <w:rFonts w:eastAsia="Times New Roman" w:cs="Times New Roman"/>
          <w:color w:val="000000"/>
          <w:szCs w:val="24"/>
        </w:rPr>
        <w:t>23</w:t>
      </w:r>
      <w:r w:rsidRPr="008F41C5">
        <w:rPr>
          <w:rFonts w:eastAsia="Times New Roman" w:cs="Times New Roman"/>
          <w:color w:val="000000"/>
          <w:szCs w:val="24"/>
        </w:rPr>
        <w:t xml:space="preserve">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700481" w:rsidP="00D52F91" w:rsidRDefault="00700481" w14:paraId="672A0589" w14:textId="4E20EA45">
      <w:pPr>
        <w:ind w:firstLine="720"/>
        <w:rPr>
          <w:rFonts w:eastAsia="Times New Roman" w:cs="Times New Roman"/>
          <w:color w:val="000000"/>
          <w:szCs w:val="24"/>
        </w:rPr>
      </w:pPr>
    </w:p>
    <w:p w:rsidR="00700481" w:rsidP="00D52F91" w:rsidRDefault="00700481" w14:paraId="503CF8C8" w14:textId="3AB8DB98">
      <w:pPr>
        <w:ind w:firstLine="720"/>
        <w:rPr>
          <w:rFonts w:eastAsia="Times New Roman" w:cs="Times New Roman"/>
          <w:color w:val="000000"/>
          <w:szCs w:val="24"/>
        </w:rPr>
      </w:pPr>
      <w:r>
        <w:rPr>
          <w:rFonts w:eastAsia="Times New Roman" w:cs="Times New Roman"/>
          <w:color w:val="000000"/>
          <w:szCs w:val="24"/>
        </w:rPr>
        <w:t xml:space="preserve">More detail regarding the burden estimates for each regulatory requirement affected by the </w:t>
      </w:r>
      <w:r w:rsidR="009B0194">
        <w:rPr>
          <w:rFonts w:eastAsia="Times New Roman" w:cs="Times New Roman"/>
          <w:color w:val="000000"/>
          <w:szCs w:val="24"/>
        </w:rPr>
        <w:t>Commission’s actions is provided below</w:t>
      </w:r>
      <w:r>
        <w:rPr>
          <w:rFonts w:eastAsia="Times New Roman" w:cs="Times New Roman"/>
          <w:color w:val="000000"/>
          <w:szCs w:val="24"/>
        </w:rPr>
        <w:t>.</w:t>
      </w:r>
    </w:p>
    <w:p w:rsidR="00D52F91" w:rsidP="007C3668" w:rsidRDefault="00D52F91" w14:paraId="3CDCD170" w14:textId="77777777">
      <w:pPr>
        <w:rPr>
          <w:rFonts w:eastAsia="Times New Roman" w:cs="Times New Roman"/>
          <w:color w:val="000000"/>
          <w:szCs w:val="24"/>
        </w:rPr>
      </w:pPr>
    </w:p>
    <w:p w:rsidRPr="007C3668" w:rsidR="00DE274D" w:rsidP="007C3668" w:rsidRDefault="00DE274D" w14:paraId="6D885790" w14:textId="11E6B5B0">
      <w:pPr>
        <w:rPr>
          <w:i/>
        </w:rPr>
      </w:pPr>
      <w:r w:rsidRPr="007C3668">
        <w:rPr>
          <w:i/>
        </w:rPr>
        <w:t>S</w:t>
      </w:r>
      <w:r w:rsidRPr="007C3668">
        <w:rPr>
          <w:rFonts w:hint="eastAsia"/>
          <w:i/>
        </w:rPr>
        <w:t>wap Creation Data Reporting Amendments</w:t>
      </w:r>
      <w:r w:rsidR="005A6276">
        <w:rPr>
          <w:i/>
        </w:rPr>
        <w:t xml:space="preserve"> </w:t>
      </w:r>
    </w:p>
    <w:p w:rsidRPr="003853E8" w:rsidR="003853E8" w:rsidP="003853E8" w:rsidRDefault="003853E8" w14:paraId="30A38592" w14:textId="77777777">
      <w:pPr>
        <w:pStyle w:val="ListParagraph"/>
        <w:ind w:left="1080"/>
        <w:rPr>
          <w:rFonts w:eastAsia="Times New Roman" w:cs="Times New Roman"/>
          <w:color w:val="000000"/>
          <w:szCs w:val="24"/>
        </w:rPr>
      </w:pPr>
    </w:p>
    <w:p w:rsidR="004F7FE0" w:rsidP="00F65431" w:rsidRDefault="00DE274D" w14:paraId="3A34E893" w14:textId="265FCDCE">
      <w:pPr>
        <w:ind w:firstLine="720"/>
        <w:rPr>
          <w:rFonts w:eastAsia="Times New Roman" w:cs="Times New Roman"/>
          <w:color w:val="000000"/>
          <w:szCs w:val="24"/>
        </w:rPr>
      </w:pPr>
      <w:r w:rsidRPr="00DE274D">
        <w:rPr>
          <w:rFonts w:eastAsia="Times New Roman" w:cs="Times New Roman"/>
          <w:color w:val="000000"/>
          <w:szCs w:val="24"/>
        </w:rPr>
        <w:t>The Commission is amend</w:t>
      </w:r>
      <w:r w:rsidR="009B0194">
        <w:rPr>
          <w:rFonts w:eastAsia="Times New Roman" w:cs="Times New Roman"/>
          <w:color w:val="000000"/>
          <w:szCs w:val="24"/>
        </w:rPr>
        <w:t>ing</w:t>
      </w:r>
      <w:r w:rsidRPr="00DE274D">
        <w:rPr>
          <w:rFonts w:eastAsia="Times New Roman" w:cs="Times New Roman"/>
          <w:color w:val="000000"/>
          <w:szCs w:val="24"/>
        </w:rPr>
        <w:t xml:space="preserve"> § 45.3, which requires SEFs, DCMs, and reporting counterparties to report swap data to SDRs when entering into new swaps. As an initial matter, </w:t>
      </w:r>
      <w:r w:rsidR="00E76CA4">
        <w:rPr>
          <w:rFonts w:eastAsia="Times New Roman" w:cs="Times New Roman"/>
          <w:color w:val="000000"/>
          <w:szCs w:val="24"/>
        </w:rPr>
        <w:t>p</w:t>
      </w:r>
      <w:r w:rsidRPr="00E76CA4" w:rsidR="00E76CA4">
        <w:rPr>
          <w:rFonts w:eastAsia="Times New Roman" w:cs="Times New Roman"/>
          <w:color w:val="000000"/>
          <w:szCs w:val="24"/>
        </w:rPr>
        <w:t xml:space="preserve">rior to making adjustments to the burden estimates </w:t>
      </w:r>
      <w:r w:rsidR="004C5022">
        <w:rPr>
          <w:rFonts w:eastAsia="Times New Roman" w:cs="Times New Roman"/>
          <w:color w:val="000000"/>
          <w:szCs w:val="24"/>
        </w:rPr>
        <w:t xml:space="preserve">based on amendments to </w:t>
      </w:r>
      <w:r w:rsidRPr="00745FCE" w:rsidR="00745FCE">
        <w:rPr>
          <w:rFonts w:eastAsia="Times New Roman" w:cs="Times New Roman"/>
          <w:color w:val="000000"/>
          <w:szCs w:val="24"/>
        </w:rPr>
        <w:t>§ 45.3</w:t>
      </w:r>
      <w:r w:rsidR="00745FCE">
        <w:rPr>
          <w:rFonts w:eastAsia="Times New Roman" w:cs="Times New Roman"/>
          <w:color w:val="000000"/>
          <w:szCs w:val="24"/>
        </w:rPr>
        <w:t xml:space="preserve"> </w:t>
      </w:r>
      <w:r w:rsidR="004C5022">
        <w:rPr>
          <w:rFonts w:eastAsia="Times New Roman" w:cs="Times New Roman"/>
          <w:color w:val="000000"/>
          <w:szCs w:val="24"/>
        </w:rPr>
        <w:t>in</w:t>
      </w:r>
      <w:r w:rsidRPr="00E76CA4" w:rsidR="00E76CA4">
        <w:rPr>
          <w:rFonts w:eastAsia="Times New Roman" w:cs="Times New Roman"/>
          <w:color w:val="000000"/>
          <w:szCs w:val="24"/>
        </w:rPr>
        <w:t xml:space="preserve"> the final rule</w:t>
      </w:r>
      <w:r w:rsidRPr="00DE274D">
        <w:rPr>
          <w:rFonts w:eastAsia="Times New Roman" w:cs="Times New Roman"/>
          <w:color w:val="000000"/>
          <w:szCs w:val="24"/>
        </w:rPr>
        <w:t>, the Commission is correct</w:t>
      </w:r>
      <w:r w:rsidR="009B0194">
        <w:rPr>
          <w:rFonts w:eastAsia="Times New Roman" w:cs="Times New Roman"/>
          <w:color w:val="000000"/>
          <w:szCs w:val="24"/>
        </w:rPr>
        <w:t>ing</w:t>
      </w:r>
      <w:r w:rsidRPr="00DE274D">
        <w:rPr>
          <w:rFonts w:eastAsia="Times New Roman" w:cs="Times New Roman"/>
          <w:color w:val="000000"/>
          <w:szCs w:val="24"/>
        </w:rPr>
        <w:t xml:space="preserve"> the “total annual burden hour cost of all responses” in the supporting statement </w:t>
      </w:r>
      <w:r w:rsidR="00745FCE">
        <w:rPr>
          <w:rFonts w:eastAsia="Times New Roman" w:cs="Times New Roman"/>
          <w:color w:val="000000"/>
          <w:szCs w:val="24"/>
        </w:rPr>
        <w:t xml:space="preserve">for the renewal </w:t>
      </w:r>
      <w:r w:rsidR="00D24C4C">
        <w:rPr>
          <w:rFonts w:eastAsia="Times New Roman" w:cs="Times New Roman"/>
          <w:color w:val="000000"/>
          <w:szCs w:val="24"/>
        </w:rPr>
        <w:t xml:space="preserve">of this collection </w:t>
      </w:r>
      <w:r w:rsidRPr="00DE274D">
        <w:rPr>
          <w:rFonts w:eastAsia="Times New Roman" w:cs="Times New Roman"/>
          <w:color w:val="000000"/>
          <w:szCs w:val="24"/>
        </w:rPr>
        <w:t xml:space="preserve">from </w:t>
      </w:r>
      <w:r w:rsidRPr="00672710">
        <w:rPr>
          <w:rFonts w:eastAsia="Times New Roman" w:cs="Times New Roman"/>
          <w:color w:val="000000"/>
          <w:szCs w:val="24"/>
        </w:rPr>
        <w:t>$7,248 (which was the total average hour burden cost per respondent) to $12,553,536</w:t>
      </w:r>
      <w:r w:rsidRPr="00672710" w:rsidR="004C5022">
        <w:rPr>
          <w:rFonts w:eastAsia="Times New Roman" w:cs="Times New Roman"/>
          <w:color w:val="000000"/>
          <w:szCs w:val="24"/>
        </w:rPr>
        <w:t xml:space="preserve"> to correct </w:t>
      </w:r>
      <w:r w:rsidRPr="00672710" w:rsidR="00745FCE">
        <w:rPr>
          <w:rFonts w:eastAsia="Times New Roman" w:cs="Times New Roman"/>
          <w:color w:val="000000"/>
          <w:szCs w:val="24"/>
        </w:rPr>
        <w:t>the</w:t>
      </w:r>
      <w:r w:rsidRPr="00672710" w:rsidR="004C5022">
        <w:rPr>
          <w:rFonts w:eastAsia="Times New Roman" w:cs="Times New Roman"/>
          <w:color w:val="000000"/>
          <w:szCs w:val="24"/>
        </w:rPr>
        <w:t xml:space="preserve"> previous error</w:t>
      </w:r>
      <w:r w:rsidRPr="00672710">
        <w:rPr>
          <w:rFonts w:eastAsia="Times New Roman" w:cs="Times New Roman"/>
          <w:color w:val="000000"/>
          <w:szCs w:val="24"/>
        </w:rPr>
        <w:t>.</w:t>
      </w:r>
      <w:r w:rsidR="004C5022">
        <w:rPr>
          <w:rFonts w:eastAsia="Times New Roman" w:cs="Times New Roman"/>
          <w:color w:val="000000"/>
          <w:szCs w:val="24"/>
        </w:rPr>
        <w:t xml:space="preserve"> </w:t>
      </w:r>
    </w:p>
    <w:p w:rsidR="009B0194" w:rsidP="009D5972" w:rsidRDefault="009B0194" w14:paraId="23352792" w14:textId="77777777">
      <w:pPr>
        <w:rPr>
          <w:rFonts w:eastAsia="Times New Roman" w:cs="Times New Roman"/>
          <w:color w:val="000000"/>
          <w:szCs w:val="24"/>
        </w:rPr>
      </w:pPr>
    </w:p>
    <w:p w:rsidRPr="00DE274D" w:rsidR="00DE274D" w:rsidP="00D91D60" w:rsidRDefault="00DE274D" w14:paraId="0C572AF6" w14:textId="7A7986B7">
      <w:pPr>
        <w:ind w:firstLine="720"/>
        <w:rPr>
          <w:rFonts w:eastAsia="Times New Roman" w:cs="Times New Roman"/>
          <w:color w:val="000000"/>
          <w:szCs w:val="24"/>
        </w:rPr>
      </w:pPr>
      <w:r w:rsidRPr="00DE274D">
        <w:rPr>
          <w:rFonts w:eastAsia="Times New Roman" w:cs="Times New Roman"/>
          <w:color w:val="000000"/>
          <w:szCs w:val="24"/>
        </w:rPr>
        <w:t>Currently, § 45.3 requires SEFs, DCMs, and reporting counterparties to report confirmation data reports and PET data reports when entering into new swaps. The Commission is remov</w:t>
      </w:r>
      <w:r w:rsidR="009B0194">
        <w:rPr>
          <w:rFonts w:eastAsia="Times New Roman" w:cs="Times New Roman"/>
          <w:color w:val="000000"/>
          <w:szCs w:val="24"/>
        </w:rPr>
        <w:t>ing</w:t>
      </w:r>
      <w:r w:rsidRPr="00DE274D">
        <w:rPr>
          <w:rFonts w:eastAsia="Times New Roman" w:cs="Times New Roman"/>
          <w:color w:val="000000"/>
          <w:szCs w:val="24"/>
        </w:rPr>
        <w:t xml:space="preserve"> the requirement for SEFs, DCMs, and reporting counterparties to report confirmation data reports. These entities w</w:t>
      </w:r>
      <w:r w:rsidR="009B0194">
        <w:rPr>
          <w:rFonts w:eastAsia="Times New Roman" w:cs="Times New Roman"/>
          <w:color w:val="000000"/>
          <w:szCs w:val="24"/>
        </w:rPr>
        <w:t>ill</w:t>
      </w:r>
      <w:r w:rsidRPr="00DE274D">
        <w:rPr>
          <w:rFonts w:eastAsia="Times New Roman" w:cs="Times New Roman"/>
          <w:color w:val="000000"/>
          <w:szCs w:val="24"/>
        </w:rPr>
        <w:t xml:space="preserve"> report a single swap creation data report instead of separate PET data reports and confirmation data reports. Commission staff estimates that across the range of entities, the change </w:t>
      </w:r>
      <w:r w:rsidR="009B0194">
        <w:rPr>
          <w:rFonts w:eastAsia="Times New Roman" w:cs="Times New Roman"/>
          <w:color w:val="000000"/>
          <w:szCs w:val="24"/>
        </w:rPr>
        <w:t>will</w:t>
      </w:r>
      <w:r w:rsidRPr="00DE274D">
        <w:rPr>
          <w:rFonts w:eastAsia="Times New Roman" w:cs="Times New Roman"/>
          <w:color w:val="000000"/>
          <w:szCs w:val="24"/>
        </w:rPr>
        <w:t xml:space="preserve"> </w:t>
      </w:r>
      <w:r w:rsidR="0090564F">
        <w:rPr>
          <w:rFonts w:eastAsia="Times New Roman" w:cs="Times New Roman"/>
          <w:color w:val="000000"/>
          <w:szCs w:val="24"/>
        </w:rPr>
        <w:t>reduce</w:t>
      </w:r>
      <w:r w:rsidRPr="00DE274D">
        <w:rPr>
          <w:rFonts w:eastAsia="Times New Roman" w:cs="Times New Roman"/>
          <w:color w:val="000000"/>
          <w:szCs w:val="24"/>
        </w:rPr>
        <w:t xml:space="preserve"> the number of swap creation data reports being sent to SDRs.</w:t>
      </w:r>
      <w:r w:rsidR="00F65431">
        <w:rPr>
          <w:rFonts w:eastAsia="Times New Roman" w:cs="Times New Roman"/>
          <w:color w:val="000000"/>
          <w:szCs w:val="24"/>
        </w:rPr>
        <w:t xml:space="preserve"> </w:t>
      </w:r>
      <w:r w:rsidRPr="00672710">
        <w:rPr>
          <w:rFonts w:eastAsia="Times New Roman" w:cs="Times New Roman"/>
          <w:color w:val="000000"/>
          <w:szCs w:val="24"/>
        </w:rPr>
        <w:t xml:space="preserve">This change </w:t>
      </w:r>
      <w:r w:rsidRPr="00672710" w:rsidR="009B0194">
        <w:rPr>
          <w:rFonts w:eastAsia="Times New Roman" w:cs="Times New Roman"/>
          <w:color w:val="000000"/>
          <w:szCs w:val="24"/>
        </w:rPr>
        <w:t xml:space="preserve">will </w:t>
      </w:r>
      <w:r w:rsidRPr="00672710">
        <w:rPr>
          <w:rFonts w:eastAsia="Times New Roman" w:cs="Times New Roman"/>
          <w:color w:val="000000"/>
          <w:szCs w:val="24"/>
        </w:rPr>
        <w:t xml:space="preserve">not decrease the hourly burden, but </w:t>
      </w:r>
      <w:r w:rsidRPr="00672710" w:rsidR="009B0194">
        <w:rPr>
          <w:rFonts w:eastAsia="Times New Roman" w:cs="Times New Roman"/>
          <w:color w:val="000000"/>
          <w:szCs w:val="24"/>
        </w:rPr>
        <w:t xml:space="preserve">will </w:t>
      </w:r>
      <w:r w:rsidRPr="00672710">
        <w:rPr>
          <w:rFonts w:eastAsia="Times New Roman" w:cs="Times New Roman"/>
          <w:color w:val="000000"/>
          <w:szCs w:val="24"/>
        </w:rPr>
        <w:t xml:space="preserve">decrease the number of reports from 10,000 reports per 1,732 respondents to 7,000 reports per respondent, or </w:t>
      </w:r>
      <w:r w:rsidRPr="00672710" w:rsidR="00694CEE">
        <w:rPr>
          <w:rFonts w:eastAsia="Times New Roman" w:cs="Times New Roman"/>
          <w:color w:val="000000"/>
          <w:szCs w:val="24"/>
        </w:rPr>
        <w:t>12,124,000</w:t>
      </w:r>
      <w:r w:rsidRPr="00672710">
        <w:rPr>
          <w:rFonts w:eastAsia="Times New Roman" w:cs="Times New Roman"/>
          <w:color w:val="000000"/>
          <w:szCs w:val="24"/>
        </w:rPr>
        <w:t xml:space="preserve"> reports in the aggregate.</w:t>
      </w:r>
      <w:r w:rsidRPr="00672710" w:rsidR="00F65431">
        <w:rPr>
          <w:rFonts w:eastAsia="Times New Roman" w:cs="Times New Roman"/>
          <w:color w:val="000000"/>
          <w:szCs w:val="24"/>
        </w:rPr>
        <w:t xml:space="preserve">  The </w:t>
      </w:r>
      <w:r w:rsidRPr="00672710" w:rsidR="00694CEE">
        <w:rPr>
          <w:rFonts w:eastAsia="Times New Roman" w:cs="Times New Roman"/>
          <w:color w:val="000000"/>
          <w:szCs w:val="24"/>
        </w:rPr>
        <w:t xml:space="preserve">annual hourly burden is estimated at </w:t>
      </w:r>
      <w:r w:rsidRPr="00672710" w:rsidR="00F65431">
        <w:rPr>
          <w:rFonts w:eastAsia="Times New Roman" w:cs="Times New Roman"/>
          <w:color w:val="000000"/>
          <w:szCs w:val="24"/>
        </w:rPr>
        <w:t xml:space="preserve">.01 average hours per report, and </w:t>
      </w:r>
      <w:r w:rsidRPr="00672710" w:rsidR="00093A0E">
        <w:rPr>
          <w:rFonts w:eastAsia="Times New Roman" w:cs="Times New Roman"/>
          <w:color w:val="000000"/>
          <w:szCs w:val="24"/>
        </w:rPr>
        <w:t>the</w:t>
      </w:r>
      <w:r w:rsidRPr="00672710" w:rsidR="00F65431">
        <w:rPr>
          <w:rFonts w:eastAsia="Times New Roman" w:cs="Times New Roman"/>
          <w:color w:val="000000"/>
          <w:szCs w:val="24"/>
        </w:rPr>
        <w:t xml:space="preserve"> gross annual reporting burden </w:t>
      </w:r>
      <w:r w:rsidRPr="00672710" w:rsidR="00093A0E">
        <w:rPr>
          <w:rFonts w:eastAsia="Times New Roman" w:cs="Times New Roman"/>
          <w:color w:val="000000"/>
          <w:szCs w:val="24"/>
        </w:rPr>
        <w:t>is estimated at</w:t>
      </w:r>
      <w:r w:rsidRPr="00672710" w:rsidR="00F65431">
        <w:rPr>
          <w:rFonts w:eastAsia="Times New Roman" w:cs="Times New Roman"/>
          <w:color w:val="000000"/>
          <w:szCs w:val="24"/>
        </w:rPr>
        <w:t xml:space="preserve"> 121,240 hours</w:t>
      </w:r>
      <w:r w:rsidRPr="00672710" w:rsidR="00694CEE">
        <w:rPr>
          <w:rFonts w:eastAsia="Times New Roman" w:cs="Times New Roman"/>
          <w:color w:val="000000"/>
          <w:szCs w:val="24"/>
        </w:rPr>
        <w:t>.</w:t>
      </w:r>
      <w:r w:rsidR="003853E8">
        <w:rPr>
          <w:rFonts w:eastAsia="Times New Roman" w:cs="Times New Roman"/>
          <w:color w:val="000000"/>
          <w:szCs w:val="24"/>
        </w:rPr>
        <w:br/>
      </w:r>
    </w:p>
    <w:p w:rsidRPr="00DE274D" w:rsidR="00DE274D" w:rsidP="003853E8" w:rsidRDefault="00DE274D" w14:paraId="39CF4552" w14:textId="1C007E2F">
      <w:pPr>
        <w:ind w:firstLine="720"/>
        <w:rPr>
          <w:rFonts w:eastAsia="Times New Roman" w:cs="Times New Roman"/>
          <w:color w:val="000000"/>
          <w:szCs w:val="24"/>
        </w:rPr>
      </w:pPr>
      <w:r w:rsidRPr="00DE274D">
        <w:rPr>
          <w:rFonts w:eastAsia="Times New Roman" w:cs="Times New Roman"/>
          <w:color w:val="000000"/>
          <w:szCs w:val="24"/>
        </w:rPr>
        <w:t>The Commission is also remov</w:t>
      </w:r>
      <w:r w:rsidR="009B0194">
        <w:rPr>
          <w:rFonts w:eastAsia="Times New Roman" w:cs="Times New Roman"/>
          <w:color w:val="000000"/>
          <w:szCs w:val="24"/>
        </w:rPr>
        <w:t>ing</w:t>
      </w:r>
      <w:r w:rsidRPr="00DE274D">
        <w:rPr>
          <w:rFonts w:eastAsia="Times New Roman" w:cs="Times New Roman"/>
          <w:color w:val="000000"/>
          <w:szCs w:val="24"/>
        </w:rPr>
        <w:t xml:space="preserve"> the requirement for SEFs, DCMs, and reporting counterparties to report </w:t>
      </w:r>
      <w:r w:rsidR="00A24CC8">
        <w:rPr>
          <w:rFonts w:eastAsia="Times New Roman" w:cs="Times New Roman"/>
          <w:color w:val="000000"/>
          <w:szCs w:val="24"/>
        </w:rPr>
        <w:t>trade repository (“</w:t>
      </w:r>
      <w:r w:rsidRPr="00DE274D">
        <w:rPr>
          <w:rFonts w:eastAsia="Times New Roman" w:cs="Times New Roman"/>
          <w:color w:val="000000"/>
          <w:szCs w:val="24"/>
        </w:rPr>
        <w:t>TR</w:t>
      </w:r>
      <w:r w:rsidR="00A24CC8">
        <w:rPr>
          <w:rFonts w:eastAsia="Times New Roman" w:cs="Times New Roman"/>
          <w:color w:val="000000"/>
          <w:szCs w:val="24"/>
        </w:rPr>
        <w:t>”)</w:t>
      </w:r>
      <w:r w:rsidRPr="00DE274D">
        <w:rPr>
          <w:rFonts w:eastAsia="Times New Roman" w:cs="Times New Roman"/>
          <w:color w:val="000000"/>
          <w:szCs w:val="24"/>
        </w:rPr>
        <w:t xml:space="preserve"> identifiers and swap identifiers for international swaps. This remove</w:t>
      </w:r>
      <w:r w:rsidR="009B0194">
        <w:rPr>
          <w:rFonts w:eastAsia="Times New Roman" w:cs="Times New Roman"/>
          <w:color w:val="000000"/>
          <w:szCs w:val="24"/>
        </w:rPr>
        <w:t>s</w:t>
      </w:r>
      <w:r w:rsidRPr="00DE274D">
        <w:rPr>
          <w:rFonts w:eastAsia="Times New Roman" w:cs="Times New Roman"/>
          <w:color w:val="000000"/>
          <w:szCs w:val="24"/>
        </w:rPr>
        <w:t xml:space="preserve"> the requirement to report two pieces of information within a required swap </w:t>
      </w:r>
      <w:r w:rsidRPr="00DE274D">
        <w:rPr>
          <w:rFonts w:eastAsia="Times New Roman" w:cs="Times New Roman"/>
          <w:color w:val="000000"/>
          <w:szCs w:val="24"/>
        </w:rPr>
        <w:lastRenderedPageBreak/>
        <w:t>creation data report, without impacting the number of reports themselves. The requirement to report swap identifiers is duplicative, as SEFs, DCMs, and reporting counterparties are required to report swap identifiers for all swap</w:t>
      </w:r>
      <w:r w:rsidR="006E787F">
        <w:rPr>
          <w:rFonts w:eastAsia="Times New Roman" w:cs="Times New Roman"/>
          <w:color w:val="000000"/>
          <w:szCs w:val="24"/>
        </w:rPr>
        <w:t>s</w:t>
      </w:r>
      <w:r w:rsidRPr="00DE274D">
        <w:rPr>
          <w:rFonts w:eastAsia="Times New Roman" w:cs="Times New Roman"/>
          <w:color w:val="000000"/>
          <w:szCs w:val="24"/>
        </w:rPr>
        <w:t xml:space="preserve"> pursuant to § 45.5. However, the removal of the requirement to report TR identifiers </w:t>
      </w:r>
      <w:r w:rsidR="00A805F9">
        <w:rPr>
          <w:rFonts w:eastAsia="Times New Roman" w:cs="Times New Roman"/>
          <w:color w:val="000000"/>
          <w:szCs w:val="24"/>
        </w:rPr>
        <w:t xml:space="preserve">will </w:t>
      </w:r>
      <w:r w:rsidRPr="00DE274D">
        <w:rPr>
          <w:rFonts w:eastAsia="Times New Roman" w:cs="Times New Roman"/>
          <w:color w:val="000000"/>
          <w:szCs w:val="24"/>
        </w:rPr>
        <w:t>slightly reduce the amount of time required to make each report, as SEFs, DCMs, and reporting counterparties w</w:t>
      </w:r>
      <w:r w:rsidR="009B0194">
        <w:rPr>
          <w:rFonts w:eastAsia="Times New Roman" w:cs="Times New Roman"/>
          <w:color w:val="000000"/>
          <w:szCs w:val="24"/>
        </w:rPr>
        <w:t>ill not</w:t>
      </w:r>
      <w:r w:rsidRPr="00DE274D">
        <w:rPr>
          <w:rFonts w:eastAsia="Times New Roman" w:cs="Times New Roman"/>
          <w:color w:val="000000"/>
          <w:szCs w:val="24"/>
        </w:rPr>
        <w:t xml:space="preserve"> need to report this information anymore. Therefore, the Commission estimates the removal of this requirement </w:t>
      </w:r>
      <w:r w:rsidR="00301DE9">
        <w:rPr>
          <w:rFonts w:eastAsia="Times New Roman" w:cs="Times New Roman"/>
          <w:color w:val="000000"/>
          <w:szCs w:val="24"/>
        </w:rPr>
        <w:t>will</w:t>
      </w:r>
      <w:r w:rsidRPr="00DE274D">
        <w:rPr>
          <w:rFonts w:eastAsia="Times New Roman" w:cs="Times New Roman"/>
          <w:color w:val="000000"/>
          <w:szCs w:val="24"/>
        </w:rPr>
        <w:t xml:space="preserve"> lower the burden hours by .01 hour per report.</w:t>
      </w:r>
      <w:r w:rsidR="00027515">
        <w:rPr>
          <w:rFonts w:eastAsia="Times New Roman" w:cs="Times New Roman"/>
          <w:color w:val="000000"/>
          <w:szCs w:val="24"/>
        </w:rPr>
        <w:t xml:space="preserve"> </w:t>
      </w:r>
      <w:r w:rsidRPr="00DE274D">
        <w:rPr>
          <w:rFonts w:eastAsia="Times New Roman" w:cs="Times New Roman"/>
          <w:color w:val="000000"/>
          <w:szCs w:val="24"/>
        </w:rPr>
        <w:t xml:space="preserve">However, at the same time, the Commission is </w:t>
      </w:r>
      <w:r w:rsidR="009B0194">
        <w:rPr>
          <w:rFonts w:eastAsia="Times New Roman" w:cs="Times New Roman"/>
          <w:color w:val="000000"/>
          <w:szCs w:val="24"/>
        </w:rPr>
        <w:t>requiring</w:t>
      </w:r>
      <w:r w:rsidRPr="00DE274D">
        <w:rPr>
          <w:rFonts w:eastAsia="Times New Roman" w:cs="Times New Roman"/>
          <w:color w:val="000000"/>
          <w:szCs w:val="24"/>
        </w:rPr>
        <w:t xml:space="preserve"> the reporting of UTIs instead of USIs, which are currently being reported in every required swap creation data rep</w:t>
      </w:r>
      <w:r w:rsidRPr="00672710">
        <w:rPr>
          <w:rFonts w:eastAsia="Times New Roman" w:cs="Times New Roman"/>
          <w:color w:val="000000"/>
          <w:szCs w:val="24"/>
        </w:rPr>
        <w:t xml:space="preserve">ort. </w:t>
      </w:r>
      <w:r w:rsidRPr="00672710" w:rsidR="006E787F">
        <w:rPr>
          <w:rFonts w:eastAsia="Times New Roman" w:cs="Times New Roman"/>
          <w:color w:val="000000"/>
          <w:szCs w:val="24"/>
        </w:rPr>
        <w:t>The</w:t>
      </w:r>
      <w:r w:rsidRPr="00672710">
        <w:rPr>
          <w:rFonts w:eastAsia="Times New Roman" w:cs="Times New Roman"/>
          <w:color w:val="000000"/>
          <w:szCs w:val="24"/>
        </w:rPr>
        <w:t xml:space="preserve"> Commission estimates the new rules requiring SEFs, DCMs, SDRs, and reporting counterparties to change from reporting USIs to UTIs </w:t>
      </w:r>
      <w:r w:rsidRPr="00672710" w:rsidR="00301DE9">
        <w:rPr>
          <w:rFonts w:eastAsia="Times New Roman" w:cs="Times New Roman"/>
          <w:color w:val="000000"/>
          <w:szCs w:val="24"/>
        </w:rPr>
        <w:t>will</w:t>
      </w:r>
      <w:r w:rsidRPr="00672710">
        <w:rPr>
          <w:rFonts w:eastAsia="Times New Roman" w:cs="Times New Roman"/>
          <w:color w:val="000000"/>
          <w:szCs w:val="24"/>
        </w:rPr>
        <w:t xml:space="preserve"> impact the burden calculations for § 45.3 by increasing the burden hours by .01 hour per report. As a result, the Commission estimates there will be no </w:t>
      </w:r>
      <w:r w:rsidRPr="00672710" w:rsidR="006E787F">
        <w:rPr>
          <w:rFonts w:eastAsia="Times New Roman" w:cs="Times New Roman"/>
          <w:color w:val="000000"/>
          <w:szCs w:val="24"/>
        </w:rPr>
        <w:t xml:space="preserve">net </w:t>
      </w:r>
      <w:r w:rsidRPr="00672710">
        <w:rPr>
          <w:rFonts w:eastAsia="Times New Roman" w:cs="Times New Roman"/>
          <w:color w:val="000000"/>
          <w:szCs w:val="24"/>
        </w:rPr>
        <w:t xml:space="preserve">change to the burden hours </w:t>
      </w:r>
      <w:r w:rsidRPr="00672710" w:rsidR="006E787F">
        <w:rPr>
          <w:rFonts w:eastAsia="Times New Roman" w:cs="Times New Roman"/>
          <w:color w:val="000000"/>
          <w:szCs w:val="24"/>
        </w:rPr>
        <w:t xml:space="preserve">per report </w:t>
      </w:r>
      <w:r w:rsidRPr="00672710">
        <w:rPr>
          <w:rFonts w:eastAsia="Times New Roman" w:cs="Times New Roman"/>
          <w:color w:val="000000"/>
          <w:szCs w:val="24"/>
        </w:rPr>
        <w:t>for § 45.3 required swap creation data reporting</w:t>
      </w:r>
      <w:r w:rsidRPr="00672710" w:rsidR="006E787F">
        <w:rPr>
          <w:rFonts w:eastAsia="Times New Roman" w:cs="Times New Roman"/>
          <w:color w:val="000000"/>
          <w:szCs w:val="24"/>
        </w:rPr>
        <w:t xml:space="preserve">, which </w:t>
      </w:r>
      <w:r w:rsidRPr="00672710" w:rsidR="00301DE9">
        <w:rPr>
          <w:rFonts w:eastAsia="Times New Roman" w:cs="Times New Roman"/>
          <w:color w:val="000000"/>
          <w:szCs w:val="24"/>
        </w:rPr>
        <w:t>will</w:t>
      </w:r>
      <w:r w:rsidRPr="00672710" w:rsidR="006E787F">
        <w:rPr>
          <w:rFonts w:eastAsia="Times New Roman" w:cs="Times New Roman"/>
          <w:color w:val="000000"/>
          <w:szCs w:val="24"/>
        </w:rPr>
        <w:t xml:space="preserve"> remain at .01 average burden hours per report</w:t>
      </w:r>
      <w:r w:rsidRPr="00672710">
        <w:rPr>
          <w:rFonts w:eastAsia="Times New Roman" w:cs="Times New Roman"/>
          <w:color w:val="000000"/>
          <w:szCs w:val="24"/>
        </w:rPr>
        <w:t>.</w:t>
      </w:r>
      <w:r w:rsidR="003853E8">
        <w:rPr>
          <w:rFonts w:eastAsia="Times New Roman" w:cs="Times New Roman"/>
          <w:color w:val="000000"/>
          <w:szCs w:val="24"/>
        </w:rPr>
        <w:br/>
      </w:r>
    </w:p>
    <w:p w:rsidR="00027515" w:rsidP="003853E8" w:rsidRDefault="00DE274D" w14:paraId="58F62BAD" w14:textId="7DF7E52C">
      <w:pPr>
        <w:ind w:firstLine="720"/>
        <w:rPr>
          <w:rFonts w:eastAsia="Times New Roman" w:cs="Times New Roman"/>
          <w:color w:val="000000"/>
          <w:szCs w:val="24"/>
        </w:rPr>
      </w:pPr>
      <w:r w:rsidRPr="00672710">
        <w:rPr>
          <w:rFonts w:eastAsia="Times New Roman" w:cs="Times New Roman"/>
          <w:color w:val="000000"/>
          <w:szCs w:val="24"/>
        </w:rPr>
        <w:t xml:space="preserve">The aggregate </w:t>
      </w:r>
      <w:r w:rsidRPr="00672710" w:rsidR="00027515">
        <w:rPr>
          <w:rFonts w:eastAsia="Times New Roman" w:cs="Times New Roman"/>
          <w:color w:val="000000"/>
          <w:szCs w:val="24"/>
        </w:rPr>
        <w:t xml:space="preserve">burden under </w:t>
      </w:r>
      <w:r w:rsidRPr="00672710">
        <w:rPr>
          <w:rFonts w:eastAsia="Times New Roman" w:cs="Times New Roman"/>
          <w:color w:val="000000"/>
          <w:szCs w:val="24"/>
        </w:rPr>
        <w:t>§ 4</w:t>
      </w:r>
      <w:r w:rsidRPr="00672710" w:rsidR="00027515">
        <w:rPr>
          <w:rFonts w:eastAsia="Times New Roman" w:cs="Times New Roman"/>
          <w:color w:val="000000"/>
          <w:szCs w:val="24"/>
        </w:rPr>
        <w:t>5</w:t>
      </w:r>
      <w:r w:rsidRPr="00672710" w:rsidR="00560B0C">
        <w:rPr>
          <w:rFonts w:eastAsia="Times New Roman" w:cs="Times New Roman"/>
          <w:color w:val="000000"/>
          <w:szCs w:val="24"/>
        </w:rPr>
        <w:t xml:space="preserve">.3 </w:t>
      </w:r>
      <w:r w:rsidRPr="00672710" w:rsidR="006F3C78">
        <w:rPr>
          <w:rFonts w:eastAsia="Times New Roman" w:cs="Times New Roman"/>
          <w:color w:val="000000"/>
          <w:szCs w:val="24"/>
        </w:rPr>
        <w:t xml:space="preserve">as amended </w:t>
      </w:r>
      <w:r w:rsidRPr="00672710">
        <w:rPr>
          <w:rFonts w:eastAsia="Times New Roman" w:cs="Times New Roman"/>
          <w:color w:val="000000"/>
          <w:szCs w:val="24"/>
        </w:rPr>
        <w:t xml:space="preserve">is </w:t>
      </w:r>
      <w:r w:rsidRPr="00672710" w:rsidR="00027515">
        <w:rPr>
          <w:rFonts w:eastAsia="Times New Roman" w:cs="Times New Roman"/>
          <w:color w:val="000000"/>
          <w:szCs w:val="24"/>
        </w:rPr>
        <w:t xml:space="preserve">estimated to apply to 1,732 respondents, </w:t>
      </w:r>
      <w:r w:rsidRPr="00672710" w:rsidR="006E787F">
        <w:rPr>
          <w:rFonts w:eastAsia="Times New Roman" w:cs="Times New Roman"/>
          <w:color w:val="000000"/>
          <w:szCs w:val="24"/>
        </w:rPr>
        <w:t xml:space="preserve">which </w:t>
      </w:r>
      <w:r w:rsidRPr="00672710" w:rsidR="00301DE9">
        <w:rPr>
          <w:rFonts w:eastAsia="Times New Roman" w:cs="Times New Roman"/>
          <w:color w:val="000000"/>
          <w:szCs w:val="24"/>
        </w:rPr>
        <w:t>will</w:t>
      </w:r>
      <w:r w:rsidRPr="00672710" w:rsidR="006E787F">
        <w:rPr>
          <w:rFonts w:eastAsia="Times New Roman" w:cs="Times New Roman"/>
          <w:color w:val="000000"/>
          <w:szCs w:val="24"/>
        </w:rPr>
        <w:t xml:space="preserve"> file on average </w:t>
      </w:r>
      <w:r w:rsidRPr="00672710" w:rsidR="00027515">
        <w:rPr>
          <w:rFonts w:eastAsia="Times New Roman" w:cs="Times New Roman"/>
          <w:color w:val="000000"/>
          <w:szCs w:val="24"/>
        </w:rPr>
        <w:t>7</w:t>
      </w:r>
      <w:r w:rsidRPr="00672710" w:rsidR="00A805F9">
        <w:rPr>
          <w:rFonts w:eastAsia="Times New Roman" w:cs="Times New Roman"/>
          <w:color w:val="000000"/>
          <w:szCs w:val="24"/>
        </w:rPr>
        <w:t>,</w:t>
      </w:r>
      <w:r w:rsidRPr="00672710" w:rsidR="00027515">
        <w:rPr>
          <w:rFonts w:eastAsia="Times New Roman" w:cs="Times New Roman"/>
          <w:color w:val="000000"/>
          <w:szCs w:val="24"/>
        </w:rPr>
        <w:t xml:space="preserve">000 reports </w:t>
      </w:r>
      <w:r w:rsidRPr="00672710" w:rsidR="006E787F">
        <w:rPr>
          <w:rFonts w:eastAsia="Times New Roman" w:cs="Times New Roman"/>
          <w:color w:val="000000"/>
          <w:szCs w:val="24"/>
        </w:rPr>
        <w:t xml:space="preserve">annually </w:t>
      </w:r>
      <w:r w:rsidRPr="00672710" w:rsidR="00027515">
        <w:rPr>
          <w:rFonts w:eastAsia="Times New Roman" w:cs="Times New Roman"/>
          <w:color w:val="000000"/>
          <w:szCs w:val="24"/>
        </w:rPr>
        <w:t>per respondent</w:t>
      </w:r>
      <w:r w:rsidRPr="00672710" w:rsidR="006E787F">
        <w:rPr>
          <w:rFonts w:eastAsia="Times New Roman" w:cs="Times New Roman"/>
          <w:color w:val="000000"/>
          <w:szCs w:val="24"/>
        </w:rPr>
        <w:t xml:space="preserve"> at</w:t>
      </w:r>
      <w:r w:rsidRPr="00672710" w:rsidR="00027515">
        <w:rPr>
          <w:rFonts w:eastAsia="Times New Roman" w:cs="Times New Roman"/>
          <w:color w:val="000000"/>
          <w:szCs w:val="24"/>
        </w:rPr>
        <w:t xml:space="preserve"> .01 average hours per report, and a gross annual reporting burden of 121,240 hours.</w:t>
      </w:r>
      <w:r w:rsidR="00027515">
        <w:rPr>
          <w:rFonts w:eastAsia="Times New Roman" w:cs="Times New Roman"/>
          <w:color w:val="000000"/>
          <w:szCs w:val="24"/>
        </w:rPr>
        <w:t xml:space="preserve"> </w:t>
      </w:r>
    </w:p>
    <w:p w:rsidRPr="00DE274D" w:rsidR="00DE274D" w:rsidP="00027515" w:rsidRDefault="00DE274D" w14:paraId="4ABAF835" w14:textId="78623525">
      <w:pPr>
        <w:ind w:firstLine="720"/>
        <w:rPr>
          <w:rFonts w:eastAsia="Times New Roman" w:cs="Times New Roman"/>
          <w:color w:val="000000"/>
          <w:szCs w:val="24"/>
        </w:rPr>
      </w:pPr>
    </w:p>
    <w:p w:rsidRPr="00027515" w:rsidR="00DE274D" w:rsidP="003853E8" w:rsidRDefault="00DE274D" w14:paraId="01D0E1C0" w14:textId="446548A3">
      <w:pPr>
        <w:ind w:firstLine="720"/>
        <w:rPr>
          <w:rFonts w:eastAsia="Times New Roman" w:cs="Times New Roman"/>
          <w:i/>
          <w:color w:val="000000"/>
          <w:szCs w:val="24"/>
        </w:rPr>
      </w:pPr>
      <w:r w:rsidRPr="00027515">
        <w:rPr>
          <w:rFonts w:eastAsia="Times New Roman" w:cs="Times New Roman"/>
          <w:i/>
          <w:color w:val="000000"/>
          <w:szCs w:val="24"/>
        </w:rPr>
        <w:t>Swap Continuation Data Reporting Amendments</w:t>
      </w:r>
      <w:r w:rsidRPr="00027515" w:rsidR="003853E8">
        <w:rPr>
          <w:rFonts w:eastAsia="Times New Roman" w:cs="Times New Roman"/>
          <w:i/>
          <w:color w:val="000000"/>
          <w:szCs w:val="24"/>
        </w:rPr>
        <w:br/>
      </w:r>
    </w:p>
    <w:p w:rsidRPr="00DE274D" w:rsidR="00DE274D" w:rsidP="003853E8" w:rsidRDefault="00DE274D" w14:paraId="457123B8" w14:textId="3D29CD08">
      <w:pPr>
        <w:ind w:firstLine="720"/>
        <w:rPr>
          <w:rFonts w:eastAsia="Times New Roman" w:cs="Times New Roman"/>
          <w:color w:val="000000"/>
          <w:szCs w:val="24"/>
        </w:rPr>
      </w:pPr>
      <w:r w:rsidRPr="00DE274D">
        <w:rPr>
          <w:rFonts w:eastAsia="Times New Roman" w:cs="Times New Roman"/>
          <w:color w:val="000000"/>
          <w:szCs w:val="24"/>
        </w:rPr>
        <w:t>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45.4, which requires reporting counterparties to report data to SDRs when swap terms change and daily swap valuation data. As an initial matter, </w:t>
      </w:r>
      <w:r w:rsidRPr="00D24C4C" w:rsidR="00D24C4C">
        <w:rPr>
          <w:rFonts w:eastAsia="Times New Roman" w:cs="Times New Roman"/>
          <w:color w:val="000000"/>
          <w:szCs w:val="24"/>
        </w:rPr>
        <w:t>prior to making adjustments to the burden estimates based on amendments to § 45.</w:t>
      </w:r>
      <w:r w:rsidR="00D24C4C">
        <w:rPr>
          <w:rFonts w:eastAsia="Times New Roman" w:cs="Times New Roman"/>
          <w:color w:val="000000"/>
          <w:szCs w:val="24"/>
        </w:rPr>
        <w:t>4</w:t>
      </w:r>
      <w:r w:rsidRPr="00D24C4C" w:rsidR="00D24C4C">
        <w:rPr>
          <w:rFonts w:eastAsia="Times New Roman" w:cs="Times New Roman"/>
          <w:color w:val="000000"/>
          <w:szCs w:val="24"/>
        </w:rPr>
        <w:t xml:space="preserve"> in the final rule, </w:t>
      </w:r>
      <w:r w:rsidRPr="00DE274D">
        <w:rPr>
          <w:rFonts w:eastAsia="Times New Roman" w:cs="Times New Roman"/>
          <w:color w:val="000000"/>
          <w:szCs w:val="24"/>
        </w:rPr>
        <w:t xml:space="preserve">the Commission is </w:t>
      </w:r>
      <w:r w:rsidR="00467C28">
        <w:rPr>
          <w:rFonts w:eastAsia="Times New Roman" w:cs="Times New Roman"/>
          <w:color w:val="000000"/>
          <w:szCs w:val="24"/>
        </w:rPr>
        <w:t>correcting</w:t>
      </w:r>
      <w:r w:rsidRPr="00DE274D">
        <w:rPr>
          <w:rFonts w:eastAsia="Times New Roman" w:cs="Times New Roman"/>
          <w:color w:val="000000"/>
          <w:szCs w:val="24"/>
        </w:rPr>
        <w:t xml:space="preserve"> the estimated number of respondents </w:t>
      </w:r>
      <w:r w:rsidR="00D24C4C">
        <w:rPr>
          <w:rFonts w:eastAsia="Times New Roman" w:cs="Times New Roman"/>
          <w:color w:val="000000"/>
          <w:szCs w:val="24"/>
        </w:rPr>
        <w:t xml:space="preserve">that was included </w:t>
      </w:r>
      <w:r w:rsidRPr="00DE274D">
        <w:rPr>
          <w:rFonts w:eastAsia="Times New Roman" w:cs="Times New Roman"/>
          <w:color w:val="000000"/>
          <w:szCs w:val="24"/>
        </w:rPr>
        <w:t xml:space="preserve">in the supporting statement </w:t>
      </w:r>
      <w:r w:rsidR="00D24C4C">
        <w:rPr>
          <w:rFonts w:eastAsia="Times New Roman" w:cs="Times New Roman"/>
          <w:color w:val="000000"/>
          <w:szCs w:val="24"/>
        </w:rPr>
        <w:t>for the renewal of this collectio</w:t>
      </w:r>
      <w:r w:rsidRPr="00D309DE" w:rsidR="00D24C4C">
        <w:rPr>
          <w:rFonts w:eastAsia="Times New Roman" w:cs="Times New Roman"/>
          <w:color w:val="000000"/>
          <w:szCs w:val="24"/>
        </w:rPr>
        <w:t>n</w:t>
      </w:r>
      <w:r w:rsidRPr="00D309DE">
        <w:rPr>
          <w:rFonts w:eastAsia="Times New Roman" w:cs="Times New Roman"/>
          <w:color w:val="000000"/>
          <w:szCs w:val="24"/>
        </w:rPr>
        <w:t xml:space="preserve"> from 1,732 to 1,705, to reflect the fact that SEFs and DCMs do not report required swap continuation data under § 45.4.</w:t>
      </w:r>
      <w:r w:rsidR="003853E8">
        <w:rPr>
          <w:rFonts w:eastAsia="Times New Roman" w:cs="Times New Roman"/>
          <w:color w:val="000000"/>
          <w:szCs w:val="24"/>
        </w:rPr>
        <w:br/>
      </w:r>
    </w:p>
    <w:p w:rsidRPr="00DE274D" w:rsidR="00DE274D" w:rsidP="003853E8" w:rsidRDefault="00DE274D" w14:paraId="2216DE6D" w14:textId="07AB72B8">
      <w:pPr>
        <w:ind w:firstLine="720"/>
        <w:rPr>
          <w:rFonts w:eastAsia="Times New Roman" w:cs="Times New Roman"/>
          <w:color w:val="000000"/>
          <w:szCs w:val="24"/>
        </w:rPr>
      </w:pPr>
      <w:r w:rsidRPr="00DE274D">
        <w:rPr>
          <w:rFonts w:eastAsia="Times New Roman" w:cs="Times New Roman"/>
          <w:color w:val="000000"/>
          <w:szCs w:val="24"/>
        </w:rPr>
        <w:t xml:space="preserve">Currently, </w:t>
      </w:r>
      <w:bookmarkStart w:name="_Hlk54797624" w:id="1"/>
      <w:r w:rsidRPr="00DE274D">
        <w:rPr>
          <w:rFonts w:eastAsia="Times New Roman" w:cs="Times New Roman"/>
          <w:color w:val="000000"/>
          <w:szCs w:val="24"/>
        </w:rPr>
        <w:t xml:space="preserve">§ 45.4 </w:t>
      </w:r>
      <w:bookmarkEnd w:id="1"/>
      <w:r w:rsidRPr="00DE274D">
        <w:rPr>
          <w:rFonts w:eastAsia="Times New Roman" w:cs="Times New Roman"/>
          <w:color w:val="000000"/>
          <w:szCs w:val="24"/>
        </w:rPr>
        <w:t>permits reporting counterparties to report changes to swap terms when they occur (life cycle reporting), or to provide a daily report of all of the swap terms (state data reporting). The Commission is remov</w:t>
      </w:r>
      <w:r w:rsidR="00467C28">
        <w:rPr>
          <w:rFonts w:eastAsia="Times New Roman" w:cs="Times New Roman"/>
          <w:color w:val="000000"/>
          <w:szCs w:val="24"/>
        </w:rPr>
        <w:t>ing</w:t>
      </w:r>
      <w:r w:rsidRPr="00DE274D">
        <w:rPr>
          <w:rFonts w:eastAsia="Times New Roman" w:cs="Times New Roman"/>
          <w:color w:val="000000"/>
          <w:szCs w:val="24"/>
        </w:rPr>
        <w:t xml:space="preserve"> the option for state data reporting. Reporting counterparties </w:t>
      </w:r>
      <w:r w:rsidR="00301DE9">
        <w:rPr>
          <w:rFonts w:eastAsia="Times New Roman" w:cs="Times New Roman"/>
          <w:color w:val="000000"/>
          <w:szCs w:val="24"/>
        </w:rPr>
        <w:t>will</w:t>
      </w:r>
      <w:r w:rsidRPr="00DE274D">
        <w:rPr>
          <w:rFonts w:eastAsia="Times New Roman" w:cs="Times New Roman"/>
          <w:color w:val="000000"/>
          <w:szCs w:val="24"/>
        </w:rPr>
        <w:t xml:space="preserve"> report data to SDRs only when swap terms change</w:t>
      </w:r>
      <w:r w:rsidRPr="00D309DE">
        <w:rPr>
          <w:rFonts w:eastAsia="Times New Roman" w:cs="Times New Roman"/>
          <w:color w:val="000000"/>
          <w:szCs w:val="24"/>
        </w:rPr>
        <w:t>. Commission staff estimates that across asset class</w:t>
      </w:r>
      <w:r w:rsidRPr="00D309DE" w:rsidR="00B10E93">
        <w:rPr>
          <w:rFonts w:eastAsia="Times New Roman" w:cs="Times New Roman"/>
          <w:color w:val="000000"/>
          <w:szCs w:val="24"/>
        </w:rPr>
        <w:t>es</w:t>
      </w:r>
      <w:r w:rsidRPr="00D309DE">
        <w:rPr>
          <w:rFonts w:eastAsia="Times New Roman" w:cs="Times New Roman"/>
          <w:color w:val="000000"/>
          <w:szCs w:val="24"/>
        </w:rPr>
        <w:t xml:space="preserve"> for each respondent, the number of reports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w:t>
      </w:r>
      <w:r w:rsidRPr="00D309DE" w:rsidR="00C00862">
        <w:rPr>
          <w:rFonts w:eastAsia="Times New Roman" w:cs="Times New Roman"/>
          <w:color w:val="000000"/>
          <w:szCs w:val="24"/>
        </w:rPr>
        <w:t>be reduced</w:t>
      </w:r>
      <w:r w:rsidRPr="00D309DE">
        <w:rPr>
          <w:rFonts w:eastAsia="Times New Roman" w:cs="Times New Roman"/>
          <w:color w:val="000000"/>
          <w:szCs w:val="24"/>
        </w:rPr>
        <w:t xml:space="preserve"> from 207,543 reports per respondent to 103,772 reports per respondent.</w:t>
      </w:r>
      <w:r w:rsidR="003853E8">
        <w:rPr>
          <w:rFonts w:eastAsia="Times New Roman" w:cs="Times New Roman"/>
          <w:color w:val="000000"/>
          <w:szCs w:val="24"/>
        </w:rPr>
        <w:br/>
      </w:r>
    </w:p>
    <w:p w:rsidRPr="00DE274D" w:rsidR="00DE274D" w:rsidP="003853E8" w:rsidRDefault="00DE274D" w14:paraId="625FB0F2" w14:textId="67B97CD3">
      <w:pPr>
        <w:ind w:firstLine="720"/>
        <w:rPr>
          <w:rFonts w:eastAsia="Times New Roman" w:cs="Times New Roman"/>
          <w:color w:val="000000"/>
          <w:szCs w:val="24"/>
        </w:rPr>
      </w:pPr>
      <w:r w:rsidRPr="00DE274D">
        <w:rPr>
          <w:rFonts w:eastAsia="Times New Roman" w:cs="Times New Roman"/>
          <w:color w:val="000000"/>
          <w:szCs w:val="24"/>
        </w:rPr>
        <w:t xml:space="preserve">The Commission is </w:t>
      </w:r>
      <w:r w:rsidR="00C00862">
        <w:rPr>
          <w:rFonts w:eastAsia="Times New Roman" w:cs="Times New Roman"/>
          <w:color w:val="000000"/>
          <w:szCs w:val="24"/>
        </w:rPr>
        <w:t xml:space="preserve">also </w:t>
      </w:r>
      <w:r w:rsidRPr="00DE274D">
        <w:rPr>
          <w:rFonts w:eastAsia="Times New Roman" w:cs="Times New Roman"/>
          <w:color w:val="000000"/>
          <w:szCs w:val="24"/>
        </w:rPr>
        <w:t>remov</w:t>
      </w:r>
      <w:r w:rsidR="00467C28">
        <w:rPr>
          <w:rFonts w:eastAsia="Times New Roman" w:cs="Times New Roman"/>
          <w:color w:val="000000"/>
          <w:szCs w:val="24"/>
        </w:rPr>
        <w:t>ing</w:t>
      </w:r>
      <w:r w:rsidRPr="00DE274D">
        <w:rPr>
          <w:rFonts w:eastAsia="Times New Roman" w:cs="Times New Roman"/>
          <w:color w:val="000000"/>
          <w:szCs w:val="24"/>
        </w:rPr>
        <w:t xml:space="preserve"> the requirement for non-SD/MSP/DCO reporting counterparties to report quarterly valuation data</w:t>
      </w:r>
      <w:r w:rsidRPr="00D309DE">
        <w:rPr>
          <w:rFonts w:eastAsia="Times New Roman" w:cs="Times New Roman"/>
          <w:color w:val="000000"/>
          <w:szCs w:val="24"/>
        </w:rPr>
        <w:t xml:space="preserve">. For the 1,585 non-SD/MSP/DCO reporting counterparties, the Commission believes </w:t>
      </w:r>
      <w:r w:rsidRPr="00D309DE" w:rsidR="00467C28">
        <w:rPr>
          <w:rFonts w:eastAsia="Times New Roman" w:cs="Times New Roman"/>
          <w:color w:val="000000"/>
          <w:szCs w:val="24"/>
        </w:rPr>
        <w:t>this will</w:t>
      </w:r>
      <w:r w:rsidRPr="00D309DE">
        <w:rPr>
          <w:rFonts w:eastAsia="Times New Roman" w:cs="Times New Roman"/>
          <w:color w:val="000000"/>
          <w:szCs w:val="24"/>
        </w:rPr>
        <w:t xml:space="preserve"> further reduce the number of required swap continuation data reports being sent by 4 quarterly reports per 1,585 non-SD/MSP/DCO reporting counterparties</w:t>
      </w:r>
      <w:r w:rsidR="001670FA">
        <w:rPr>
          <w:rFonts w:eastAsia="Times New Roman" w:cs="Times New Roman"/>
          <w:color w:val="000000"/>
          <w:szCs w:val="24"/>
        </w:rPr>
        <w:t xml:space="preserve">. This is estimated to reduce the number of </w:t>
      </w:r>
      <w:r w:rsidRPr="001670FA" w:rsidR="001670FA">
        <w:rPr>
          <w:rFonts w:eastAsia="Times New Roman" w:cs="Times New Roman"/>
          <w:color w:val="000000"/>
          <w:szCs w:val="24"/>
        </w:rPr>
        <w:t xml:space="preserve">§ 45.4 </w:t>
      </w:r>
      <w:r w:rsidR="001670FA">
        <w:rPr>
          <w:rFonts w:eastAsia="Times New Roman" w:cs="Times New Roman"/>
          <w:color w:val="000000"/>
          <w:szCs w:val="24"/>
        </w:rPr>
        <w:t>continuation data reports sent by reporting counterparties</w:t>
      </w:r>
      <w:r w:rsidRPr="00D309DE" w:rsidR="001670FA">
        <w:rPr>
          <w:rFonts w:eastAsia="Times New Roman" w:cs="Times New Roman"/>
          <w:color w:val="000000"/>
          <w:szCs w:val="24"/>
        </w:rPr>
        <w:t xml:space="preserve"> </w:t>
      </w:r>
      <w:r w:rsidRPr="00D309DE">
        <w:rPr>
          <w:rFonts w:eastAsia="Times New Roman" w:cs="Times New Roman"/>
          <w:color w:val="000000"/>
          <w:szCs w:val="24"/>
        </w:rPr>
        <w:t xml:space="preserve">from </w:t>
      </w:r>
      <w:r w:rsidRPr="00D309DE" w:rsidR="007A6B73">
        <w:rPr>
          <w:rFonts w:eastAsia="Times New Roman" w:cs="Times New Roman"/>
          <w:color w:val="000000"/>
          <w:szCs w:val="24"/>
        </w:rPr>
        <w:t>103</w:t>
      </w:r>
      <w:r w:rsidRPr="00D309DE">
        <w:rPr>
          <w:rFonts w:eastAsia="Times New Roman" w:cs="Times New Roman"/>
          <w:color w:val="000000"/>
          <w:szCs w:val="24"/>
        </w:rPr>
        <w:t>,772 reports per respondent to 97,431 reports per respondent.</w:t>
      </w:r>
      <w:r w:rsidR="003853E8">
        <w:rPr>
          <w:rFonts w:eastAsia="Times New Roman" w:cs="Times New Roman"/>
          <w:color w:val="000000"/>
          <w:szCs w:val="24"/>
        </w:rPr>
        <w:br/>
      </w:r>
    </w:p>
    <w:p w:rsidRPr="00DE274D" w:rsidR="00DE274D" w:rsidP="00A75F83" w:rsidRDefault="00DE274D" w14:paraId="0C141A58" w14:textId="087741CA">
      <w:pPr>
        <w:ind w:firstLine="720"/>
        <w:rPr>
          <w:rFonts w:eastAsia="Times New Roman" w:cs="Times New Roman"/>
          <w:color w:val="000000"/>
          <w:szCs w:val="24"/>
        </w:rPr>
      </w:pPr>
      <w:r w:rsidRPr="00DE274D">
        <w:rPr>
          <w:rFonts w:eastAsia="Times New Roman" w:cs="Times New Roman"/>
          <w:color w:val="000000"/>
          <w:szCs w:val="24"/>
        </w:rPr>
        <w:t>Separately, the Commission is expand</w:t>
      </w:r>
      <w:r w:rsidR="00467C28">
        <w:rPr>
          <w:rFonts w:eastAsia="Times New Roman" w:cs="Times New Roman"/>
          <w:color w:val="000000"/>
          <w:szCs w:val="24"/>
        </w:rPr>
        <w:t>ing</w:t>
      </w:r>
      <w:r w:rsidRPr="00DE274D">
        <w:rPr>
          <w:rFonts w:eastAsia="Times New Roman" w:cs="Times New Roman"/>
          <w:color w:val="000000"/>
          <w:szCs w:val="24"/>
        </w:rPr>
        <w:t xml:space="preserve"> the daily valuation data reporting requirement for SD</w:t>
      </w:r>
      <w:r w:rsidR="00A75F83">
        <w:rPr>
          <w:rFonts w:eastAsia="Times New Roman" w:cs="Times New Roman"/>
          <w:color w:val="000000"/>
          <w:szCs w:val="24"/>
        </w:rPr>
        <w:t>/MSP</w:t>
      </w:r>
      <w:r w:rsidRPr="00DE274D">
        <w:rPr>
          <w:rFonts w:eastAsia="Times New Roman" w:cs="Times New Roman"/>
          <w:color w:val="000000"/>
          <w:szCs w:val="24"/>
        </w:rPr>
        <w:t xml:space="preserve"> reporting counterparties to report margin and collateral data in addition to valuation data. </w:t>
      </w:r>
      <w:r w:rsidRPr="00A75F83" w:rsidR="00A75F83">
        <w:rPr>
          <w:rFonts w:eastAsia="Arial Unicode MS" w:cs="Times New Roman"/>
          <w:szCs w:val="24"/>
          <w:bdr w:val="nil"/>
        </w:rPr>
        <w:t>This is a change from the Proposal, in which the Commission proposed requiring DCO counterparties to repo</w:t>
      </w:r>
      <w:r w:rsidR="00A75F83">
        <w:rPr>
          <w:rFonts w:eastAsia="Arial Unicode MS" w:cs="Times New Roman"/>
          <w:szCs w:val="24"/>
          <w:bdr w:val="nil"/>
        </w:rPr>
        <w:t>rt the information as well.</w:t>
      </w:r>
      <w:r w:rsidRPr="00A75F83" w:rsidR="00A75F83">
        <w:rPr>
          <w:rFonts w:eastAsia="Arial Unicode MS" w:cs="Times New Roman"/>
          <w:szCs w:val="24"/>
          <w:bdr w:val="nil"/>
        </w:rPr>
        <w:t xml:space="preserve"> </w:t>
      </w:r>
      <w:r w:rsidRPr="00DE274D">
        <w:rPr>
          <w:rFonts w:eastAsia="Times New Roman" w:cs="Times New Roman"/>
          <w:color w:val="000000"/>
          <w:szCs w:val="24"/>
        </w:rPr>
        <w:t xml:space="preserve">The frequency of the report </w:t>
      </w:r>
      <w:r w:rsidR="00301DE9">
        <w:rPr>
          <w:rFonts w:eastAsia="Times New Roman" w:cs="Times New Roman"/>
          <w:color w:val="000000"/>
          <w:szCs w:val="24"/>
        </w:rPr>
        <w:t>will</w:t>
      </w:r>
      <w:r w:rsidRPr="00DE274D">
        <w:rPr>
          <w:rFonts w:eastAsia="Times New Roman" w:cs="Times New Roman"/>
          <w:color w:val="000000"/>
          <w:szCs w:val="24"/>
        </w:rPr>
        <w:t xml:space="preserve"> not change</w:t>
      </w:r>
      <w:r w:rsidR="00A75F83">
        <w:rPr>
          <w:rFonts w:eastAsia="Times New Roman" w:cs="Times New Roman"/>
          <w:color w:val="000000"/>
          <w:szCs w:val="24"/>
        </w:rPr>
        <w:t xml:space="preserve"> </w:t>
      </w:r>
      <w:r w:rsidRPr="00A75F83" w:rsidR="00A75F83">
        <w:rPr>
          <w:rFonts w:eastAsia="Arial Unicode MS" w:cs="Times New Roman"/>
          <w:szCs w:val="24"/>
          <w:bdr w:val="nil"/>
        </w:rPr>
        <w:t xml:space="preserve">for </w:t>
      </w:r>
      <w:r w:rsidRPr="00A75F83" w:rsidR="00A75F83">
        <w:rPr>
          <w:rFonts w:eastAsia="Arial Unicode MS" w:cs="Times New Roman"/>
          <w:szCs w:val="24"/>
          <w:bdr w:val="nil"/>
        </w:rPr>
        <w:lastRenderedPageBreak/>
        <w:t>SD/MSP reporting counterparties</w:t>
      </w:r>
      <w:r w:rsidRPr="00DE274D">
        <w:rPr>
          <w:rFonts w:eastAsia="Times New Roman" w:cs="Times New Roman"/>
          <w:color w:val="000000"/>
          <w:szCs w:val="24"/>
        </w:rPr>
        <w:t xml:space="preserve">, but the Commission </w:t>
      </w:r>
      <w:r w:rsidR="00A75F83">
        <w:rPr>
          <w:rFonts w:eastAsia="Times New Roman" w:cs="Times New Roman"/>
          <w:color w:val="000000"/>
          <w:szCs w:val="24"/>
        </w:rPr>
        <w:t>estimated</w:t>
      </w:r>
      <w:r w:rsidRPr="00DE274D" w:rsidR="00A75F83">
        <w:rPr>
          <w:rFonts w:eastAsia="Times New Roman" w:cs="Times New Roman"/>
          <w:color w:val="000000"/>
          <w:szCs w:val="24"/>
        </w:rPr>
        <w:t xml:space="preserve"> </w:t>
      </w:r>
      <w:r w:rsidRPr="00DE274D">
        <w:rPr>
          <w:rFonts w:eastAsia="Times New Roman" w:cs="Times New Roman"/>
          <w:color w:val="000000"/>
          <w:szCs w:val="24"/>
        </w:rPr>
        <w:t>SD</w:t>
      </w:r>
      <w:r w:rsidR="00A75F83">
        <w:rPr>
          <w:rFonts w:eastAsia="Times New Roman" w:cs="Times New Roman"/>
          <w:color w:val="000000"/>
          <w:szCs w:val="24"/>
        </w:rPr>
        <w:t>/MSP/DCO</w:t>
      </w:r>
      <w:r w:rsidRPr="00DE274D">
        <w:rPr>
          <w:rFonts w:eastAsia="Times New Roman" w:cs="Times New Roman"/>
          <w:color w:val="000000"/>
          <w:szCs w:val="24"/>
        </w:rPr>
        <w:t xml:space="preserve"> reporting counterparties </w:t>
      </w:r>
      <w:r w:rsidR="00A75F83">
        <w:rPr>
          <w:rFonts w:eastAsia="Times New Roman" w:cs="Times New Roman"/>
          <w:color w:val="000000"/>
          <w:szCs w:val="24"/>
        </w:rPr>
        <w:t>would</w:t>
      </w:r>
      <w:r w:rsidRPr="00DE274D" w:rsidR="00A75F83">
        <w:rPr>
          <w:rFonts w:eastAsia="Times New Roman" w:cs="Times New Roman"/>
          <w:color w:val="000000"/>
          <w:szCs w:val="24"/>
        </w:rPr>
        <w:t xml:space="preserve"> </w:t>
      </w:r>
      <w:r w:rsidRPr="00DE274D">
        <w:rPr>
          <w:rFonts w:eastAsia="Times New Roman" w:cs="Times New Roman"/>
          <w:color w:val="000000"/>
          <w:szCs w:val="24"/>
        </w:rPr>
        <w:t xml:space="preserve">require more time to prepare each report. However, since all of this information is reported electronically, the Commission </w:t>
      </w:r>
      <w:r w:rsidRPr="00DE274D" w:rsidR="00A75F83">
        <w:rPr>
          <w:rFonts w:eastAsia="Times New Roman" w:cs="Times New Roman"/>
          <w:color w:val="000000"/>
          <w:szCs w:val="24"/>
        </w:rPr>
        <w:t>expect</w:t>
      </w:r>
      <w:r w:rsidR="00A75F83">
        <w:rPr>
          <w:rFonts w:eastAsia="Times New Roman" w:cs="Times New Roman"/>
          <w:color w:val="000000"/>
          <w:szCs w:val="24"/>
        </w:rPr>
        <w:t>ed</w:t>
      </w:r>
      <w:r w:rsidRPr="00DE274D" w:rsidR="00A75F83">
        <w:rPr>
          <w:rFonts w:eastAsia="Times New Roman" w:cs="Times New Roman"/>
          <w:color w:val="000000"/>
          <w:szCs w:val="24"/>
        </w:rPr>
        <w:t xml:space="preserve"> </w:t>
      </w:r>
      <w:r w:rsidRPr="00DE274D">
        <w:rPr>
          <w:rFonts w:eastAsia="Times New Roman" w:cs="Times New Roman"/>
          <w:color w:val="000000"/>
          <w:szCs w:val="24"/>
        </w:rPr>
        <w:t>the increase per report to be small</w:t>
      </w:r>
      <w:r w:rsidR="00A75F83">
        <w:rPr>
          <w:rFonts w:eastAsia="Times New Roman" w:cs="Times New Roman"/>
          <w:color w:val="000000"/>
          <w:szCs w:val="24"/>
        </w:rPr>
        <w:t>, from .003 to .004 hours per report</w:t>
      </w:r>
      <w:r w:rsidRPr="00DE274D">
        <w:rPr>
          <w:rFonts w:eastAsia="Times New Roman" w:cs="Times New Roman"/>
          <w:color w:val="000000"/>
          <w:szCs w:val="24"/>
        </w:rPr>
        <w:t xml:space="preserve">. </w:t>
      </w:r>
      <w:r w:rsidRPr="00A75F83" w:rsidR="00A75F83">
        <w:rPr>
          <w:rFonts w:eastAsia="Times New Roman" w:cs="Times New Roman"/>
          <w:color w:val="000000"/>
          <w:szCs w:val="24"/>
        </w:rPr>
        <w:t>Since the Commission is not requiring DCO reporting counterparties to report the information, the Commission is revising its estimate to .0035 hours per report.</w:t>
      </w:r>
      <w:r w:rsidR="003853E8">
        <w:rPr>
          <w:rFonts w:eastAsia="Times New Roman" w:cs="Times New Roman"/>
          <w:color w:val="000000"/>
          <w:szCs w:val="24"/>
        </w:rPr>
        <w:br/>
      </w:r>
    </w:p>
    <w:p w:rsidRPr="00DE274D" w:rsidR="00DE274D" w:rsidP="00560B0C" w:rsidRDefault="00560B0C" w14:paraId="1196BEDB" w14:textId="6223A597">
      <w:pPr>
        <w:ind w:firstLine="720"/>
        <w:rPr>
          <w:rFonts w:eastAsia="Times New Roman" w:cs="Times New Roman"/>
          <w:color w:val="000000"/>
          <w:szCs w:val="24"/>
        </w:rPr>
      </w:pPr>
      <w:r w:rsidRPr="00D309DE">
        <w:rPr>
          <w:rFonts w:eastAsia="Times New Roman" w:cs="Times New Roman"/>
          <w:color w:val="000000"/>
          <w:szCs w:val="24"/>
        </w:rPr>
        <w:t xml:space="preserve">The new aggregate burden under § 45.4 </w:t>
      </w:r>
      <w:r w:rsidRPr="00D309DE" w:rsidR="00764FB7">
        <w:rPr>
          <w:rFonts w:eastAsia="Times New Roman" w:cs="Times New Roman"/>
          <w:color w:val="000000"/>
          <w:szCs w:val="24"/>
        </w:rPr>
        <w:t>as amended</w:t>
      </w:r>
      <w:r w:rsidRPr="00D309DE">
        <w:rPr>
          <w:rFonts w:eastAsia="Times New Roman" w:cs="Times New Roman"/>
          <w:color w:val="000000"/>
          <w:szCs w:val="24"/>
        </w:rPr>
        <w:t xml:space="preserve"> is estimated to apply to 1,705 respondents, with 97,341 reports per respondent, .00</w:t>
      </w:r>
      <w:r w:rsidRPr="00D309DE" w:rsidR="00D309DE">
        <w:rPr>
          <w:rFonts w:eastAsia="Times New Roman" w:cs="Times New Roman"/>
          <w:color w:val="000000"/>
          <w:szCs w:val="24"/>
        </w:rPr>
        <w:t>35</w:t>
      </w:r>
      <w:r w:rsidRPr="00D309DE">
        <w:rPr>
          <w:rFonts w:eastAsia="Times New Roman" w:cs="Times New Roman"/>
          <w:color w:val="000000"/>
          <w:szCs w:val="24"/>
        </w:rPr>
        <w:t xml:space="preserve"> average hours pe</w:t>
      </w:r>
      <w:r w:rsidRPr="00D309DE" w:rsidR="00951AAD">
        <w:rPr>
          <w:rFonts w:eastAsia="Times New Roman" w:cs="Times New Roman"/>
          <w:color w:val="000000"/>
          <w:szCs w:val="24"/>
        </w:rPr>
        <w:t>r report, and a gross annual re</w:t>
      </w:r>
      <w:r w:rsidRPr="00D309DE">
        <w:rPr>
          <w:rFonts w:eastAsia="Times New Roman" w:cs="Times New Roman"/>
          <w:color w:val="000000"/>
          <w:szCs w:val="24"/>
        </w:rPr>
        <w:t xml:space="preserve">porting burden of </w:t>
      </w:r>
      <w:r w:rsidRPr="00D309DE" w:rsidR="00D309DE">
        <w:rPr>
          <w:rFonts w:eastAsia="Times New Roman" w:cs="Times New Roman"/>
          <w:color w:val="000000"/>
          <w:szCs w:val="24"/>
        </w:rPr>
        <w:t>581,419</w:t>
      </w:r>
      <w:r w:rsidRPr="00D309DE">
        <w:rPr>
          <w:rFonts w:eastAsia="Times New Roman" w:cs="Times New Roman"/>
          <w:color w:val="000000"/>
          <w:szCs w:val="24"/>
        </w:rPr>
        <w:t xml:space="preserve"> hours.</w:t>
      </w:r>
      <w:r w:rsidR="003853E8">
        <w:rPr>
          <w:rFonts w:eastAsia="Times New Roman" w:cs="Times New Roman"/>
          <w:color w:val="000000"/>
          <w:szCs w:val="24"/>
        </w:rPr>
        <w:br/>
      </w:r>
    </w:p>
    <w:p w:rsidRPr="00027515" w:rsidR="00DE274D" w:rsidP="003853E8" w:rsidRDefault="00DE274D" w14:paraId="5F249A3E" w14:textId="1B11B359">
      <w:pPr>
        <w:ind w:firstLine="720"/>
        <w:rPr>
          <w:rFonts w:eastAsia="Times New Roman" w:cs="Times New Roman"/>
          <w:i/>
          <w:color w:val="000000"/>
          <w:szCs w:val="24"/>
        </w:rPr>
      </w:pPr>
      <w:r w:rsidRPr="00027515">
        <w:rPr>
          <w:rFonts w:eastAsia="Times New Roman" w:cs="Times New Roman"/>
          <w:i/>
          <w:color w:val="000000"/>
          <w:szCs w:val="24"/>
        </w:rPr>
        <w:t>Unique Swap Identifiers</w:t>
      </w:r>
      <w:r w:rsidRPr="00027515" w:rsidR="003853E8">
        <w:rPr>
          <w:rFonts w:eastAsia="Times New Roman" w:cs="Times New Roman"/>
          <w:i/>
          <w:color w:val="000000"/>
          <w:szCs w:val="24"/>
        </w:rPr>
        <w:br/>
      </w:r>
    </w:p>
    <w:p w:rsidRPr="00DE274D" w:rsidR="00DE274D" w:rsidP="003853E8" w:rsidRDefault="00DE274D" w14:paraId="1A3E2FB1" w14:textId="7EBAA897">
      <w:pPr>
        <w:ind w:firstLine="720"/>
        <w:rPr>
          <w:rFonts w:eastAsia="Times New Roman" w:cs="Times New Roman"/>
          <w:color w:val="000000"/>
          <w:szCs w:val="24"/>
        </w:rPr>
      </w:pPr>
      <w:r w:rsidRPr="00DE274D">
        <w:rPr>
          <w:rFonts w:eastAsia="Times New Roman" w:cs="Times New Roman"/>
          <w:color w:val="000000"/>
          <w:szCs w:val="24"/>
        </w:rPr>
        <w:t>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45.5, which requires SEFs, DCMs, reporting counterparties, and SDRs to generate and transmit USIs. As an initial matter, </w:t>
      </w:r>
      <w:r w:rsidRPr="002D3F3E" w:rsidR="002D3F3E">
        <w:rPr>
          <w:rFonts w:eastAsia="Times New Roman" w:cs="Times New Roman"/>
          <w:color w:val="000000"/>
          <w:szCs w:val="24"/>
        </w:rPr>
        <w:t>prior to making adjustments to the burden estimates based on amendments to § 45.4 in the final rule</w:t>
      </w:r>
      <w:r w:rsidRPr="00DE274D">
        <w:rPr>
          <w:rFonts w:eastAsia="Times New Roman" w:cs="Times New Roman"/>
          <w:color w:val="000000"/>
          <w:szCs w:val="24"/>
        </w:rPr>
        <w:t>, the Commission is correct</w:t>
      </w:r>
      <w:r w:rsidR="00467C28">
        <w:rPr>
          <w:rFonts w:eastAsia="Times New Roman" w:cs="Times New Roman"/>
          <w:color w:val="000000"/>
          <w:szCs w:val="24"/>
        </w:rPr>
        <w:t>ing</w:t>
      </w:r>
      <w:r w:rsidRPr="00DE274D">
        <w:rPr>
          <w:rFonts w:eastAsia="Times New Roman" w:cs="Times New Roman"/>
          <w:color w:val="000000"/>
          <w:szCs w:val="24"/>
        </w:rPr>
        <w:t xml:space="preserve"> the estimated number of respondents and the estimated number of reports per each respondent. Currently, SDRs, SDs, MSPs, SEFs, and DCMs are required to generate USIs, but the Commission inadvertently had included the 1,585 non-SD/MSP/DCO reporting counterparties. The Commission is therefore updat</w:t>
      </w:r>
      <w:r w:rsidR="00467C28">
        <w:rPr>
          <w:rFonts w:eastAsia="Times New Roman" w:cs="Times New Roman"/>
          <w:color w:val="000000"/>
          <w:szCs w:val="24"/>
        </w:rPr>
        <w:t>ing</w:t>
      </w:r>
      <w:r w:rsidRPr="00DE274D">
        <w:rPr>
          <w:rFonts w:eastAsia="Times New Roman" w:cs="Times New Roman"/>
          <w:color w:val="000000"/>
          <w:szCs w:val="24"/>
        </w:rPr>
        <w:t xml:space="preserve"> the number </w:t>
      </w:r>
      <w:r w:rsidRPr="00DE274D" w:rsidR="002D3F3E">
        <w:rPr>
          <w:rFonts w:eastAsia="Times New Roman" w:cs="Times New Roman"/>
          <w:color w:val="000000"/>
          <w:szCs w:val="24"/>
        </w:rPr>
        <w:t>o</w:t>
      </w:r>
      <w:r w:rsidR="002D3F3E">
        <w:rPr>
          <w:rFonts w:eastAsia="Times New Roman" w:cs="Times New Roman"/>
          <w:color w:val="000000"/>
          <w:szCs w:val="24"/>
        </w:rPr>
        <w:t>f</w:t>
      </w:r>
      <w:r w:rsidRPr="00DE274D">
        <w:rPr>
          <w:rFonts w:eastAsia="Times New Roman" w:cs="Times New Roman"/>
          <w:color w:val="000000"/>
          <w:szCs w:val="24"/>
        </w:rPr>
        <w:t xml:space="preserve"> respondents to 147 SDs, MSPs, SEFs, DCMs, DCOs, and SDRs. However, these entities generate USIs on behalf of non-SD/MSP/DCO reporting counterparties for all swaps, so the estimated number of reports per each respondent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increase to 115,646 reports per 147 respondents to account for the 17,000,000 new swaps reported each year with USIs.</w:t>
      </w:r>
      <w:r w:rsidR="003853E8">
        <w:rPr>
          <w:rFonts w:eastAsia="Times New Roman" w:cs="Times New Roman"/>
          <w:color w:val="000000"/>
          <w:szCs w:val="24"/>
        </w:rPr>
        <w:br/>
      </w:r>
    </w:p>
    <w:p w:rsidRPr="00DE274D" w:rsidR="00DE274D" w:rsidP="003853E8" w:rsidRDefault="00DE274D" w14:paraId="004537F5" w14:textId="59E2A0AA">
      <w:pPr>
        <w:ind w:firstLine="720"/>
        <w:rPr>
          <w:rFonts w:eastAsia="Times New Roman" w:cs="Times New Roman"/>
          <w:color w:val="000000"/>
          <w:szCs w:val="24"/>
        </w:rPr>
      </w:pPr>
      <w:r w:rsidRPr="00DE274D">
        <w:rPr>
          <w:rFonts w:eastAsia="Times New Roman" w:cs="Times New Roman"/>
          <w:color w:val="000000"/>
          <w:szCs w:val="24"/>
        </w:rPr>
        <w:t>Currently, § 45.5 requires SDRs to generate and transmit USIs for off-facility swaps with a non-SD/MSP reporting counterparty. 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45.5 to require non-SD/MSP/DCO reporting counterparties that are financial entities to generate and transmit UTIs for off-facility swaps. The Commission estimates that approximately half of non-SD/MSP/DCO reporting counterparties are financial entities. Therefore, the Commission estimates that the number of respondents </w:t>
      </w:r>
      <w:r w:rsidR="00301DE9">
        <w:rPr>
          <w:rFonts w:eastAsia="Times New Roman" w:cs="Times New Roman"/>
          <w:color w:val="000000"/>
          <w:szCs w:val="24"/>
        </w:rPr>
        <w:t>will</w:t>
      </w:r>
      <w:r w:rsidRPr="00DE274D">
        <w:rPr>
          <w:rFonts w:eastAsia="Times New Roman" w:cs="Times New Roman"/>
          <w:color w:val="000000"/>
          <w:szCs w:val="24"/>
        </w:rPr>
        <w:t xml:space="preserve"> increase from 147 SDs, MSPs, SEFs, DCMs, DCOs, and SDRs to 940 with the addition of financial entities.</w:t>
      </w:r>
      <w:r w:rsidR="00DF6F26">
        <w:rPr>
          <w:rFonts w:eastAsia="Times New Roman" w:cs="Times New Roman"/>
          <w:color w:val="000000"/>
          <w:szCs w:val="24"/>
        </w:rPr>
        <w:t xml:space="preserve"> </w:t>
      </w:r>
      <w:r w:rsidRPr="00DE274D">
        <w:rPr>
          <w:rFonts w:eastAsia="Times New Roman" w:cs="Times New Roman"/>
          <w:color w:val="000000"/>
          <w:szCs w:val="24"/>
        </w:rPr>
        <w:t xml:space="preserve">At the same time, however, this </w:t>
      </w:r>
      <w:r w:rsidR="00301DE9">
        <w:rPr>
          <w:rFonts w:eastAsia="Times New Roman" w:cs="Times New Roman"/>
          <w:color w:val="000000"/>
          <w:szCs w:val="24"/>
        </w:rPr>
        <w:t>will</w:t>
      </w:r>
      <w:r w:rsidRPr="00DE274D">
        <w:rPr>
          <w:rFonts w:eastAsia="Times New Roman" w:cs="Times New Roman"/>
          <w:color w:val="000000"/>
          <w:szCs w:val="24"/>
        </w:rPr>
        <w:t xml:space="preserve"> lower the number of UTIs generated per respondent to account for the increase in the number of respondents generating </w:t>
      </w:r>
      <w:r w:rsidRPr="00D309DE">
        <w:rPr>
          <w:rFonts w:eastAsia="Times New Roman" w:cs="Times New Roman"/>
          <w:color w:val="000000"/>
          <w:szCs w:val="24"/>
        </w:rPr>
        <w:t xml:space="preserve">UTIs. The Commission estimates the estimated number of reports per respondent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decrease from 115,646 reports from 147 respondents to 18,085 reports from 940 respondents.</w:t>
      </w:r>
      <w:r w:rsidR="003853E8">
        <w:rPr>
          <w:rFonts w:eastAsia="Times New Roman" w:cs="Times New Roman"/>
          <w:color w:val="000000"/>
          <w:szCs w:val="24"/>
        </w:rPr>
        <w:br/>
      </w:r>
    </w:p>
    <w:p w:rsidRPr="009837C6" w:rsidR="00DE274D" w:rsidP="00560B0C" w:rsidRDefault="00560B0C" w14:paraId="3AC11F96" w14:textId="7E6084A6">
      <w:pPr>
        <w:ind w:firstLine="720"/>
        <w:rPr>
          <w:rFonts w:eastAsia="Times New Roman" w:cs="Times New Roman"/>
          <w:color w:val="000000"/>
          <w:szCs w:val="24"/>
        </w:rPr>
      </w:pPr>
      <w:r w:rsidRPr="00D309DE">
        <w:rPr>
          <w:rFonts w:eastAsia="Times New Roman" w:cs="Times New Roman"/>
          <w:color w:val="000000"/>
          <w:szCs w:val="24"/>
        </w:rPr>
        <w:t xml:space="preserve">The new aggregate burden under § 45.5 </w:t>
      </w:r>
      <w:r w:rsidRPr="00D309DE" w:rsidR="00764FB7">
        <w:rPr>
          <w:rFonts w:eastAsia="Times New Roman" w:cs="Times New Roman"/>
          <w:color w:val="000000"/>
          <w:szCs w:val="24"/>
        </w:rPr>
        <w:t>as amended</w:t>
      </w:r>
      <w:r w:rsidRPr="00D309DE">
        <w:rPr>
          <w:rFonts w:eastAsia="Times New Roman" w:cs="Times New Roman"/>
          <w:color w:val="000000"/>
          <w:szCs w:val="24"/>
        </w:rPr>
        <w:t xml:space="preserve"> is estimated to apply to 940 respondents, with 18,085 reports per respondent, .01 average hours per report, and a gross annual reporting burden of 169,999 hours.</w:t>
      </w:r>
      <w:r>
        <w:rPr>
          <w:rFonts w:eastAsia="Times New Roman" w:cs="Times New Roman"/>
          <w:color w:val="000000"/>
          <w:szCs w:val="24"/>
        </w:rPr>
        <w:t xml:space="preserve"> </w:t>
      </w:r>
      <w:r w:rsidR="003853E8">
        <w:rPr>
          <w:rFonts w:eastAsia="Times New Roman" w:cs="Times New Roman"/>
          <w:color w:val="000000"/>
          <w:szCs w:val="24"/>
        </w:rPr>
        <w:br/>
      </w:r>
    </w:p>
    <w:p w:rsidRPr="00027515" w:rsidR="00DE274D" w:rsidP="009837C6" w:rsidRDefault="00DE274D" w14:paraId="1DE597B5" w14:textId="6190864D">
      <w:pPr>
        <w:ind w:firstLine="720"/>
        <w:rPr>
          <w:rFonts w:eastAsia="Times New Roman" w:cs="Times New Roman"/>
          <w:i/>
          <w:color w:val="000000"/>
          <w:szCs w:val="24"/>
        </w:rPr>
      </w:pPr>
      <w:r w:rsidRPr="00027515">
        <w:rPr>
          <w:rFonts w:eastAsia="Times New Roman" w:cs="Times New Roman"/>
          <w:i/>
          <w:color w:val="000000"/>
          <w:szCs w:val="24"/>
        </w:rPr>
        <w:t>Legal Entity Identifier Amendments</w:t>
      </w:r>
      <w:r w:rsidRPr="00027515" w:rsidR="003853E8">
        <w:rPr>
          <w:rFonts w:eastAsia="Times New Roman" w:cs="Times New Roman"/>
          <w:i/>
          <w:color w:val="000000"/>
          <w:szCs w:val="24"/>
        </w:rPr>
        <w:br/>
      </w:r>
    </w:p>
    <w:p w:rsidRPr="00DE274D" w:rsidR="00013AB1" w:rsidP="009837C6" w:rsidRDefault="00DE274D" w14:paraId="0BF9C8E8" w14:textId="6E00E8C4">
      <w:pPr>
        <w:ind w:firstLine="720"/>
        <w:rPr>
          <w:rFonts w:eastAsia="Times New Roman" w:cs="Times New Roman"/>
          <w:color w:val="000000"/>
          <w:szCs w:val="24"/>
        </w:rPr>
      </w:pPr>
      <w:r w:rsidRPr="00DE274D">
        <w:rPr>
          <w:rFonts w:eastAsia="Times New Roman" w:cs="Times New Roman"/>
          <w:color w:val="000000"/>
          <w:szCs w:val="24"/>
        </w:rPr>
        <w:t>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45.6, which requires reporting entities to have LEIs. As an initial matter, the Commission is revis</w:t>
      </w:r>
      <w:r w:rsidR="00467C28">
        <w:rPr>
          <w:rFonts w:eastAsia="Times New Roman" w:cs="Times New Roman"/>
          <w:color w:val="000000"/>
          <w:szCs w:val="24"/>
        </w:rPr>
        <w:t>ing</w:t>
      </w:r>
      <w:r w:rsidRPr="00DE274D">
        <w:rPr>
          <w:rFonts w:eastAsia="Times New Roman" w:cs="Times New Roman"/>
          <w:color w:val="000000"/>
          <w:szCs w:val="24"/>
        </w:rPr>
        <w:t xml:space="preserve"> the burden estimate for § 45.6. LEIs are reported in required swap creation data and required swap continuation data reports, which are separately accounted for in the estimates for §§ 45.3 and 45.4. The current estimate for § 45.6 double-</w:t>
      </w:r>
      <w:r w:rsidRPr="00DE274D">
        <w:rPr>
          <w:rFonts w:eastAsia="Times New Roman" w:cs="Times New Roman"/>
          <w:color w:val="000000"/>
          <w:szCs w:val="24"/>
        </w:rPr>
        <w:lastRenderedPageBreak/>
        <w:t>counts the estimates for §§ 45.3 and 45.4 by calculating the burden per data report. Instead, the burden for § 45.6 should be based on the requirement for each counterparty to obtain an LEI. The Commission is revis</w:t>
      </w:r>
      <w:r w:rsidR="00467C28">
        <w:rPr>
          <w:rFonts w:eastAsia="Times New Roman" w:cs="Times New Roman"/>
          <w:color w:val="000000"/>
          <w:szCs w:val="24"/>
        </w:rPr>
        <w:t>ing</w:t>
      </w:r>
      <w:r w:rsidRPr="00DE274D">
        <w:rPr>
          <w:rFonts w:eastAsia="Times New Roman" w:cs="Times New Roman"/>
          <w:color w:val="000000"/>
          <w:szCs w:val="24"/>
        </w:rPr>
        <w:t xml:space="preserve"> the estimate to </w:t>
      </w:r>
      <w:r w:rsidR="00E52124">
        <w:rPr>
          <w:rFonts w:eastAsia="Times New Roman" w:cs="Times New Roman"/>
          <w:color w:val="000000"/>
          <w:szCs w:val="24"/>
        </w:rPr>
        <w:t>reflect</w:t>
      </w:r>
      <w:r w:rsidRPr="00DE274D" w:rsidR="00E52124">
        <w:rPr>
          <w:rFonts w:eastAsia="Times New Roman" w:cs="Times New Roman"/>
          <w:color w:val="000000"/>
          <w:szCs w:val="24"/>
        </w:rPr>
        <w:t xml:space="preserve"> </w:t>
      </w:r>
      <w:r w:rsidRPr="00DE274D">
        <w:rPr>
          <w:rFonts w:eastAsia="Times New Roman" w:cs="Times New Roman"/>
          <w:color w:val="000000"/>
          <w:szCs w:val="24"/>
        </w:rPr>
        <w:t>that there are 1,732 entities required to have one LEI per respondent, and revis</w:t>
      </w:r>
      <w:r w:rsidR="00467C28">
        <w:rPr>
          <w:rFonts w:eastAsia="Times New Roman" w:cs="Times New Roman"/>
          <w:color w:val="000000"/>
          <w:szCs w:val="24"/>
        </w:rPr>
        <w:t>ing</w:t>
      </w:r>
      <w:r w:rsidRPr="00DE274D">
        <w:rPr>
          <w:rFonts w:eastAsia="Times New Roman" w:cs="Times New Roman"/>
          <w:color w:val="000000"/>
          <w:szCs w:val="24"/>
        </w:rPr>
        <w:t xml:space="preserve"> the burden hours based on this change.</w:t>
      </w:r>
      <w:r w:rsidR="008625E2">
        <w:rPr>
          <w:rStyle w:val="FootnoteReference"/>
          <w:rFonts w:eastAsia="Times New Roman" w:cs="Times New Roman"/>
          <w:color w:val="000000"/>
          <w:szCs w:val="24"/>
        </w:rPr>
        <w:footnoteReference w:id="4"/>
      </w:r>
      <w:r w:rsidR="00013AB1">
        <w:rPr>
          <w:rFonts w:eastAsia="Times New Roman" w:cs="Times New Roman"/>
          <w:color w:val="000000"/>
          <w:szCs w:val="24"/>
        </w:rPr>
        <w:br/>
      </w:r>
    </w:p>
    <w:p w:rsidRPr="00D309DE" w:rsidR="00013AB1" w:rsidP="009837C6" w:rsidRDefault="00013AB1" w14:paraId="089D3112" w14:textId="69B014D6">
      <w:pPr>
        <w:ind w:firstLine="720"/>
        <w:rPr>
          <w:rFonts w:eastAsia="Times New Roman" w:cs="Times New Roman"/>
          <w:color w:val="000000"/>
          <w:szCs w:val="24"/>
        </w:rPr>
      </w:pPr>
      <w:r w:rsidRPr="00DE274D">
        <w:rPr>
          <w:rFonts w:eastAsia="Times New Roman" w:cs="Times New Roman"/>
          <w:color w:val="000000"/>
          <w:szCs w:val="24"/>
        </w:rPr>
        <w:t>Currently, § 45.6 requires all entities to have LEIs. 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45.6 to require SDs, MSPs, SEFs, DCMs, DCOs, and SDRs to renew their LEIs annually. The change </w:t>
      </w:r>
      <w:r w:rsidR="00301DE9">
        <w:rPr>
          <w:rFonts w:eastAsia="Times New Roman" w:cs="Times New Roman"/>
          <w:color w:val="000000"/>
          <w:szCs w:val="24"/>
        </w:rPr>
        <w:t>will</w:t>
      </w:r>
      <w:r w:rsidRPr="00DE274D">
        <w:rPr>
          <w:rFonts w:eastAsia="Times New Roman" w:cs="Times New Roman"/>
          <w:color w:val="000000"/>
          <w:szCs w:val="24"/>
        </w:rPr>
        <w:t xml:space="preserve"> increase the hour </w:t>
      </w:r>
      <w:r w:rsidRPr="00D309DE">
        <w:rPr>
          <w:rFonts w:eastAsia="Times New Roman" w:cs="Times New Roman"/>
          <w:color w:val="000000"/>
          <w:szCs w:val="24"/>
        </w:rPr>
        <w:t xml:space="preserve">burden for these entities, but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not affect the burden for the majority of entities required to have LEIs. Nonetheless, the Commission expects the burden associated with these changes to result in an increase from .01 to .02 hours per report, and 17 hours in the aggregate.</w:t>
      </w:r>
      <w:r w:rsidRPr="00D309DE">
        <w:rPr>
          <w:rFonts w:eastAsia="Times New Roman" w:cs="Times New Roman"/>
          <w:color w:val="000000"/>
          <w:szCs w:val="24"/>
        </w:rPr>
        <w:br/>
      </w:r>
    </w:p>
    <w:p w:rsidRPr="00DE274D" w:rsidR="00013AB1" w:rsidP="00665272" w:rsidRDefault="00013AB1" w14:paraId="664732FE" w14:textId="6284FC26">
      <w:pPr>
        <w:ind w:firstLine="720"/>
        <w:rPr>
          <w:rFonts w:eastAsia="Times New Roman" w:cs="Times New Roman"/>
          <w:color w:val="000000"/>
          <w:szCs w:val="24"/>
        </w:rPr>
      </w:pPr>
      <w:r w:rsidRPr="00D309DE">
        <w:rPr>
          <w:rFonts w:eastAsia="Times New Roman" w:cs="Times New Roman"/>
          <w:color w:val="000000"/>
          <w:szCs w:val="24"/>
        </w:rPr>
        <w:t>The new aggregate burden under § 45.6 is estimated to apply to 1,732 respondents, with 1 report per respondent, .02 average hours per report, and a gross annual reporting burden of 35 hours.</w:t>
      </w:r>
      <w:r>
        <w:rPr>
          <w:rFonts w:eastAsia="Times New Roman" w:cs="Times New Roman"/>
          <w:color w:val="000000"/>
          <w:szCs w:val="24"/>
        </w:rPr>
        <w:br/>
      </w:r>
    </w:p>
    <w:p w:rsidRPr="00027515" w:rsidR="00013AB1" w:rsidP="009837C6" w:rsidRDefault="00013AB1" w14:paraId="547C3155" w14:textId="64D85D7B">
      <w:pPr>
        <w:ind w:firstLine="720"/>
        <w:rPr>
          <w:rFonts w:eastAsia="Times New Roman" w:cs="Times New Roman"/>
          <w:i/>
          <w:color w:val="000000"/>
          <w:szCs w:val="24"/>
        </w:rPr>
      </w:pPr>
      <w:r w:rsidRPr="00027515">
        <w:rPr>
          <w:rFonts w:eastAsia="Times New Roman" w:cs="Times New Roman"/>
          <w:i/>
          <w:color w:val="000000"/>
          <w:szCs w:val="24"/>
        </w:rPr>
        <w:t>New Notifications for Changing SDRs</w:t>
      </w:r>
      <w:r w:rsidRPr="00027515">
        <w:rPr>
          <w:rFonts w:eastAsia="Times New Roman" w:cs="Times New Roman"/>
          <w:i/>
          <w:color w:val="000000"/>
          <w:szCs w:val="24"/>
        </w:rPr>
        <w:br/>
      </w:r>
    </w:p>
    <w:p w:rsidRPr="00DE274D" w:rsidR="00013AB1" w:rsidP="009837C6" w:rsidRDefault="00013AB1" w14:paraId="58021200" w14:textId="231C35F4">
      <w:pPr>
        <w:ind w:firstLine="720"/>
        <w:rPr>
          <w:rFonts w:eastAsia="Times New Roman" w:cs="Times New Roman"/>
          <w:color w:val="000000"/>
          <w:szCs w:val="24"/>
        </w:rPr>
      </w:pPr>
      <w:r w:rsidRPr="00DE274D">
        <w:rPr>
          <w:rFonts w:eastAsia="Times New Roman" w:cs="Times New Roman"/>
          <w:color w:val="000000"/>
          <w:szCs w:val="24"/>
        </w:rPr>
        <w:t>The Commission</w:t>
      </w:r>
      <w:r>
        <w:rPr>
          <w:rFonts w:eastAsia="Times New Roman" w:cs="Times New Roman"/>
          <w:color w:val="000000"/>
          <w:szCs w:val="24"/>
        </w:rPr>
        <w:t xml:space="preserve"> is amend</w:t>
      </w:r>
      <w:r w:rsidR="00467C28">
        <w:rPr>
          <w:rFonts w:eastAsia="Times New Roman" w:cs="Times New Roman"/>
          <w:color w:val="000000"/>
          <w:szCs w:val="24"/>
        </w:rPr>
        <w:t>ing</w:t>
      </w:r>
      <w:r>
        <w:rPr>
          <w:rFonts w:eastAsia="Times New Roman" w:cs="Times New Roman"/>
          <w:color w:val="000000"/>
          <w:szCs w:val="24"/>
        </w:rPr>
        <w:t xml:space="preserve"> </w:t>
      </w:r>
      <w:r w:rsidR="00467C28">
        <w:rPr>
          <w:rFonts w:eastAsia="Times New Roman" w:cs="Times New Roman"/>
          <w:color w:val="000000"/>
          <w:szCs w:val="24"/>
        </w:rPr>
        <w:t>§</w:t>
      </w:r>
      <w:r>
        <w:rPr>
          <w:rFonts w:eastAsia="Times New Roman" w:cs="Times New Roman"/>
          <w:color w:val="000000"/>
          <w:szCs w:val="24"/>
        </w:rPr>
        <w:t xml:space="preserve"> 45</w:t>
      </w:r>
      <w:r w:rsidRPr="00DE274D">
        <w:rPr>
          <w:rFonts w:eastAsia="Times New Roman" w:cs="Times New Roman"/>
          <w:color w:val="000000"/>
          <w:szCs w:val="24"/>
        </w:rPr>
        <w:t xml:space="preserve">.10(d) to require reporting counterparties to notify SDRs and non-reporting counterparties if they change the SDR to which they report swap data and swap transaction and pricing data. This is a new </w:t>
      </w:r>
      <w:r w:rsidR="005A0312">
        <w:rPr>
          <w:rFonts w:eastAsia="Times New Roman" w:cs="Times New Roman"/>
          <w:color w:val="000000"/>
          <w:szCs w:val="24"/>
        </w:rPr>
        <w:t>reporting</w:t>
      </w:r>
      <w:r w:rsidRPr="00DE274D">
        <w:rPr>
          <w:rFonts w:eastAsia="Times New Roman" w:cs="Times New Roman"/>
          <w:color w:val="000000"/>
          <w:szCs w:val="24"/>
        </w:rPr>
        <w:t xml:space="preserve"> burden that is not covered in the collection. Reporting counterparties </w:t>
      </w:r>
      <w:r w:rsidR="00467C28">
        <w:rPr>
          <w:rFonts w:eastAsia="Times New Roman" w:cs="Times New Roman"/>
          <w:color w:val="000000"/>
          <w:szCs w:val="24"/>
        </w:rPr>
        <w:t>will</w:t>
      </w:r>
      <w:r w:rsidRPr="00DE274D" w:rsidR="00467C28">
        <w:rPr>
          <w:rFonts w:eastAsia="Times New Roman" w:cs="Times New Roman"/>
          <w:color w:val="000000"/>
          <w:szCs w:val="24"/>
        </w:rPr>
        <w:t xml:space="preserve"> </w:t>
      </w:r>
      <w:r w:rsidRPr="00DE274D">
        <w:rPr>
          <w:rFonts w:eastAsia="Times New Roman" w:cs="Times New Roman"/>
          <w:color w:val="000000"/>
          <w:szCs w:val="24"/>
        </w:rPr>
        <w:t>be required to send notifications to non-reporting counterparties and SDRs if they elect to change the SDR to which they report data pursuant to parts 43 and 45.</w:t>
      </w:r>
      <w:r w:rsidR="002932D1">
        <w:rPr>
          <w:rFonts w:eastAsia="Times New Roman" w:cs="Times New Roman"/>
          <w:color w:val="000000"/>
          <w:szCs w:val="24"/>
        </w:rPr>
        <w:t xml:space="preserve"> </w:t>
      </w:r>
      <w:r w:rsidRPr="00DE274D">
        <w:rPr>
          <w:rFonts w:eastAsia="Times New Roman" w:cs="Times New Roman"/>
          <w:color w:val="000000"/>
          <w:szCs w:val="24"/>
        </w:rPr>
        <w:t xml:space="preserve">The Commission estimates that no more than 15 reporting counterparties </w:t>
      </w:r>
      <w:r w:rsidR="00301DE9">
        <w:rPr>
          <w:rFonts w:eastAsia="Times New Roman" w:cs="Times New Roman"/>
          <w:color w:val="000000"/>
          <w:szCs w:val="24"/>
        </w:rPr>
        <w:t>will</w:t>
      </w:r>
      <w:r w:rsidRPr="00DE274D">
        <w:rPr>
          <w:rFonts w:eastAsia="Times New Roman" w:cs="Times New Roman"/>
          <w:color w:val="000000"/>
          <w:szCs w:val="24"/>
        </w:rPr>
        <w:t xml:space="preserve"> choose to change the SDR to which they report data.</w:t>
      </w:r>
      <w:r>
        <w:rPr>
          <w:rFonts w:eastAsia="Times New Roman" w:cs="Times New Roman"/>
          <w:color w:val="000000"/>
          <w:szCs w:val="24"/>
        </w:rPr>
        <w:br/>
      </w:r>
    </w:p>
    <w:p w:rsidR="00013AB1" w:rsidP="00665272" w:rsidRDefault="00013AB1" w14:paraId="5C7F9245" w14:textId="0C948F70">
      <w:pPr>
        <w:ind w:firstLine="720"/>
        <w:rPr>
          <w:rFonts w:eastAsia="Times New Roman" w:cs="Times New Roman"/>
          <w:color w:val="000000"/>
          <w:szCs w:val="24"/>
        </w:rPr>
      </w:pPr>
      <w:r w:rsidRPr="00D309DE">
        <w:rPr>
          <w:rFonts w:eastAsia="Times New Roman" w:cs="Times New Roman"/>
          <w:color w:val="000000"/>
          <w:szCs w:val="24"/>
        </w:rPr>
        <w:t xml:space="preserve">The new aggregate burden under § 45.10(d) </w:t>
      </w:r>
      <w:r w:rsidRPr="00D309DE" w:rsidR="00CE23CF">
        <w:rPr>
          <w:rFonts w:eastAsia="Times New Roman" w:cs="Times New Roman"/>
          <w:color w:val="000000"/>
          <w:szCs w:val="24"/>
        </w:rPr>
        <w:t>as amended</w:t>
      </w:r>
      <w:r w:rsidRPr="00D309DE">
        <w:rPr>
          <w:rFonts w:eastAsia="Times New Roman" w:cs="Times New Roman"/>
          <w:color w:val="000000"/>
          <w:szCs w:val="24"/>
        </w:rPr>
        <w:t xml:space="preserve"> is estimated to apply to 15 respondents, with 1 report per respondent, .01 average hours per report, and a gross annual reporting burden of .15 hours.</w:t>
      </w:r>
      <w:r w:rsidRPr="00D309DE" w:rsidR="00F64348">
        <w:rPr>
          <w:rStyle w:val="FootnoteReference"/>
          <w:rFonts w:eastAsia="Times New Roman" w:cs="Times New Roman"/>
          <w:color w:val="000000"/>
          <w:szCs w:val="24"/>
        </w:rPr>
        <w:footnoteReference w:id="5"/>
      </w:r>
    </w:p>
    <w:p w:rsidR="008762B5" w:rsidP="00665272" w:rsidRDefault="008762B5" w14:paraId="3A4F7FA6" w14:textId="618896D1">
      <w:pPr>
        <w:ind w:firstLine="720"/>
        <w:rPr>
          <w:rFonts w:eastAsia="Times New Roman" w:cs="Times New Roman"/>
          <w:color w:val="000000"/>
          <w:szCs w:val="24"/>
        </w:rPr>
      </w:pPr>
    </w:p>
    <w:p w:rsidRPr="00495F16" w:rsidR="00495F16" w:rsidP="0058712B" w:rsidRDefault="008762B5" w14:paraId="2540D32D" w14:textId="1693A2F1">
      <w:pPr>
        <w:ind w:firstLine="720"/>
        <w:rPr>
          <w:rFonts w:eastAsia="Times New Roman" w:cs="Times New Roman"/>
          <w:color w:val="000000"/>
          <w:szCs w:val="24"/>
        </w:rPr>
      </w:pPr>
      <w:r>
        <w:rPr>
          <w:rFonts w:eastAsia="Times New Roman" w:cs="Times New Roman"/>
          <w:color w:val="000000"/>
          <w:szCs w:val="24"/>
        </w:rPr>
        <w:t>Taking all of the changes to the reporting and recordkeeping burdens described above into account, the Commission estimates that the amendments to § 45.3, § 45.4, § 45.5, § 45.6, and § 45.10 will change the total overall burdens for updated Information Collection 3038–0096 as follows</w:t>
      </w:r>
      <w:r w:rsidR="00495F16">
        <w:rPr>
          <w:rFonts w:eastAsia="Times New Roman" w:cs="Times New Roman"/>
          <w:color w:val="000000"/>
          <w:szCs w:val="24"/>
        </w:rPr>
        <w:t xml:space="preserve"> below. </w:t>
      </w:r>
      <w:r w:rsidRPr="00495F16" w:rsidR="00495F16">
        <w:rPr>
          <w:rFonts w:eastAsia="Times New Roman" w:cs="Times New Roman"/>
          <w:color w:val="000000"/>
          <w:szCs w:val="24"/>
        </w:rPr>
        <w:t>As an initial matter, the Commission proposed amending regulations that would impact the collections of information under OMB 3038-00</w:t>
      </w:r>
      <w:r w:rsidR="00495F16">
        <w:rPr>
          <w:rFonts w:eastAsia="Times New Roman" w:cs="Times New Roman"/>
          <w:color w:val="000000"/>
          <w:szCs w:val="24"/>
        </w:rPr>
        <w:t>96</w:t>
      </w:r>
      <w:r w:rsidRPr="00495F16" w:rsidR="00495F16">
        <w:rPr>
          <w:rFonts w:eastAsia="Times New Roman" w:cs="Times New Roman"/>
          <w:color w:val="000000"/>
          <w:szCs w:val="24"/>
        </w:rPr>
        <w:t xml:space="preserve"> (Certain Swap Data Repository and Data Reporting Requirements, 84 Fed. Reg. 21044, May 13, 2019) (the “May 2019 release”).</w:t>
      </w:r>
      <w:r w:rsidR="0058712B">
        <w:rPr>
          <w:rFonts w:eastAsia="Times New Roman" w:cs="Times New Roman"/>
          <w:color w:val="000000"/>
          <w:szCs w:val="24"/>
        </w:rPr>
        <w:t xml:space="preserve"> </w:t>
      </w:r>
      <w:r w:rsidRPr="00495F16" w:rsidR="00495F16">
        <w:rPr>
          <w:rFonts w:eastAsia="Times New Roman" w:cs="Times New Roman"/>
          <w:color w:val="000000"/>
          <w:szCs w:val="24"/>
        </w:rPr>
        <w:t>Since the amendments to the part 4</w:t>
      </w:r>
      <w:r w:rsidR="0058712B">
        <w:rPr>
          <w:rFonts w:eastAsia="Times New Roman" w:cs="Times New Roman"/>
          <w:color w:val="000000"/>
          <w:szCs w:val="24"/>
        </w:rPr>
        <w:t>5</w:t>
      </w:r>
      <w:r w:rsidRPr="00495F16" w:rsidR="00495F16">
        <w:rPr>
          <w:rFonts w:eastAsia="Times New Roman" w:cs="Times New Roman"/>
          <w:color w:val="000000"/>
          <w:szCs w:val="24"/>
        </w:rPr>
        <w:t xml:space="preserve"> regulations finalized in the Federal Register release accompanying this supporting statement for the collections of information under OMB </w:t>
      </w:r>
      <w:r w:rsidRPr="00495F16" w:rsidR="00495F16">
        <w:rPr>
          <w:rFonts w:eastAsia="Times New Roman" w:cs="Times New Roman"/>
          <w:color w:val="000000"/>
          <w:szCs w:val="24"/>
        </w:rPr>
        <w:lastRenderedPageBreak/>
        <w:t>3038-00</w:t>
      </w:r>
      <w:r w:rsidR="0058712B">
        <w:rPr>
          <w:rFonts w:eastAsia="Times New Roman" w:cs="Times New Roman"/>
          <w:color w:val="000000"/>
          <w:szCs w:val="24"/>
        </w:rPr>
        <w:t>96</w:t>
      </w:r>
      <w:r w:rsidRPr="00495F16" w:rsidR="00495F16">
        <w:rPr>
          <w:rFonts w:eastAsia="Times New Roman" w:cs="Times New Roman"/>
          <w:color w:val="000000"/>
          <w:szCs w:val="24"/>
        </w:rPr>
        <w:t xml:space="preserve"> are closely related to the amendments proposed in the May 2019 release and adopted in a separate final rule, the Commission’s estimates </w:t>
      </w:r>
      <w:r w:rsidR="0058712B">
        <w:rPr>
          <w:rFonts w:eastAsia="Times New Roman" w:cs="Times New Roman"/>
          <w:color w:val="000000"/>
          <w:szCs w:val="24"/>
        </w:rPr>
        <w:t>below and in this supporting statement</w:t>
      </w:r>
      <w:r w:rsidRPr="00495F16" w:rsidR="00495F16">
        <w:rPr>
          <w:rFonts w:eastAsia="Times New Roman" w:cs="Times New Roman"/>
          <w:color w:val="000000"/>
          <w:szCs w:val="24"/>
        </w:rPr>
        <w:t xml:space="preserve"> are based on the updates to burden estimates in the May 2019 release. </w:t>
      </w:r>
    </w:p>
    <w:p w:rsidR="008762B5" w:rsidP="008762B5" w:rsidRDefault="008762B5" w14:paraId="6D2D459B" w14:textId="0FF494E6">
      <w:pPr>
        <w:ind w:firstLine="720"/>
        <w:rPr>
          <w:rFonts w:eastAsia="Times New Roman" w:cs="Times New Roman"/>
          <w:color w:val="000000"/>
          <w:szCs w:val="24"/>
        </w:rPr>
      </w:pPr>
    </w:p>
    <w:p w:rsidR="008762B5" w:rsidP="008762B5" w:rsidRDefault="008762B5" w14:paraId="75E083AA" w14:textId="40F0FE77">
      <w:pPr>
        <w:pStyle w:val="ListParagraph"/>
        <w:numPr>
          <w:ilvl w:val="0"/>
          <w:numId w:val="17"/>
        </w:numPr>
        <w:rPr>
          <w:rFonts w:eastAsia="Times New Roman" w:cs="Times New Roman"/>
          <w:color w:val="000000"/>
          <w:szCs w:val="24"/>
        </w:rPr>
      </w:pPr>
      <w:r>
        <w:rPr>
          <w:rFonts w:eastAsia="Times New Roman" w:cs="Times New Roman"/>
          <w:color w:val="000000"/>
          <w:szCs w:val="24"/>
        </w:rPr>
        <w:t>The number of respondents remains 1,732 SEFs, DCMs, DCOs, SDRs, DCMs, SEFs, and non-reporting counterparties.</w:t>
      </w:r>
    </w:p>
    <w:p w:rsidR="008762B5" w:rsidP="008762B5" w:rsidRDefault="008762B5" w14:paraId="41280054" w14:textId="33CE8FE1">
      <w:pPr>
        <w:pStyle w:val="ListParagraph"/>
        <w:numPr>
          <w:ilvl w:val="0"/>
          <w:numId w:val="17"/>
        </w:numPr>
        <w:rPr>
          <w:rFonts w:eastAsia="Times New Roman" w:cs="Times New Roman"/>
          <w:color w:val="000000"/>
          <w:szCs w:val="24"/>
        </w:rPr>
      </w:pPr>
      <w:r>
        <w:rPr>
          <w:rFonts w:eastAsia="Times New Roman" w:cs="Times New Roman"/>
          <w:color w:val="000000"/>
          <w:szCs w:val="24"/>
        </w:rPr>
        <w:t>The estimated annual number of responses per respondent will be reduced from</w:t>
      </w:r>
      <w:r w:rsidR="003E3C5A">
        <w:rPr>
          <w:rFonts w:eastAsia="Times New Roman" w:cs="Times New Roman"/>
          <w:color w:val="000000"/>
          <w:szCs w:val="24"/>
        </w:rPr>
        <w:t xml:space="preserve"> 257,595</w:t>
      </w:r>
      <w:r>
        <w:rPr>
          <w:rFonts w:eastAsia="Times New Roman" w:cs="Times New Roman"/>
          <w:color w:val="000000"/>
          <w:szCs w:val="24"/>
        </w:rPr>
        <w:t xml:space="preserve"> to </w:t>
      </w:r>
      <w:r w:rsidR="003E3C5A">
        <w:rPr>
          <w:rFonts w:eastAsia="Times New Roman" w:cs="Times New Roman"/>
          <w:color w:val="000000"/>
          <w:szCs w:val="24"/>
        </w:rPr>
        <w:t>132,570</w:t>
      </w:r>
      <w:r>
        <w:rPr>
          <w:rFonts w:eastAsia="Times New Roman" w:cs="Times New Roman"/>
          <w:color w:val="000000"/>
          <w:szCs w:val="24"/>
        </w:rPr>
        <w:t>.</w:t>
      </w:r>
    </w:p>
    <w:p w:rsidR="008762B5" w:rsidP="008762B5" w:rsidRDefault="008762B5" w14:paraId="36A15BD3" w14:textId="78AFBEE5">
      <w:pPr>
        <w:pStyle w:val="ListParagraph"/>
        <w:numPr>
          <w:ilvl w:val="0"/>
          <w:numId w:val="17"/>
        </w:numPr>
        <w:rPr>
          <w:rFonts w:eastAsia="Times New Roman" w:cs="Times New Roman"/>
          <w:color w:val="000000"/>
          <w:szCs w:val="24"/>
        </w:rPr>
      </w:pPr>
      <w:r>
        <w:rPr>
          <w:rFonts w:eastAsia="Times New Roman" w:cs="Times New Roman"/>
          <w:color w:val="000000"/>
          <w:szCs w:val="24"/>
        </w:rPr>
        <w:t xml:space="preserve">The estimated total annual number of responses will be reduced from </w:t>
      </w:r>
      <w:r w:rsidR="0058712B">
        <w:rPr>
          <w:rFonts w:eastAsia="Times New Roman" w:cs="Times New Roman"/>
          <w:color w:val="000000"/>
          <w:szCs w:val="24"/>
        </w:rPr>
        <w:t>446,154,518</w:t>
      </w:r>
      <w:r>
        <w:rPr>
          <w:rFonts w:eastAsia="Times New Roman" w:cs="Times New Roman"/>
          <w:color w:val="000000"/>
          <w:szCs w:val="24"/>
        </w:rPr>
        <w:t xml:space="preserve"> to </w:t>
      </w:r>
      <w:r w:rsidR="0058712B">
        <w:rPr>
          <w:rFonts w:eastAsia="Times New Roman" w:cs="Times New Roman"/>
          <w:color w:val="000000"/>
          <w:szCs w:val="24"/>
        </w:rPr>
        <w:t>229,611,240</w:t>
      </w:r>
      <w:r>
        <w:rPr>
          <w:rFonts w:eastAsia="Times New Roman" w:cs="Times New Roman"/>
          <w:color w:val="000000"/>
          <w:szCs w:val="24"/>
        </w:rPr>
        <w:t>.</w:t>
      </w:r>
    </w:p>
    <w:p w:rsidRPr="0058712B" w:rsidR="008762B5" w:rsidP="0058712B" w:rsidRDefault="008762B5" w14:paraId="4D610B2A" w14:textId="6B1C32E9">
      <w:pPr>
        <w:pStyle w:val="ListParagraph"/>
        <w:numPr>
          <w:ilvl w:val="0"/>
          <w:numId w:val="17"/>
        </w:numPr>
        <w:rPr>
          <w:rFonts w:eastAsia="Times New Roman" w:cs="Times New Roman"/>
          <w:color w:val="000000"/>
          <w:szCs w:val="24"/>
        </w:rPr>
      </w:pPr>
      <w:r w:rsidRPr="0058712B">
        <w:rPr>
          <w:rFonts w:eastAsia="Times New Roman" w:cs="Times New Roman"/>
          <w:color w:val="000000"/>
          <w:szCs w:val="24"/>
        </w:rPr>
        <w:t>The estimated total aggregate burden hours will be</w:t>
      </w:r>
      <w:r w:rsidR="0058712B">
        <w:rPr>
          <w:rFonts w:eastAsia="Times New Roman" w:cs="Times New Roman"/>
          <w:color w:val="000000"/>
          <w:szCs w:val="24"/>
        </w:rPr>
        <w:t xml:space="preserve"> reduced from</w:t>
      </w:r>
      <w:r w:rsidRPr="0058712B">
        <w:rPr>
          <w:rFonts w:eastAsia="Times New Roman" w:cs="Times New Roman"/>
          <w:color w:val="000000"/>
          <w:szCs w:val="24"/>
        </w:rPr>
        <w:t xml:space="preserve"> </w:t>
      </w:r>
      <w:r w:rsidR="0058712B">
        <w:rPr>
          <w:rFonts w:eastAsia="Times New Roman" w:cs="Times New Roman"/>
          <w:color w:val="000000"/>
          <w:szCs w:val="24"/>
        </w:rPr>
        <w:t>2,279,</w:t>
      </w:r>
      <w:r w:rsidR="00EF42EB">
        <w:rPr>
          <w:rFonts w:eastAsia="Times New Roman" w:cs="Times New Roman"/>
          <w:color w:val="000000"/>
          <w:szCs w:val="24"/>
        </w:rPr>
        <w:t>31</w:t>
      </w:r>
      <w:r w:rsidR="0058712B">
        <w:rPr>
          <w:rFonts w:eastAsia="Times New Roman" w:cs="Times New Roman"/>
          <w:color w:val="000000"/>
          <w:szCs w:val="24"/>
        </w:rPr>
        <w:t>2</w:t>
      </w:r>
      <w:r w:rsidRPr="0058712B">
        <w:rPr>
          <w:rFonts w:eastAsia="Times New Roman" w:cs="Times New Roman"/>
          <w:color w:val="000000"/>
          <w:szCs w:val="24"/>
        </w:rPr>
        <w:t xml:space="preserve"> </w:t>
      </w:r>
      <w:r w:rsidR="0058712B">
        <w:rPr>
          <w:rFonts w:eastAsia="Times New Roman" w:cs="Times New Roman"/>
          <w:color w:val="000000"/>
          <w:szCs w:val="24"/>
        </w:rPr>
        <w:t>to 1,226,021.</w:t>
      </w:r>
    </w:p>
    <w:p w:rsidRPr="00642B6A" w:rsidR="00013AB1" w:rsidP="00D52F91" w:rsidRDefault="00013AB1" w14:paraId="50F422C0" w14:textId="77777777">
      <w:pPr>
        <w:rPr>
          <w:rFonts w:eastAsia="Times New Roman" w:cs="Times New Roman"/>
          <w:color w:val="000000"/>
          <w:szCs w:val="24"/>
        </w:rPr>
      </w:pPr>
    </w:p>
    <w:p w:rsidRPr="00642B6A" w:rsidR="00013AB1" w:rsidP="00FE503D" w:rsidRDefault="00013AB1" w14:paraId="50F422C1" w14:textId="2B8FB5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013AB1" w:rsidP="00FE503D" w:rsidRDefault="00013AB1"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013AB1" w:rsidP="00FE503D" w:rsidRDefault="00013AB1"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013AB1" w:rsidP="00FE503D" w:rsidRDefault="00013AB1"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42EB" w:rsidP="00EF42EB" w:rsidRDefault="005B68FF" w14:paraId="4BDDC133" w14:textId="77777777">
      <w:pPr>
        <w:ind w:firstLine="720"/>
        <w:rPr>
          <w:rFonts w:cs="Times New Roman"/>
          <w:szCs w:val="24"/>
        </w:rPr>
      </w:pPr>
      <w:r w:rsidRPr="00EF42EB">
        <w:rPr>
          <w:rFonts w:eastAsia="Times New Roman" w:cs="Times New Roman"/>
          <w:color w:val="000000"/>
          <w:szCs w:val="24"/>
        </w:rPr>
        <w:t xml:space="preserve">Amended </w:t>
      </w:r>
      <w:r w:rsidRPr="00EF42EB" w:rsidR="00013AB1">
        <w:rPr>
          <w:rFonts w:eastAsia="Times New Roman" w:cs="Times New Roman"/>
          <w:color w:val="000000"/>
          <w:szCs w:val="24"/>
        </w:rPr>
        <w:t>§ 45.3 create</w:t>
      </w:r>
      <w:r w:rsidRPr="00EF42EB">
        <w:rPr>
          <w:rFonts w:eastAsia="Times New Roman" w:cs="Times New Roman"/>
          <w:color w:val="000000"/>
          <w:szCs w:val="24"/>
        </w:rPr>
        <w:t>s</w:t>
      </w:r>
      <w:r w:rsidRPr="00EF42EB" w:rsidR="00013AB1">
        <w:rPr>
          <w:rFonts w:eastAsia="Times New Roman" w:cs="Times New Roman"/>
          <w:color w:val="000000"/>
          <w:szCs w:val="24"/>
        </w:rPr>
        <w:t xml:space="preserve"> costs for SDRs, SEFs, DCMs, and reporting counterparties to update systems for reporting required swap creation data reports. </w:t>
      </w:r>
      <w:r w:rsidRPr="00EF42EB" w:rsidR="00661BB5">
        <w:rPr>
          <w:rFonts w:eastAsia="Times New Roman" w:cs="Times New Roman"/>
          <w:color w:val="000000"/>
          <w:szCs w:val="24"/>
        </w:rPr>
        <w:t>For the proposal, t</w:t>
      </w:r>
      <w:r w:rsidRPr="00EF42EB" w:rsidR="00013AB1">
        <w:rPr>
          <w:rFonts w:eastAsia="Times New Roman" w:cs="Times New Roman"/>
          <w:color w:val="000000"/>
          <w:szCs w:val="24"/>
        </w:rPr>
        <w:t>he Commission estimate</w:t>
      </w:r>
      <w:r w:rsidRPr="00EF42EB" w:rsidR="00661BB5">
        <w:rPr>
          <w:rFonts w:eastAsia="Times New Roman" w:cs="Times New Roman"/>
          <w:color w:val="000000"/>
          <w:szCs w:val="24"/>
        </w:rPr>
        <w:t>d</w:t>
      </w:r>
      <w:r w:rsidRPr="00EF42EB" w:rsidR="00013AB1">
        <w:rPr>
          <w:rFonts w:eastAsia="Times New Roman" w:cs="Times New Roman"/>
          <w:color w:val="000000"/>
          <w:szCs w:val="24"/>
        </w:rPr>
        <w:t xml:space="preserve"> SDRs, SEFs, DCMs, and reporting counterparties </w:t>
      </w:r>
      <w:r w:rsidRPr="00EF42EB" w:rsidR="00661BB5">
        <w:rPr>
          <w:rFonts w:eastAsia="Times New Roman" w:cs="Times New Roman"/>
          <w:color w:val="000000"/>
          <w:szCs w:val="24"/>
        </w:rPr>
        <w:t xml:space="preserve">would </w:t>
      </w:r>
      <w:r w:rsidRPr="00EF42EB" w:rsidR="00013AB1">
        <w:rPr>
          <w:rFonts w:eastAsia="Times New Roman" w:cs="Times New Roman"/>
          <w:color w:val="000000"/>
          <w:szCs w:val="24"/>
        </w:rPr>
        <w:t xml:space="preserve">incur a one-time initial burden of 10 hours per entity to modify their systems to adopt the changes, for a total </w:t>
      </w:r>
      <w:r w:rsidRPr="00EF42EB" w:rsidR="00013AB1">
        <w:rPr>
          <w:rFonts w:eastAsia="Times New Roman" w:cs="Times New Roman"/>
          <w:color w:val="000000"/>
          <w:szCs w:val="24"/>
        </w:rPr>
        <w:lastRenderedPageBreak/>
        <w:t xml:space="preserve">estimated hours burden of 17,320 hours. The cost per entity </w:t>
      </w:r>
      <w:r w:rsidRPr="00EF42EB" w:rsidR="00661BB5">
        <w:rPr>
          <w:rFonts w:eastAsia="Times New Roman" w:cs="Times New Roman"/>
          <w:color w:val="000000"/>
          <w:szCs w:val="24"/>
        </w:rPr>
        <w:t>was</w:t>
      </w:r>
      <w:r w:rsidRPr="00EF42EB" w:rsidR="00301DE9">
        <w:rPr>
          <w:rFonts w:eastAsia="Times New Roman" w:cs="Times New Roman"/>
          <w:color w:val="000000"/>
          <w:szCs w:val="24"/>
        </w:rPr>
        <w:t xml:space="preserve"> estimated to</w:t>
      </w:r>
      <w:r w:rsidRPr="00EF42EB" w:rsidR="00013AB1">
        <w:rPr>
          <w:rFonts w:eastAsia="Times New Roman" w:cs="Times New Roman"/>
          <w:color w:val="000000"/>
          <w:szCs w:val="24"/>
        </w:rPr>
        <w:t xml:space="preserve"> be $722</w:t>
      </w:r>
      <w:r w:rsidRPr="00EF42EB" w:rsidR="009352E0">
        <w:rPr>
          <w:rFonts w:eastAsia="Times New Roman" w:cs="Times New Roman"/>
          <w:color w:val="000000"/>
          <w:szCs w:val="24"/>
        </w:rPr>
        <w:t>.30</w:t>
      </w:r>
      <w:r w:rsidRPr="00EF42EB" w:rsidR="00013AB1">
        <w:rPr>
          <w:rFonts w:eastAsia="Times New Roman" w:cs="Times New Roman"/>
          <w:color w:val="000000"/>
          <w:szCs w:val="24"/>
        </w:rPr>
        <w:t xml:space="preserve"> for a total cost across entities of $1,251,</w:t>
      </w:r>
      <w:r w:rsidRPr="00EF42EB" w:rsidR="006C5058">
        <w:rPr>
          <w:rFonts w:eastAsia="Times New Roman" w:cs="Times New Roman"/>
          <w:color w:val="000000"/>
          <w:szCs w:val="24"/>
        </w:rPr>
        <w:t>024</w:t>
      </w:r>
      <w:r w:rsidRPr="00EF42EB" w:rsidR="00013AB1">
        <w:rPr>
          <w:rFonts w:eastAsia="Times New Roman" w:cs="Times New Roman"/>
          <w:color w:val="000000"/>
          <w:szCs w:val="24"/>
        </w:rPr>
        <w:t xml:space="preserve">. The Commission additionally </w:t>
      </w:r>
      <w:r w:rsidRPr="00EF42EB" w:rsidR="00661BB5">
        <w:rPr>
          <w:rFonts w:eastAsia="Times New Roman" w:cs="Times New Roman"/>
          <w:color w:val="000000"/>
          <w:szCs w:val="24"/>
        </w:rPr>
        <w:t xml:space="preserve">estimated </w:t>
      </w:r>
      <w:r w:rsidRPr="00EF42EB" w:rsidR="00013AB1">
        <w:rPr>
          <w:rFonts w:eastAsia="Times New Roman" w:cs="Times New Roman"/>
          <w:color w:val="000000"/>
          <w:szCs w:val="24"/>
        </w:rPr>
        <w:t>5 hours per entity annually to perform any needed maintenance or adjustments to reporting systems, at a cost of $361</w:t>
      </w:r>
      <w:r w:rsidRPr="00EF42EB" w:rsidR="008E672D">
        <w:rPr>
          <w:rFonts w:eastAsia="Times New Roman" w:cs="Times New Roman"/>
          <w:color w:val="000000"/>
          <w:szCs w:val="24"/>
        </w:rPr>
        <w:t>.15</w:t>
      </w:r>
      <w:r w:rsidRPr="00EF42EB" w:rsidR="00013AB1">
        <w:rPr>
          <w:rFonts w:eastAsia="Times New Roman" w:cs="Times New Roman"/>
          <w:color w:val="000000"/>
          <w:szCs w:val="24"/>
        </w:rPr>
        <w:t xml:space="preserve"> per entity and $625,512 across entities.</w:t>
      </w:r>
      <w:r w:rsidRPr="00EF42EB" w:rsidR="00661BB5">
        <w:rPr>
          <w:rFonts w:eastAsia="Times New Roman" w:cs="Times New Roman"/>
          <w:color w:val="000000"/>
          <w:szCs w:val="24"/>
        </w:rPr>
        <w:t xml:space="preserve"> The Commission has re-evaluated the analysis and </w:t>
      </w:r>
      <w:r w:rsidRPr="00EF42EB" w:rsidR="00274B08">
        <w:rPr>
          <w:rFonts w:eastAsia="Times New Roman" w:cs="Times New Roman"/>
          <w:color w:val="000000"/>
          <w:szCs w:val="24"/>
        </w:rPr>
        <w:t>believes it is more accurate</w:t>
      </w:r>
      <w:r w:rsidRPr="00EF42EB" w:rsidR="00661BB5">
        <w:rPr>
          <w:rFonts w:eastAsia="Times New Roman" w:cs="Times New Roman"/>
          <w:color w:val="000000"/>
          <w:szCs w:val="24"/>
        </w:rPr>
        <w:t xml:space="preserve"> to use the estimates developed by staff in its Offices of the Chief Economist and Data and Technology. Using a wage estimate of between $48 and $101</w:t>
      </w:r>
      <w:r w:rsidR="00661BB5">
        <w:rPr>
          <w:rStyle w:val="FootnoteReference"/>
          <w:rFonts w:eastAsia="Times New Roman" w:cs="Times New Roman"/>
          <w:color w:val="000000"/>
          <w:szCs w:val="24"/>
        </w:rPr>
        <w:footnoteReference w:id="6"/>
      </w:r>
      <w:r w:rsidRPr="00EF42EB" w:rsidR="00661BB5">
        <w:rPr>
          <w:rFonts w:eastAsia="Times New Roman" w:cs="Times New Roman"/>
          <w:color w:val="000000"/>
          <w:szCs w:val="24"/>
        </w:rPr>
        <w:t xml:space="preserve"> per hour, Commission </w:t>
      </w:r>
      <w:r w:rsidRPr="00EF42EB" w:rsidR="00C23268">
        <w:rPr>
          <w:rFonts w:eastAsia="Times New Roman" w:cs="Times New Roman"/>
          <w:color w:val="000000"/>
          <w:szCs w:val="24"/>
        </w:rPr>
        <w:t>staff initially</w:t>
      </w:r>
      <w:r w:rsidR="00EF42EB">
        <w:rPr>
          <w:rFonts w:eastAsia="Times New Roman" w:cs="Times New Roman"/>
          <w:color w:val="000000"/>
          <w:szCs w:val="24"/>
        </w:rPr>
        <w:t xml:space="preserve"> </w:t>
      </w:r>
      <w:r w:rsidRPr="00EF42EB" w:rsidR="00C23268">
        <w:rPr>
          <w:rFonts w:eastAsia="Times New Roman" w:cs="Times New Roman"/>
          <w:color w:val="000000"/>
          <w:szCs w:val="24"/>
        </w:rPr>
        <w:t xml:space="preserve">estimated </w:t>
      </w:r>
      <w:r w:rsidRPr="00EF42EB" w:rsidR="0099223E">
        <w:rPr>
          <w:rFonts w:eastAsia="Times New Roman" w:cs="Times New Roman"/>
          <w:color w:val="000000"/>
          <w:szCs w:val="24"/>
        </w:rPr>
        <w:t xml:space="preserve">a one-time initial </w:t>
      </w:r>
      <w:r w:rsidRPr="00EF42EB" w:rsidR="00661BB5">
        <w:rPr>
          <w:rFonts w:cs="Times New Roman"/>
          <w:szCs w:val="24"/>
        </w:rPr>
        <w:t>cost per SDR to be in a range of $144,000 to $</w:t>
      </w:r>
      <w:r w:rsidRPr="00EF42EB" w:rsidR="00185CB7">
        <w:rPr>
          <w:rFonts w:cs="Times New Roman"/>
          <w:szCs w:val="24"/>
        </w:rPr>
        <w:t>505</w:t>
      </w:r>
      <w:r w:rsidRPr="00EF42EB" w:rsidR="00661BB5">
        <w:rPr>
          <w:rFonts w:cs="Times New Roman"/>
          <w:szCs w:val="24"/>
        </w:rPr>
        <w:t xml:space="preserve">,000, </w:t>
      </w:r>
      <w:r w:rsidRPr="00EF42EB" w:rsidR="002A6B63">
        <w:rPr>
          <w:rFonts w:cs="Times New Roman"/>
          <w:szCs w:val="24"/>
        </w:rPr>
        <w:t xml:space="preserve">based on </w:t>
      </w:r>
      <w:r w:rsidRPr="00EF42EB" w:rsidR="00661BB5">
        <w:rPr>
          <w:rFonts w:cs="Times New Roman"/>
          <w:szCs w:val="24"/>
        </w:rPr>
        <w:t>3,000 to 5,000 hours of work per SDR</w:t>
      </w:r>
      <w:r w:rsidRPr="00EF42EB" w:rsidR="002A6B63">
        <w:rPr>
          <w:rFonts w:cs="Times New Roman"/>
          <w:szCs w:val="24"/>
        </w:rPr>
        <w:t>.</w:t>
      </w:r>
      <w:r w:rsidR="001C2CB9">
        <w:rPr>
          <w:rStyle w:val="FootnoteReference"/>
          <w:rFonts w:cs="Times New Roman"/>
          <w:szCs w:val="24"/>
        </w:rPr>
        <w:footnoteReference w:id="7"/>
      </w:r>
    </w:p>
    <w:p w:rsidR="00EF42EB" w:rsidP="00EF42EB" w:rsidRDefault="00EF42EB" w14:paraId="41B80F64" w14:textId="77777777">
      <w:pPr>
        <w:ind w:firstLine="720"/>
        <w:rPr>
          <w:rFonts w:cs="Times New Roman"/>
          <w:szCs w:val="24"/>
        </w:rPr>
      </w:pPr>
    </w:p>
    <w:p w:rsidRPr="00EF42EB" w:rsidR="00305FA2" w:rsidP="00EF42EB" w:rsidRDefault="002A6B63" w14:paraId="1E2D8259" w14:textId="5ECAB873">
      <w:pPr>
        <w:ind w:firstLine="720"/>
        <w:rPr>
          <w:rFonts w:eastAsia="Times New Roman" w:cs="Times New Roman"/>
          <w:color w:val="000000"/>
          <w:szCs w:val="24"/>
        </w:rPr>
      </w:pPr>
      <w:r w:rsidRPr="00EF42EB">
        <w:rPr>
          <w:rFonts w:cs="Times New Roman"/>
          <w:szCs w:val="24"/>
        </w:rPr>
        <w:t>However</w:t>
      </w:r>
      <w:r w:rsidRPr="00EF42EB" w:rsidR="00185CB7">
        <w:rPr>
          <w:rFonts w:cs="Times New Roman"/>
          <w:szCs w:val="24"/>
        </w:rPr>
        <w:t>, in response to a comment</w:t>
      </w:r>
      <w:r w:rsidRPr="00EF42EB" w:rsidR="00EC3569">
        <w:rPr>
          <w:rFonts w:cs="Times New Roman"/>
          <w:szCs w:val="24"/>
        </w:rPr>
        <w:t xml:space="preserve"> from CME </w:t>
      </w:r>
      <w:r w:rsidRPr="00EF42EB">
        <w:rPr>
          <w:rFonts w:cs="Times New Roman"/>
          <w:szCs w:val="24"/>
        </w:rPr>
        <w:t xml:space="preserve">indicating </w:t>
      </w:r>
      <w:r w:rsidRPr="00EF42EB" w:rsidR="00EC3569">
        <w:rPr>
          <w:rFonts w:cs="Times New Roman"/>
          <w:szCs w:val="24"/>
        </w:rPr>
        <w:t>that it expected its costs to be 8,000 to 10,000 developer hours</w:t>
      </w:r>
      <w:r w:rsidRPr="00EF42EB" w:rsidR="00185CB7">
        <w:rPr>
          <w:rFonts w:cs="Times New Roman"/>
          <w:szCs w:val="24"/>
        </w:rPr>
        <w:t xml:space="preserve">, </w:t>
      </w:r>
      <w:r w:rsidRPr="00EF42EB" w:rsidR="00EC3569">
        <w:rPr>
          <w:rFonts w:cs="Times New Roman"/>
          <w:szCs w:val="24"/>
        </w:rPr>
        <w:t xml:space="preserve">Commission </w:t>
      </w:r>
      <w:r w:rsidRPr="00EF42EB" w:rsidR="00185CB7">
        <w:rPr>
          <w:rFonts w:cs="Times New Roman"/>
          <w:szCs w:val="24"/>
        </w:rPr>
        <w:t xml:space="preserve">staff expanded the range </w:t>
      </w:r>
      <w:r w:rsidRPr="00EF42EB" w:rsidR="00EC3569">
        <w:rPr>
          <w:rFonts w:cs="Times New Roman"/>
          <w:szCs w:val="24"/>
        </w:rPr>
        <w:t xml:space="preserve">of potential costs per SDR </w:t>
      </w:r>
      <w:r w:rsidRPr="00EF42EB">
        <w:rPr>
          <w:rFonts w:cs="Times New Roman"/>
          <w:szCs w:val="24"/>
        </w:rPr>
        <w:t xml:space="preserve">in the adopting release </w:t>
      </w:r>
      <w:r w:rsidRPr="00EF42EB" w:rsidR="00EC3569">
        <w:rPr>
          <w:rFonts w:cs="Times New Roman"/>
          <w:szCs w:val="24"/>
        </w:rPr>
        <w:t>to between $144,000 and $1,010,000 for PRA purposes</w:t>
      </w:r>
      <w:r w:rsidRPr="00EF42EB" w:rsidR="00661BB5">
        <w:rPr>
          <w:rFonts w:cs="Times New Roman"/>
          <w:szCs w:val="24"/>
        </w:rPr>
        <w:t xml:space="preserve">.  </w:t>
      </w:r>
      <w:r w:rsidRPr="00EF42EB" w:rsidR="002364E4">
        <w:rPr>
          <w:rFonts w:cs="Times New Roman"/>
          <w:szCs w:val="24"/>
        </w:rPr>
        <w:t xml:space="preserve">Based on </w:t>
      </w:r>
      <w:r w:rsidRPr="00EF42EB" w:rsidR="00305FA2">
        <w:rPr>
          <w:rFonts w:cs="Times New Roman"/>
          <w:szCs w:val="24"/>
        </w:rPr>
        <w:t>an</w:t>
      </w:r>
      <w:r w:rsidRPr="00EF42EB" w:rsidR="002364E4">
        <w:rPr>
          <w:rFonts w:cs="Times New Roman"/>
          <w:szCs w:val="24"/>
        </w:rPr>
        <w:t xml:space="preserve"> estimated average of $577,000 per SDR to update their systems, </w:t>
      </w:r>
      <w:r w:rsidRPr="00EF42EB" w:rsidR="00305FA2">
        <w:rPr>
          <w:rFonts w:cs="Times New Roman"/>
          <w:szCs w:val="24"/>
        </w:rPr>
        <w:t>the Commission estimates capital/start-up costs of</w:t>
      </w:r>
      <w:r w:rsidRPr="00EF42EB" w:rsidR="002364E4">
        <w:rPr>
          <w:rFonts w:cs="Times New Roman"/>
          <w:szCs w:val="24"/>
        </w:rPr>
        <w:t xml:space="preserve"> $1,731,000 </w:t>
      </w:r>
      <w:r w:rsidRPr="00EF42EB" w:rsidR="00305FA2">
        <w:rPr>
          <w:rFonts w:cs="Times New Roman"/>
          <w:szCs w:val="24"/>
        </w:rPr>
        <w:t xml:space="preserve">across </w:t>
      </w:r>
      <w:r w:rsidRPr="00EF42EB" w:rsidR="002364E4">
        <w:rPr>
          <w:rFonts w:cs="Times New Roman"/>
          <w:szCs w:val="24"/>
        </w:rPr>
        <w:t>all 3 SDRs</w:t>
      </w:r>
      <w:r w:rsidRPr="00EF42EB" w:rsidR="00305FA2">
        <w:rPr>
          <w:rFonts w:cs="Times New Roman"/>
          <w:szCs w:val="24"/>
        </w:rPr>
        <w:t>.</w:t>
      </w:r>
    </w:p>
    <w:p w:rsidR="00EF42EB" w:rsidP="00EF42EB" w:rsidRDefault="00EF42EB" w14:paraId="6FCCF023" w14:textId="77777777">
      <w:pPr>
        <w:rPr>
          <w:rFonts w:cs="Times New Roman"/>
          <w:szCs w:val="24"/>
        </w:rPr>
      </w:pPr>
    </w:p>
    <w:p w:rsidRPr="00EF42EB" w:rsidR="009806AE" w:rsidP="00EF42EB" w:rsidRDefault="002A6B63" w14:paraId="60041084" w14:textId="620E2353">
      <w:pPr>
        <w:ind w:firstLine="720"/>
        <w:rPr>
          <w:rFonts w:cs="Times New Roman"/>
          <w:szCs w:val="24"/>
        </w:rPr>
      </w:pPr>
      <w:r w:rsidRPr="00EF42EB">
        <w:rPr>
          <w:rFonts w:cs="Times New Roman"/>
          <w:szCs w:val="24"/>
        </w:rPr>
        <w:t>With regard to reporting entities, t</w:t>
      </w:r>
      <w:r w:rsidRPr="00EF42EB" w:rsidR="00661BB5">
        <w:rPr>
          <w:rFonts w:cs="Times New Roman"/>
          <w:szCs w:val="24"/>
        </w:rPr>
        <w:t xml:space="preserve">he Commission </w:t>
      </w:r>
      <w:r w:rsidRPr="00EF42EB" w:rsidR="009806AE">
        <w:rPr>
          <w:rFonts w:cs="Times New Roman"/>
          <w:szCs w:val="24"/>
        </w:rPr>
        <w:t xml:space="preserve">estimated </w:t>
      </w:r>
      <w:r w:rsidRPr="00EF42EB" w:rsidR="0099223E">
        <w:rPr>
          <w:rFonts w:cs="Times New Roman"/>
          <w:szCs w:val="24"/>
        </w:rPr>
        <w:t xml:space="preserve">a one-time initial </w:t>
      </w:r>
      <w:r w:rsidRPr="00EF42EB" w:rsidR="00661BB5">
        <w:rPr>
          <w:rFonts w:cs="Times New Roman"/>
          <w:szCs w:val="24"/>
        </w:rPr>
        <w:t>cost per reporting entity to be in a range of $24,000 to $73,225, at 500 to 725 hours per entity.</w:t>
      </w:r>
      <w:r w:rsidR="00F068C1">
        <w:rPr>
          <w:rStyle w:val="FootnoteReference"/>
          <w:rFonts w:cs="Times New Roman"/>
          <w:szCs w:val="24"/>
        </w:rPr>
        <w:footnoteReference w:id="8"/>
      </w:r>
      <w:r w:rsidRPr="00EF42EB" w:rsidR="001868AC">
        <w:rPr>
          <w:rFonts w:cs="Times New Roman"/>
          <w:szCs w:val="24"/>
        </w:rPr>
        <w:t xml:space="preserve"> </w:t>
      </w:r>
      <w:r w:rsidRPr="00EF42EB" w:rsidR="00B61B54">
        <w:rPr>
          <w:rFonts w:cs="Times New Roman"/>
          <w:szCs w:val="24"/>
        </w:rPr>
        <w:t xml:space="preserve">Rather than base the Commission’s PRA estimates of the total upfront implementation cost for reporting entities on arithmetic averages, the Commission recognized </w:t>
      </w:r>
      <w:r w:rsidRPr="00EF42EB" w:rsidR="00B61B54">
        <w:rPr>
          <w:rFonts w:cs="Times New Roman"/>
          <w:iCs/>
          <w:szCs w:val="24"/>
        </w:rPr>
        <w:t xml:space="preserve">that reporting entities are already subject to existing swaps data reporting and recordkeeping obligations pursuant to Part 45, so it is likely that reporting entities will only need to reprogram their existing reporting systems, instead of building new reporting systems, to comply with the final rule. Furthermore, through the Commission’s </w:t>
      </w:r>
      <w:r w:rsidRPr="00EF42EB" w:rsidR="00B6518E">
        <w:rPr>
          <w:rFonts w:cs="Times New Roman"/>
          <w:iCs/>
          <w:szCs w:val="24"/>
        </w:rPr>
        <w:t>eight</w:t>
      </w:r>
      <w:r w:rsidRPr="00EF42EB" w:rsidR="00B61B54">
        <w:rPr>
          <w:rFonts w:cs="Times New Roman"/>
          <w:iCs/>
          <w:szCs w:val="24"/>
        </w:rPr>
        <w:t xml:space="preserve"> years of experience in administering Part 45, the Commission believes that the </w:t>
      </w:r>
      <w:r w:rsidRPr="00EF42EB" w:rsidR="00B61B54">
        <w:rPr>
          <w:rFonts w:cs="Times New Roman"/>
          <w:szCs w:val="24"/>
        </w:rPr>
        <w:t xml:space="preserve">1,732 reporting entities are a relatively consistent group, such that most entities that are currently reporting entities under </w:t>
      </w:r>
      <w:r w:rsidRPr="00EF42EB" w:rsidR="00B61B54">
        <w:rPr>
          <w:rFonts w:cs="Times New Roman"/>
          <w:iCs/>
          <w:szCs w:val="24"/>
        </w:rPr>
        <w:t xml:space="preserve">Part 45 will continue to be reporting entities under the final rule, and few entities that are not currently reporting </w:t>
      </w:r>
      <w:r w:rsidRPr="00EF42EB" w:rsidR="00B61B54">
        <w:rPr>
          <w:rFonts w:cs="Times New Roman"/>
          <w:szCs w:val="24"/>
        </w:rPr>
        <w:t xml:space="preserve">entities under </w:t>
      </w:r>
      <w:r w:rsidRPr="00EF42EB" w:rsidR="00B61B54">
        <w:rPr>
          <w:rFonts w:cs="Times New Roman"/>
          <w:iCs/>
          <w:szCs w:val="24"/>
        </w:rPr>
        <w:t xml:space="preserve">Part 45 will become reporting entities under the </w:t>
      </w:r>
      <w:r w:rsidR="00A74EAE">
        <w:rPr>
          <w:rFonts w:cs="Times New Roman"/>
          <w:iCs/>
          <w:szCs w:val="24"/>
        </w:rPr>
        <w:t>final r</w:t>
      </w:r>
      <w:r w:rsidRPr="00EF42EB" w:rsidR="00B61B54">
        <w:rPr>
          <w:rFonts w:cs="Times New Roman"/>
          <w:iCs/>
          <w:szCs w:val="24"/>
        </w:rPr>
        <w:t xml:space="preserve">ule.  Because most reporting entities will only need to reprogram their existing reporting systems, the Commission believes that the upfront cost to reporting entities to implement the final rule will be on the lower end of the range, closer to $24,000 than to </w:t>
      </w:r>
      <w:r w:rsidRPr="00EF42EB" w:rsidR="00B61B54">
        <w:rPr>
          <w:rFonts w:cs="Times New Roman"/>
          <w:szCs w:val="24"/>
        </w:rPr>
        <w:t>$73,225</w:t>
      </w:r>
      <w:r w:rsidRPr="00EF42EB" w:rsidR="00B61B54">
        <w:rPr>
          <w:rFonts w:cs="Times New Roman"/>
          <w:iCs/>
          <w:szCs w:val="24"/>
        </w:rPr>
        <w:t xml:space="preserve">.  Therefore, </w:t>
      </w:r>
      <w:r w:rsidRPr="00EF42EB" w:rsidR="00B61B54">
        <w:rPr>
          <w:rFonts w:cs="Times New Roman"/>
          <w:szCs w:val="24"/>
        </w:rPr>
        <w:t xml:space="preserve">the Commission based its PRA estimates on a more realistic split of 90%/10% between existing reporting entities and new reporting entities, which results in a weighted average cost of $28,923 per reporting entity ($24,000*0.9 + $73,225*0.1), or a total upfront implementation cost of $50,094,636 for the 1,732 reporting entities.  </w:t>
      </w:r>
    </w:p>
    <w:p w:rsidR="009806AE" w:rsidP="00B61B54" w:rsidRDefault="009806AE" w14:paraId="36D15323" w14:textId="77777777">
      <w:pPr>
        <w:pStyle w:val="ListParagraph"/>
        <w:ind w:left="936"/>
        <w:rPr>
          <w:rFonts w:cs="Times New Roman"/>
          <w:szCs w:val="24"/>
        </w:rPr>
      </w:pPr>
    </w:p>
    <w:p w:rsidRPr="00EF42EB" w:rsidR="00013AB1" w:rsidP="00EF42EB" w:rsidRDefault="00B61B54" w14:paraId="157A3524" w14:textId="2676C864">
      <w:pPr>
        <w:ind w:firstLine="720"/>
        <w:rPr>
          <w:rFonts w:eastAsia="Times New Roman" w:cs="Times New Roman"/>
          <w:color w:val="000000"/>
          <w:szCs w:val="24"/>
        </w:rPr>
      </w:pPr>
      <w:r w:rsidRPr="00EF42EB">
        <w:rPr>
          <w:rFonts w:cs="Times New Roman"/>
          <w:szCs w:val="24"/>
        </w:rPr>
        <w:lastRenderedPageBreak/>
        <w:t>The total aggregate upfront implementation cost is $51,825,636 ($50,094,636 for reporting entities and $1,731,000 for SDRs).</w:t>
      </w:r>
      <w:r w:rsidRPr="00EF42EB" w:rsidR="009806AE">
        <w:rPr>
          <w:rFonts w:cs="Times New Roman"/>
          <w:szCs w:val="24"/>
        </w:rPr>
        <w:t xml:space="preserve">  </w:t>
      </w:r>
      <w:r w:rsidRPr="00EF42EB" w:rsidR="001868AC">
        <w:rPr>
          <w:rFonts w:cs="Times New Roman"/>
          <w:szCs w:val="24"/>
        </w:rPr>
        <w:t>The Commission does not expect any ongoing costs</w:t>
      </w:r>
      <w:r w:rsidRPr="00EF42EB" w:rsidR="00305FA2">
        <w:rPr>
          <w:rFonts w:cs="Times New Roman"/>
          <w:szCs w:val="24"/>
        </w:rPr>
        <w:t xml:space="preserve"> for SDRs or reporting entities</w:t>
      </w:r>
      <w:r w:rsidRPr="00EF42EB" w:rsidR="001868AC">
        <w:rPr>
          <w:rFonts w:cs="Times New Roman"/>
          <w:szCs w:val="24"/>
        </w:rPr>
        <w:t xml:space="preserve"> after the initial builds.</w:t>
      </w:r>
    </w:p>
    <w:p w:rsidRPr="0004053D" w:rsidR="00013AB1" w:rsidP="0004053D" w:rsidRDefault="00013AB1" w14:paraId="35F0EB31" w14:textId="77777777">
      <w:pPr>
        <w:rPr>
          <w:rFonts w:eastAsia="Times New Roman" w:cs="Times New Roman"/>
          <w:color w:val="000000"/>
          <w:szCs w:val="24"/>
        </w:rPr>
      </w:pPr>
    </w:p>
    <w:p w:rsidRPr="00EF42EB" w:rsidR="00013AB1" w:rsidP="00EF42EB" w:rsidRDefault="005B68FF" w14:paraId="441AAAB4" w14:textId="01A37A19">
      <w:pPr>
        <w:ind w:firstLine="720"/>
        <w:rPr>
          <w:rFonts w:eastAsia="Times New Roman" w:cs="Times New Roman"/>
          <w:color w:val="000000"/>
          <w:szCs w:val="24"/>
        </w:rPr>
      </w:pPr>
      <w:r w:rsidRPr="00EF42EB">
        <w:rPr>
          <w:rFonts w:eastAsia="Times New Roman" w:cs="Times New Roman"/>
          <w:color w:val="000000"/>
          <w:szCs w:val="24"/>
        </w:rPr>
        <w:t xml:space="preserve">Amended </w:t>
      </w:r>
      <w:r w:rsidRPr="00EF42EB" w:rsidR="00013AB1">
        <w:rPr>
          <w:rFonts w:eastAsia="Times New Roman" w:cs="Times New Roman"/>
          <w:color w:val="000000"/>
          <w:szCs w:val="24"/>
        </w:rPr>
        <w:t>§ 45.4 create</w:t>
      </w:r>
      <w:r w:rsidRPr="00EF42EB">
        <w:rPr>
          <w:rFonts w:eastAsia="Times New Roman" w:cs="Times New Roman"/>
          <w:color w:val="000000"/>
          <w:szCs w:val="24"/>
        </w:rPr>
        <w:t>s</w:t>
      </w:r>
      <w:r w:rsidRPr="00EF42EB" w:rsidR="00013AB1">
        <w:rPr>
          <w:rFonts w:eastAsia="Times New Roman" w:cs="Times New Roman"/>
          <w:color w:val="000000"/>
          <w:szCs w:val="24"/>
        </w:rPr>
        <w:t xml:space="preserve"> costs for SDRs and reporting counterparties to update systems for reporting required swap continuation data. </w:t>
      </w:r>
      <w:r w:rsidRPr="00EF42EB" w:rsidR="00661BB5">
        <w:rPr>
          <w:rFonts w:eastAsia="Times New Roman" w:cs="Times New Roman"/>
          <w:color w:val="000000"/>
          <w:szCs w:val="24"/>
        </w:rPr>
        <w:t>For the proposal, t</w:t>
      </w:r>
      <w:r w:rsidRPr="00EF42EB" w:rsidR="00013AB1">
        <w:rPr>
          <w:rFonts w:eastAsia="Times New Roman" w:cs="Times New Roman"/>
          <w:color w:val="000000"/>
          <w:szCs w:val="24"/>
        </w:rPr>
        <w:t>he Commission estimate</w:t>
      </w:r>
      <w:r w:rsidRPr="00EF42EB" w:rsidR="00661BB5">
        <w:rPr>
          <w:rFonts w:eastAsia="Times New Roman" w:cs="Times New Roman"/>
          <w:color w:val="000000"/>
          <w:szCs w:val="24"/>
        </w:rPr>
        <w:t>d</w:t>
      </w:r>
      <w:r w:rsidRPr="00EF42EB" w:rsidR="00013AB1">
        <w:rPr>
          <w:rFonts w:eastAsia="Times New Roman" w:cs="Times New Roman"/>
          <w:color w:val="000000"/>
          <w:szCs w:val="24"/>
        </w:rPr>
        <w:t xml:space="preserve"> SDRs and reporting counterparties </w:t>
      </w:r>
      <w:r w:rsidRPr="00EF42EB" w:rsidR="00661BB5">
        <w:rPr>
          <w:rFonts w:eastAsia="Times New Roman" w:cs="Times New Roman"/>
          <w:color w:val="000000"/>
          <w:szCs w:val="24"/>
        </w:rPr>
        <w:t xml:space="preserve">would </w:t>
      </w:r>
      <w:r w:rsidRPr="00EF42EB" w:rsidR="00013AB1">
        <w:rPr>
          <w:rFonts w:eastAsia="Times New Roman" w:cs="Times New Roman"/>
          <w:color w:val="000000"/>
          <w:szCs w:val="24"/>
        </w:rPr>
        <w:t xml:space="preserve">incur a one-time initial burden of 10 hours per entity to modify their systems to adopt the changes described below, for a total estimated hours burden of 17,050 hours. The cost per entity </w:t>
      </w:r>
      <w:r w:rsidRPr="00EF42EB" w:rsidR="00661BB5">
        <w:rPr>
          <w:rFonts w:eastAsia="Times New Roman" w:cs="Times New Roman"/>
          <w:color w:val="000000"/>
          <w:szCs w:val="24"/>
        </w:rPr>
        <w:t xml:space="preserve">was </w:t>
      </w:r>
      <w:r w:rsidRPr="00EF42EB" w:rsidR="00301DE9">
        <w:rPr>
          <w:rFonts w:eastAsia="Times New Roman" w:cs="Times New Roman"/>
          <w:color w:val="000000"/>
          <w:szCs w:val="24"/>
        </w:rPr>
        <w:t>estimated to</w:t>
      </w:r>
      <w:r w:rsidRPr="00EF42EB" w:rsidR="00013AB1">
        <w:rPr>
          <w:rFonts w:eastAsia="Times New Roman" w:cs="Times New Roman"/>
          <w:color w:val="000000"/>
          <w:szCs w:val="24"/>
        </w:rPr>
        <w:t xml:space="preserve"> be $722</w:t>
      </w:r>
      <w:r w:rsidRPr="00EF42EB" w:rsidR="005A7466">
        <w:rPr>
          <w:rFonts w:eastAsia="Times New Roman" w:cs="Times New Roman"/>
          <w:color w:val="000000"/>
          <w:szCs w:val="24"/>
        </w:rPr>
        <w:t>.30</w:t>
      </w:r>
      <w:r w:rsidRPr="00EF42EB" w:rsidR="00013AB1">
        <w:rPr>
          <w:rFonts w:eastAsia="Times New Roman" w:cs="Times New Roman"/>
          <w:color w:val="000000"/>
          <w:szCs w:val="24"/>
        </w:rPr>
        <w:t xml:space="preserve"> for a total cost across entities of $1,231,522. The Commission additionally estimate</w:t>
      </w:r>
      <w:r w:rsidRPr="00EF42EB" w:rsidR="00661BB5">
        <w:rPr>
          <w:rFonts w:eastAsia="Times New Roman" w:cs="Times New Roman"/>
          <w:color w:val="000000"/>
          <w:szCs w:val="24"/>
        </w:rPr>
        <w:t>d</w:t>
      </w:r>
      <w:r w:rsidRPr="00EF42EB" w:rsidR="00013AB1">
        <w:rPr>
          <w:rFonts w:eastAsia="Times New Roman" w:cs="Times New Roman"/>
          <w:color w:val="000000"/>
          <w:szCs w:val="24"/>
        </w:rPr>
        <w:t xml:space="preserve"> 5 hours per entity annually to perform any needed maintenance or adjustments to reporting systems, at a cost of $361</w:t>
      </w:r>
      <w:r w:rsidRPr="00EF42EB" w:rsidR="008E672D">
        <w:rPr>
          <w:rFonts w:eastAsia="Times New Roman" w:cs="Times New Roman"/>
          <w:color w:val="000000"/>
          <w:szCs w:val="24"/>
        </w:rPr>
        <w:t>.15</w:t>
      </w:r>
      <w:r w:rsidRPr="00EF42EB" w:rsidR="00013AB1">
        <w:rPr>
          <w:rFonts w:eastAsia="Times New Roman" w:cs="Times New Roman"/>
          <w:color w:val="000000"/>
          <w:szCs w:val="24"/>
        </w:rPr>
        <w:t xml:space="preserve"> per entity and $615,</w:t>
      </w:r>
      <w:r w:rsidRPr="00EF42EB" w:rsidR="008E672D">
        <w:rPr>
          <w:rFonts w:eastAsia="Times New Roman" w:cs="Times New Roman"/>
          <w:color w:val="000000"/>
          <w:szCs w:val="24"/>
        </w:rPr>
        <w:t xml:space="preserve">761 </w:t>
      </w:r>
      <w:r w:rsidRPr="00EF42EB" w:rsidR="00013AB1">
        <w:rPr>
          <w:rFonts w:eastAsia="Times New Roman" w:cs="Times New Roman"/>
          <w:color w:val="000000"/>
          <w:szCs w:val="24"/>
        </w:rPr>
        <w:t>across entities.</w:t>
      </w:r>
      <w:r w:rsidRPr="00EF42EB" w:rsidR="001868AC">
        <w:rPr>
          <w:rFonts w:eastAsia="Times New Roman" w:cs="Times New Roman"/>
          <w:color w:val="000000"/>
          <w:szCs w:val="24"/>
        </w:rPr>
        <w:t xml:space="preserve">  However, after re-evaluating the analysis based on the estimates developed by staff in the Offices of the Chief Economist and Data and Technology, the Commission now believes since these costs relate to reporting certain swap data elements, they are covered in the start-up and initial costs for § 45.3 described above.  To avoid double-counting, the Commission is removing the estimates for § 45.4 from </w:t>
      </w:r>
      <w:r w:rsidRPr="00EF42EB" w:rsidR="002220B8">
        <w:rPr>
          <w:rFonts w:eastAsia="Times New Roman" w:cs="Times New Roman"/>
          <w:color w:val="000000"/>
          <w:szCs w:val="24"/>
        </w:rPr>
        <w:t>A</w:t>
      </w:r>
      <w:r w:rsidRPr="00EF42EB" w:rsidR="001868AC">
        <w:rPr>
          <w:rFonts w:eastAsia="Times New Roman" w:cs="Times New Roman"/>
          <w:color w:val="000000"/>
          <w:szCs w:val="24"/>
        </w:rPr>
        <w:t>ttachment B.</w:t>
      </w:r>
    </w:p>
    <w:p w:rsidRPr="0004053D" w:rsidR="00013AB1" w:rsidP="0004053D" w:rsidRDefault="00013AB1" w14:paraId="73BB05A6" w14:textId="77777777">
      <w:pPr>
        <w:pStyle w:val="ListParagraph"/>
        <w:rPr>
          <w:rFonts w:eastAsia="Times New Roman" w:cs="Times New Roman"/>
          <w:color w:val="000000"/>
          <w:szCs w:val="24"/>
        </w:rPr>
      </w:pPr>
    </w:p>
    <w:p w:rsidRPr="00EF42EB" w:rsidR="00013AB1" w:rsidP="00EF42EB" w:rsidRDefault="009D5F7C" w14:paraId="24D0EB5A" w14:textId="3CE457BA">
      <w:pPr>
        <w:ind w:firstLine="720"/>
        <w:rPr>
          <w:rFonts w:eastAsia="Times New Roman" w:cs="Times New Roman"/>
          <w:color w:val="000000"/>
          <w:szCs w:val="24"/>
        </w:rPr>
      </w:pPr>
      <w:r w:rsidRPr="00EF42EB">
        <w:rPr>
          <w:rFonts w:eastAsia="Times New Roman" w:cs="Times New Roman"/>
          <w:color w:val="000000"/>
          <w:szCs w:val="24"/>
        </w:rPr>
        <w:t>Amended</w:t>
      </w:r>
      <w:r w:rsidRPr="00EF42EB" w:rsidR="00013AB1">
        <w:rPr>
          <w:rFonts w:eastAsia="Times New Roman" w:cs="Times New Roman"/>
          <w:color w:val="000000"/>
          <w:szCs w:val="24"/>
        </w:rPr>
        <w:t xml:space="preserve"> § 45.5 create</w:t>
      </w:r>
      <w:r w:rsidRPr="00EF42EB" w:rsidR="005B68FF">
        <w:rPr>
          <w:rFonts w:eastAsia="Times New Roman" w:cs="Times New Roman"/>
          <w:color w:val="000000"/>
          <w:szCs w:val="24"/>
        </w:rPr>
        <w:t>s</w:t>
      </w:r>
      <w:r w:rsidRPr="00EF42EB" w:rsidR="00013AB1">
        <w:rPr>
          <w:rFonts w:eastAsia="Times New Roman" w:cs="Times New Roman"/>
          <w:color w:val="000000"/>
          <w:szCs w:val="24"/>
        </w:rPr>
        <w:t xml:space="preserve"> costs for entities required to generate USIs to update their systems to generate UTIs. The Commission estimates that SDRs and reporting counterparties required to generate UTIs </w:t>
      </w:r>
      <w:r w:rsidRPr="00EF42EB" w:rsidR="00301DE9">
        <w:rPr>
          <w:rFonts w:eastAsia="Times New Roman" w:cs="Times New Roman"/>
          <w:color w:val="000000"/>
          <w:szCs w:val="24"/>
        </w:rPr>
        <w:t>will</w:t>
      </w:r>
      <w:r w:rsidRPr="00EF42EB" w:rsidR="00013AB1">
        <w:rPr>
          <w:rFonts w:eastAsia="Times New Roman" w:cs="Times New Roman"/>
          <w:color w:val="000000"/>
          <w:szCs w:val="24"/>
        </w:rPr>
        <w:t xml:space="preserve"> incur a one-time initial burden of 1 hour per entity to modify their systems to adopt the changes described below, for a total estimated hours burden of 940 hours. The cost per entity </w:t>
      </w:r>
      <w:r w:rsidRPr="00EF42EB" w:rsidR="00301DE9">
        <w:rPr>
          <w:rFonts w:eastAsia="Times New Roman" w:cs="Times New Roman"/>
          <w:color w:val="000000"/>
          <w:szCs w:val="24"/>
        </w:rPr>
        <w:t>is estimated to</w:t>
      </w:r>
      <w:r w:rsidRPr="00EF42EB" w:rsidR="00013AB1">
        <w:rPr>
          <w:rFonts w:eastAsia="Times New Roman" w:cs="Times New Roman"/>
          <w:color w:val="000000"/>
          <w:szCs w:val="24"/>
        </w:rPr>
        <w:t xml:space="preserve"> be $72</w:t>
      </w:r>
      <w:r w:rsidRPr="00EF42EB" w:rsidR="005A7466">
        <w:rPr>
          <w:rFonts w:eastAsia="Times New Roman" w:cs="Times New Roman"/>
          <w:color w:val="000000"/>
          <w:szCs w:val="24"/>
        </w:rPr>
        <w:t>.</w:t>
      </w:r>
      <w:r w:rsidRPr="00EF42EB" w:rsidR="006C5058">
        <w:rPr>
          <w:rFonts w:eastAsia="Times New Roman" w:cs="Times New Roman"/>
          <w:color w:val="000000"/>
          <w:szCs w:val="24"/>
        </w:rPr>
        <w:t>23</w:t>
      </w:r>
      <w:r w:rsidRPr="00EF42EB" w:rsidR="00013AB1">
        <w:rPr>
          <w:rFonts w:eastAsia="Times New Roman" w:cs="Times New Roman"/>
          <w:color w:val="000000"/>
          <w:szCs w:val="24"/>
        </w:rPr>
        <w:t xml:space="preserve"> for a total cost across entities of $67,896. The Commission </w:t>
      </w:r>
      <w:r w:rsidRPr="00EF42EB" w:rsidR="001868AC">
        <w:rPr>
          <w:rFonts w:eastAsia="Times New Roman" w:cs="Times New Roman"/>
          <w:color w:val="000000"/>
          <w:szCs w:val="24"/>
        </w:rPr>
        <w:t xml:space="preserve">had </w:t>
      </w:r>
      <w:r w:rsidRPr="00EF42EB" w:rsidR="00013AB1">
        <w:rPr>
          <w:rFonts w:eastAsia="Times New Roman" w:cs="Times New Roman"/>
          <w:color w:val="000000"/>
          <w:szCs w:val="24"/>
        </w:rPr>
        <w:t>additionally estimate</w:t>
      </w:r>
      <w:r w:rsidRPr="00EF42EB" w:rsidR="001868AC">
        <w:rPr>
          <w:rFonts w:eastAsia="Times New Roman" w:cs="Times New Roman"/>
          <w:color w:val="000000"/>
          <w:szCs w:val="24"/>
        </w:rPr>
        <w:t>d</w:t>
      </w:r>
      <w:r w:rsidRPr="00EF42EB" w:rsidR="00013AB1">
        <w:rPr>
          <w:rFonts w:eastAsia="Times New Roman" w:cs="Times New Roman"/>
          <w:color w:val="000000"/>
          <w:szCs w:val="24"/>
        </w:rPr>
        <w:t xml:space="preserve"> 1 hour per entity annually to perform any needed maintenance or adjustments to reporting systems, at a cost of </w:t>
      </w:r>
      <w:r w:rsidRPr="00EF42EB" w:rsidR="00063137">
        <w:rPr>
          <w:rFonts w:eastAsia="Times New Roman" w:cs="Times New Roman"/>
          <w:color w:val="000000"/>
          <w:szCs w:val="24"/>
        </w:rPr>
        <w:t xml:space="preserve">$72.23 </w:t>
      </w:r>
      <w:r w:rsidRPr="00EF42EB" w:rsidR="00013AB1">
        <w:rPr>
          <w:rFonts w:eastAsia="Times New Roman" w:cs="Times New Roman"/>
          <w:color w:val="000000"/>
          <w:szCs w:val="24"/>
        </w:rPr>
        <w:t xml:space="preserve">per entity and </w:t>
      </w:r>
      <w:r w:rsidRPr="00EF42EB" w:rsidR="00063137">
        <w:rPr>
          <w:rFonts w:eastAsia="Times New Roman" w:cs="Times New Roman"/>
          <w:color w:val="000000"/>
          <w:szCs w:val="24"/>
        </w:rPr>
        <w:t>$67,896</w:t>
      </w:r>
      <w:r w:rsidRPr="00EF42EB" w:rsidR="00013AB1">
        <w:rPr>
          <w:rFonts w:eastAsia="Times New Roman" w:cs="Times New Roman"/>
          <w:color w:val="000000"/>
          <w:szCs w:val="24"/>
        </w:rPr>
        <w:t xml:space="preserve"> across entities.</w:t>
      </w:r>
    </w:p>
    <w:p w:rsidRPr="00B013A2" w:rsidR="00B013A2" w:rsidP="00B013A2" w:rsidRDefault="00B013A2" w14:paraId="53CC685C" w14:textId="7526134D">
      <w:pPr>
        <w:pStyle w:val="ListParagraph"/>
        <w:rPr>
          <w:rFonts w:eastAsia="Times New Roman" w:cs="Times New Roman"/>
          <w:color w:val="000000"/>
          <w:szCs w:val="24"/>
        </w:rPr>
      </w:pPr>
    </w:p>
    <w:p w:rsidRPr="00642B6A" w:rsidR="00013AB1" w:rsidP="008A33C6" w:rsidRDefault="00B013A2" w14:paraId="765597F1" w14:textId="6B5758ED">
      <w:pPr>
        <w:tabs>
          <w:tab w:val="left" w:pos="-720"/>
        </w:tabs>
        <w:spacing w:after="240"/>
        <w:ind w:firstLine="810"/>
        <w:rPr>
          <w:rFonts w:eastAsia="Times New Roman" w:cs="Times New Roman"/>
          <w:color w:val="000000"/>
          <w:szCs w:val="24"/>
        </w:rPr>
      </w:pPr>
      <w:r>
        <w:rPr>
          <w:rFonts w:eastAsia="Times New Roman" w:cs="Times New Roman"/>
          <w:color w:val="000000"/>
          <w:szCs w:val="24"/>
        </w:rPr>
        <w:t xml:space="preserve">The </w:t>
      </w:r>
      <w:r w:rsidR="00434EC3">
        <w:rPr>
          <w:rFonts w:eastAsia="Times New Roman" w:cs="Times New Roman"/>
          <w:color w:val="000000"/>
          <w:szCs w:val="24"/>
        </w:rPr>
        <w:t>total capital/start-up costs</w:t>
      </w:r>
      <w:r>
        <w:rPr>
          <w:rFonts w:eastAsia="Times New Roman" w:cs="Times New Roman"/>
          <w:color w:val="000000"/>
          <w:szCs w:val="24"/>
        </w:rPr>
        <w:t xml:space="preserve"> for </w:t>
      </w:r>
      <w:bookmarkStart w:name="_Hlk54271690" w:id="2"/>
      <w:r w:rsidRPr="00B013A2">
        <w:rPr>
          <w:rFonts w:eastAsia="Times New Roman" w:cs="Times New Roman"/>
          <w:color w:val="000000"/>
          <w:szCs w:val="24"/>
        </w:rPr>
        <w:t>§ 45.3</w:t>
      </w:r>
      <w:r w:rsidR="00424C70">
        <w:rPr>
          <w:rFonts w:eastAsia="Times New Roman" w:cs="Times New Roman"/>
          <w:color w:val="000000"/>
          <w:szCs w:val="24"/>
        </w:rPr>
        <w:t xml:space="preserve"> </w:t>
      </w:r>
      <w:bookmarkEnd w:id="2"/>
      <w:r w:rsidR="00424C70">
        <w:rPr>
          <w:rFonts w:eastAsia="Times New Roman" w:cs="Times New Roman"/>
          <w:color w:val="000000"/>
          <w:szCs w:val="24"/>
        </w:rPr>
        <w:t xml:space="preserve">and </w:t>
      </w:r>
      <w:r w:rsidRPr="00424C70" w:rsidR="00424C70">
        <w:rPr>
          <w:rFonts w:eastAsia="Times New Roman" w:cs="Times New Roman"/>
          <w:color w:val="000000"/>
          <w:szCs w:val="24"/>
        </w:rPr>
        <w:t>§ 45.</w:t>
      </w:r>
      <w:r w:rsidR="00424C70">
        <w:rPr>
          <w:rFonts w:eastAsia="Times New Roman" w:cs="Times New Roman"/>
          <w:color w:val="000000"/>
          <w:szCs w:val="24"/>
        </w:rPr>
        <w:t xml:space="preserve">5, as well as operational/maintenance costs for </w:t>
      </w:r>
      <w:r w:rsidRPr="00424C70" w:rsidR="00424C70">
        <w:rPr>
          <w:rFonts w:eastAsia="Times New Roman" w:cs="Times New Roman"/>
          <w:color w:val="000000"/>
          <w:szCs w:val="24"/>
        </w:rPr>
        <w:t>§ 45.</w:t>
      </w:r>
      <w:r w:rsidR="00424C70">
        <w:rPr>
          <w:rFonts w:eastAsia="Times New Roman" w:cs="Times New Roman"/>
          <w:color w:val="000000"/>
          <w:szCs w:val="24"/>
        </w:rPr>
        <w:t>5,</w:t>
      </w:r>
      <w:r w:rsidR="000D45E4">
        <w:rPr>
          <w:rFonts w:eastAsia="Times New Roman" w:cs="Times New Roman"/>
          <w:color w:val="000000"/>
          <w:szCs w:val="24"/>
        </w:rPr>
        <w:t xml:space="preserve"> </w:t>
      </w:r>
      <w:r>
        <w:rPr>
          <w:rFonts w:eastAsia="Times New Roman" w:cs="Times New Roman"/>
          <w:color w:val="000000"/>
          <w:szCs w:val="24"/>
        </w:rPr>
        <w:t xml:space="preserve">are </w:t>
      </w:r>
      <w:r w:rsidR="00244BFB">
        <w:rPr>
          <w:rFonts w:eastAsia="Times New Roman" w:cs="Times New Roman"/>
          <w:color w:val="000000"/>
          <w:szCs w:val="24"/>
        </w:rPr>
        <w:t>shown</w:t>
      </w:r>
      <w:r>
        <w:rPr>
          <w:rFonts w:eastAsia="Times New Roman" w:cs="Times New Roman"/>
          <w:color w:val="000000"/>
          <w:szCs w:val="24"/>
        </w:rPr>
        <w:t xml:space="preserve"> in </w:t>
      </w:r>
      <w:r w:rsidR="00E017AE">
        <w:rPr>
          <w:rFonts w:eastAsia="Times New Roman" w:cs="Times New Roman"/>
          <w:color w:val="000000"/>
          <w:szCs w:val="24"/>
        </w:rPr>
        <w:t xml:space="preserve">the table in </w:t>
      </w:r>
      <w:r>
        <w:rPr>
          <w:rFonts w:eastAsia="Times New Roman" w:cs="Times New Roman"/>
          <w:color w:val="000000"/>
          <w:szCs w:val="24"/>
        </w:rPr>
        <w:t xml:space="preserve">Attachment </w:t>
      </w:r>
      <w:r w:rsidR="00E321FA">
        <w:rPr>
          <w:rFonts w:eastAsia="Times New Roman" w:cs="Times New Roman"/>
          <w:color w:val="000000"/>
          <w:szCs w:val="24"/>
        </w:rPr>
        <w:t>B</w:t>
      </w:r>
      <w:r>
        <w:rPr>
          <w:rFonts w:eastAsia="Times New Roman" w:cs="Times New Roman"/>
          <w:color w:val="000000"/>
          <w:szCs w:val="24"/>
        </w:rPr>
        <w:t>.</w:t>
      </w:r>
    </w:p>
    <w:p w:rsidRPr="00642B6A" w:rsidR="00013AB1" w:rsidP="00FE503D" w:rsidRDefault="00013AB1"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Pr>
          <w:rFonts w:eastAsia="Times New Roman" w:cs="Times New Roman"/>
          <w:b/>
          <w:szCs w:val="24"/>
        </w:rPr>
        <w:t xml:space="preserve"> 13, and 14 in a single table.</w:t>
      </w:r>
    </w:p>
    <w:p w:rsidRPr="00642B6A" w:rsidR="00013AB1" w:rsidP="007553BE" w:rsidRDefault="00013AB1" w14:paraId="50F422C8" w14:textId="3E4E0C45">
      <w:pPr>
        <w:tabs>
          <w:tab w:val="left" w:pos="-720"/>
        </w:tabs>
        <w:spacing w:after="240"/>
        <w:rPr>
          <w:rFonts w:eastAsia="Times New Roman" w:cs="Times New Roman"/>
          <w:szCs w:val="24"/>
        </w:rPr>
      </w:pPr>
      <w:r w:rsidRPr="00642B6A">
        <w:rPr>
          <w:rFonts w:eastAsia="Times New Roman" w:cs="Times New Roman"/>
          <w:szCs w:val="24"/>
        </w:rPr>
        <w:tab/>
      </w:r>
      <w:r>
        <w:rPr>
          <w:rFonts w:eastAsia="Times New Roman" w:cs="Times New Roman"/>
          <w:szCs w:val="24"/>
        </w:rPr>
        <w:t>The Commission does not</w:t>
      </w:r>
      <w:r w:rsidRPr="007553BE">
        <w:rPr>
          <w:rFonts w:eastAsia="Times New Roman" w:cs="Times New Roman"/>
          <w:szCs w:val="24"/>
        </w:rPr>
        <w:t xml:space="preserve"> anticipate that </w:t>
      </w:r>
      <w:r>
        <w:rPr>
          <w:rFonts w:eastAsia="Times New Roman" w:cs="Times New Roman"/>
          <w:szCs w:val="24"/>
        </w:rPr>
        <w:t xml:space="preserve">the </w:t>
      </w:r>
      <w:r w:rsidRPr="007553BE">
        <w:rPr>
          <w:rFonts w:eastAsia="Times New Roman" w:cs="Times New Roman"/>
          <w:szCs w:val="24"/>
        </w:rPr>
        <w:t>changes will require additional staff time or technology resources beyond what is already dedicated to this collection, as discussed in previous filings related to Information C</w:t>
      </w:r>
      <w:r>
        <w:rPr>
          <w:rFonts w:eastAsia="Times New Roman" w:cs="Times New Roman"/>
          <w:szCs w:val="24"/>
        </w:rPr>
        <w:t>ollection 3038-0096</w:t>
      </w:r>
      <w:r w:rsidRPr="007553BE">
        <w:rPr>
          <w:rFonts w:eastAsia="Times New Roman" w:cs="Times New Roman"/>
          <w:szCs w:val="24"/>
        </w:rPr>
        <w:t>.</w:t>
      </w:r>
    </w:p>
    <w:p w:rsidRPr="00642B6A" w:rsidR="00013AB1" w:rsidP="00FE503D" w:rsidRDefault="00013AB1"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013AB1" w:rsidP="00BE76BF" w:rsidRDefault="00013AB1" w14:paraId="50F422CA" w14:textId="778FB5F2">
      <w:pPr>
        <w:tabs>
          <w:tab w:val="left" w:pos="-720"/>
        </w:tabs>
        <w:spacing w:after="240"/>
        <w:rPr>
          <w:rFonts w:eastAsia="Times New Roman" w:cs="Times New Roman"/>
          <w:szCs w:val="24"/>
        </w:rPr>
      </w:pPr>
      <w:r w:rsidRPr="00642B6A">
        <w:rPr>
          <w:rFonts w:eastAsia="Times New Roman" w:cs="Times New Roman"/>
          <w:szCs w:val="24"/>
        </w:rPr>
        <w:tab/>
      </w:r>
      <w:r w:rsidRPr="00752AE8">
        <w:rPr>
          <w:rFonts w:eastAsia="Times New Roman" w:cs="Times New Roman"/>
          <w:szCs w:val="24"/>
        </w:rPr>
        <w:t>As discussed above, the Commission is</w:t>
      </w:r>
      <w:r>
        <w:rPr>
          <w:rFonts w:eastAsia="Times New Roman" w:cs="Times New Roman"/>
          <w:szCs w:val="24"/>
        </w:rPr>
        <w:t xml:space="preserve"> amend</w:t>
      </w:r>
      <w:r w:rsidR="005B68FF">
        <w:rPr>
          <w:rFonts w:eastAsia="Times New Roman" w:cs="Times New Roman"/>
          <w:szCs w:val="24"/>
        </w:rPr>
        <w:t>ing</w:t>
      </w:r>
      <w:r>
        <w:rPr>
          <w:rFonts w:eastAsia="Times New Roman" w:cs="Times New Roman"/>
          <w:szCs w:val="24"/>
        </w:rPr>
        <w:t xml:space="preserve"> part 45</w:t>
      </w:r>
      <w:r w:rsidRPr="00752AE8">
        <w:rPr>
          <w:rFonts w:eastAsia="Times New Roman" w:cs="Times New Roman"/>
          <w:szCs w:val="24"/>
        </w:rPr>
        <w:t xml:space="preserve"> of the Commission</w:t>
      </w:r>
      <w:r>
        <w:rPr>
          <w:rFonts w:eastAsia="Times New Roman" w:cs="Times New Roman"/>
          <w:szCs w:val="24"/>
        </w:rPr>
        <w:t>’s</w:t>
      </w:r>
      <w:r w:rsidRPr="00752AE8">
        <w:rPr>
          <w:rFonts w:eastAsia="Times New Roman" w:cs="Times New Roman"/>
          <w:szCs w:val="24"/>
        </w:rPr>
        <w:t xml:space="preserve"> regulations in order to improve the quality of </w:t>
      </w:r>
      <w:r>
        <w:rPr>
          <w:rFonts w:eastAsia="Times New Roman" w:cs="Times New Roman"/>
          <w:szCs w:val="24"/>
        </w:rPr>
        <w:t xml:space="preserve">swap data and </w:t>
      </w:r>
      <w:r w:rsidRPr="00752AE8">
        <w:rPr>
          <w:rFonts w:eastAsia="Times New Roman" w:cs="Times New Roman"/>
          <w:szCs w:val="24"/>
        </w:rPr>
        <w:t>to streamline regulatory requirements govern</w:t>
      </w:r>
      <w:r>
        <w:rPr>
          <w:rFonts w:eastAsia="Times New Roman" w:cs="Times New Roman"/>
          <w:szCs w:val="24"/>
        </w:rPr>
        <w:t>ing data reporting</w:t>
      </w:r>
      <w:r w:rsidRPr="00752AE8">
        <w:rPr>
          <w:rFonts w:eastAsia="Times New Roman" w:cs="Times New Roman"/>
          <w:szCs w:val="24"/>
        </w:rPr>
        <w:t xml:space="preserve">. This supporting statement discusses adjustments to burden hours calculations for </w:t>
      </w:r>
      <w:r>
        <w:rPr>
          <w:rFonts w:eastAsia="Times New Roman" w:cs="Times New Roman"/>
          <w:szCs w:val="24"/>
        </w:rPr>
        <w:t>Information Collection 3038-0096</w:t>
      </w:r>
      <w:r w:rsidRPr="00752AE8">
        <w:rPr>
          <w:rFonts w:eastAsia="Times New Roman" w:cs="Times New Roman"/>
          <w:szCs w:val="24"/>
        </w:rPr>
        <w:t xml:space="preserve"> to account for modified and new </w:t>
      </w:r>
      <w:r w:rsidRPr="00752AE8">
        <w:rPr>
          <w:rFonts w:eastAsia="Times New Roman" w:cs="Times New Roman"/>
          <w:szCs w:val="24"/>
        </w:rPr>
        <w:lastRenderedPageBreak/>
        <w:t>burdens associated with the changes to t</w:t>
      </w:r>
      <w:r>
        <w:rPr>
          <w:rFonts w:eastAsia="Times New Roman" w:cs="Times New Roman"/>
          <w:szCs w:val="24"/>
        </w:rPr>
        <w:t>he regulation</w:t>
      </w:r>
      <w:r w:rsidR="001C209D">
        <w:rPr>
          <w:rFonts w:eastAsia="Times New Roman" w:cs="Times New Roman"/>
          <w:szCs w:val="24"/>
        </w:rPr>
        <w:t xml:space="preserve"> in the final rule</w:t>
      </w:r>
      <w:r>
        <w:rPr>
          <w:rFonts w:eastAsia="Times New Roman" w:cs="Times New Roman"/>
          <w:szCs w:val="24"/>
        </w:rPr>
        <w:t xml:space="preserve">. The Commission </w:t>
      </w:r>
      <w:r w:rsidRPr="00752AE8">
        <w:rPr>
          <w:rFonts w:eastAsia="Times New Roman" w:cs="Times New Roman"/>
          <w:szCs w:val="24"/>
        </w:rPr>
        <w:t xml:space="preserve">is also updating the overall burden hours, collection volumes, and costs related to </w:t>
      </w:r>
      <w:r>
        <w:rPr>
          <w:rFonts w:eastAsia="Times New Roman" w:cs="Times New Roman"/>
          <w:szCs w:val="24"/>
        </w:rPr>
        <w:t>Information Collection 3038-0096</w:t>
      </w:r>
      <w:r w:rsidRPr="00752AE8">
        <w:rPr>
          <w:rFonts w:eastAsia="Times New Roman" w:cs="Times New Roman"/>
          <w:szCs w:val="24"/>
        </w:rPr>
        <w:t xml:space="preserve"> based on updated information related to other collections within </w:t>
      </w:r>
      <w:r>
        <w:rPr>
          <w:rFonts w:eastAsia="Times New Roman" w:cs="Times New Roman"/>
          <w:szCs w:val="24"/>
        </w:rPr>
        <w:t>Information Collection 3038-0096</w:t>
      </w:r>
      <w:r w:rsidRPr="00752AE8">
        <w:rPr>
          <w:rFonts w:eastAsia="Times New Roman" w:cs="Times New Roman"/>
          <w:szCs w:val="24"/>
        </w:rPr>
        <w:t xml:space="preserve"> that are not being modified by </w:t>
      </w:r>
      <w:r w:rsidR="00AE74C0">
        <w:rPr>
          <w:rFonts w:eastAsia="Times New Roman" w:cs="Times New Roman"/>
          <w:szCs w:val="24"/>
        </w:rPr>
        <w:t xml:space="preserve">the </w:t>
      </w:r>
      <w:r w:rsidR="001C209D">
        <w:rPr>
          <w:rFonts w:eastAsia="Times New Roman" w:cs="Times New Roman"/>
          <w:szCs w:val="24"/>
        </w:rPr>
        <w:t>final rule</w:t>
      </w:r>
      <w:r>
        <w:rPr>
          <w:rFonts w:eastAsia="Times New Roman" w:cs="Times New Roman"/>
          <w:szCs w:val="24"/>
        </w:rPr>
        <w:t xml:space="preserve"> and to correct errors in past estimates.</w:t>
      </w:r>
    </w:p>
    <w:p w:rsidRPr="00642B6A" w:rsidR="00013AB1" w:rsidP="00FE503D" w:rsidRDefault="00013AB1"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013AB1" w:rsidP="00642B6A" w:rsidRDefault="00013AB1"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 results of this collection of information are not planned to be published for statistical use.</w:t>
      </w:r>
    </w:p>
    <w:p w:rsidRPr="00642B6A" w:rsidR="00013AB1" w:rsidP="00FE503D" w:rsidRDefault="00013AB1"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013AB1" w:rsidP="00642B6A" w:rsidRDefault="00013AB1"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 Commission is not seeking such approval for this publication.</w:t>
      </w:r>
    </w:p>
    <w:p w:rsidRPr="00642B6A" w:rsidR="00013AB1" w:rsidP="00FE503D" w:rsidRDefault="00013AB1"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013AB1" w:rsidP="00431E00" w:rsidRDefault="00013AB1" w14:paraId="50F422D1" w14:textId="485D3ADD">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there are no</w:t>
      </w:r>
      <w:r>
        <w:rPr>
          <w:rFonts w:eastAsia="Times New Roman" w:cs="Times New Roman"/>
          <w:szCs w:val="24"/>
        </w:rPr>
        <w:t xml:space="preserve"> exceptions.</w:t>
      </w:r>
      <w:r>
        <w:rPr>
          <w:rFonts w:eastAsia="Times New Roman" w:cs="Times New Roman"/>
          <w:szCs w:val="24"/>
        </w:rPr>
        <w:br w:type="page"/>
      </w:r>
    </w:p>
    <w:p w:rsidRPr="00642B6A" w:rsidR="00013AB1" w:rsidP="00870D2C" w:rsidRDefault="00013AB1" w14:paraId="50F422D4" w14:textId="289871BF">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00013AB1" w:rsidP="00642B6A" w:rsidRDefault="00013AB1" w14:paraId="50F422D5" w14:textId="6519385E">
      <w:pPr>
        <w:jc w:val="center"/>
        <w:rPr>
          <w:rFonts w:eastAsia="Times New Roman" w:cs="Times New Roman"/>
          <w:b/>
          <w:szCs w:val="24"/>
        </w:rPr>
      </w:pPr>
      <w:r>
        <w:rPr>
          <w:rFonts w:eastAsia="Times New Roman" w:cs="Times New Roman"/>
          <w:b/>
          <w:szCs w:val="24"/>
        </w:rPr>
        <w:t>OMB Control Number 3038-0096</w:t>
      </w:r>
    </w:p>
    <w:p w:rsidR="00013AB1" w:rsidP="00357E35" w:rsidRDefault="00013AB1" w14:paraId="50F422D6" w14:textId="40434567">
      <w:pPr>
        <w:jc w:val="center"/>
        <w:rPr>
          <w:rFonts w:eastAsia="Times New Roman" w:cs="Times New Roman"/>
          <w:szCs w:val="24"/>
        </w:rPr>
      </w:pPr>
      <w:r>
        <w:rPr>
          <w:rFonts w:eastAsia="Times New Roman" w:cs="Times New Roman"/>
          <w:szCs w:val="24"/>
        </w:rPr>
        <w:t>Swap Data Reporting and Recordkeeping</w:t>
      </w:r>
    </w:p>
    <w:p w:rsidRPr="00642B6A" w:rsidR="00013AB1" w:rsidP="00357E35" w:rsidRDefault="00013AB1" w14:paraId="15AE25DE" w14:textId="77777777">
      <w:pPr>
        <w:jc w:val="center"/>
        <w:rPr>
          <w:rFonts w:eastAsia="Times New Roman" w:cs="Times New Roman"/>
          <w:b/>
          <w:szCs w:val="24"/>
        </w:rPr>
      </w:pPr>
    </w:p>
    <w:p w:rsidRPr="008F6D4A" w:rsidR="00013AB1" w:rsidP="008F6D4A" w:rsidRDefault="00013AB1" w14:paraId="50F422D7" w14:textId="6BBAD2D3">
      <w:pPr>
        <w:jc w:val="center"/>
        <w:rPr>
          <w:rFonts w:eastAsia="Times New Roman" w:cs="Times New Roman"/>
          <w:szCs w:val="24"/>
        </w:rPr>
      </w:pPr>
      <w:r w:rsidRPr="008F6D4A">
        <w:rPr>
          <w:rFonts w:eastAsia="Times New Roman" w:cs="Times New Roman"/>
          <w:szCs w:val="24"/>
        </w:rPr>
        <w:t>Reporting Burden</w:t>
      </w:r>
    </w:p>
    <w:tbl>
      <w:tblPr>
        <w:tblpPr w:leftFromText="180" w:rightFromText="180" w:vertAnchor="text" w:horzAnchor="margin" w:tblpXSpec="center" w:tblpY="202"/>
        <w:tblW w:w="11430" w:type="dxa"/>
        <w:tblLayout w:type="fixed"/>
        <w:tblLook w:val="04A0" w:firstRow="1" w:lastRow="0" w:firstColumn="1" w:lastColumn="0" w:noHBand="0" w:noVBand="1"/>
      </w:tblPr>
      <w:tblGrid>
        <w:gridCol w:w="918"/>
        <w:gridCol w:w="1350"/>
        <w:gridCol w:w="1170"/>
        <w:gridCol w:w="1170"/>
        <w:gridCol w:w="1332"/>
        <w:gridCol w:w="1008"/>
        <w:gridCol w:w="1170"/>
        <w:gridCol w:w="1170"/>
        <w:gridCol w:w="990"/>
        <w:gridCol w:w="1152"/>
      </w:tblGrid>
      <w:tr w:rsidRPr="00624B4F" w:rsidR="00CB1CDA" w:rsidTr="00E92879" w14:paraId="59CB2FAB" w14:textId="77777777">
        <w:trPr>
          <w:trHeight w:val="288"/>
        </w:trPr>
        <w:tc>
          <w:tcPr>
            <w:tcW w:w="918" w:type="dxa"/>
            <w:tcBorders>
              <w:top w:val="single" w:color="000000" w:sz="8" w:space="0"/>
              <w:left w:val="single" w:color="000000" w:sz="8" w:space="0"/>
              <w:right w:val="single" w:color="000000" w:sz="8" w:space="0"/>
            </w:tcBorders>
            <w:shd w:val="clear" w:color="auto" w:fill="auto"/>
            <w:vAlign w:val="center"/>
            <w:hideMark/>
          </w:tcPr>
          <w:p w:rsidRPr="00624B4F" w:rsidR="00013AB1" w:rsidP="00624B4F" w:rsidRDefault="00013AB1" w14:paraId="335D42C6"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1</w:t>
            </w:r>
          </w:p>
        </w:tc>
        <w:tc>
          <w:tcPr>
            <w:tcW w:w="135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1BD76E17"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2</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32A718C3"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3</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4F6DB15A"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4</w:t>
            </w:r>
          </w:p>
        </w:tc>
        <w:tc>
          <w:tcPr>
            <w:tcW w:w="1332"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3E39B29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5</w:t>
            </w:r>
          </w:p>
        </w:tc>
        <w:tc>
          <w:tcPr>
            <w:tcW w:w="1008"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46855672"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6</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536419" w:rsidRDefault="00013AB1" w14:paraId="04523C7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7</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61E66E0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8</w:t>
            </w:r>
          </w:p>
        </w:tc>
        <w:tc>
          <w:tcPr>
            <w:tcW w:w="99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601809B6"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9</w:t>
            </w:r>
          </w:p>
        </w:tc>
        <w:tc>
          <w:tcPr>
            <w:tcW w:w="1152"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15397F09"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10</w:t>
            </w:r>
          </w:p>
        </w:tc>
      </w:tr>
      <w:tr w:rsidRPr="00624B4F" w:rsidR="00CB1CDA" w:rsidTr="00E92879" w14:paraId="4B5B4582" w14:textId="77777777">
        <w:trPr>
          <w:trHeight w:val="1728"/>
        </w:trPr>
        <w:tc>
          <w:tcPr>
            <w:tcW w:w="918" w:type="dxa"/>
            <w:tcBorders>
              <w:top w:val="nil"/>
              <w:left w:val="single" w:color="000000" w:sz="8" w:space="0"/>
              <w:bottom w:val="single" w:color="auto" w:sz="4" w:space="0"/>
              <w:right w:val="single" w:color="000000" w:sz="8" w:space="0"/>
            </w:tcBorders>
            <w:shd w:val="clear" w:color="auto" w:fill="auto"/>
            <w:vAlign w:val="center"/>
            <w:hideMark/>
          </w:tcPr>
          <w:p w:rsidR="00CB1CDA" w:rsidP="00624B4F" w:rsidRDefault="00013AB1" w14:paraId="193FA1C6"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Regula</w:t>
            </w:r>
            <w:r w:rsidR="00CB1CDA">
              <w:rPr>
                <w:rFonts w:ascii="Arial" w:hAnsi="Arial" w:eastAsia="Times New Roman" w:cs="Arial"/>
                <w:b/>
                <w:bCs/>
                <w:sz w:val="16"/>
                <w:szCs w:val="16"/>
              </w:rPr>
              <w:t>-</w:t>
            </w:r>
          </w:p>
          <w:p w:rsidRPr="00624B4F" w:rsidR="00013AB1" w:rsidP="00CB1CDA" w:rsidRDefault="00013AB1" w14:paraId="62F0A430" w14:textId="7B508446">
            <w:pPr>
              <w:jc w:val="center"/>
              <w:rPr>
                <w:rFonts w:ascii="Arial" w:hAnsi="Arial" w:eastAsia="Times New Roman" w:cs="Arial"/>
                <w:b/>
                <w:bCs/>
                <w:sz w:val="16"/>
                <w:szCs w:val="16"/>
              </w:rPr>
            </w:pPr>
            <w:r w:rsidRPr="00624B4F">
              <w:rPr>
                <w:rFonts w:ascii="Arial" w:hAnsi="Arial" w:eastAsia="Times New Roman" w:cs="Arial"/>
                <w:b/>
                <w:bCs/>
                <w:sz w:val="16"/>
                <w:szCs w:val="16"/>
              </w:rPr>
              <w:t>tion</w:t>
            </w:r>
          </w:p>
        </w:tc>
        <w:tc>
          <w:tcPr>
            <w:tcW w:w="1350"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44D7A2F3"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 xml:space="preserve">Estimated Number of Respondents </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1F931221"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Estimated Number of Reports</w:t>
            </w:r>
            <w:r>
              <w:rPr>
                <w:rFonts w:ascii="Arial" w:hAnsi="Arial" w:eastAsia="Times New Roman" w:cs="Arial"/>
                <w:b/>
                <w:bCs/>
                <w:sz w:val="16"/>
                <w:szCs w:val="16"/>
              </w:rPr>
              <w:t xml:space="preserve"> by Each Respondent</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682B4B43"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Estimated Average Number of Burden Hours per Response</w:t>
            </w:r>
          </w:p>
        </w:tc>
        <w:tc>
          <w:tcPr>
            <w:tcW w:w="1332" w:type="dxa"/>
            <w:tcBorders>
              <w:top w:val="nil"/>
              <w:left w:val="nil"/>
              <w:bottom w:val="single" w:color="auto" w:sz="4" w:space="0"/>
              <w:right w:val="single" w:color="000000" w:sz="8" w:space="0"/>
            </w:tcBorders>
            <w:shd w:val="clear" w:color="auto" w:fill="auto"/>
            <w:vAlign w:val="center"/>
            <w:hideMark/>
          </w:tcPr>
          <w:p w:rsidR="005E085C" w:rsidP="00870D2C" w:rsidRDefault="00013AB1" w14:paraId="168C827F" w14:textId="77777777">
            <w:pPr>
              <w:tabs>
                <w:tab w:val="left" w:pos="-720"/>
                <w:tab w:val="left" w:pos="0"/>
              </w:tabs>
              <w:suppressAutoHyphens/>
              <w:jc w:val="center"/>
              <w:rPr>
                <w:rFonts w:ascii="Arial" w:hAnsi="Arial" w:eastAsia="Times New Roman" w:cs="Arial"/>
                <w:b/>
                <w:bCs/>
                <w:sz w:val="16"/>
                <w:szCs w:val="16"/>
              </w:rPr>
            </w:pPr>
            <w:r w:rsidRPr="00624B4F">
              <w:rPr>
                <w:rFonts w:ascii="Arial" w:hAnsi="Arial" w:eastAsia="Times New Roman" w:cs="Arial"/>
                <w:b/>
                <w:bCs/>
                <w:sz w:val="16"/>
                <w:szCs w:val="16"/>
              </w:rPr>
              <w:t>Annual Number of Burden Hours per Respondent</w:t>
            </w:r>
            <w:r>
              <w:rPr>
                <w:rFonts w:ascii="Arial" w:hAnsi="Arial" w:eastAsia="Times New Roman" w:cs="Arial"/>
                <w:b/>
                <w:bCs/>
                <w:sz w:val="16"/>
                <w:szCs w:val="16"/>
              </w:rPr>
              <w:t xml:space="preserve"> </w:t>
            </w:r>
          </w:p>
          <w:p w:rsidRPr="00624B4F" w:rsidR="00013AB1" w:rsidP="00870D2C" w:rsidRDefault="00013AB1" w14:paraId="5FF329EC" w14:textId="2776FB02">
            <w:pPr>
              <w:tabs>
                <w:tab w:val="left" w:pos="-720"/>
                <w:tab w:val="left" w:pos="0"/>
              </w:tabs>
              <w:suppressAutoHyphens/>
              <w:jc w:val="center"/>
              <w:rPr>
                <w:rFonts w:ascii="Arial" w:hAnsi="Arial" w:eastAsia="Times New Roman" w:cs="Arial"/>
                <w:b/>
                <w:bCs/>
                <w:sz w:val="16"/>
                <w:szCs w:val="16"/>
              </w:rPr>
            </w:pPr>
            <w:r>
              <w:rPr>
                <w:rFonts w:ascii="Arial" w:hAnsi="Arial" w:eastAsia="Times New Roman" w:cs="Arial"/>
                <w:b/>
                <w:bCs/>
                <w:sz w:val="16"/>
                <w:szCs w:val="16"/>
              </w:rPr>
              <w:t>(3 x 4)</w:t>
            </w:r>
          </w:p>
        </w:tc>
        <w:tc>
          <w:tcPr>
            <w:tcW w:w="1008"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C05F4E" w14:paraId="0E9C21BF" w14:textId="54485B26">
            <w:pPr>
              <w:jc w:val="center"/>
              <w:rPr>
                <w:rFonts w:ascii="Arial" w:hAnsi="Arial" w:eastAsia="Times New Roman" w:cs="Arial"/>
                <w:b/>
                <w:sz w:val="16"/>
                <w:szCs w:val="16"/>
              </w:rPr>
            </w:pPr>
            <w:hyperlink w:history="1" w:anchor="RANGE!_ftn1" r:id="rId11">
              <w:r w:rsidRPr="00624B4F" w:rsidR="00013AB1">
                <w:rPr>
                  <w:rFonts w:ascii="Arial" w:hAnsi="Arial" w:eastAsia="Times New Roman" w:cs="Arial"/>
                  <w:b/>
                  <w:sz w:val="16"/>
                  <w:szCs w:val="16"/>
                </w:rPr>
                <w:t>Estimated Average Burden Hour Cost</w:t>
              </w:r>
            </w:hyperlink>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536419" w:rsidRDefault="00013AB1" w14:paraId="16C75C27" w14:textId="2DCEFF49">
            <w:pPr>
              <w:jc w:val="center"/>
              <w:rPr>
                <w:rFonts w:ascii="Arial" w:hAnsi="Arial" w:eastAsia="Times New Roman" w:cs="Arial"/>
                <w:b/>
                <w:bCs/>
                <w:sz w:val="16"/>
                <w:szCs w:val="16"/>
              </w:rPr>
            </w:pPr>
            <w:r w:rsidRPr="00624B4F">
              <w:rPr>
                <w:rFonts w:ascii="Arial" w:hAnsi="Arial" w:eastAsia="Times New Roman" w:cs="Arial"/>
                <w:b/>
                <w:bCs/>
                <w:sz w:val="16"/>
                <w:szCs w:val="16"/>
              </w:rPr>
              <w:t>Total Average Hour Burden Cost Per Respondent</w:t>
            </w:r>
            <w:r>
              <w:rPr>
                <w:rFonts w:ascii="Arial" w:hAnsi="Arial" w:eastAsia="Times New Roman" w:cs="Arial"/>
                <w:b/>
                <w:bCs/>
                <w:sz w:val="16"/>
                <w:szCs w:val="16"/>
              </w:rPr>
              <w:t xml:space="preserve"> (5 x 6)</w:t>
            </w:r>
          </w:p>
        </w:tc>
        <w:tc>
          <w:tcPr>
            <w:tcW w:w="1170" w:type="dxa"/>
            <w:tcBorders>
              <w:top w:val="nil"/>
              <w:left w:val="nil"/>
              <w:bottom w:val="single" w:color="auto" w:sz="4" w:space="0"/>
              <w:right w:val="single" w:color="000000" w:sz="8" w:space="0"/>
            </w:tcBorders>
            <w:shd w:val="clear" w:color="auto" w:fill="auto"/>
            <w:vAlign w:val="center"/>
            <w:hideMark/>
          </w:tcPr>
          <w:p w:rsidR="00013AB1" w:rsidP="00624B4F" w:rsidRDefault="00013AB1" w14:paraId="687CDA4A"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Total Annual</w:t>
            </w:r>
          </w:p>
          <w:p w:rsidR="00013AB1" w:rsidP="00624B4F" w:rsidRDefault="00013AB1" w14:paraId="7E813BDD" w14:textId="77777777">
            <w:pPr>
              <w:jc w:val="center"/>
              <w:rPr>
                <w:rFonts w:ascii="Arial" w:hAnsi="Arial" w:eastAsia="Times New Roman" w:cs="Arial"/>
                <w:b/>
                <w:bCs/>
                <w:sz w:val="16"/>
                <w:szCs w:val="16"/>
              </w:rPr>
            </w:pPr>
            <w:r>
              <w:rPr>
                <w:rFonts w:ascii="Arial" w:hAnsi="Arial" w:eastAsia="Times New Roman" w:cs="Arial"/>
                <w:b/>
                <w:bCs/>
                <w:sz w:val="16"/>
                <w:szCs w:val="16"/>
              </w:rPr>
              <w:t>Responses</w:t>
            </w:r>
          </w:p>
          <w:p w:rsidR="00013AB1" w:rsidP="00870D2C" w:rsidRDefault="00013AB1" w14:paraId="160CD28F" w14:textId="77777777">
            <w:pPr>
              <w:rPr>
                <w:rFonts w:ascii="Arial" w:hAnsi="Arial" w:eastAsia="Times New Roman" w:cs="Arial"/>
                <w:b/>
                <w:bCs/>
                <w:sz w:val="16"/>
                <w:szCs w:val="16"/>
              </w:rPr>
            </w:pPr>
          </w:p>
          <w:p w:rsidRPr="00624B4F" w:rsidR="00013AB1" w:rsidP="00624B4F" w:rsidRDefault="00013AB1" w14:paraId="79270DBF" w14:textId="04F66283">
            <w:pPr>
              <w:jc w:val="center"/>
              <w:rPr>
                <w:rFonts w:ascii="Arial" w:hAnsi="Arial" w:eastAsia="Times New Roman" w:cs="Arial"/>
                <w:b/>
                <w:bCs/>
                <w:sz w:val="16"/>
                <w:szCs w:val="16"/>
              </w:rPr>
            </w:pPr>
            <w:r>
              <w:rPr>
                <w:rFonts w:ascii="Arial" w:hAnsi="Arial" w:eastAsia="Times New Roman" w:cs="Arial"/>
                <w:b/>
                <w:bCs/>
                <w:sz w:val="16"/>
                <w:szCs w:val="16"/>
              </w:rPr>
              <w:t>(2 x 3)</w:t>
            </w:r>
          </w:p>
        </w:tc>
        <w:tc>
          <w:tcPr>
            <w:tcW w:w="990" w:type="dxa"/>
            <w:tcBorders>
              <w:top w:val="nil"/>
              <w:left w:val="nil"/>
              <w:bottom w:val="single" w:color="auto" w:sz="4" w:space="0"/>
              <w:right w:val="single" w:color="000000" w:sz="8" w:space="0"/>
            </w:tcBorders>
            <w:shd w:val="clear" w:color="auto" w:fill="auto"/>
            <w:vAlign w:val="center"/>
            <w:hideMark/>
          </w:tcPr>
          <w:p w:rsidR="005E085C" w:rsidP="00624B4F" w:rsidRDefault="00013AB1" w14:paraId="49E9D024"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Total Annual Number of Burden Hours</w:t>
            </w:r>
            <w:r>
              <w:rPr>
                <w:rFonts w:ascii="Arial" w:hAnsi="Arial" w:eastAsia="Times New Roman" w:cs="Arial"/>
                <w:b/>
                <w:bCs/>
                <w:sz w:val="16"/>
                <w:szCs w:val="16"/>
              </w:rPr>
              <w:t xml:space="preserve"> </w:t>
            </w:r>
          </w:p>
          <w:p w:rsidRPr="00624B4F" w:rsidR="00013AB1" w:rsidP="00624B4F" w:rsidRDefault="00013AB1" w14:paraId="6A474076" w14:textId="29E2E1CD">
            <w:pPr>
              <w:jc w:val="center"/>
              <w:rPr>
                <w:rFonts w:ascii="Arial" w:hAnsi="Arial" w:eastAsia="Times New Roman" w:cs="Arial"/>
                <w:b/>
                <w:bCs/>
                <w:sz w:val="16"/>
                <w:szCs w:val="16"/>
              </w:rPr>
            </w:pPr>
            <w:r>
              <w:rPr>
                <w:rFonts w:ascii="Arial" w:hAnsi="Arial" w:eastAsia="Times New Roman" w:cs="Arial"/>
                <w:b/>
                <w:bCs/>
                <w:sz w:val="16"/>
                <w:szCs w:val="16"/>
              </w:rPr>
              <w:t>(2 x 5)</w:t>
            </w:r>
          </w:p>
        </w:tc>
        <w:tc>
          <w:tcPr>
            <w:tcW w:w="1152"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4A80D43F" w14:textId="42F3AE8E">
            <w:pPr>
              <w:jc w:val="center"/>
              <w:rPr>
                <w:rFonts w:ascii="Arial" w:hAnsi="Arial" w:eastAsia="Times New Roman" w:cs="Arial"/>
                <w:b/>
                <w:bCs/>
                <w:sz w:val="16"/>
                <w:szCs w:val="16"/>
              </w:rPr>
            </w:pPr>
            <w:r w:rsidRPr="00624B4F">
              <w:rPr>
                <w:rFonts w:ascii="Arial" w:hAnsi="Arial" w:eastAsia="Times New Roman" w:cs="Arial"/>
                <w:b/>
                <w:bCs/>
                <w:sz w:val="16"/>
                <w:szCs w:val="16"/>
              </w:rPr>
              <w:t>Total Annual Burden Hour Cost of All Responses</w:t>
            </w:r>
            <w:r>
              <w:rPr>
                <w:rFonts w:ascii="Arial" w:hAnsi="Arial" w:eastAsia="Times New Roman" w:cs="Arial"/>
                <w:b/>
                <w:bCs/>
                <w:sz w:val="16"/>
                <w:szCs w:val="16"/>
              </w:rPr>
              <w:t xml:space="preserve"> (2 x 7)</w:t>
            </w:r>
          </w:p>
        </w:tc>
      </w:tr>
      <w:tr w:rsidRPr="00624B4F" w:rsidR="00CB1CDA" w:rsidTr="00E92879" w14:paraId="178F8DC3" w14:textId="77777777">
        <w:trPr>
          <w:trHeight w:val="300"/>
        </w:trPr>
        <w:tc>
          <w:tcPr>
            <w:tcW w:w="918" w:type="dxa"/>
            <w:tcBorders>
              <w:top w:val="single" w:color="auto" w:sz="4" w:space="0"/>
              <w:left w:val="single" w:color="000000" w:sz="8" w:space="0"/>
              <w:bottom w:val="single" w:color="000000" w:sz="8" w:space="0"/>
              <w:right w:val="single" w:color="000000" w:sz="8" w:space="0"/>
            </w:tcBorders>
            <w:shd w:val="clear" w:color="auto" w:fill="auto"/>
            <w:vAlign w:val="center"/>
            <w:hideMark/>
          </w:tcPr>
          <w:p w:rsidRPr="00624B4F" w:rsidR="00013AB1" w:rsidP="00536419" w:rsidRDefault="00013AB1" w14:paraId="30B85398" w14:textId="77777777">
            <w:pPr>
              <w:jc w:val="center"/>
              <w:rPr>
                <w:rFonts w:ascii="Arial" w:hAnsi="Arial" w:eastAsia="Times New Roman" w:cs="Arial"/>
                <w:sz w:val="16"/>
                <w:szCs w:val="16"/>
              </w:rPr>
            </w:pPr>
            <w:r w:rsidRPr="00624B4F">
              <w:rPr>
                <w:rFonts w:ascii="Arial" w:hAnsi="Arial" w:eastAsia="Times New Roman" w:cs="Arial"/>
                <w:sz w:val="16"/>
                <w:szCs w:val="16"/>
              </w:rPr>
              <w:t>45.3</w:t>
            </w:r>
          </w:p>
        </w:tc>
        <w:tc>
          <w:tcPr>
            <w:tcW w:w="135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870D2C" w:rsidRDefault="00013AB1" w14:paraId="2A6BA96A" w14:textId="203F924E">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SDRs, SEFs, DCMs, Reporting Counterparties</w:t>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A40B87" w:rsidRDefault="00013AB1" w14:paraId="7F4F0E03" w14:textId="41A588AC">
            <w:pPr>
              <w:jc w:val="center"/>
              <w:rPr>
                <w:rFonts w:ascii="Arial" w:hAnsi="Arial" w:eastAsia="Times New Roman" w:cs="Arial"/>
                <w:sz w:val="16"/>
                <w:szCs w:val="16"/>
              </w:rPr>
            </w:pPr>
            <w:r w:rsidRPr="00624B4F">
              <w:rPr>
                <w:rFonts w:ascii="Arial" w:hAnsi="Arial" w:eastAsia="Times New Roman" w:cs="Arial"/>
                <w:sz w:val="16"/>
                <w:szCs w:val="16"/>
              </w:rPr>
              <w:t>7,000</w:t>
            </w:r>
            <w:r>
              <w:rPr>
                <w:rStyle w:val="EndnoteReference"/>
                <w:rFonts w:ascii="Arial" w:hAnsi="Arial" w:eastAsia="Times New Roman" w:cs="Arial"/>
                <w:sz w:val="16"/>
                <w:szCs w:val="16"/>
              </w:rPr>
              <w:endnoteReference w:id="2"/>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36025F" w:rsidRDefault="00013AB1" w14:paraId="16D9865F" w14:textId="7D34F9BE">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904822" w:rsidRDefault="00013AB1" w14:paraId="3204B8F6" w14:textId="04F752D3">
            <w:pPr>
              <w:jc w:val="center"/>
              <w:rPr>
                <w:rFonts w:ascii="Arial" w:hAnsi="Arial" w:eastAsia="Times New Roman" w:cs="Arial"/>
                <w:sz w:val="16"/>
                <w:szCs w:val="16"/>
              </w:rPr>
            </w:pPr>
            <w:r w:rsidRPr="00624B4F">
              <w:rPr>
                <w:rFonts w:ascii="Arial" w:hAnsi="Arial" w:eastAsia="Times New Roman" w:cs="Arial"/>
                <w:sz w:val="16"/>
                <w:szCs w:val="16"/>
              </w:rPr>
              <w:t>70</w:t>
            </w:r>
          </w:p>
        </w:tc>
        <w:tc>
          <w:tcPr>
            <w:tcW w:w="1008"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67629B" w:rsidRDefault="00013AB1" w14:paraId="7A389605" w14:textId="1F312054">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536419" w:rsidRDefault="00013AB1" w14:paraId="67E04A28" w14:textId="3D9C6211">
            <w:pPr>
              <w:jc w:val="center"/>
              <w:rPr>
                <w:rFonts w:ascii="Arial" w:hAnsi="Arial" w:eastAsia="Times New Roman" w:cs="Arial"/>
                <w:sz w:val="16"/>
                <w:szCs w:val="16"/>
              </w:rPr>
            </w:pPr>
            <w:r w:rsidRPr="00624B4F">
              <w:rPr>
                <w:rFonts w:ascii="Arial" w:hAnsi="Arial" w:eastAsia="Times New Roman" w:cs="Arial"/>
                <w:sz w:val="16"/>
                <w:szCs w:val="16"/>
              </w:rPr>
              <w:t>$ 5,056</w:t>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080649" w:rsidRDefault="00013AB1" w14:paraId="2289C29D" w14:textId="798CA94D">
            <w:pPr>
              <w:jc w:val="center"/>
              <w:rPr>
                <w:rFonts w:ascii="Arial" w:hAnsi="Arial" w:eastAsia="Times New Roman" w:cs="Arial"/>
                <w:sz w:val="16"/>
                <w:szCs w:val="16"/>
              </w:rPr>
            </w:pPr>
            <w:r w:rsidRPr="00624B4F">
              <w:rPr>
                <w:rFonts w:ascii="Arial" w:hAnsi="Arial" w:eastAsia="Times New Roman" w:cs="Arial"/>
                <w:sz w:val="16"/>
                <w:szCs w:val="16"/>
              </w:rPr>
              <w:t>12,124,000</w:t>
            </w:r>
          </w:p>
        </w:tc>
        <w:tc>
          <w:tcPr>
            <w:tcW w:w="99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080649" w:rsidRDefault="00013AB1" w14:paraId="19FBD1F6" w14:textId="7428A01D">
            <w:pPr>
              <w:jc w:val="center"/>
              <w:rPr>
                <w:rFonts w:ascii="Arial" w:hAnsi="Arial" w:eastAsia="Times New Roman" w:cs="Arial"/>
                <w:sz w:val="16"/>
                <w:szCs w:val="16"/>
              </w:rPr>
            </w:pPr>
            <w:r w:rsidRPr="00624B4F">
              <w:rPr>
                <w:rFonts w:ascii="Arial" w:hAnsi="Arial" w:eastAsia="Times New Roman" w:cs="Arial"/>
                <w:sz w:val="16"/>
                <w:szCs w:val="16"/>
              </w:rPr>
              <w:t>121,240</w:t>
            </w:r>
          </w:p>
        </w:tc>
        <w:tc>
          <w:tcPr>
            <w:tcW w:w="1152"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080649" w:rsidRDefault="00013AB1" w14:paraId="6CB2846F" w14:textId="3D94AA7F">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8,757,165</w:t>
            </w:r>
            <w:r>
              <w:rPr>
                <w:rStyle w:val="EndnoteReference"/>
                <w:rFonts w:ascii="Arial" w:hAnsi="Arial" w:eastAsia="Times New Roman" w:cs="Arial"/>
                <w:sz w:val="16"/>
                <w:szCs w:val="16"/>
              </w:rPr>
              <w:endnoteReference w:id="3"/>
            </w:r>
          </w:p>
        </w:tc>
      </w:tr>
      <w:tr w:rsidRPr="00624B4F" w:rsidR="00CB1CDA" w:rsidTr="00A24057" w14:paraId="189C9FB1"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793E39D8" w14:textId="6A64CA59">
            <w:pPr>
              <w:jc w:val="center"/>
              <w:rPr>
                <w:rFonts w:ascii="Arial" w:hAnsi="Arial" w:eastAsia="Times New Roman" w:cs="Arial"/>
                <w:sz w:val="16"/>
                <w:szCs w:val="16"/>
              </w:rPr>
            </w:pPr>
            <w:r w:rsidRPr="00624B4F">
              <w:rPr>
                <w:rFonts w:ascii="Arial" w:hAnsi="Arial" w:eastAsia="Times New Roman" w:cs="Arial"/>
                <w:sz w:val="16"/>
                <w:szCs w:val="16"/>
              </w:rPr>
              <w:t>45.4</w:t>
            </w:r>
            <w:r w:rsidR="00F95470">
              <w:rPr>
                <w:rFonts w:ascii="Arial" w:hAnsi="Arial" w:eastAsia="Times New Roman" w:cs="Arial"/>
                <w:sz w:val="16"/>
                <w:szCs w:val="16"/>
              </w:rPr>
              <w:t xml:space="preserve"> </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633E02A9" w14:textId="34719444">
            <w:pPr>
              <w:rPr>
                <w:rFonts w:ascii="Arial" w:hAnsi="Arial" w:eastAsia="Times New Roman" w:cs="Arial"/>
                <w:sz w:val="16"/>
                <w:szCs w:val="16"/>
              </w:rPr>
            </w:pPr>
            <w:r w:rsidRPr="00624B4F">
              <w:rPr>
                <w:rFonts w:ascii="Arial" w:hAnsi="Arial" w:eastAsia="Times New Roman" w:cs="Arial"/>
                <w:sz w:val="16"/>
                <w:szCs w:val="16"/>
              </w:rPr>
              <w:t>1,705</w:t>
            </w:r>
            <w:r>
              <w:rPr>
                <w:rFonts w:ascii="Arial" w:hAnsi="Arial" w:eastAsia="Times New Roman" w:cs="Arial"/>
                <w:sz w:val="16"/>
                <w:szCs w:val="16"/>
              </w:rPr>
              <w:t xml:space="preserve"> SDRs and Reporting Counterparties</w:t>
            </w:r>
            <w:r>
              <w:rPr>
                <w:rStyle w:val="EndnoteReference"/>
                <w:rFonts w:ascii="Arial" w:hAnsi="Arial" w:eastAsia="Times New Roman" w:cs="Arial"/>
                <w:sz w:val="16"/>
                <w:szCs w:val="16"/>
              </w:rPr>
              <w:endnoteReference w:id="4"/>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5CF8FC83" w14:textId="6D9A05B9">
            <w:pPr>
              <w:jc w:val="center"/>
              <w:rPr>
                <w:rFonts w:ascii="Arial" w:hAnsi="Arial" w:eastAsia="Times New Roman" w:cs="Arial"/>
                <w:sz w:val="16"/>
                <w:szCs w:val="16"/>
              </w:rPr>
            </w:pPr>
            <w:r w:rsidRPr="00624B4F">
              <w:rPr>
                <w:rFonts w:ascii="Arial" w:hAnsi="Arial" w:eastAsia="Times New Roman" w:cs="Arial"/>
                <w:sz w:val="16"/>
                <w:szCs w:val="16"/>
              </w:rPr>
              <w:t>97,431</w:t>
            </w:r>
            <w:r>
              <w:rPr>
                <w:rStyle w:val="EndnoteReference"/>
                <w:rFonts w:ascii="Arial" w:hAnsi="Arial" w:eastAsia="Times New Roman" w:cs="Arial"/>
                <w:sz w:val="16"/>
                <w:szCs w:val="16"/>
              </w:rPr>
              <w:endnoteReference w:id="5"/>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56FC15BD" w14:textId="02BDA206">
            <w:pPr>
              <w:jc w:val="center"/>
              <w:rPr>
                <w:rFonts w:ascii="Arial" w:hAnsi="Arial" w:eastAsia="Times New Roman" w:cs="Arial"/>
                <w:sz w:val="16"/>
                <w:szCs w:val="16"/>
              </w:rPr>
            </w:pPr>
            <w:r w:rsidRPr="00624B4F">
              <w:rPr>
                <w:rFonts w:ascii="Arial" w:hAnsi="Arial" w:eastAsia="Times New Roman" w:cs="Arial"/>
                <w:sz w:val="16"/>
                <w:szCs w:val="16"/>
              </w:rPr>
              <w:t>0.00</w:t>
            </w:r>
            <w:r w:rsidR="00A24057">
              <w:rPr>
                <w:rFonts w:ascii="Arial" w:hAnsi="Arial" w:eastAsia="Times New Roman" w:cs="Arial"/>
                <w:sz w:val="16"/>
                <w:szCs w:val="16"/>
              </w:rPr>
              <w:t>35</w:t>
            </w:r>
            <w:r>
              <w:rPr>
                <w:rStyle w:val="EndnoteReference"/>
                <w:rFonts w:ascii="Arial" w:hAnsi="Arial" w:eastAsia="Times New Roman" w:cs="Arial"/>
                <w:sz w:val="16"/>
                <w:szCs w:val="16"/>
              </w:rPr>
              <w:endnoteReference w:id="6"/>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1FDADFEF" w14:textId="55D39DEB">
            <w:pPr>
              <w:jc w:val="center"/>
              <w:rPr>
                <w:rFonts w:ascii="Arial" w:hAnsi="Arial" w:eastAsia="Times New Roman" w:cs="Arial"/>
                <w:sz w:val="16"/>
                <w:szCs w:val="16"/>
              </w:rPr>
            </w:pPr>
            <w:r w:rsidRPr="00624B4F">
              <w:rPr>
                <w:rFonts w:ascii="Arial" w:hAnsi="Arial" w:eastAsia="Times New Roman" w:cs="Arial"/>
                <w:sz w:val="16"/>
                <w:szCs w:val="16"/>
              </w:rPr>
              <w:t>3</w:t>
            </w:r>
            <w:r w:rsidR="001D035B">
              <w:rPr>
                <w:rFonts w:ascii="Arial" w:hAnsi="Arial" w:eastAsia="Times New Roman" w:cs="Arial"/>
                <w:sz w:val="16"/>
                <w:szCs w:val="16"/>
              </w:rPr>
              <w:t>41</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2ACD995C" w14:textId="44C11EAE">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2C81277A" w14:textId="7C9F75DB">
            <w:pPr>
              <w:jc w:val="center"/>
              <w:rPr>
                <w:rFonts w:ascii="Arial" w:hAnsi="Arial" w:eastAsia="Times New Roman" w:cs="Arial"/>
                <w:sz w:val="16"/>
                <w:szCs w:val="16"/>
              </w:rPr>
            </w:pPr>
            <w:r w:rsidRPr="00624B4F">
              <w:rPr>
                <w:rFonts w:ascii="Arial" w:hAnsi="Arial" w:eastAsia="Times New Roman" w:cs="Arial"/>
                <w:sz w:val="16"/>
                <w:szCs w:val="16"/>
              </w:rPr>
              <w:t>$2</w:t>
            </w:r>
            <w:r w:rsidR="003D70F9">
              <w:rPr>
                <w:rFonts w:ascii="Arial" w:hAnsi="Arial" w:eastAsia="Times New Roman" w:cs="Arial"/>
                <w:sz w:val="16"/>
                <w:szCs w:val="16"/>
              </w:rPr>
              <w:t>4,631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71D450FA" w14:textId="6A003BBA">
            <w:pPr>
              <w:jc w:val="center"/>
              <w:rPr>
                <w:rFonts w:ascii="Arial" w:hAnsi="Arial" w:eastAsia="Times New Roman" w:cs="Arial"/>
                <w:sz w:val="16"/>
                <w:szCs w:val="16"/>
              </w:rPr>
            </w:pPr>
            <w:r w:rsidRPr="00624B4F">
              <w:rPr>
                <w:rFonts w:ascii="Arial" w:hAnsi="Arial" w:eastAsia="Times New Roman" w:cs="Arial"/>
                <w:sz w:val="16"/>
                <w:szCs w:val="16"/>
              </w:rPr>
              <w:t>166,119,855</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3D70F9" w14:paraId="793388F8" w14:textId="6B8E5ADD">
            <w:pPr>
              <w:jc w:val="center"/>
              <w:rPr>
                <w:rFonts w:ascii="Arial" w:hAnsi="Arial" w:eastAsia="Times New Roman" w:cs="Arial"/>
                <w:sz w:val="16"/>
                <w:szCs w:val="16"/>
              </w:rPr>
            </w:pPr>
            <w:r>
              <w:rPr>
                <w:rFonts w:ascii="Arial" w:hAnsi="Arial" w:eastAsia="Times New Roman" w:cs="Arial"/>
                <w:sz w:val="16"/>
                <w:szCs w:val="16"/>
              </w:rPr>
              <w:t>581,419</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491A7F90" w14:textId="69D03BE4">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4</w:t>
            </w:r>
            <w:r w:rsidR="003D70F9">
              <w:rPr>
                <w:rFonts w:ascii="Arial" w:hAnsi="Arial" w:eastAsia="Times New Roman" w:cs="Arial"/>
                <w:sz w:val="16"/>
                <w:szCs w:val="16"/>
              </w:rPr>
              <w:t>1,995,930</w:t>
            </w:r>
          </w:p>
        </w:tc>
      </w:tr>
      <w:tr w:rsidRPr="00624B4F" w:rsidR="00CB1CDA" w:rsidTr="00A24057" w14:paraId="3AD5628A"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4BA6FDC0" w14:textId="77777777">
            <w:pPr>
              <w:jc w:val="center"/>
              <w:rPr>
                <w:rFonts w:ascii="Arial" w:hAnsi="Arial" w:eastAsia="Times New Roman" w:cs="Arial"/>
                <w:sz w:val="16"/>
                <w:szCs w:val="16"/>
              </w:rPr>
            </w:pPr>
            <w:r w:rsidRPr="00624B4F">
              <w:rPr>
                <w:rFonts w:ascii="Arial" w:hAnsi="Arial" w:eastAsia="Times New Roman" w:cs="Arial"/>
                <w:sz w:val="16"/>
                <w:szCs w:val="16"/>
              </w:rPr>
              <w:t>45.5</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60618E48" w14:textId="4EE65D8E">
            <w:pPr>
              <w:rPr>
                <w:rFonts w:ascii="Arial" w:hAnsi="Arial" w:eastAsia="Times New Roman" w:cs="Arial"/>
                <w:sz w:val="16"/>
                <w:szCs w:val="16"/>
              </w:rPr>
            </w:pPr>
            <w:r w:rsidRPr="00624B4F">
              <w:rPr>
                <w:rFonts w:ascii="Arial" w:hAnsi="Arial" w:eastAsia="Times New Roman" w:cs="Arial"/>
                <w:sz w:val="16"/>
                <w:szCs w:val="16"/>
              </w:rPr>
              <w:t>940</w:t>
            </w:r>
            <w:r>
              <w:rPr>
                <w:rFonts w:ascii="Arial" w:hAnsi="Arial" w:eastAsia="Times New Roman" w:cs="Arial"/>
                <w:sz w:val="16"/>
                <w:szCs w:val="16"/>
              </w:rPr>
              <w:t xml:space="preserve"> SDRs, SEFs, DCMs, and Financial Entity Reporting Counterparties</w:t>
            </w:r>
            <w:r>
              <w:rPr>
                <w:rStyle w:val="EndnoteReference"/>
                <w:rFonts w:ascii="Arial" w:hAnsi="Arial" w:eastAsia="Times New Roman" w:cs="Arial"/>
                <w:sz w:val="16"/>
                <w:szCs w:val="16"/>
              </w:rPr>
              <w:endnoteReference w:id="7"/>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199C50B4" w14:textId="5F2EE7EC">
            <w:pPr>
              <w:jc w:val="center"/>
              <w:rPr>
                <w:rFonts w:ascii="Arial" w:hAnsi="Arial" w:eastAsia="Times New Roman" w:cs="Arial"/>
                <w:sz w:val="16"/>
                <w:szCs w:val="16"/>
              </w:rPr>
            </w:pPr>
            <w:r w:rsidRPr="00624B4F">
              <w:rPr>
                <w:rFonts w:ascii="Arial" w:hAnsi="Arial" w:eastAsia="Times New Roman" w:cs="Arial"/>
                <w:sz w:val="16"/>
                <w:szCs w:val="16"/>
              </w:rPr>
              <w:t>18,085</w:t>
            </w:r>
            <w:r>
              <w:rPr>
                <w:rStyle w:val="EndnoteReference"/>
                <w:rFonts w:ascii="Arial" w:hAnsi="Arial" w:eastAsia="Times New Roman" w:cs="Arial"/>
                <w:sz w:val="16"/>
                <w:szCs w:val="16"/>
              </w:rPr>
              <w:endnoteReference w:id="8"/>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1CD0B620" w14:textId="67555BAC">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0DE7ADF7" w14:textId="0971FA15">
            <w:pPr>
              <w:jc w:val="center"/>
              <w:rPr>
                <w:rFonts w:ascii="Arial" w:hAnsi="Arial" w:eastAsia="Times New Roman" w:cs="Arial"/>
                <w:sz w:val="16"/>
                <w:szCs w:val="16"/>
              </w:rPr>
            </w:pPr>
            <w:r w:rsidRPr="00624B4F">
              <w:rPr>
                <w:rFonts w:ascii="Arial" w:hAnsi="Arial" w:eastAsia="Times New Roman" w:cs="Arial"/>
                <w:sz w:val="16"/>
                <w:szCs w:val="16"/>
              </w:rPr>
              <w:t>18</w:t>
            </w:r>
            <w:r w:rsidR="00D77266">
              <w:rPr>
                <w:rFonts w:ascii="Arial" w:hAnsi="Arial" w:eastAsia="Times New Roman" w:cs="Arial"/>
                <w:sz w:val="16"/>
                <w:szCs w:val="16"/>
              </w:rPr>
              <w:t>0.85</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0C098306" w14:textId="0325A70A">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63F429AF" w14:textId="7493B957">
            <w:pPr>
              <w:jc w:val="center"/>
              <w:rPr>
                <w:rFonts w:ascii="Arial" w:hAnsi="Arial" w:eastAsia="Times New Roman" w:cs="Arial"/>
                <w:sz w:val="16"/>
                <w:szCs w:val="16"/>
              </w:rPr>
            </w:pPr>
            <w:r w:rsidRPr="00624B4F">
              <w:rPr>
                <w:rFonts w:ascii="Arial" w:hAnsi="Arial" w:eastAsia="Times New Roman" w:cs="Arial"/>
                <w:sz w:val="16"/>
                <w:szCs w:val="16"/>
              </w:rPr>
              <w:t>$13,06</w:t>
            </w:r>
            <w:r w:rsidR="00181DCC">
              <w:rPr>
                <w:rFonts w:ascii="Arial" w:hAnsi="Arial" w:eastAsia="Times New Roman" w:cs="Arial"/>
                <w:sz w:val="16"/>
                <w:szCs w:val="16"/>
              </w:rPr>
              <w:t>2.79</w:t>
            </w:r>
            <w:r w:rsidRPr="00624B4F">
              <w:rPr>
                <w:rFonts w:ascii="Arial" w:hAnsi="Arial" w:eastAsia="Times New Roman" w:cs="Arial"/>
                <w:sz w:val="16"/>
                <w:szCs w:val="16"/>
              </w:rPr>
              <w:t xml:space="preserve"> </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28F01ABB" w14:textId="398875CD">
            <w:pPr>
              <w:jc w:val="center"/>
              <w:rPr>
                <w:rFonts w:ascii="Arial" w:hAnsi="Arial" w:eastAsia="Times New Roman" w:cs="Arial"/>
                <w:sz w:val="16"/>
                <w:szCs w:val="16"/>
              </w:rPr>
            </w:pPr>
            <w:r w:rsidRPr="00624B4F">
              <w:rPr>
                <w:rFonts w:ascii="Arial" w:hAnsi="Arial" w:eastAsia="Times New Roman" w:cs="Arial"/>
                <w:sz w:val="16"/>
                <w:szCs w:val="16"/>
              </w:rPr>
              <w:t>16,999,900</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E3E50F3" w14:textId="2454D5CF">
            <w:pPr>
              <w:jc w:val="center"/>
              <w:rPr>
                <w:rFonts w:ascii="Arial" w:hAnsi="Arial" w:eastAsia="Times New Roman" w:cs="Arial"/>
                <w:sz w:val="16"/>
                <w:szCs w:val="16"/>
              </w:rPr>
            </w:pPr>
            <w:r w:rsidRPr="00624B4F">
              <w:rPr>
                <w:rFonts w:ascii="Arial" w:hAnsi="Arial" w:eastAsia="Times New Roman" w:cs="Arial"/>
                <w:sz w:val="16"/>
                <w:szCs w:val="16"/>
              </w:rPr>
              <w:t>169,999</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7B44C06" w14:textId="659B31CD">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12,279,028</w:t>
            </w:r>
          </w:p>
        </w:tc>
      </w:tr>
      <w:tr w:rsidRPr="00624B4F" w:rsidR="00CB1CDA" w:rsidTr="00A24057" w14:paraId="092B91AE"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2732123D" w14:textId="77777777">
            <w:pPr>
              <w:jc w:val="center"/>
              <w:rPr>
                <w:rFonts w:ascii="Arial" w:hAnsi="Arial" w:eastAsia="Times New Roman" w:cs="Arial"/>
                <w:sz w:val="16"/>
                <w:szCs w:val="16"/>
              </w:rPr>
            </w:pPr>
            <w:r w:rsidRPr="00624B4F">
              <w:rPr>
                <w:rFonts w:ascii="Arial" w:hAnsi="Arial" w:eastAsia="Times New Roman" w:cs="Arial"/>
                <w:sz w:val="16"/>
                <w:szCs w:val="16"/>
              </w:rPr>
              <w:t>45.6</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46F27A4A" w14:textId="3372B728">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SDRs, SEFs, DCMs, Reporting Counterparties</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D053CE" w:rsidRDefault="00013AB1" w14:paraId="5F4A3156" w14:textId="2F460142">
            <w:pPr>
              <w:jc w:val="center"/>
              <w:rPr>
                <w:rFonts w:ascii="Arial" w:hAnsi="Arial" w:eastAsia="Times New Roman" w:cs="Arial"/>
                <w:sz w:val="16"/>
                <w:szCs w:val="16"/>
              </w:rPr>
            </w:pPr>
            <w:r w:rsidRPr="00624B4F">
              <w:rPr>
                <w:rFonts w:ascii="Arial" w:hAnsi="Arial" w:eastAsia="Times New Roman" w:cs="Arial"/>
                <w:sz w:val="16"/>
                <w:szCs w:val="16"/>
              </w:rPr>
              <w:t>1</w:t>
            </w:r>
            <w:r>
              <w:rPr>
                <w:rStyle w:val="EndnoteReference"/>
                <w:rFonts w:ascii="Arial" w:hAnsi="Arial" w:eastAsia="Times New Roman" w:cs="Arial"/>
                <w:sz w:val="16"/>
                <w:szCs w:val="16"/>
              </w:rPr>
              <w:endnoteReference w:id="9"/>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3C53A2E2" w14:textId="0D6EDEDB">
            <w:pPr>
              <w:jc w:val="center"/>
              <w:rPr>
                <w:rFonts w:ascii="Arial" w:hAnsi="Arial" w:eastAsia="Times New Roman" w:cs="Arial"/>
                <w:sz w:val="16"/>
                <w:szCs w:val="16"/>
              </w:rPr>
            </w:pPr>
            <w:r w:rsidRPr="00624B4F">
              <w:rPr>
                <w:rFonts w:ascii="Arial" w:hAnsi="Arial" w:eastAsia="Times New Roman" w:cs="Arial"/>
                <w:sz w:val="16"/>
                <w:szCs w:val="16"/>
              </w:rPr>
              <w:t>0.020</w:t>
            </w:r>
            <w:r>
              <w:rPr>
                <w:rStyle w:val="EndnoteReference"/>
                <w:rFonts w:ascii="Arial" w:hAnsi="Arial" w:eastAsia="Times New Roman" w:cs="Arial"/>
                <w:sz w:val="16"/>
                <w:szCs w:val="16"/>
              </w:rPr>
              <w:endnoteReference w:id="10"/>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6F9C8E7E" w14:textId="4603EE0A">
            <w:pPr>
              <w:jc w:val="center"/>
              <w:rPr>
                <w:rFonts w:ascii="Arial" w:hAnsi="Arial" w:eastAsia="Times New Roman" w:cs="Arial"/>
                <w:sz w:val="16"/>
                <w:szCs w:val="16"/>
              </w:rPr>
            </w:pPr>
            <w:r w:rsidRPr="00624B4F">
              <w:rPr>
                <w:rFonts w:ascii="Arial" w:hAnsi="Arial" w:eastAsia="Times New Roman" w:cs="Arial"/>
                <w:sz w:val="16"/>
                <w:szCs w:val="16"/>
              </w:rPr>
              <w:t>0.02</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6413622B" w14:textId="1FCFCBE1">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4E48F8" w14:paraId="56AA0920" w14:textId="0C7AA71C">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42CF3FB" w14:textId="7AEE14C5">
            <w:pPr>
              <w:jc w:val="center"/>
              <w:rPr>
                <w:rFonts w:ascii="Arial" w:hAnsi="Arial" w:eastAsia="Times New Roman" w:cs="Arial"/>
                <w:sz w:val="16"/>
                <w:szCs w:val="16"/>
              </w:rPr>
            </w:pPr>
            <w:r w:rsidRPr="00624B4F">
              <w:rPr>
                <w:rFonts w:ascii="Arial" w:hAnsi="Arial" w:eastAsia="Times New Roman" w:cs="Arial"/>
                <w:sz w:val="16"/>
                <w:szCs w:val="16"/>
              </w:rPr>
              <w:t>1,732</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B98B87A" w14:textId="001A9029">
            <w:pPr>
              <w:jc w:val="center"/>
              <w:rPr>
                <w:rFonts w:ascii="Arial" w:hAnsi="Arial" w:eastAsia="Times New Roman" w:cs="Arial"/>
                <w:sz w:val="16"/>
                <w:szCs w:val="16"/>
              </w:rPr>
            </w:pPr>
            <w:r w:rsidRPr="00624B4F">
              <w:rPr>
                <w:rFonts w:ascii="Arial" w:hAnsi="Arial" w:eastAsia="Times New Roman" w:cs="Arial"/>
                <w:sz w:val="16"/>
                <w:szCs w:val="16"/>
              </w:rPr>
              <w:t>35</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0CEA076D" w14:textId="5E98F166">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2,502</w:t>
            </w:r>
          </w:p>
        </w:tc>
      </w:tr>
      <w:tr w:rsidRPr="00624B4F" w:rsidR="00CB1CDA" w:rsidTr="00A24057" w14:paraId="410748F2"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678072B6" w14:textId="77777777">
            <w:pPr>
              <w:jc w:val="center"/>
              <w:rPr>
                <w:rFonts w:ascii="Arial" w:hAnsi="Arial" w:eastAsia="Times New Roman" w:cs="Arial"/>
                <w:sz w:val="16"/>
                <w:szCs w:val="16"/>
              </w:rPr>
            </w:pPr>
            <w:r w:rsidRPr="00624B4F">
              <w:rPr>
                <w:rFonts w:ascii="Arial" w:hAnsi="Arial" w:eastAsia="Times New Roman" w:cs="Arial"/>
                <w:sz w:val="16"/>
                <w:szCs w:val="16"/>
              </w:rPr>
              <w:t>45.10</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45BD9A4A" w14:textId="3BA2A0C6">
            <w:pPr>
              <w:rPr>
                <w:rFonts w:ascii="Arial" w:hAnsi="Arial" w:eastAsia="Times New Roman" w:cs="Arial"/>
                <w:sz w:val="16"/>
                <w:szCs w:val="16"/>
              </w:rPr>
            </w:pPr>
            <w:r w:rsidRPr="00624B4F">
              <w:rPr>
                <w:rFonts w:ascii="Arial" w:hAnsi="Arial" w:eastAsia="Times New Roman" w:cs="Arial"/>
                <w:sz w:val="16"/>
                <w:szCs w:val="16"/>
              </w:rPr>
              <w:t xml:space="preserve">15 </w:t>
            </w:r>
            <w:r>
              <w:rPr>
                <w:rFonts w:ascii="Arial" w:hAnsi="Arial" w:eastAsia="Times New Roman" w:cs="Arial"/>
                <w:sz w:val="16"/>
                <w:szCs w:val="16"/>
              </w:rPr>
              <w:t>Reporting Counterparties</w:t>
            </w:r>
            <w:r>
              <w:rPr>
                <w:rStyle w:val="EndnoteReference"/>
                <w:rFonts w:ascii="Arial" w:hAnsi="Arial" w:eastAsia="Times New Roman" w:cs="Arial"/>
                <w:sz w:val="16"/>
                <w:szCs w:val="16"/>
              </w:rPr>
              <w:endnoteReference w:id="11"/>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D053CE" w:rsidRDefault="00013AB1" w14:paraId="15D4F17C" w14:textId="22B1042E">
            <w:pPr>
              <w:ind w:firstLine="320" w:firstLineChars="200"/>
              <w:jc w:val="center"/>
              <w:rPr>
                <w:rFonts w:ascii="Arial" w:hAnsi="Arial" w:eastAsia="Times New Roman" w:cs="Arial"/>
                <w:sz w:val="16"/>
                <w:szCs w:val="16"/>
              </w:rPr>
            </w:pPr>
            <w:r w:rsidRPr="00624B4F">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2540EB67" w14:textId="7BFA2669">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4693A197" w14:textId="143C544C">
            <w:pPr>
              <w:jc w:val="center"/>
              <w:rPr>
                <w:rFonts w:ascii="Arial" w:hAnsi="Arial" w:eastAsia="Times New Roman" w:cs="Arial"/>
                <w:sz w:val="16"/>
                <w:szCs w:val="16"/>
              </w:rPr>
            </w:pPr>
            <w:r w:rsidRPr="00624B4F">
              <w:rPr>
                <w:rFonts w:ascii="Arial" w:hAnsi="Arial" w:eastAsia="Times New Roman" w:cs="Arial"/>
                <w:sz w:val="16"/>
                <w:szCs w:val="16"/>
              </w:rPr>
              <w:t>0.01</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28AAE929" w14:textId="697A9F81">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4E48F8" w14:paraId="3FBF926D" w14:textId="1F446770">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336132D8" w14:textId="16A4686F">
            <w:pPr>
              <w:jc w:val="center"/>
              <w:rPr>
                <w:rFonts w:ascii="Arial" w:hAnsi="Arial" w:eastAsia="Times New Roman" w:cs="Arial"/>
                <w:sz w:val="16"/>
                <w:szCs w:val="16"/>
              </w:rPr>
            </w:pPr>
            <w:r w:rsidRPr="00624B4F">
              <w:rPr>
                <w:rFonts w:ascii="Arial" w:hAnsi="Arial" w:eastAsia="Times New Roman" w:cs="Arial"/>
                <w:sz w:val="16"/>
                <w:szCs w:val="16"/>
              </w:rPr>
              <w:t>15</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32E85ABE" w14:textId="0F045683">
            <w:pPr>
              <w:jc w:val="center"/>
              <w:rPr>
                <w:rFonts w:ascii="Arial" w:hAnsi="Arial" w:eastAsia="Times New Roman" w:cs="Arial"/>
                <w:sz w:val="16"/>
                <w:szCs w:val="16"/>
              </w:rPr>
            </w:pPr>
            <w:r w:rsidRPr="00624B4F">
              <w:rPr>
                <w:rFonts w:ascii="Arial" w:hAnsi="Arial" w:eastAsia="Times New Roman" w:cs="Arial"/>
                <w:sz w:val="16"/>
                <w:szCs w:val="16"/>
              </w:rPr>
              <w:t>0.15</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6EDEF70" w14:textId="690FD354">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11</w:t>
            </w:r>
          </w:p>
        </w:tc>
      </w:tr>
      <w:tr w:rsidRPr="00624B4F" w:rsidR="00CB1CDA" w:rsidTr="00A24057" w14:paraId="3C002C71" w14:textId="77777777">
        <w:trPr>
          <w:trHeight w:val="300"/>
        </w:trPr>
        <w:tc>
          <w:tcPr>
            <w:tcW w:w="918" w:type="dxa"/>
            <w:tcBorders>
              <w:top w:val="nil"/>
              <w:left w:val="single" w:color="000000" w:sz="8" w:space="0"/>
              <w:bottom w:val="single" w:color="auto" w:sz="4" w:space="0"/>
              <w:right w:val="single" w:color="000000" w:sz="8" w:space="0"/>
            </w:tcBorders>
            <w:shd w:val="clear" w:color="auto" w:fill="auto"/>
            <w:vAlign w:val="center"/>
            <w:hideMark/>
          </w:tcPr>
          <w:p w:rsidRPr="00624B4F" w:rsidR="00013AB1" w:rsidP="00624B4F" w:rsidRDefault="00013AB1" w14:paraId="4F863AAA" w14:textId="178BE537">
            <w:pPr>
              <w:jc w:val="center"/>
              <w:rPr>
                <w:rFonts w:ascii="Arial" w:hAnsi="Arial" w:eastAsia="Times New Roman" w:cs="Arial"/>
                <w:sz w:val="16"/>
                <w:szCs w:val="16"/>
              </w:rPr>
            </w:pPr>
            <w:r w:rsidRPr="00624B4F">
              <w:rPr>
                <w:rFonts w:ascii="Arial" w:hAnsi="Arial" w:eastAsia="Times New Roman" w:cs="Arial"/>
                <w:sz w:val="16"/>
                <w:szCs w:val="16"/>
              </w:rPr>
              <w:t>45.14</w:t>
            </w:r>
            <w:r>
              <w:rPr>
                <w:rStyle w:val="EndnoteReference"/>
                <w:rFonts w:ascii="Arial" w:hAnsi="Arial" w:eastAsia="Times New Roman" w:cs="Arial"/>
                <w:sz w:val="16"/>
                <w:szCs w:val="16"/>
              </w:rPr>
              <w:endnoteReference w:id="12"/>
            </w:r>
          </w:p>
        </w:tc>
        <w:tc>
          <w:tcPr>
            <w:tcW w:w="1350" w:type="dxa"/>
            <w:tcBorders>
              <w:top w:val="nil"/>
              <w:left w:val="nil"/>
              <w:bottom w:val="single" w:color="auto" w:sz="4" w:space="0"/>
              <w:right w:val="single" w:color="000000" w:sz="8" w:space="0"/>
            </w:tcBorders>
            <w:shd w:val="clear" w:color="auto" w:fill="auto"/>
            <w:vAlign w:val="center"/>
            <w:hideMark/>
          </w:tcPr>
          <w:p w:rsidRPr="00624B4F" w:rsidR="00013AB1" w:rsidP="00870D2C" w:rsidRDefault="00013AB1" w14:paraId="6B8561EC" w14:textId="7C43EC57">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 xml:space="preserve"> SDRs, SEFs, DCMs, Reporting Counterparties</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870D2C" w:rsidRDefault="00013AB1" w14:paraId="770A9696" w14:textId="59084C39">
            <w:pPr>
              <w:ind w:firstLine="320" w:firstLineChars="200"/>
              <w:jc w:val="center"/>
              <w:rPr>
                <w:rFonts w:ascii="Arial" w:hAnsi="Arial" w:eastAsia="Times New Roman" w:cs="Arial"/>
                <w:sz w:val="16"/>
                <w:szCs w:val="16"/>
              </w:rPr>
            </w:pPr>
            <w:r w:rsidRPr="00624B4F">
              <w:rPr>
                <w:rFonts w:ascii="Arial" w:hAnsi="Arial" w:eastAsia="Times New Roman" w:cs="Arial"/>
                <w:sz w:val="16"/>
                <w:szCs w:val="16"/>
              </w:rPr>
              <w:t>52</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A40B87" w:rsidRDefault="00013AB1" w14:paraId="6C40026F" w14:textId="2BAB0576">
            <w:pPr>
              <w:jc w:val="center"/>
              <w:rPr>
                <w:rFonts w:ascii="Arial" w:hAnsi="Arial" w:eastAsia="Times New Roman" w:cs="Arial"/>
                <w:sz w:val="16"/>
                <w:szCs w:val="16"/>
              </w:rPr>
            </w:pPr>
            <w:r w:rsidRPr="00624B4F">
              <w:rPr>
                <w:rFonts w:ascii="Arial" w:hAnsi="Arial" w:eastAsia="Times New Roman" w:cs="Arial"/>
                <w:sz w:val="16"/>
                <w:szCs w:val="16"/>
              </w:rPr>
              <w:t>2</w:t>
            </w:r>
          </w:p>
        </w:tc>
        <w:tc>
          <w:tcPr>
            <w:tcW w:w="1332" w:type="dxa"/>
            <w:tcBorders>
              <w:top w:val="nil"/>
              <w:left w:val="nil"/>
              <w:bottom w:val="single" w:color="auto" w:sz="4" w:space="0"/>
              <w:right w:val="single" w:color="000000" w:sz="8" w:space="0"/>
            </w:tcBorders>
            <w:shd w:val="clear" w:color="auto" w:fill="auto"/>
            <w:vAlign w:val="center"/>
            <w:hideMark/>
          </w:tcPr>
          <w:p w:rsidRPr="00624B4F" w:rsidR="00013AB1" w:rsidP="0036025F" w:rsidRDefault="00013AB1" w14:paraId="6EAA4599" w14:textId="78C5D569">
            <w:pPr>
              <w:jc w:val="center"/>
              <w:rPr>
                <w:rFonts w:ascii="Arial" w:hAnsi="Arial" w:eastAsia="Times New Roman" w:cs="Arial"/>
                <w:sz w:val="16"/>
                <w:szCs w:val="16"/>
              </w:rPr>
            </w:pPr>
            <w:r w:rsidRPr="00624B4F">
              <w:rPr>
                <w:rFonts w:ascii="Arial" w:hAnsi="Arial" w:eastAsia="Times New Roman" w:cs="Arial"/>
                <w:sz w:val="16"/>
                <w:szCs w:val="16"/>
              </w:rPr>
              <w:t>104</w:t>
            </w:r>
          </w:p>
        </w:tc>
        <w:tc>
          <w:tcPr>
            <w:tcW w:w="1008" w:type="dxa"/>
            <w:tcBorders>
              <w:top w:val="nil"/>
              <w:left w:val="nil"/>
              <w:bottom w:val="single" w:color="auto" w:sz="4" w:space="0"/>
              <w:right w:val="single" w:color="000000" w:sz="8" w:space="0"/>
            </w:tcBorders>
            <w:shd w:val="clear" w:color="auto" w:fill="auto"/>
            <w:vAlign w:val="center"/>
            <w:hideMark/>
          </w:tcPr>
          <w:p w:rsidRPr="00624B4F" w:rsidR="00013AB1" w:rsidP="00904822" w:rsidRDefault="00013AB1" w14:paraId="153CE05E" w14:textId="589910C2">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536419" w:rsidRDefault="004E48F8" w14:paraId="5B782B45" w14:textId="3747D45A">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7,512</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2C20EDF4" w14:textId="69832492">
            <w:pPr>
              <w:jc w:val="center"/>
              <w:rPr>
                <w:rFonts w:ascii="Arial" w:hAnsi="Arial" w:eastAsia="Times New Roman" w:cs="Arial"/>
                <w:sz w:val="16"/>
                <w:szCs w:val="16"/>
              </w:rPr>
            </w:pPr>
            <w:r w:rsidRPr="00624B4F">
              <w:rPr>
                <w:rFonts w:ascii="Arial" w:hAnsi="Arial" w:eastAsia="Times New Roman" w:cs="Arial"/>
                <w:sz w:val="16"/>
                <w:szCs w:val="16"/>
              </w:rPr>
              <w:t>90,064</w:t>
            </w:r>
          </w:p>
        </w:tc>
        <w:tc>
          <w:tcPr>
            <w:tcW w:w="990"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06557519" w14:textId="27155B54">
            <w:pPr>
              <w:jc w:val="center"/>
              <w:rPr>
                <w:rFonts w:ascii="Arial" w:hAnsi="Arial" w:eastAsia="Times New Roman" w:cs="Arial"/>
                <w:sz w:val="16"/>
                <w:szCs w:val="16"/>
              </w:rPr>
            </w:pPr>
            <w:r w:rsidRPr="00624B4F">
              <w:rPr>
                <w:rFonts w:ascii="Arial" w:hAnsi="Arial" w:eastAsia="Times New Roman" w:cs="Arial"/>
                <w:sz w:val="16"/>
                <w:szCs w:val="16"/>
              </w:rPr>
              <w:t>180,128</w:t>
            </w:r>
          </w:p>
        </w:tc>
        <w:tc>
          <w:tcPr>
            <w:tcW w:w="1152"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1779F030" w14:textId="13057692">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13,010,645</w:t>
            </w:r>
          </w:p>
        </w:tc>
      </w:tr>
      <w:tr w:rsidRPr="00624B4F" w:rsidR="00CB1CDA" w:rsidTr="00A24057" w14:paraId="52F148D9" w14:textId="77777777">
        <w:trPr>
          <w:trHeight w:val="300"/>
        </w:trPr>
        <w:tc>
          <w:tcPr>
            <w:tcW w:w="918" w:type="dxa"/>
            <w:tcBorders>
              <w:top w:val="single" w:color="auto" w:sz="4" w:space="0"/>
              <w:left w:val="single" w:color="000000" w:sz="8" w:space="0"/>
              <w:bottom w:val="single" w:color="auto" w:sz="4" w:space="0"/>
              <w:right w:val="single" w:color="000000" w:sz="8" w:space="0"/>
            </w:tcBorders>
            <w:shd w:val="clear" w:color="auto" w:fill="auto"/>
            <w:vAlign w:val="center"/>
          </w:tcPr>
          <w:p w:rsidRPr="00D77266" w:rsidR="00013AB1" w:rsidP="00624B4F" w:rsidRDefault="00013AB1" w14:paraId="6A091C00" w14:textId="78569223">
            <w:pPr>
              <w:jc w:val="center"/>
              <w:rPr>
                <w:rFonts w:ascii="Arial" w:hAnsi="Arial" w:eastAsia="Times New Roman" w:cs="Arial"/>
                <w:b/>
                <w:sz w:val="16"/>
                <w:szCs w:val="16"/>
              </w:rPr>
            </w:pPr>
            <w:r w:rsidRPr="00D77266">
              <w:rPr>
                <w:rFonts w:ascii="Arial" w:hAnsi="Arial" w:eastAsia="Times New Roman" w:cs="Arial"/>
                <w:b/>
                <w:sz w:val="16"/>
                <w:szCs w:val="16"/>
              </w:rPr>
              <w:t>Totals</w:t>
            </w:r>
          </w:p>
        </w:tc>
        <w:tc>
          <w:tcPr>
            <w:tcW w:w="1350" w:type="dxa"/>
            <w:tcBorders>
              <w:top w:val="single" w:color="auto" w:sz="4" w:space="0"/>
              <w:left w:val="nil"/>
              <w:bottom w:val="single" w:color="auto" w:sz="4" w:space="0"/>
              <w:right w:val="single" w:color="000000" w:sz="8" w:space="0"/>
            </w:tcBorders>
            <w:shd w:val="clear" w:color="auto" w:fill="auto"/>
            <w:vAlign w:val="center"/>
          </w:tcPr>
          <w:p w:rsidRPr="00624B4F" w:rsidR="00013AB1" w:rsidP="00870D2C" w:rsidRDefault="00013AB1" w14:paraId="7A842CE0" w14:textId="1DF13EB2">
            <w:pP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870D2C" w:rsidRDefault="00A257A2" w14:paraId="3BBA7766" w14:textId="2A0736DC">
            <w:pPr>
              <w:jc w:val="center"/>
              <w:rPr>
                <w:rFonts w:ascii="Arial" w:hAnsi="Arial" w:eastAsia="Times New Roman" w:cs="Arial"/>
                <w:sz w:val="16"/>
                <w:szCs w:val="16"/>
              </w:rPr>
            </w:pPr>
            <w:r>
              <w:rPr>
                <w:rFonts w:ascii="Arial" w:hAnsi="Arial" w:eastAsia="Times New Roman" w:cs="Arial"/>
                <w:sz w:val="16"/>
                <w:szCs w:val="16"/>
              </w:rPr>
              <w:t>122,570</w:t>
            </w:r>
          </w:p>
        </w:tc>
        <w:tc>
          <w:tcPr>
            <w:tcW w:w="1170" w:type="dxa"/>
            <w:tcBorders>
              <w:top w:val="single" w:color="auto" w:sz="4" w:space="0"/>
              <w:left w:val="nil"/>
              <w:bottom w:val="single" w:color="auto" w:sz="4" w:space="0"/>
              <w:right w:val="single" w:color="000000" w:sz="8" w:space="0"/>
            </w:tcBorders>
            <w:shd w:val="clear" w:color="auto" w:fill="auto"/>
            <w:vAlign w:val="center"/>
          </w:tcPr>
          <w:p w:rsidR="00013AB1" w:rsidP="00A40B87" w:rsidRDefault="00013AB1" w14:paraId="7B835ECA" w14:textId="77777777">
            <w:pPr>
              <w:jc w:val="center"/>
              <w:rPr>
                <w:rFonts w:ascii="Arial" w:hAnsi="Arial" w:eastAsia="Times New Roman" w:cs="Arial"/>
                <w:sz w:val="16"/>
                <w:szCs w:val="16"/>
              </w:rPr>
            </w:pPr>
          </w:p>
        </w:tc>
        <w:tc>
          <w:tcPr>
            <w:tcW w:w="1332" w:type="dxa"/>
            <w:tcBorders>
              <w:top w:val="single" w:color="auto" w:sz="4" w:space="0"/>
              <w:left w:val="nil"/>
              <w:bottom w:val="single" w:color="auto" w:sz="4" w:space="0"/>
              <w:right w:val="single" w:color="000000" w:sz="8" w:space="0"/>
            </w:tcBorders>
            <w:shd w:val="clear" w:color="auto" w:fill="auto"/>
            <w:vAlign w:val="center"/>
          </w:tcPr>
          <w:p w:rsidRPr="00624B4F" w:rsidR="00013AB1" w:rsidP="008B2439" w:rsidRDefault="00013AB1" w14:paraId="79D86A4F" w14:textId="486EE1AB">
            <w:pPr>
              <w:jc w:val="center"/>
              <w:rPr>
                <w:rFonts w:ascii="Arial" w:hAnsi="Arial" w:eastAsia="Times New Roman" w:cs="Arial"/>
                <w:sz w:val="16"/>
                <w:szCs w:val="16"/>
              </w:rPr>
            </w:pPr>
          </w:p>
        </w:tc>
        <w:tc>
          <w:tcPr>
            <w:tcW w:w="1008" w:type="dxa"/>
            <w:tcBorders>
              <w:top w:val="single" w:color="auto" w:sz="4" w:space="0"/>
              <w:left w:val="nil"/>
              <w:bottom w:val="single" w:color="auto" w:sz="4" w:space="0"/>
              <w:right w:val="single" w:color="000000" w:sz="8" w:space="0"/>
            </w:tcBorders>
            <w:shd w:val="clear" w:color="auto" w:fill="auto"/>
            <w:vAlign w:val="center"/>
          </w:tcPr>
          <w:p w:rsidRPr="00624B4F" w:rsidR="00013AB1" w:rsidP="0036025F" w:rsidRDefault="00013AB1" w14:paraId="7E734D5C" w14:textId="77777777">
            <w:pPr>
              <w:jc w:val="cente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4F4090" w:rsidRDefault="00013AB1" w14:paraId="286BBB95" w14:textId="1F8E875D">
            <w:pPr>
              <w:jc w:val="cente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67629B" w:rsidRDefault="00013AB1" w14:paraId="48081207" w14:textId="6368D98D">
            <w:pPr>
              <w:jc w:val="center"/>
              <w:rPr>
                <w:rFonts w:ascii="Arial" w:hAnsi="Arial" w:eastAsia="Times New Roman" w:cs="Arial"/>
                <w:sz w:val="16"/>
                <w:szCs w:val="16"/>
              </w:rPr>
            </w:pPr>
          </w:p>
        </w:tc>
        <w:tc>
          <w:tcPr>
            <w:tcW w:w="990" w:type="dxa"/>
            <w:tcBorders>
              <w:top w:val="single" w:color="auto" w:sz="4" w:space="0"/>
              <w:left w:val="nil"/>
              <w:bottom w:val="single" w:color="auto" w:sz="4" w:space="0"/>
              <w:right w:val="single" w:color="000000" w:sz="8" w:space="0"/>
            </w:tcBorders>
            <w:shd w:val="clear" w:color="auto" w:fill="auto"/>
            <w:vAlign w:val="center"/>
          </w:tcPr>
          <w:p w:rsidRPr="00624B4F" w:rsidR="000A1AAE" w:rsidP="00080649" w:rsidRDefault="000A1AAE" w14:paraId="78A87AA5" w14:textId="016EC344">
            <w:pPr>
              <w:jc w:val="center"/>
              <w:rPr>
                <w:rFonts w:ascii="Arial" w:hAnsi="Arial" w:eastAsia="Times New Roman" w:cs="Arial"/>
                <w:sz w:val="16"/>
                <w:szCs w:val="16"/>
              </w:rPr>
            </w:pPr>
            <w:r>
              <w:rPr>
                <w:rFonts w:ascii="Arial" w:hAnsi="Arial" w:eastAsia="Times New Roman" w:cs="Arial"/>
                <w:sz w:val="16"/>
                <w:szCs w:val="16"/>
              </w:rPr>
              <w:t>1,052,821</w:t>
            </w:r>
          </w:p>
        </w:tc>
        <w:tc>
          <w:tcPr>
            <w:tcW w:w="1152" w:type="dxa"/>
            <w:tcBorders>
              <w:top w:val="single" w:color="auto" w:sz="4" w:space="0"/>
              <w:left w:val="nil"/>
              <w:bottom w:val="single" w:color="auto" w:sz="4" w:space="0"/>
              <w:right w:val="single" w:color="000000" w:sz="8" w:space="0"/>
            </w:tcBorders>
            <w:shd w:val="clear" w:color="auto" w:fill="auto"/>
            <w:vAlign w:val="center"/>
          </w:tcPr>
          <w:p w:rsidRPr="00624B4F" w:rsidR="00013AB1" w:rsidP="00D82D1D" w:rsidRDefault="00E97159" w14:paraId="7275FF8E" w14:textId="61ACC366">
            <w:pPr>
              <w:rPr>
                <w:rFonts w:ascii="Arial" w:hAnsi="Arial" w:eastAsia="Times New Roman" w:cs="Arial"/>
                <w:sz w:val="16"/>
                <w:szCs w:val="16"/>
              </w:rPr>
            </w:pPr>
            <w:r w:rsidRPr="00E97159">
              <w:rPr>
                <w:rFonts w:ascii="Arial" w:hAnsi="Arial" w:eastAsia="Times New Roman" w:cs="Arial"/>
                <w:sz w:val="16"/>
                <w:szCs w:val="16"/>
              </w:rPr>
              <w:t>$76,045,281</w:t>
            </w:r>
          </w:p>
        </w:tc>
      </w:tr>
    </w:tbl>
    <w:p w:rsidR="00013AB1" w:rsidP="002B11FD" w:rsidRDefault="00013AB1" w14:paraId="65F7FC69" w14:textId="5FBA0031">
      <w:pPr>
        <w:tabs>
          <w:tab w:val="left" w:pos="-720"/>
          <w:tab w:val="left" w:pos="0"/>
        </w:tabs>
        <w:suppressAutoHyphens/>
        <w:rPr>
          <w:rFonts w:cs="Times New Roman"/>
          <w:sz w:val="18"/>
          <w:szCs w:val="18"/>
        </w:rPr>
      </w:pPr>
    </w:p>
    <w:p w:rsidRPr="008F6D4A" w:rsidR="00013AB1" w:rsidP="002B11FD" w:rsidRDefault="00013AB1" w14:paraId="7F5D7D8C" w14:textId="381D64EC">
      <w:pPr>
        <w:jc w:val="center"/>
        <w:rPr>
          <w:rFonts w:eastAsia="Times New Roman" w:cs="Times New Roman"/>
          <w:szCs w:val="24"/>
        </w:rPr>
      </w:pPr>
      <w:r>
        <w:rPr>
          <w:rFonts w:eastAsia="Times New Roman" w:cs="Times New Roman"/>
          <w:szCs w:val="24"/>
        </w:rPr>
        <w:t>Recordkeeping</w:t>
      </w:r>
      <w:r w:rsidRPr="008F6D4A">
        <w:rPr>
          <w:rFonts w:eastAsia="Times New Roman" w:cs="Times New Roman"/>
          <w:szCs w:val="24"/>
        </w:rPr>
        <w:t xml:space="preserve"> Burden</w:t>
      </w:r>
    </w:p>
    <w:p w:rsidRPr="008F6D4A" w:rsidR="00013AB1" w:rsidP="002B11FD" w:rsidRDefault="00013AB1" w14:paraId="40A66B8E" w14:textId="77777777">
      <w:pPr>
        <w:jc w:val="center"/>
        <w:rPr>
          <w:rFonts w:eastAsia="Times New Roman" w:cs="Times New Roman"/>
          <w:szCs w:val="24"/>
        </w:rPr>
      </w:pPr>
    </w:p>
    <w:tbl>
      <w:tblPr>
        <w:tblW w:w="6015"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70"/>
        <w:gridCol w:w="1318"/>
        <w:gridCol w:w="1141"/>
        <w:gridCol w:w="1143"/>
        <w:gridCol w:w="1318"/>
        <w:gridCol w:w="967"/>
        <w:gridCol w:w="1147"/>
        <w:gridCol w:w="1143"/>
        <w:gridCol w:w="963"/>
        <w:gridCol w:w="1138"/>
      </w:tblGrid>
      <w:tr w:rsidRPr="008F6D4A" w:rsidR="005E085C" w:rsidDel="009C6DB4" w:rsidTr="00A24057" w14:paraId="3813F48F" w14:textId="77777777">
        <w:trPr>
          <w:trHeight w:val="1520"/>
        </w:trPr>
        <w:tc>
          <w:tcPr>
            <w:tcW w:w="431" w:type="pct"/>
          </w:tcPr>
          <w:p w:rsidR="00013AB1" w:rsidP="00933C63" w:rsidRDefault="00013AB1" w14:paraId="4B78FEA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005E085C" w:rsidP="00933C63" w:rsidRDefault="00013AB1" w14:paraId="32EC43B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Regula</w:t>
            </w:r>
            <w:r w:rsidR="005E085C">
              <w:rPr>
                <w:rFonts w:ascii="Arial" w:hAnsi="Arial" w:eastAsia="Times New Roman" w:cs="Times New Roman"/>
                <w:b/>
                <w:sz w:val="16"/>
                <w:szCs w:val="16"/>
              </w:rPr>
              <w:t>-</w:t>
            </w:r>
          </w:p>
          <w:p w:rsidRPr="005E41B2" w:rsidR="00013AB1" w:rsidP="00933C63" w:rsidRDefault="00013AB1" w14:paraId="7BCD2A5F" w14:textId="2CEEDD0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tion</w:t>
            </w:r>
          </w:p>
        </w:tc>
        <w:tc>
          <w:tcPr>
            <w:tcW w:w="586" w:type="pct"/>
          </w:tcPr>
          <w:p w:rsidR="00013AB1" w:rsidP="00933C63" w:rsidRDefault="00013AB1" w14:paraId="08DF6E1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013AB1" w:rsidP="00933C63" w:rsidRDefault="00013AB1" w14:paraId="7E8EE0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013AB1" w:rsidP="00933C63" w:rsidRDefault="00013AB1" w14:paraId="4A5831B3" w14:textId="77777777">
            <w:pPr>
              <w:tabs>
                <w:tab w:val="left" w:pos="-720"/>
                <w:tab w:val="left" w:pos="0"/>
              </w:tabs>
              <w:suppressAutoHyphens/>
              <w:jc w:val="center"/>
              <w:rPr>
                <w:rFonts w:ascii="Arial" w:hAnsi="Arial" w:eastAsia="Times New Roman" w:cs="Times New Roman"/>
                <w:b/>
                <w:sz w:val="16"/>
                <w:szCs w:val="16"/>
              </w:rPr>
            </w:pPr>
          </w:p>
        </w:tc>
        <w:tc>
          <w:tcPr>
            <w:tcW w:w="507" w:type="pct"/>
          </w:tcPr>
          <w:p w:rsidR="00013AB1" w:rsidP="00933C63" w:rsidRDefault="00013AB1" w14:paraId="34778A0D"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013AB1" w:rsidP="00933C63" w:rsidRDefault="00013AB1" w14:paraId="68F7EF6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013AB1" w:rsidP="00933C63" w:rsidRDefault="00013AB1" w14:paraId="0AA77A91"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08" w:type="pct"/>
          </w:tcPr>
          <w:p w:rsidR="00013AB1" w:rsidP="00933C63" w:rsidRDefault="00013AB1" w14:paraId="5615B8B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013AB1" w:rsidP="00933C63" w:rsidRDefault="00013AB1" w14:paraId="1A5CD6A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86" w:type="pct"/>
          </w:tcPr>
          <w:p w:rsidR="00013AB1" w:rsidP="00933C63" w:rsidRDefault="00013AB1" w14:paraId="76A3435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013AB1" w:rsidP="00933C63" w:rsidRDefault="00013AB1" w14:paraId="705A704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Pr>
                <w:rFonts w:ascii="Arial" w:hAnsi="Arial" w:eastAsia="Times New Roman" w:cs="Times New Roman"/>
                <w:b/>
                <w:sz w:val="16"/>
                <w:szCs w:val="16"/>
              </w:rPr>
              <w:t>Number of Burden Hours per Respondent</w:t>
            </w:r>
          </w:p>
          <w:p w:rsidRPr="005E41B2" w:rsidR="00013AB1" w:rsidP="00933C63" w:rsidRDefault="00013AB1" w14:paraId="5892961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0" w:type="pct"/>
          </w:tcPr>
          <w:p w:rsidR="00013AB1" w:rsidP="00933C63" w:rsidRDefault="00013AB1" w14:paraId="0A947D5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013AB1" w:rsidP="00933C63" w:rsidRDefault="00013AB1" w14:paraId="7D98768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endnoteReference w:id="13"/>
            </w:r>
          </w:p>
          <w:p w:rsidRPr="005E41B2" w:rsidR="00013AB1" w:rsidP="00933C63" w:rsidRDefault="00013AB1" w14:paraId="5D07D44F" w14:textId="77777777">
            <w:pPr>
              <w:tabs>
                <w:tab w:val="left" w:pos="-720"/>
                <w:tab w:val="left" w:pos="0"/>
              </w:tabs>
              <w:suppressAutoHyphens/>
              <w:jc w:val="center"/>
              <w:rPr>
                <w:rFonts w:ascii="Arial" w:hAnsi="Arial" w:eastAsia="Times New Roman" w:cs="Times New Roman"/>
                <w:b/>
                <w:sz w:val="16"/>
                <w:szCs w:val="16"/>
              </w:rPr>
            </w:pPr>
          </w:p>
        </w:tc>
        <w:tc>
          <w:tcPr>
            <w:tcW w:w="510" w:type="pct"/>
          </w:tcPr>
          <w:p w:rsidR="00013AB1" w:rsidP="00933C63" w:rsidRDefault="00013AB1" w14:paraId="1068CE9E" w14:textId="77777777">
            <w:pPr>
              <w:jc w:val="center"/>
              <w:rPr>
                <w:rFonts w:ascii="Arial" w:hAnsi="Arial" w:cs="Arial"/>
                <w:b/>
                <w:sz w:val="16"/>
                <w:szCs w:val="16"/>
              </w:rPr>
            </w:pPr>
            <w:r>
              <w:rPr>
                <w:rFonts w:ascii="Arial" w:hAnsi="Arial" w:cs="Arial"/>
                <w:b/>
                <w:sz w:val="16"/>
                <w:szCs w:val="16"/>
              </w:rPr>
              <w:t>7.</w:t>
            </w:r>
          </w:p>
          <w:p w:rsidR="00013AB1" w:rsidP="00933C63" w:rsidRDefault="00013AB1" w14:paraId="1FCB36CD"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013AB1" w:rsidP="00933C63" w:rsidRDefault="00013AB1" w14:paraId="5202212D" w14:textId="77777777">
            <w:pPr>
              <w:jc w:val="center"/>
              <w:rPr>
                <w:rFonts w:ascii="Arial" w:hAnsi="Arial" w:cs="Arial"/>
                <w:b/>
                <w:sz w:val="16"/>
                <w:szCs w:val="16"/>
              </w:rPr>
            </w:pPr>
            <w:r>
              <w:rPr>
                <w:rFonts w:ascii="Arial" w:hAnsi="Arial" w:cs="Arial"/>
                <w:b/>
                <w:sz w:val="16"/>
                <w:szCs w:val="16"/>
              </w:rPr>
              <w:t>(5 x 6)</w:t>
            </w:r>
          </w:p>
        </w:tc>
        <w:tc>
          <w:tcPr>
            <w:tcW w:w="508" w:type="pct"/>
          </w:tcPr>
          <w:p w:rsidR="00013AB1" w:rsidP="00933C63" w:rsidRDefault="00013AB1" w14:paraId="36BF98D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013AB1" w:rsidP="00933C63" w:rsidRDefault="00013AB1" w14:paraId="6F57FDC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013AB1" w:rsidP="00933C63" w:rsidRDefault="00013AB1" w14:paraId="1DAF643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013AB1" w:rsidP="00933C63" w:rsidRDefault="00013AB1" w14:paraId="6CA3FF9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428" w:type="pct"/>
          </w:tcPr>
          <w:p w:rsidRPr="00C91CB5" w:rsidR="00013AB1" w:rsidP="00933C63" w:rsidRDefault="00013AB1" w14:paraId="6A9263B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013AB1" w:rsidP="00933C63" w:rsidRDefault="00013AB1" w14:paraId="0D07F4CB" w14:textId="77777777">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Pr>
                <w:rFonts w:ascii="Arial" w:hAnsi="Arial" w:eastAsia="Times New Roman" w:cs="Times New Roman"/>
                <w:b/>
                <w:sz w:val="16"/>
                <w:szCs w:val="16"/>
              </w:rPr>
              <w:t xml:space="preserve"> </w:t>
            </w:r>
            <w:r w:rsidRPr="00C91CB5">
              <w:rPr>
                <w:rFonts w:ascii="Arial" w:hAnsi="Arial" w:eastAsia="Times New Roman" w:cs="Times New Roman"/>
                <w:b/>
                <w:sz w:val="16"/>
                <w:szCs w:val="16"/>
              </w:rPr>
              <w:t>Number of Burden Hours</w:t>
            </w:r>
          </w:p>
          <w:p w:rsidR="00013AB1" w:rsidP="00933C63" w:rsidRDefault="00013AB1" w14:paraId="0546C1A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07" w:type="pct"/>
          </w:tcPr>
          <w:p w:rsidR="00013AB1" w:rsidP="00933C63" w:rsidRDefault="00013AB1" w14:paraId="067FD61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013AB1" w:rsidP="00933C63" w:rsidRDefault="00013AB1" w14:paraId="714539EC"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013AB1" w:rsidDel="009C6DB4" w:rsidP="00933C63" w:rsidRDefault="00013AB1" w14:paraId="07CBFF7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A261BC" w:rsidR="005E085C" w:rsidTr="00A24057" w14:paraId="741D5FCC" w14:textId="77777777">
        <w:trPr>
          <w:trHeight w:val="404"/>
        </w:trPr>
        <w:tc>
          <w:tcPr>
            <w:tcW w:w="431" w:type="pct"/>
            <w:vAlign w:val="center"/>
          </w:tcPr>
          <w:p w:rsidRPr="00A261BC" w:rsidR="00013AB1" w:rsidP="00933C63" w:rsidRDefault="00013AB1" w14:paraId="7099EF9B" w14:textId="57981685">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45.2</w:t>
            </w:r>
            <w:r>
              <w:rPr>
                <w:rStyle w:val="EndnoteReference"/>
                <w:rFonts w:ascii="Arial" w:hAnsi="Arial" w:cs="Arial"/>
                <w:color w:val="000000"/>
                <w:sz w:val="16"/>
                <w:szCs w:val="16"/>
              </w:rPr>
              <w:endnoteReference w:id="14"/>
            </w:r>
          </w:p>
        </w:tc>
        <w:tc>
          <w:tcPr>
            <w:tcW w:w="586" w:type="pct"/>
            <w:vAlign w:val="center"/>
          </w:tcPr>
          <w:p w:rsidRPr="00A261BC" w:rsidR="00624B4F" w:rsidP="00AC321B" w:rsidRDefault="00624B4F" w14:paraId="5C8A0F75" w14:textId="224B3B41">
            <w:pPr>
              <w:tabs>
                <w:tab w:val="left" w:pos="-720"/>
                <w:tab w:val="left" w:pos="0"/>
              </w:tabs>
              <w:suppressAutoHyphens/>
              <w:rPr>
                <w:rFonts w:eastAsia="Times New Roman" w:cs="Times New Roman"/>
                <w:sz w:val="18"/>
                <w:szCs w:val="18"/>
              </w:rPr>
            </w:pPr>
            <w:r>
              <w:rPr>
                <w:rFonts w:ascii="Arial" w:hAnsi="Arial" w:cs="Arial"/>
                <w:color w:val="000000"/>
                <w:sz w:val="16"/>
                <w:szCs w:val="16"/>
              </w:rPr>
              <w:t xml:space="preserve">1,732 </w:t>
            </w:r>
            <w:r w:rsidR="00A40B87">
              <w:rPr>
                <w:rFonts w:ascii="Arial" w:hAnsi="Arial" w:eastAsia="Times New Roman" w:cs="Arial"/>
                <w:sz w:val="16"/>
                <w:szCs w:val="16"/>
              </w:rPr>
              <w:t>SDRs, SEFs, DCMs, Reporting Counterparties</w:t>
            </w:r>
          </w:p>
        </w:tc>
        <w:tc>
          <w:tcPr>
            <w:tcW w:w="507" w:type="pct"/>
            <w:vAlign w:val="center"/>
          </w:tcPr>
          <w:p w:rsidRPr="00A261BC" w:rsidR="00624B4F" w:rsidP="00933C63" w:rsidRDefault="00624B4F" w14:paraId="377FE8FA" w14:textId="4D4D7AD4">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10,000 </w:t>
            </w:r>
          </w:p>
        </w:tc>
        <w:tc>
          <w:tcPr>
            <w:tcW w:w="508" w:type="pct"/>
            <w:vAlign w:val="center"/>
          </w:tcPr>
          <w:p w:rsidRPr="00A261BC" w:rsidR="00624B4F" w:rsidP="00933C63" w:rsidRDefault="00624B4F" w14:paraId="411980C2" w14:textId="29873688">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0.01 </w:t>
            </w:r>
          </w:p>
        </w:tc>
        <w:tc>
          <w:tcPr>
            <w:tcW w:w="586" w:type="pct"/>
            <w:vAlign w:val="center"/>
          </w:tcPr>
          <w:p w:rsidRPr="00A261BC" w:rsidR="00624B4F" w:rsidP="00933C63" w:rsidRDefault="00A151D0" w14:paraId="0A6D6653" w14:textId="423C2AB4">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10</w:t>
            </w:r>
            <w:r w:rsidR="003D70F9">
              <w:rPr>
                <w:rFonts w:ascii="Arial" w:hAnsi="Arial" w:cs="Arial"/>
                <w:color w:val="000000"/>
                <w:sz w:val="16"/>
                <w:szCs w:val="16"/>
              </w:rPr>
              <w:t>0</w:t>
            </w:r>
          </w:p>
        </w:tc>
        <w:tc>
          <w:tcPr>
            <w:tcW w:w="430" w:type="pct"/>
            <w:vAlign w:val="center"/>
          </w:tcPr>
          <w:p w:rsidRPr="00A261BC" w:rsidR="00624B4F" w:rsidP="00933C63" w:rsidRDefault="00624B4F" w14:paraId="21FB3B72" w14:textId="63FE7507">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 $72.23 </w:t>
            </w:r>
          </w:p>
        </w:tc>
        <w:tc>
          <w:tcPr>
            <w:tcW w:w="510" w:type="pct"/>
            <w:vAlign w:val="center"/>
          </w:tcPr>
          <w:p w:rsidRPr="00A261BC" w:rsidR="00624B4F" w:rsidP="00B522EF" w:rsidRDefault="00624B4F" w14:paraId="3E244E38" w14:textId="59AA500B">
            <w:pPr>
              <w:jc w:val="center"/>
              <w:rPr>
                <w:rFonts w:cs="Times New Roman"/>
                <w:sz w:val="18"/>
                <w:szCs w:val="18"/>
              </w:rPr>
            </w:pPr>
            <w:r>
              <w:rPr>
                <w:rFonts w:ascii="Arial" w:hAnsi="Arial" w:cs="Arial"/>
                <w:color w:val="000000"/>
                <w:sz w:val="16"/>
                <w:szCs w:val="16"/>
              </w:rPr>
              <w:t>$</w:t>
            </w:r>
            <w:r w:rsidR="00B522EF">
              <w:rPr>
                <w:rFonts w:ascii="Arial" w:hAnsi="Arial" w:cs="Arial"/>
                <w:color w:val="000000"/>
                <w:sz w:val="16"/>
                <w:szCs w:val="16"/>
              </w:rPr>
              <w:t>7,223</w:t>
            </w:r>
            <w:r>
              <w:rPr>
                <w:rFonts w:ascii="Arial" w:hAnsi="Arial" w:cs="Arial"/>
                <w:color w:val="000000"/>
                <w:sz w:val="16"/>
                <w:szCs w:val="16"/>
              </w:rPr>
              <w:t xml:space="preserve"> </w:t>
            </w:r>
          </w:p>
        </w:tc>
        <w:tc>
          <w:tcPr>
            <w:tcW w:w="508" w:type="pct"/>
            <w:vAlign w:val="center"/>
          </w:tcPr>
          <w:p w:rsidRPr="00A261BC" w:rsidR="00624B4F" w:rsidP="00933C63" w:rsidRDefault="00624B4F" w14:paraId="11D990F7" w14:textId="51BB6CD0">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17,320,000 </w:t>
            </w:r>
          </w:p>
        </w:tc>
        <w:tc>
          <w:tcPr>
            <w:tcW w:w="428" w:type="pct"/>
            <w:vAlign w:val="center"/>
          </w:tcPr>
          <w:p w:rsidRPr="00A261BC" w:rsidR="00624B4F" w:rsidP="00F4394D" w:rsidRDefault="00F4394D" w14:paraId="629B064E" w14:textId="4584257C">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173,200</w:t>
            </w:r>
          </w:p>
        </w:tc>
        <w:tc>
          <w:tcPr>
            <w:tcW w:w="507" w:type="pct"/>
            <w:vAlign w:val="center"/>
          </w:tcPr>
          <w:p w:rsidRPr="00A261BC" w:rsidR="00624B4F" w:rsidP="00B522EF" w:rsidRDefault="00624B4F" w14:paraId="704DCF7A" w14:textId="4F5D8EAE">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 $</w:t>
            </w:r>
            <w:r w:rsidR="00E268C0">
              <w:rPr>
                <w:rFonts w:ascii="Arial" w:hAnsi="Arial" w:cs="Arial"/>
                <w:color w:val="000000"/>
                <w:sz w:val="16"/>
                <w:szCs w:val="16"/>
              </w:rPr>
              <w:t>12,510,236</w:t>
            </w:r>
            <w:r>
              <w:rPr>
                <w:rFonts w:ascii="Arial" w:hAnsi="Arial" w:cs="Arial"/>
                <w:color w:val="000000"/>
                <w:sz w:val="16"/>
                <w:szCs w:val="16"/>
              </w:rPr>
              <w:t xml:space="preserve"> </w:t>
            </w:r>
          </w:p>
        </w:tc>
      </w:tr>
      <w:tr w:rsidRPr="00A261BC" w:rsidR="005E085C" w:rsidTr="00A24057" w14:paraId="50BDE15C" w14:textId="77777777">
        <w:trPr>
          <w:trHeight w:val="404"/>
        </w:trPr>
        <w:tc>
          <w:tcPr>
            <w:tcW w:w="431" w:type="pct"/>
            <w:vAlign w:val="center"/>
          </w:tcPr>
          <w:p w:rsidR="006D30E7" w:rsidP="00933C63" w:rsidRDefault="00DA11F2" w14:paraId="38A8CD0B" w14:textId="77777777">
            <w:pPr>
              <w:tabs>
                <w:tab w:val="left" w:pos="-720"/>
                <w:tab w:val="left" w:pos="0"/>
              </w:tabs>
              <w:suppressAutoHyphens/>
              <w:jc w:val="center"/>
              <w:rPr>
                <w:rFonts w:ascii="Arial" w:hAnsi="Arial" w:cs="Arial"/>
                <w:b/>
                <w:color w:val="000000"/>
                <w:sz w:val="16"/>
                <w:szCs w:val="16"/>
              </w:rPr>
            </w:pPr>
            <w:r w:rsidRPr="00D77266">
              <w:rPr>
                <w:rFonts w:ascii="Arial" w:hAnsi="Arial" w:cs="Arial"/>
                <w:b/>
                <w:color w:val="000000"/>
                <w:sz w:val="16"/>
                <w:szCs w:val="16"/>
              </w:rPr>
              <w:t>Total Record</w:t>
            </w:r>
            <w:r w:rsidR="006D30E7">
              <w:rPr>
                <w:rFonts w:ascii="Arial" w:hAnsi="Arial" w:cs="Arial"/>
                <w:b/>
                <w:color w:val="000000"/>
                <w:sz w:val="16"/>
                <w:szCs w:val="16"/>
              </w:rPr>
              <w:t>-</w:t>
            </w:r>
          </w:p>
          <w:p w:rsidRPr="00D77266" w:rsidR="008B2439" w:rsidP="00933C63" w:rsidRDefault="00DA11F2" w14:paraId="30D579CE" w14:textId="3ECEE68E">
            <w:pPr>
              <w:tabs>
                <w:tab w:val="left" w:pos="-720"/>
                <w:tab w:val="left" w:pos="0"/>
              </w:tabs>
              <w:suppressAutoHyphens/>
              <w:jc w:val="center"/>
              <w:rPr>
                <w:rFonts w:ascii="Arial" w:hAnsi="Arial" w:cs="Arial"/>
                <w:b/>
                <w:color w:val="000000"/>
                <w:sz w:val="16"/>
                <w:szCs w:val="16"/>
              </w:rPr>
            </w:pPr>
            <w:r w:rsidRPr="00D77266">
              <w:rPr>
                <w:rFonts w:ascii="Arial" w:hAnsi="Arial" w:cs="Arial"/>
                <w:b/>
                <w:color w:val="000000"/>
                <w:sz w:val="16"/>
                <w:szCs w:val="16"/>
              </w:rPr>
              <w:t>keeping and Reporti</w:t>
            </w:r>
            <w:r w:rsidRPr="00D77266" w:rsidR="003B139E">
              <w:rPr>
                <w:rFonts w:ascii="Arial" w:hAnsi="Arial" w:cs="Arial"/>
                <w:b/>
                <w:color w:val="000000"/>
                <w:sz w:val="16"/>
                <w:szCs w:val="16"/>
              </w:rPr>
              <w:t xml:space="preserve">ng </w:t>
            </w:r>
          </w:p>
        </w:tc>
        <w:tc>
          <w:tcPr>
            <w:tcW w:w="586" w:type="pct"/>
            <w:vAlign w:val="center"/>
          </w:tcPr>
          <w:p w:rsidR="008B2439" w:rsidP="00A40B87" w:rsidRDefault="003B139E" w14:paraId="08AEA643" w14:textId="7801AD65">
            <w:pPr>
              <w:tabs>
                <w:tab w:val="left" w:pos="-720"/>
                <w:tab w:val="left" w:pos="0"/>
              </w:tabs>
              <w:suppressAutoHyphens/>
              <w:rPr>
                <w:rFonts w:ascii="Arial" w:hAnsi="Arial" w:cs="Arial"/>
                <w:color w:val="000000"/>
                <w:sz w:val="16"/>
                <w:szCs w:val="16"/>
              </w:rPr>
            </w:pPr>
            <w:r w:rsidRPr="003B139E">
              <w:rPr>
                <w:rFonts w:ascii="Arial" w:hAnsi="Arial" w:cs="Arial"/>
                <w:color w:val="000000"/>
                <w:sz w:val="16"/>
                <w:szCs w:val="16"/>
              </w:rPr>
              <w:t>1,732 SDRs, SEFs, DCMs, Reporting Counterparties</w:t>
            </w:r>
          </w:p>
        </w:tc>
        <w:tc>
          <w:tcPr>
            <w:tcW w:w="507" w:type="pct"/>
            <w:vAlign w:val="center"/>
          </w:tcPr>
          <w:p w:rsidR="008B2439" w:rsidP="00933C63" w:rsidRDefault="008C7962" w14:paraId="2F2D0453" w14:textId="71D051B6">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132,570</w:t>
            </w:r>
          </w:p>
        </w:tc>
        <w:tc>
          <w:tcPr>
            <w:tcW w:w="508" w:type="pct"/>
            <w:vAlign w:val="center"/>
          </w:tcPr>
          <w:p w:rsidR="008B2439" w:rsidP="00933C63" w:rsidRDefault="008B2439" w14:paraId="6D0BAF87" w14:textId="77777777">
            <w:pPr>
              <w:tabs>
                <w:tab w:val="left" w:pos="-720"/>
                <w:tab w:val="left" w:pos="0"/>
              </w:tabs>
              <w:suppressAutoHyphens/>
              <w:jc w:val="center"/>
              <w:rPr>
                <w:rFonts w:ascii="Arial" w:hAnsi="Arial" w:cs="Arial"/>
                <w:color w:val="000000"/>
                <w:sz w:val="16"/>
                <w:szCs w:val="16"/>
              </w:rPr>
            </w:pPr>
          </w:p>
        </w:tc>
        <w:tc>
          <w:tcPr>
            <w:tcW w:w="586" w:type="pct"/>
            <w:vAlign w:val="center"/>
          </w:tcPr>
          <w:p w:rsidR="008B2439" w:rsidP="009D33F6" w:rsidRDefault="008B2439" w14:paraId="7459C3E7" w14:textId="3CA796AF">
            <w:pPr>
              <w:tabs>
                <w:tab w:val="left" w:pos="-720"/>
                <w:tab w:val="left" w:pos="0"/>
              </w:tabs>
              <w:suppressAutoHyphens/>
              <w:jc w:val="center"/>
              <w:rPr>
                <w:rFonts w:ascii="Arial" w:hAnsi="Arial" w:cs="Arial"/>
                <w:color w:val="000000"/>
                <w:sz w:val="16"/>
                <w:szCs w:val="16"/>
              </w:rPr>
            </w:pPr>
          </w:p>
        </w:tc>
        <w:tc>
          <w:tcPr>
            <w:tcW w:w="430" w:type="pct"/>
            <w:vAlign w:val="center"/>
          </w:tcPr>
          <w:p w:rsidR="008B2439" w:rsidP="00933C63" w:rsidRDefault="008B2439" w14:paraId="32BD6A7B" w14:textId="5904B6A1">
            <w:pPr>
              <w:tabs>
                <w:tab w:val="left" w:pos="-720"/>
                <w:tab w:val="left" w:pos="0"/>
              </w:tabs>
              <w:suppressAutoHyphens/>
              <w:jc w:val="center"/>
              <w:rPr>
                <w:rFonts w:ascii="Arial" w:hAnsi="Arial" w:cs="Arial"/>
                <w:color w:val="000000"/>
                <w:sz w:val="16"/>
                <w:szCs w:val="16"/>
              </w:rPr>
            </w:pPr>
          </w:p>
        </w:tc>
        <w:tc>
          <w:tcPr>
            <w:tcW w:w="510" w:type="pct"/>
            <w:vAlign w:val="center"/>
          </w:tcPr>
          <w:p w:rsidR="008B2439" w:rsidP="004F4090" w:rsidRDefault="008B2439" w14:paraId="27AACA60" w14:textId="7CA99FDA">
            <w:pPr>
              <w:jc w:val="center"/>
              <w:rPr>
                <w:rFonts w:ascii="Arial" w:hAnsi="Arial" w:cs="Arial"/>
                <w:color w:val="000000"/>
                <w:sz w:val="16"/>
                <w:szCs w:val="16"/>
              </w:rPr>
            </w:pPr>
          </w:p>
        </w:tc>
        <w:tc>
          <w:tcPr>
            <w:tcW w:w="508" w:type="pct"/>
            <w:vAlign w:val="center"/>
          </w:tcPr>
          <w:p w:rsidR="008B2439" w:rsidP="009D33F6" w:rsidRDefault="003D70F9" w14:paraId="5E22889C" w14:textId="4AF210B2">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229,611,240</w:t>
            </w:r>
          </w:p>
        </w:tc>
        <w:tc>
          <w:tcPr>
            <w:tcW w:w="428" w:type="pct"/>
            <w:vAlign w:val="center"/>
          </w:tcPr>
          <w:p w:rsidR="008B2439" w:rsidP="009D33F6" w:rsidRDefault="003D70F9" w14:paraId="6DDFAA4D" w14:textId="4B36BB3A">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1,226</w:t>
            </w:r>
            <w:r w:rsidR="00E268C0">
              <w:rPr>
                <w:rFonts w:ascii="Arial" w:hAnsi="Arial" w:cs="Arial"/>
                <w:color w:val="000000"/>
                <w:sz w:val="16"/>
                <w:szCs w:val="16"/>
              </w:rPr>
              <w:t>,021</w:t>
            </w:r>
          </w:p>
        </w:tc>
        <w:tc>
          <w:tcPr>
            <w:tcW w:w="507" w:type="pct"/>
            <w:vAlign w:val="center"/>
          </w:tcPr>
          <w:p w:rsidR="009D33F6" w:rsidP="009D33F6" w:rsidRDefault="009D33F6" w14:paraId="73059B1A" w14:textId="77777777">
            <w:pPr>
              <w:tabs>
                <w:tab w:val="left" w:pos="-720"/>
                <w:tab w:val="left" w:pos="0"/>
              </w:tabs>
              <w:suppressAutoHyphens/>
              <w:jc w:val="center"/>
              <w:rPr>
                <w:rFonts w:ascii="Arial" w:hAnsi="Arial" w:cs="Arial"/>
                <w:color w:val="000000"/>
                <w:sz w:val="16"/>
                <w:szCs w:val="16"/>
              </w:rPr>
            </w:pPr>
          </w:p>
          <w:p w:rsidR="00975117" w:rsidP="009D33F6" w:rsidRDefault="00975117" w14:paraId="32F622C6" w14:textId="0A4263C8">
            <w:pPr>
              <w:tabs>
                <w:tab w:val="left" w:pos="-720"/>
                <w:tab w:val="left" w:pos="0"/>
              </w:tabs>
              <w:suppressAutoHyphens/>
              <w:jc w:val="center"/>
              <w:rPr>
                <w:rFonts w:ascii="Arial" w:hAnsi="Arial" w:cs="Arial"/>
                <w:color w:val="000000"/>
                <w:sz w:val="16"/>
                <w:szCs w:val="16"/>
              </w:rPr>
            </w:pPr>
            <w:r w:rsidRPr="00975117">
              <w:rPr>
                <w:rFonts w:ascii="Arial" w:hAnsi="Arial" w:cs="Arial"/>
                <w:color w:val="000000"/>
                <w:sz w:val="16"/>
                <w:szCs w:val="16"/>
              </w:rPr>
              <w:t>$88,555,517</w:t>
            </w:r>
          </w:p>
          <w:p w:rsidR="00123DD6" w:rsidP="009D33F6" w:rsidRDefault="00123DD6" w14:paraId="38953FD0" w14:textId="2CC5D591">
            <w:pPr>
              <w:tabs>
                <w:tab w:val="left" w:pos="-720"/>
                <w:tab w:val="left" w:pos="0"/>
              </w:tabs>
              <w:suppressAutoHyphens/>
              <w:jc w:val="center"/>
              <w:rPr>
                <w:rFonts w:ascii="Arial" w:hAnsi="Arial" w:cs="Arial"/>
                <w:color w:val="000000"/>
                <w:sz w:val="16"/>
                <w:szCs w:val="16"/>
              </w:rPr>
            </w:pPr>
          </w:p>
        </w:tc>
      </w:tr>
    </w:tbl>
    <w:p w:rsidR="0074653A" w:rsidP="00AC321B" w:rsidRDefault="0074653A" w14:paraId="1C7D1A91" w14:textId="77777777">
      <w:pPr>
        <w:tabs>
          <w:tab w:val="left" w:pos="-720"/>
          <w:tab w:val="left" w:pos="0"/>
        </w:tabs>
        <w:suppressAutoHyphens/>
        <w:jc w:val="center"/>
        <w:rPr>
          <w:rFonts w:ascii="Arial" w:hAnsi="Arial" w:cs="Arial"/>
          <w:b/>
          <w:sz w:val="16"/>
          <w:szCs w:val="16"/>
        </w:rPr>
        <w:sectPr w:rsidR="0074653A" w:rsidSect="00870D2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titlePg/>
          <w:docGrid w:linePitch="360"/>
        </w:sectPr>
      </w:pPr>
    </w:p>
    <w:p w:rsidRPr="004E48F8" w:rsidR="006734D8" w:rsidP="00AC321B" w:rsidRDefault="006734D8" w14:paraId="129DF5D4" w14:textId="4700986B">
      <w:pPr>
        <w:tabs>
          <w:tab w:val="left" w:pos="-720"/>
          <w:tab w:val="left" w:pos="0"/>
        </w:tabs>
        <w:suppressAutoHyphens/>
        <w:jc w:val="center"/>
        <w:rPr>
          <w:rFonts w:ascii="Arial" w:hAnsi="Arial" w:cs="Arial"/>
          <w:b/>
          <w:sz w:val="16"/>
          <w:szCs w:val="16"/>
        </w:rPr>
      </w:pPr>
      <w:r w:rsidRPr="004E48F8">
        <w:rPr>
          <w:rFonts w:ascii="Arial" w:hAnsi="Arial" w:cs="Arial"/>
          <w:b/>
          <w:sz w:val="16"/>
          <w:szCs w:val="16"/>
        </w:rPr>
        <w:lastRenderedPageBreak/>
        <w:t>Attachment B</w:t>
      </w:r>
      <w:r w:rsidR="00DD457D">
        <w:rPr>
          <w:rFonts w:ascii="Arial" w:hAnsi="Arial" w:cs="Arial"/>
          <w:b/>
          <w:sz w:val="16"/>
          <w:szCs w:val="16"/>
        </w:rPr>
        <w:t xml:space="preserve">  </w:t>
      </w:r>
    </w:p>
    <w:p w:rsidRPr="00B36730" w:rsidR="006734D8" w:rsidP="00AC321B" w:rsidRDefault="006734D8" w14:paraId="70ADAFD1" w14:textId="77777777">
      <w:pPr>
        <w:tabs>
          <w:tab w:val="left" w:pos="-720"/>
          <w:tab w:val="left" w:pos="0"/>
        </w:tabs>
        <w:suppressAutoHyphens/>
        <w:jc w:val="center"/>
        <w:rPr>
          <w:rFonts w:ascii="Arial" w:hAnsi="Arial" w:cs="Arial"/>
          <w:b/>
          <w:sz w:val="16"/>
          <w:szCs w:val="16"/>
        </w:rPr>
      </w:pPr>
    </w:p>
    <w:p w:rsidRPr="00B36730" w:rsidR="00AC321B" w:rsidP="00AC321B" w:rsidRDefault="00AC321B" w14:paraId="667D22B4" w14:textId="77E111A6">
      <w:pPr>
        <w:tabs>
          <w:tab w:val="left" w:pos="-720"/>
          <w:tab w:val="left" w:pos="0"/>
        </w:tabs>
        <w:suppressAutoHyphens/>
        <w:jc w:val="center"/>
        <w:rPr>
          <w:rFonts w:ascii="Arial" w:hAnsi="Arial" w:cs="Arial"/>
          <w:b/>
          <w:sz w:val="16"/>
          <w:szCs w:val="16"/>
        </w:rPr>
      </w:pPr>
      <w:r w:rsidRPr="00B36730">
        <w:rPr>
          <w:rFonts w:ascii="Arial" w:hAnsi="Arial" w:cs="Arial"/>
          <w:b/>
          <w:sz w:val="16"/>
          <w:szCs w:val="16"/>
        </w:rPr>
        <w:t>Capital/Start-Up Costs</w:t>
      </w:r>
    </w:p>
    <w:tbl>
      <w:tblPr>
        <w:tblStyle w:val="TableGrid"/>
        <w:tblW w:w="0" w:type="auto"/>
        <w:tblInd w:w="1188" w:type="dxa"/>
        <w:tblLook w:val="04A0" w:firstRow="1" w:lastRow="0" w:firstColumn="1" w:lastColumn="0" w:noHBand="0" w:noVBand="1"/>
      </w:tblPr>
      <w:tblGrid>
        <w:gridCol w:w="3600"/>
        <w:gridCol w:w="3690"/>
      </w:tblGrid>
      <w:tr w:rsidRPr="004E48F8" w:rsidR="00AC321B" w:rsidTr="00A111A2" w14:paraId="5C0B69DA" w14:textId="77777777">
        <w:trPr>
          <w:trHeight w:val="251"/>
        </w:trPr>
        <w:tc>
          <w:tcPr>
            <w:tcW w:w="3600" w:type="dxa"/>
          </w:tcPr>
          <w:p w:rsidRPr="004E48F8" w:rsidR="00AC321B" w:rsidP="00AC321B" w:rsidRDefault="00AC321B" w14:paraId="3A5DA462" w14:textId="0AD62445">
            <w:pPr>
              <w:tabs>
                <w:tab w:val="left" w:pos="-720"/>
                <w:tab w:val="left" w:pos="0"/>
              </w:tabs>
              <w:suppressAutoHyphens/>
              <w:jc w:val="center"/>
              <w:rPr>
                <w:rFonts w:ascii="Arial" w:hAnsi="Arial" w:cs="Arial"/>
                <w:b/>
                <w:sz w:val="16"/>
                <w:szCs w:val="16"/>
              </w:rPr>
            </w:pPr>
            <w:bookmarkStart w:name="_Hlk54266632" w:id="3"/>
            <w:r w:rsidRPr="004E48F8">
              <w:rPr>
                <w:rFonts w:ascii="Arial" w:hAnsi="Arial" w:cs="Arial"/>
                <w:b/>
                <w:sz w:val="16"/>
                <w:szCs w:val="16"/>
              </w:rPr>
              <w:t>Regulation</w:t>
            </w:r>
          </w:p>
        </w:tc>
        <w:tc>
          <w:tcPr>
            <w:tcW w:w="3690" w:type="dxa"/>
          </w:tcPr>
          <w:p w:rsidRPr="004E48F8" w:rsidR="00AC321B" w:rsidP="00AC321B" w:rsidRDefault="00AC321B" w14:paraId="35781D5E" w14:textId="46E0FDFB">
            <w:pPr>
              <w:tabs>
                <w:tab w:val="left" w:pos="-720"/>
                <w:tab w:val="left" w:pos="0"/>
              </w:tabs>
              <w:suppressAutoHyphens/>
              <w:jc w:val="center"/>
              <w:rPr>
                <w:rFonts w:ascii="Arial" w:hAnsi="Arial" w:cs="Arial"/>
                <w:b/>
                <w:sz w:val="16"/>
                <w:szCs w:val="16"/>
              </w:rPr>
            </w:pPr>
            <w:r w:rsidRPr="004E48F8">
              <w:rPr>
                <w:rFonts w:ascii="Arial" w:hAnsi="Arial" w:cs="Arial"/>
                <w:b/>
                <w:sz w:val="16"/>
                <w:szCs w:val="16"/>
              </w:rPr>
              <w:t>Capital/Start-Up Costs</w:t>
            </w:r>
          </w:p>
        </w:tc>
      </w:tr>
      <w:tr w:rsidRPr="004E48F8" w:rsidR="00AC321B" w:rsidTr="00A24057" w14:paraId="133BF796" w14:textId="77777777">
        <w:tc>
          <w:tcPr>
            <w:tcW w:w="3600" w:type="dxa"/>
          </w:tcPr>
          <w:p w:rsidRPr="004E48F8" w:rsidR="00AC321B" w:rsidP="00AC321B" w:rsidRDefault="00AC321B" w14:paraId="3CE8ADB5" w14:textId="19D7E7AC">
            <w:pPr>
              <w:tabs>
                <w:tab w:val="left" w:pos="-720"/>
                <w:tab w:val="left" w:pos="0"/>
              </w:tabs>
              <w:suppressAutoHyphens/>
              <w:jc w:val="center"/>
              <w:rPr>
                <w:rFonts w:ascii="Arial" w:hAnsi="Arial" w:cs="Arial"/>
                <w:sz w:val="16"/>
                <w:szCs w:val="16"/>
              </w:rPr>
            </w:pPr>
            <w:r w:rsidRPr="004E48F8">
              <w:rPr>
                <w:rFonts w:ascii="Arial" w:hAnsi="Arial" w:cs="Arial"/>
                <w:sz w:val="16"/>
                <w:szCs w:val="16"/>
              </w:rPr>
              <w:t>45.3</w:t>
            </w:r>
          </w:p>
        </w:tc>
        <w:tc>
          <w:tcPr>
            <w:tcW w:w="3690" w:type="dxa"/>
          </w:tcPr>
          <w:p w:rsidRPr="004E48F8" w:rsidR="00AC321B" w:rsidP="006C5058" w:rsidRDefault="001868AC" w14:paraId="455CC69B" w14:textId="3357CC58">
            <w:pPr>
              <w:tabs>
                <w:tab w:val="left" w:pos="-720"/>
                <w:tab w:val="left" w:pos="0"/>
              </w:tabs>
              <w:suppressAutoHyphens/>
              <w:jc w:val="center"/>
              <w:rPr>
                <w:rFonts w:ascii="Arial" w:hAnsi="Arial" w:cs="Arial"/>
                <w:sz w:val="16"/>
                <w:szCs w:val="16"/>
              </w:rPr>
            </w:pPr>
            <w:r w:rsidRPr="001868AC">
              <w:rPr>
                <w:rFonts w:ascii="Arial" w:hAnsi="Arial" w:cs="Arial"/>
                <w:sz w:val="16"/>
                <w:szCs w:val="16"/>
              </w:rPr>
              <w:t>$</w:t>
            </w:r>
            <w:r>
              <w:rPr>
                <w:rFonts w:ascii="Arial" w:hAnsi="Arial" w:cs="Arial"/>
                <w:sz w:val="16"/>
                <w:szCs w:val="16"/>
              </w:rPr>
              <w:t xml:space="preserve"> </w:t>
            </w:r>
            <w:r w:rsidRPr="00891364" w:rsidR="00891364">
              <w:rPr>
                <w:rFonts w:ascii="Arial" w:hAnsi="Arial" w:cs="Arial"/>
                <w:sz w:val="16"/>
                <w:szCs w:val="16"/>
              </w:rPr>
              <w:t>51,825,636</w:t>
            </w:r>
            <w:r w:rsidR="0074653A">
              <w:rPr>
                <w:rStyle w:val="EndnoteReference"/>
                <w:rFonts w:ascii="Arial" w:hAnsi="Arial" w:cs="Arial"/>
                <w:sz w:val="16"/>
                <w:szCs w:val="16"/>
              </w:rPr>
              <w:endnoteReference w:id="15"/>
            </w:r>
          </w:p>
        </w:tc>
      </w:tr>
      <w:tr w:rsidRPr="004E48F8" w:rsidR="00ED1072" w:rsidTr="00A24057" w14:paraId="6C3F1DC0" w14:textId="77777777">
        <w:tc>
          <w:tcPr>
            <w:tcW w:w="3600" w:type="dxa"/>
          </w:tcPr>
          <w:p w:rsidRPr="004E48F8" w:rsidR="00ED1072" w:rsidP="00AC321B" w:rsidRDefault="00ED1072" w14:paraId="34BA76F4" w14:textId="02053B19">
            <w:pPr>
              <w:tabs>
                <w:tab w:val="left" w:pos="-720"/>
                <w:tab w:val="left" w:pos="0"/>
              </w:tabs>
              <w:suppressAutoHyphens/>
              <w:jc w:val="center"/>
              <w:rPr>
                <w:rFonts w:ascii="Arial" w:hAnsi="Arial" w:cs="Arial"/>
                <w:sz w:val="16"/>
                <w:szCs w:val="16"/>
              </w:rPr>
            </w:pPr>
            <w:r>
              <w:rPr>
                <w:rFonts w:ascii="Arial" w:hAnsi="Arial" w:cs="Arial"/>
                <w:sz w:val="16"/>
                <w:szCs w:val="16"/>
              </w:rPr>
              <w:t>45.5</w:t>
            </w:r>
          </w:p>
        </w:tc>
        <w:tc>
          <w:tcPr>
            <w:tcW w:w="3690" w:type="dxa"/>
          </w:tcPr>
          <w:p w:rsidRPr="001868AC" w:rsidR="00ED1072" w:rsidP="006C5058" w:rsidRDefault="00ED1072" w14:paraId="70724E9F" w14:textId="760744A5">
            <w:pPr>
              <w:tabs>
                <w:tab w:val="left" w:pos="-720"/>
                <w:tab w:val="left" w:pos="0"/>
              </w:tabs>
              <w:suppressAutoHyphens/>
              <w:jc w:val="center"/>
              <w:rPr>
                <w:rFonts w:ascii="Arial" w:hAnsi="Arial" w:cs="Arial"/>
                <w:sz w:val="16"/>
                <w:szCs w:val="16"/>
              </w:rPr>
            </w:pPr>
            <w:r>
              <w:rPr>
                <w:rFonts w:ascii="Arial" w:hAnsi="Arial" w:cs="Arial"/>
                <w:sz w:val="16"/>
                <w:szCs w:val="16"/>
              </w:rPr>
              <w:t>$ 67,896</w:t>
            </w:r>
          </w:p>
        </w:tc>
      </w:tr>
      <w:tr w:rsidRPr="004E48F8" w:rsidR="00FD6FA0" w:rsidTr="00A24057" w14:paraId="1413CE68" w14:textId="77777777">
        <w:tc>
          <w:tcPr>
            <w:tcW w:w="3600" w:type="dxa"/>
          </w:tcPr>
          <w:p w:rsidRPr="00B36730" w:rsidR="00FD6FA0" w:rsidP="00AC321B" w:rsidRDefault="00FD6FA0" w14:paraId="5703AD32" w14:textId="45B4FC60">
            <w:pPr>
              <w:tabs>
                <w:tab w:val="left" w:pos="-720"/>
                <w:tab w:val="left" w:pos="0"/>
              </w:tabs>
              <w:suppressAutoHyphens/>
              <w:jc w:val="center"/>
              <w:rPr>
                <w:rFonts w:ascii="Arial" w:hAnsi="Arial" w:cs="Arial"/>
                <w:b/>
                <w:sz w:val="16"/>
                <w:szCs w:val="16"/>
              </w:rPr>
            </w:pPr>
            <w:r w:rsidRPr="00B36730">
              <w:rPr>
                <w:rFonts w:ascii="Arial" w:hAnsi="Arial" w:cs="Arial"/>
                <w:b/>
                <w:sz w:val="16"/>
                <w:szCs w:val="16"/>
              </w:rPr>
              <w:t>Total</w:t>
            </w:r>
          </w:p>
        </w:tc>
        <w:tc>
          <w:tcPr>
            <w:tcW w:w="3690" w:type="dxa"/>
          </w:tcPr>
          <w:p w:rsidR="00FD6FA0" w:rsidP="00891364" w:rsidRDefault="00FD6FA0" w14:paraId="43183E1E" w14:textId="537D1838">
            <w:pPr>
              <w:tabs>
                <w:tab w:val="left" w:pos="-720"/>
                <w:tab w:val="left" w:pos="0"/>
              </w:tabs>
              <w:suppressAutoHyphens/>
              <w:jc w:val="center"/>
              <w:rPr>
                <w:rFonts w:ascii="Arial" w:hAnsi="Arial" w:cs="Arial"/>
                <w:sz w:val="16"/>
                <w:szCs w:val="16"/>
              </w:rPr>
            </w:pPr>
            <w:r>
              <w:rPr>
                <w:rFonts w:ascii="Arial" w:hAnsi="Arial" w:cs="Arial"/>
                <w:sz w:val="16"/>
                <w:szCs w:val="16"/>
              </w:rPr>
              <w:t xml:space="preserve">$ </w:t>
            </w:r>
            <w:r w:rsidRPr="00FD6FA0">
              <w:rPr>
                <w:rFonts w:ascii="Arial" w:hAnsi="Arial" w:cs="Arial"/>
                <w:sz w:val="16"/>
                <w:szCs w:val="16"/>
              </w:rPr>
              <w:t>51</w:t>
            </w:r>
            <w:r>
              <w:rPr>
                <w:rFonts w:ascii="Arial" w:hAnsi="Arial" w:cs="Arial"/>
                <w:sz w:val="16"/>
                <w:szCs w:val="16"/>
              </w:rPr>
              <w:t>,</w:t>
            </w:r>
            <w:r w:rsidRPr="00FD6FA0">
              <w:rPr>
                <w:rFonts w:ascii="Arial" w:hAnsi="Arial" w:cs="Arial"/>
                <w:sz w:val="16"/>
                <w:szCs w:val="16"/>
              </w:rPr>
              <w:t>893</w:t>
            </w:r>
            <w:r>
              <w:rPr>
                <w:rFonts w:ascii="Arial" w:hAnsi="Arial" w:cs="Arial"/>
                <w:sz w:val="16"/>
                <w:szCs w:val="16"/>
              </w:rPr>
              <w:t>,</w:t>
            </w:r>
            <w:r w:rsidRPr="00FD6FA0">
              <w:rPr>
                <w:rFonts w:ascii="Arial" w:hAnsi="Arial" w:cs="Arial"/>
                <w:sz w:val="16"/>
                <w:szCs w:val="16"/>
              </w:rPr>
              <w:t>532</w:t>
            </w:r>
          </w:p>
        </w:tc>
      </w:tr>
    </w:tbl>
    <w:p w:rsidR="00AC321B" w:rsidP="00AC321B" w:rsidRDefault="00AC321B" w14:paraId="550B6CA7" w14:textId="0FE1605C">
      <w:pPr>
        <w:tabs>
          <w:tab w:val="left" w:pos="-720"/>
          <w:tab w:val="left" w:pos="0"/>
        </w:tabs>
        <w:suppressAutoHyphens/>
        <w:jc w:val="center"/>
        <w:rPr>
          <w:rFonts w:ascii="Arial" w:hAnsi="Arial" w:cs="Arial"/>
          <w:sz w:val="16"/>
          <w:szCs w:val="16"/>
        </w:rPr>
      </w:pPr>
    </w:p>
    <w:tbl>
      <w:tblPr>
        <w:tblStyle w:val="TableGrid"/>
        <w:tblW w:w="0" w:type="auto"/>
        <w:tblInd w:w="1188" w:type="dxa"/>
        <w:tblLook w:val="04A0" w:firstRow="1" w:lastRow="0" w:firstColumn="1" w:lastColumn="0" w:noHBand="0" w:noVBand="1"/>
      </w:tblPr>
      <w:tblGrid>
        <w:gridCol w:w="3600"/>
        <w:gridCol w:w="3690"/>
      </w:tblGrid>
      <w:tr w:rsidRPr="004E48F8" w:rsidR="00ED1072" w:rsidTr="007026D3" w14:paraId="3A4E9782" w14:textId="77777777">
        <w:trPr>
          <w:trHeight w:val="251"/>
        </w:trPr>
        <w:tc>
          <w:tcPr>
            <w:tcW w:w="3600" w:type="dxa"/>
          </w:tcPr>
          <w:bookmarkEnd w:id="3"/>
          <w:p w:rsidRPr="004E48F8" w:rsidR="00ED1072" w:rsidP="007026D3" w:rsidRDefault="00ED1072" w14:paraId="7F37782D" w14:textId="77777777">
            <w:pPr>
              <w:tabs>
                <w:tab w:val="left" w:pos="-720"/>
                <w:tab w:val="left" w:pos="0"/>
              </w:tabs>
              <w:suppressAutoHyphens/>
              <w:jc w:val="center"/>
              <w:rPr>
                <w:rFonts w:ascii="Arial" w:hAnsi="Arial" w:cs="Arial"/>
                <w:b/>
                <w:sz w:val="16"/>
                <w:szCs w:val="16"/>
              </w:rPr>
            </w:pPr>
            <w:r w:rsidRPr="004E48F8">
              <w:rPr>
                <w:rFonts w:ascii="Arial" w:hAnsi="Arial" w:cs="Arial"/>
                <w:b/>
                <w:sz w:val="16"/>
                <w:szCs w:val="16"/>
              </w:rPr>
              <w:t>Regulation</w:t>
            </w:r>
          </w:p>
        </w:tc>
        <w:tc>
          <w:tcPr>
            <w:tcW w:w="3690" w:type="dxa"/>
          </w:tcPr>
          <w:p w:rsidRPr="004E48F8" w:rsidR="00ED1072" w:rsidP="007026D3" w:rsidRDefault="00ED1072" w14:paraId="0E0A403A" w14:textId="413C0BC4">
            <w:pPr>
              <w:tabs>
                <w:tab w:val="left" w:pos="-720"/>
                <w:tab w:val="left" w:pos="0"/>
              </w:tabs>
              <w:suppressAutoHyphens/>
              <w:jc w:val="center"/>
              <w:rPr>
                <w:rFonts w:ascii="Arial" w:hAnsi="Arial" w:cs="Arial"/>
                <w:b/>
                <w:sz w:val="16"/>
                <w:szCs w:val="16"/>
              </w:rPr>
            </w:pPr>
            <w:r>
              <w:rPr>
                <w:rFonts w:ascii="Arial" w:hAnsi="Arial" w:cs="Arial"/>
                <w:b/>
                <w:sz w:val="16"/>
                <w:szCs w:val="16"/>
              </w:rPr>
              <w:t>Operational/Maintenance</w:t>
            </w:r>
            <w:r w:rsidRPr="004E48F8">
              <w:rPr>
                <w:rFonts w:ascii="Arial" w:hAnsi="Arial" w:cs="Arial"/>
                <w:b/>
                <w:sz w:val="16"/>
                <w:szCs w:val="16"/>
              </w:rPr>
              <w:t xml:space="preserve"> Costs</w:t>
            </w:r>
          </w:p>
        </w:tc>
      </w:tr>
      <w:tr w:rsidRPr="004E48F8" w:rsidR="00ED1072" w:rsidTr="007026D3" w14:paraId="2B208F3F" w14:textId="77777777">
        <w:tc>
          <w:tcPr>
            <w:tcW w:w="3600" w:type="dxa"/>
          </w:tcPr>
          <w:p w:rsidRPr="004E48F8" w:rsidR="00ED1072" w:rsidP="007026D3" w:rsidRDefault="00ED1072" w14:paraId="54ED76A9" w14:textId="77777777">
            <w:pPr>
              <w:tabs>
                <w:tab w:val="left" w:pos="-720"/>
                <w:tab w:val="left" w:pos="0"/>
              </w:tabs>
              <w:suppressAutoHyphens/>
              <w:jc w:val="center"/>
              <w:rPr>
                <w:rFonts w:ascii="Arial" w:hAnsi="Arial" w:cs="Arial"/>
                <w:sz w:val="16"/>
                <w:szCs w:val="16"/>
              </w:rPr>
            </w:pPr>
            <w:r>
              <w:rPr>
                <w:rFonts w:ascii="Arial" w:hAnsi="Arial" w:cs="Arial"/>
                <w:sz w:val="16"/>
                <w:szCs w:val="16"/>
              </w:rPr>
              <w:t>45.5</w:t>
            </w:r>
          </w:p>
        </w:tc>
        <w:tc>
          <w:tcPr>
            <w:tcW w:w="3690" w:type="dxa"/>
          </w:tcPr>
          <w:p w:rsidRPr="001868AC" w:rsidR="00ED1072" w:rsidP="007026D3" w:rsidRDefault="00ED1072" w14:paraId="34EE0AC9" w14:textId="77777777">
            <w:pPr>
              <w:tabs>
                <w:tab w:val="left" w:pos="-720"/>
                <w:tab w:val="left" w:pos="0"/>
              </w:tabs>
              <w:suppressAutoHyphens/>
              <w:jc w:val="center"/>
              <w:rPr>
                <w:rFonts w:ascii="Arial" w:hAnsi="Arial" w:cs="Arial"/>
                <w:sz w:val="16"/>
                <w:szCs w:val="16"/>
              </w:rPr>
            </w:pPr>
            <w:r>
              <w:rPr>
                <w:rFonts w:ascii="Arial" w:hAnsi="Arial" w:cs="Arial"/>
                <w:sz w:val="16"/>
                <w:szCs w:val="16"/>
              </w:rPr>
              <w:t>$ 67,896</w:t>
            </w:r>
          </w:p>
        </w:tc>
      </w:tr>
    </w:tbl>
    <w:p w:rsidR="00ED1072" w:rsidP="00ED1072" w:rsidRDefault="00ED1072" w14:paraId="1B242FA4" w14:textId="77777777">
      <w:pPr>
        <w:tabs>
          <w:tab w:val="left" w:pos="-720"/>
          <w:tab w:val="left" w:pos="0"/>
        </w:tabs>
        <w:suppressAutoHyphens/>
        <w:jc w:val="center"/>
        <w:rPr>
          <w:rFonts w:ascii="Arial" w:hAnsi="Arial" w:cs="Arial"/>
          <w:sz w:val="16"/>
          <w:szCs w:val="16"/>
        </w:rPr>
      </w:pPr>
    </w:p>
    <w:p w:rsidRPr="004E48F8" w:rsidR="00ED1072" w:rsidP="00AC321B" w:rsidRDefault="00FD6FA0" w14:paraId="543A6AFC" w14:textId="48B274B2">
      <w:pPr>
        <w:tabs>
          <w:tab w:val="left" w:pos="-720"/>
          <w:tab w:val="left" w:pos="0"/>
        </w:tabs>
        <w:suppressAutoHyphens/>
        <w:jc w:val="center"/>
        <w:rPr>
          <w:rFonts w:ascii="Arial" w:hAnsi="Arial" w:cs="Arial"/>
          <w:sz w:val="16"/>
          <w:szCs w:val="16"/>
        </w:rPr>
      </w:pPr>
      <w:r w:rsidRPr="00B36730">
        <w:rPr>
          <w:rFonts w:ascii="Arial" w:hAnsi="Arial" w:cs="Arial"/>
          <w:b/>
          <w:sz w:val="16"/>
          <w:szCs w:val="16"/>
        </w:rPr>
        <w:t>Total Captial/Start-up and Operating/Maintenance Costs</w:t>
      </w:r>
      <w:r>
        <w:rPr>
          <w:rFonts w:ascii="Arial" w:hAnsi="Arial" w:cs="Arial"/>
          <w:sz w:val="16"/>
          <w:szCs w:val="16"/>
        </w:rPr>
        <w:t>:  $51,961,428</w:t>
      </w:r>
    </w:p>
    <w:p w:rsidRPr="004E48F8" w:rsidR="002B11FD" w:rsidP="006734D8" w:rsidRDefault="002B11FD" w14:paraId="3F2ABAE6" w14:textId="79B477FA">
      <w:pPr>
        <w:tabs>
          <w:tab w:val="left" w:pos="-720"/>
          <w:tab w:val="left" w:pos="0"/>
        </w:tabs>
        <w:suppressAutoHyphens/>
        <w:rPr>
          <w:rFonts w:ascii="Arial" w:hAnsi="Arial" w:cs="Arial"/>
          <w:sz w:val="16"/>
          <w:szCs w:val="16"/>
        </w:rPr>
      </w:pPr>
    </w:p>
    <w:sectPr w:rsidRPr="004E48F8" w:rsidR="002B11FD" w:rsidSect="0074653A">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3300D" w14:textId="77777777" w:rsidR="007026D3" w:rsidRDefault="007026D3" w:rsidP="009C6DB4">
      <w:r>
        <w:separator/>
      </w:r>
    </w:p>
  </w:endnote>
  <w:endnote w:type="continuationSeparator" w:id="0">
    <w:p w14:paraId="3D0AF1AB" w14:textId="77777777" w:rsidR="007026D3" w:rsidRDefault="007026D3" w:rsidP="009C6DB4">
      <w:r>
        <w:continuationSeparator/>
      </w:r>
    </w:p>
  </w:endnote>
  <w:endnote w:type="continuationNotice" w:id="1">
    <w:p w14:paraId="006928BD" w14:textId="77777777" w:rsidR="007026D3" w:rsidRDefault="007026D3"/>
  </w:endnote>
  <w:endnote w:id="2">
    <w:p w14:paraId="06790C86" w14:textId="7E3BC3EF" w:rsidR="007026D3" w:rsidRDefault="007026D3" w:rsidP="002D6C86">
      <w:pPr>
        <w:pStyle w:val="EndnoteText"/>
        <w:spacing w:after="120"/>
      </w:pPr>
      <w:r>
        <w:rPr>
          <w:rStyle w:val="EndnoteReference"/>
        </w:rPr>
        <w:endnoteRef/>
      </w:r>
      <w:r>
        <w:t xml:space="preserve"> The Commission estimates eliminating the requirement for confirmation data reports will reduce the number of reports required to be reported on entering into a swap by 30%, or 7,000 reports per respondent instead of the previous 10,000 report estimate. The Commission has revised the rest of the estimate for § 45.3 accordingly.</w:t>
      </w:r>
    </w:p>
  </w:endnote>
  <w:endnote w:id="3">
    <w:p w14:paraId="0B5DA135" w14:textId="55D8AACC" w:rsidR="007026D3" w:rsidRDefault="007026D3" w:rsidP="002D6C86">
      <w:pPr>
        <w:pStyle w:val="EndnoteText"/>
        <w:spacing w:after="120"/>
      </w:pPr>
      <w:r>
        <w:rPr>
          <w:rStyle w:val="EndnoteReference"/>
        </w:rPr>
        <w:endnoteRef/>
      </w:r>
      <w:r>
        <w:t xml:space="preserve"> The Commission is correcting a previous error in Attachment A. In the recent renewal, the total annual burden hour cost had been incorrectly recorded as $7,248. The Commission has corrected the cost to be $12,553,536. Reducing the number of reports per respondent by 30% to 3,000 in the final rule will result in a lower total annual burden hour cost of $8,757,165.</w:t>
      </w:r>
    </w:p>
  </w:endnote>
  <w:endnote w:id="4">
    <w:p w14:paraId="1F172556" w14:textId="20796EBD" w:rsidR="007026D3" w:rsidRDefault="007026D3" w:rsidP="002D6C86">
      <w:pPr>
        <w:pStyle w:val="EndnoteText"/>
        <w:spacing w:after="120"/>
      </w:pPr>
      <w:r>
        <w:rPr>
          <w:rStyle w:val="EndnoteReference"/>
        </w:rPr>
        <w:endnoteRef/>
      </w:r>
      <w:r>
        <w:t xml:space="preserve"> The Commission had previously listed the number of entities as 1,732. The Commission is revising this number of entities to be 1,705, to reflect that the 27 SEFs and DCMs do not submit reports under § 45.4. The Commission is updating the estimates for § 45.4 accordingly.</w:t>
      </w:r>
    </w:p>
  </w:endnote>
  <w:endnote w:id="5">
    <w:p w14:paraId="48DA8BD5" w14:textId="2163F354" w:rsidR="007026D3" w:rsidRDefault="007026D3" w:rsidP="002D6C86">
      <w:pPr>
        <w:pStyle w:val="EndnoteText"/>
        <w:spacing w:after="120"/>
      </w:pPr>
      <w:r>
        <w:rPr>
          <w:rStyle w:val="EndnoteReference"/>
        </w:rPr>
        <w:endnoteRef/>
      </w:r>
      <w:r>
        <w:t xml:space="preserve"> The Commission estimates eliminating the option for reporting updates to swap terms according to the state data reporting method will reduce the number of swap reports being submitted according to § 45.4 by 50%, or 103,772 from 207,543 reports estimated in the last renewal. In addition, the Commission estimates removing the requirement to submit quarterly valuation reports by certain reporting counterparties will result in a reduction of 6,340 reports, resulting in 97,431 reports per respondent. The Commission is updating the rest of the estimates for § 45.4 accordingly.</w:t>
      </w:r>
    </w:p>
  </w:endnote>
  <w:endnote w:id="6">
    <w:p w14:paraId="387ADE59" w14:textId="4C2165C2" w:rsidR="007026D3" w:rsidRDefault="007026D3" w:rsidP="002D6C86">
      <w:pPr>
        <w:pStyle w:val="EndnoteText"/>
        <w:spacing w:after="120"/>
      </w:pPr>
      <w:r>
        <w:rPr>
          <w:rStyle w:val="EndnoteReference"/>
        </w:rPr>
        <w:endnoteRef/>
      </w:r>
      <w:r>
        <w:t xml:space="preserve"> The Commission estimates requiring SD counterparties to report collateral and margin data, in addition to validation data, in the § 45.4 reports will increase the amount of time it takes to create each daily report by .0005 hours from .003 hours to a new estimate of .0035 hours. The Commission is updating the rest of the estimate for § 45.4 accordingly.</w:t>
      </w:r>
    </w:p>
  </w:endnote>
  <w:endnote w:id="7">
    <w:p w14:paraId="45E72B47" w14:textId="4995CBDF" w:rsidR="007026D3" w:rsidRDefault="007026D3" w:rsidP="002D6C86">
      <w:pPr>
        <w:pStyle w:val="EndnoteText"/>
        <w:spacing w:after="120"/>
      </w:pPr>
      <w:r>
        <w:rPr>
          <w:rStyle w:val="EndnoteReference"/>
        </w:rPr>
        <w:endnoteRef/>
      </w:r>
      <w:r>
        <w:t xml:space="preserve"> The Commission is correcting the previous estimate that § 45.5 applies to 1,732 entities to account for the fact that non-SD/MSP/DCO reporting counterparties that are financial entities need to generate USIs. The previous estimate of 1,732 SDRs, SEFs, DCMs, and reporting counterparties over-estimated the number of respondents by including non-SD/MSP/DCO reporting counterparties. The Commission is estimating that half of the 1,585 non-SD/MSP/DCO reporting counterparties are financial entities, bringing the total number of respondents for § 45.5 to 940.</w:t>
      </w:r>
    </w:p>
  </w:endnote>
  <w:endnote w:id="8">
    <w:p w14:paraId="258430A9" w14:textId="4BE1D716" w:rsidR="007026D3" w:rsidRDefault="007026D3" w:rsidP="002D6C86">
      <w:pPr>
        <w:pStyle w:val="EndnoteText"/>
        <w:spacing w:after="120"/>
      </w:pPr>
      <w:r>
        <w:rPr>
          <w:rStyle w:val="EndnoteReference"/>
        </w:rPr>
        <w:endnoteRef/>
      </w:r>
      <w:r>
        <w:t xml:space="preserve"> The Commission had previously estimated that 1,732 entities generated all of the USIs for the 17 million new swaps entered into each year. However, the Commission has to re-balance this estimate in light of the fact that non-SD/MSP/DCO reporting counterparties that are not financial entities do not have to generate UTIs under the amendments being adopted. Instead, the Commission estimates that 940 entities will each generate approximately 18,000 UTIs for the 17 million new swaps entered into each year. The Commission is updating the rest of the estimate accordingly.</w:t>
      </w:r>
    </w:p>
  </w:endnote>
  <w:endnote w:id="9">
    <w:p w14:paraId="47DAFC67" w14:textId="32053ECF" w:rsidR="007026D3" w:rsidRDefault="007026D3" w:rsidP="002D6C86">
      <w:pPr>
        <w:pStyle w:val="EndnoteText"/>
        <w:spacing w:after="120"/>
      </w:pPr>
      <w:r>
        <w:rPr>
          <w:rStyle w:val="EndnoteReference"/>
        </w:rPr>
        <w:endnoteRef/>
      </w:r>
      <w:r>
        <w:t xml:space="preserve"> The Commission is revising the estimate for § 45.6 by reducing the number of reports per respondent to 1 to reflect the fact that each entity is required to obtain an LEI, but LEIs themselves are reported in the § 45.3 and § 45.4 reports. To avoid double-counting, the Commission will not separately account for each LEI reported in the § 45.3 and § 45.4 reports. Instead, the Commission has revised the estimate to reflect each entity obtains one LEI. The Commission is updating the rest of the estimate accordingly. The Commission is removing the estimate for § 45.7 for the same reason that product terms are reported in the § 45.3 and § 45.4 reports.</w:t>
      </w:r>
    </w:p>
  </w:endnote>
  <w:endnote w:id="10">
    <w:p w14:paraId="71681F7E" w14:textId="0F08A736" w:rsidR="007026D3" w:rsidRDefault="007026D3" w:rsidP="002D6C86">
      <w:pPr>
        <w:pStyle w:val="EndnoteText"/>
        <w:spacing w:after="120"/>
      </w:pPr>
      <w:r>
        <w:rPr>
          <w:rStyle w:val="EndnoteReference"/>
        </w:rPr>
        <w:endnoteRef/>
      </w:r>
      <w:r>
        <w:t xml:space="preserve"> The Commission is also increasing the burden hours per response by .01 hours, from .01 to .02 hours, to reflect the fact many LEI holders will have to renew their LEIs annually. The Commission is revising the rest of the estimate accordingly.</w:t>
      </w:r>
    </w:p>
  </w:endnote>
  <w:endnote w:id="11">
    <w:p w14:paraId="2611E561" w14:textId="390987CB" w:rsidR="007026D3" w:rsidRDefault="007026D3" w:rsidP="002D6C86">
      <w:pPr>
        <w:pStyle w:val="EndnoteText"/>
        <w:spacing w:after="120"/>
      </w:pPr>
      <w:r>
        <w:rPr>
          <w:rStyle w:val="EndnoteReference"/>
        </w:rPr>
        <w:endnoteRef/>
      </w:r>
      <w:r>
        <w:t xml:space="preserve"> The notification requirement in § 45.10 is new. The Commission estimates that 15 entities will elect to take advantage of the opportunity provided in § 45.10 to change SDRs, and will thus need to send the notifications required by § 45.10(d), with each report taking .01 hour.</w:t>
      </w:r>
    </w:p>
  </w:endnote>
  <w:endnote w:id="12">
    <w:p w14:paraId="6CE52992" w14:textId="427AC3FD" w:rsidR="007026D3" w:rsidRDefault="007026D3" w:rsidP="002D6C86">
      <w:pPr>
        <w:pStyle w:val="EndnoteText"/>
        <w:spacing w:after="120"/>
      </w:pPr>
      <w:r>
        <w:rPr>
          <w:rStyle w:val="EndnoteReference"/>
        </w:rPr>
        <w:endnoteRef/>
      </w:r>
      <w:r>
        <w:t xml:space="preserve"> The Commission is not modifying the current estimate for § 45.14.</w:t>
      </w:r>
    </w:p>
  </w:endnote>
  <w:endnote w:id="13">
    <w:p w14:paraId="6F64A66F" w14:textId="766D7ADF" w:rsidR="007026D3" w:rsidRPr="002D6C86" w:rsidRDefault="007026D3" w:rsidP="002D6C86">
      <w:pPr>
        <w:pStyle w:val="EndnoteText"/>
        <w:spacing w:after="120"/>
      </w:pPr>
      <w:r w:rsidRPr="0036025F">
        <w:rPr>
          <w:rStyle w:val="EndnoteReference"/>
        </w:rPr>
        <w:endnoteRef/>
      </w:r>
      <w:r w:rsidRPr="0036025F">
        <w:t xml:space="preserve"> </w:t>
      </w:r>
      <w:r w:rsidRPr="002D6C86">
        <w:t>As described above in the answer to question 12, the Commission calculated the average wage rate to $72.23.</w:t>
      </w:r>
    </w:p>
  </w:endnote>
  <w:endnote w:id="14">
    <w:p w14:paraId="6C3403FD" w14:textId="60FB8E2C" w:rsidR="007026D3" w:rsidRDefault="007026D3" w:rsidP="002D6C86">
      <w:pPr>
        <w:pStyle w:val="EndnoteText"/>
        <w:spacing w:after="120"/>
      </w:pPr>
      <w:r>
        <w:rPr>
          <w:rStyle w:val="EndnoteReference"/>
        </w:rPr>
        <w:endnoteRef/>
      </w:r>
      <w:r>
        <w:t xml:space="preserve"> The Commission is not amending the current recordkeeping estimates for § 45.2 in this rulemaking.  However, the above table corrects an error in the calculation of the annual number of burden hours per respondent, from 650 burden hours per respondent to 100 burden hours per respondent.  The correction of the burden hours per respondent in column 5 of this row also affects the total burden hours across all respondents in column 9, which is being reduced to 173,200.</w:t>
      </w:r>
    </w:p>
  </w:endnote>
  <w:endnote w:id="15">
    <w:p w14:paraId="039BF6AC" w14:textId="093F6FB2" w:rsidR="007026D3" w:rsidRPr="00852843" w:rsidRDefault="007026D3" w:rsidP="007C6EA5">
      <w:pPr>
        <w:pStyle w:val="EndnoteText"/>
      </w:pPr>
      <w:r>
        <w:rPr>
          <w:rStyle w:val="EndnoteReference"/>
        </w:rPr>
        <w:endnoteRef/>
      </w:r>
      <w:r>
        <w:t xml:space="preserve"> </w:t>
      </w:r>
      <w:r w:rsidRPr="00BF5813">
        <w:rPr>
          <w:rFonts w:eastAsia="Calibri" w:cs="Times New Roman"/>
        </w:rPr>
        <w:t>The Commission is updating its estimates of the capital/start-up costs that SDRs, SEFs, DCMs, and reporting counterparties will incur related to adopting the changes in § 45.3 to provide a more-accurate range of expected costs.</w:t>
      </w:r>
      <w:r>
        <w:rPr>
          <w:rFonts w:eastAsia="Calibri" w:cs="Times New Roman"/>
          <w:sz w:val="22"/>
          <w:szCs w:val="22"/>
        </w:rPr>
        <w:t xml:space="preserve">  </w:t>
      </w:r>
      <w:bookmarkStart w:id="4" w:name="_Hlk54280625"/>
      <w:r w:rsidRPr="007C6EA5">
        <w:t xml:space="preserve">As described in </w:t>
      </w:r>
      <w:r>
        <w:t>more detail in Item 13 above</w:t>
      </w:r>
      <w:r w:rsidRPr="007C6EA5">
        <w:t xml:space="preserve">, the Commission estimates </w:t>
      </w:r>
      <w:r w:rsidRPr="00EE2190">
        <w:t>that SDRs will incur one-time initial costs in a range of $144,000 to $1,010,000 per SDR to update their systems</w:t>
      </w:r>
      <w:r>
        <w:t>, or $1,731,000 for all 3 SDRS based on an estimated average of $577,000 per SDR</w:t>
      </w:r>
      <w:r w:rsidRPr="00EE2190">
        <w:t xml:space="preserve">.  </w:t>
      </w:r>
      <w:r>
        <w:t>In addition, t</w:t>
      </w:r>
      <w:r w:rsidRPr="00EE2190">
        <w:t xml:space="preserve">he Commission estimates </w:t>
      </w:r>
      <w:r>
        <w:t>that 1,732</w:t>
      </w:r>
      <w:r w:rsidRPr="00EE2190">
        <w:t xml:space="preserve"> reporting counterparties will incur one-time initial costs in a range of $24,000 to $73,225 per reporting entity on the updates.</w:t>
      </w:r>
      <w:r w:rsidR="004321C5">
        <w:t xml:space="preserve"> B</w:t>
      </w:r>
      <w:r w:rsidRPr="007C6EA5">
        <w:rPr>
          <w:iCs/>
        </w:rPr>
        <w:t xml:space="preserve">ecause most reporting entities will only need to reprogram their existing reporting systems, the Commission believes that the upfront cost to reporting entities to implement the </w:t>
      </w:r>
      <w:r>
        <w:rPr>
          <w:iCs/>
        </w:rPr>
        <w:t>final r</w:t>
      </w:r>
      <w:r w:rsidRPr="007C6EA5">
        <w:rPr>
          <w:iCs/>
        </w:rPr>
        <w:t xml:space="preserve">ule will be on the lower end of the range, closer to $24,000 than to </w:t>
      </w:r>
      <w:r w:rsidRPr="007C6EA5">
        <w:t>$73,225</w:t>
      </w:r>
      <w:r w:rsidRPr="007C6EA5">
        <w:rPr>
          <w:iCs/>
        </w:rPr>
        <w:t xml:space="preserve">.  </w:t>
      </w:r>
      <w:r>
        <w:rPr>
          <w:iCs/>
        </w:rPr>
        <w:t xml:space="preserve">Therefore, </w:t>
      </w:r>
      <w:r>
        <w:t xml:space="preserve">the Commission based its PRA estimates on </w:t>
      </w:r>
      <w:r w:rsidRPr="007C6EA5">
        <w:t>a more realistic split of 90%/10% between existing reporting entities and new reporting entities</w:t>
      </w:r>
      <w:r>
        <w:t>, which</w:t>
      </w:r>
      <w:r w:rsidRPr="007C6EA5">
        <w:t xml:space="preserve"> results in a weighted average cost of $28,923 per reporting entity ($24,000*0.9 + $73,225*0.1), or a total upfront implementation cost of $50,094,636 </w:t>
      </w:r>
      <w:r>
        <w:t>for</w:t>
      </w:r>
      <w:r w:rsidRPr="007C6EA5">
        <w:t xml:space="preserve"> the 1,732 reporting ent</w:t>
      </w:r>
      <w:r w:rsidRPr="00D951B8">
        <w:t>ities.  The total aggregate upfront implementation cost is $51,825,636 ($50,094,636 for reporting entities and $1,731,000 for SDRs).</w:t>
      </w:r>
      <w:r w:rsidR="00D951B8" w:rsidRPr="00D951B8">
        <w:t xml:space="preserve">  The Commission does not expect any ongoing costs for </w:t>
      </w:r>
      <w:r w:rsidR="00D607FA" w:rsidRPr="00D607FA">
        <w:t xml:space="preserve">§ 45.3 </w:t>
      </w:r>
      <w:r w:rsidR="00D607FA">
        <w:t xml:space="preserve">for </w:t>
      </w:r>
      <w:r w:rsidR="00D951B8" w:rsidRPr="00D951B8">
        <w:t>SDRs or reporting entities after the initial builds.</w:t>
      </w:r>
    </w:p>
    <w:p w14:paraId="37667666" w14:textId="575B7CF5" w:rsidR="007026D3" w:rsidRPr="0074653A" w:rsidRDefault="007026D3" w:rsidP="0074653A">
      <w:pPr>
        <w:pStyle w:val="EndnoteText"/>
      </w:pPr>
    </w:p>
    <w:bookmarkEnd w:id="4"/>
    <w:p w14:paraId="5D4F842E" w14:textId="5866A337" w:rsidR="007026D3" w:rsidRDefault="007026D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AF5A" w14:textId="77777777" w:rsidR="007026D3" w:rsidRDefault="0070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FB4B" w14:textId="13BDE211" w:rsidR="007026D3" w:rsidRDefault="007026D3" w:rsidP="008A33C6">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803175"/>
      <w:docPartObj>
        <w:docPartGallery w:val="Page Numbers (Bottom of Page)"/>
        <w:docPartUnique/>
      </w:docPartObj>
    </w:sdtPr>
    <w:sdtEndPr>
      <w:rPr>
        <w:noProof/>
      </w:rPr>
    </w:sdtEndPr>
    <w:sdtContent>
      <w:p w14:paraId="33965732" w14:textId="2015CEAB" w:rsidR="007026D3" w:rsidRDefault="007026D3" w:rsidP="00D91D6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2115" w14:textId="77777777" w:rsidR="007026D3" w:rsidRDefault="007026D3" w:rsidP="009C6DB4">
      <w:r>
        <w:separator/>
      </w:r>
    </w:p>
  </w:footnote>
  <w:footnote w:type="continuationSeparator" w:id="0">
    <w:p w14:paraId="6290FCE7" w14:textId="77777777" w:rsidR="007026D3" w:rsidRDefault="007026D3" w:rsidP="009C6DB4">
      <w:r>
        <w:continuationSeparator/>
      </w:r>
    </w:p>
  </w:footnote>
  <w:footnote w:type="continuationNotice" w:id="1">
    <w:p w14:paraId="79F0EFC4" w14:textId="77777777" w:rsidR="007026D3" w:rsidRDefault="007026D3"/>
  </w:footnote>
  <w:footnote w:id="2">
    <w:p w14:paraId="12BB4ACB" w14:textId="55D1B986" w:rsidR="007026D3" w:rsidRDefault="007026D3" w:rsidP="007B5DCD">
      <w:pPr>
        <w:pStyle w:val="FootnoteText"/>
      </w:pPr>
      <w:r>
        <w:rPr>
          <w:rStyle w:val="FootnoteReference"/>
        </w:rPr>
        <w:footnoteRef/>
      </w:r>
      <w:r>
        <w:t xml:space="preserve"> </w:t>
      </w:r>
      <w:r w:rsidR="007B5DCD">
        <w:t>Swap Data Recordkeeping and Reporting Requirements, 85 FR 75503 (Nov. 25, 2020).</w:t>
      </w:r>
    </w:p>
  </w:footnote>
  <w:footnote w:id="3">
    <w:p w14:paraId="2C8432A9" w14:textId="5F43ECD7" w:rsidR="00B05EE5" w:rsidRDefault="00B05EE5">
      <w:pPr>
        <w:pStyle w:val="FootnoteText"/>
      </w:pPr>
      <w:r>
        <w:rPr>
          <w:rStyle w:val="FootnoteReference"/>
        </w:rPr>
        <w:footnoteRef/>
      </w:r>
      <w:r>
        <w:t xml:space="preserve"> </w:t>
      </w:r>
      <w:r w:rsidRPr="00B05EE5">
        <w:t xml:space="preserve">The Commission is not amending the current recordkeeping estimates for § 45.2 in this rulemaking.  However, </w:t>
      </w:r>
      <w:r>
        <w:t xml:space="preserve">Attachment A </w:t>
      </w:r>
      <w:r w:rsidRPr="00B05EE5">
        <w:t>corrects an error in the calculation of the annual number of burden hours per respondent, from 650 burden hours per respondent to 100 burden hours per respondent</w:t>
      </w:r>
      <w:r>
        <w:t>.</w:t>
      </w:r>
    </w:p>
  </w:footnote>
  <w:footnote w:id="4">
    <w:p w14:paraId="2A74391A" w14:textId="570C32BF" w:rsidR="007026D3" w:rsidRDefault="007026D3">
      <w:pPr>
        <w:pStyle w:val="FootnoteText"/>
      </w:pPr>
      <w:r>
        <w:rPr>
          <w:rStyle w:val="FootnoteReference"/>
        </w:rPr>
        <w:footnoteRef/>
      </w:r>
      <w:r>
        <w:t xml:space="preserve"> </w:t>
      </w:r>
      <w:r w:rsidRPr="008625E2">
        <w:t>The Commission is similarly revising the estimate for § 45.7, which requires reporting counterparties to use UPIs. Until the Commission designates a UPI, reporting counterparties use the product fields unique to each SDR. As a result, until the Commission designates a UPI, the burden estimates for the product fields are accounted for in §§ 45.3 and 45.4. To avoid double-counting until there is a UPI, the Commission is remov</w:t>
      </w:r>
      <w:r>
        <w:t>ing</w:t>
      </w:r>
      <w:r w:rsidRPr="008625E2">
        <w:t xml:space="preserve"> the burden estimate for § 45.7 until the Commission designates a UPI.</w:t>
      </w:r>
    </w:p>
  </w:footnote>
  <w:footnote w:id="5">
    <w:p w14:paraId="46B34B19" w14:textId="52898AED" w:rsidR="007026D3" w:rsidRPr="00F64348" w:rsidRDefault="007026D3" w:rsidP="00F64348">
      <w:pPr>
        <w:pStyle w:val="FootnoteText"/>
        <w:rPr>
          <w:bCs/>
        </w:rPr>
      </w:pPr>
      <w:r>
        <w:rPr>
          <w:rStyle w:val="FootnoteReference"/>
        </w:rPr>
        <w:footnoteRef/>
      </w:r>
      <w:r>
        <w:t xml:space="preserve"> </w:t>
      </w:r>
      <w:r w:rsidRPr="002932D1">
        <w:t>The Commission is also eliminat</w:t>
      </w:r>
      <w:r>
        <w:t>ing</w:t>
      </w:r>
      <w:r w:rsidRPr="002932D1">
        <w:t xml:space="preserve"> the § 45.12 regulations for voluntary supplemental reporting</w:t>
      </w:r>
      <w:r>
        <w:t>, but t</w:t>
      </w:r>
      <w:r w:rsidRPr="002932D1">
        <w:t>his is not anticipated to change the aggregate burden hour estimates for the collection</w:t>
      </w:r>
      <w:r>
        <w:t>.  T</w:t>
      </w:r>
      <w:r w:rsidRPr="002932D1">
        <w:t xml:space="preserve">he Commission previously estimated the reporting burden as 0 </w:t>
      </w:r>
      <w:r>
        <w:t>because</w:t>
      </w:r>
      <w:r w:rsidRPr="002932D1">
        <w:t xml:space="preserve"> the Commission neither required </w:t>
      </w:r>
      <w:r>
        <w:t>n</w:t>
      </w:r>
      <w:r w:rsidRPr="002932D1">
        <w:t>or requested voluntary supplemental reporting.</w:t>
      </w:r>
    </w:p>
    <w:p w14:paraId="74F4D666" w14:textId="623B5C0C" w:rsidR="007026D3" w:rsidRDefault="007026D3">
      <w:pPr>
        <w:pStyle w:val="FootnoteText"/>
      </w:pPr>
    </w:p>
  </w:footnote>
  <w:footnote w:id="6">
    <w:p w14:paraId="00529D27" w14:textId="095AD6A2" w:rsidR="007026D3" w:rsidRDefault="007026D3">
      <w:pPr>
        <w:pStyle w:val="FootnoteText"/>
      </w:pPr>
      <w:r>
        <w:rPr>
          <w:rStyle w:val="FootnoteReference"/>
        </w:rPr>
        <w:footnoteRef/>
      </w:r>
      <w:r>
        <w:t xml:space="preserve"> </w:t>
      </w:r>
      <w:r w:rsidRPr="00661BB5">
        <w:t xml:space="preserve">Hourly wage rates </w:t>
      </w:r>
      <w:r>
        <w:t xml:space="preserve">for this aspect </w:t>
      </w:r>
      <w:r w:rsidRPr="00661BB5">
        <w:t>came from the Software Developers and Programmers category of the May 2019 National Occupational Employment and Wage Estimates Report produced by the U.S. Bureau of Labor Statistics, available at https://www.bls.gov/oes/current/oes_nat.htm.  The 25th percentile was used for the low range and the 90th percentile was used for the upper range ($36.89 and $78.06, respectively).  Each number was multiplied by an adjustment factor of 1.3 for overhead and benefits (rounded to the nearest whole dollar) which is in line with adjustment factors the CFTC has used for similar purposes in other final rules adopted under the Dodd-Frank Act.  See, e.g., 77 FR at 2173 (using an adjustment factor of 1.3 for overhead and other benefits).  These estimates are intended to capture and reflect U.S. developer hourly rates market participants are likely to pay when complying with the changes.  Individual entities may, based on their circumstances, incur costs substantially greater or less than the estimated averages.</w:t>
      </w:r>
    </w:p>
  </w:footnote>
  <w:footnote w:id="7">
    <w:p w14:paraId="3280A69E" w14:textId="5A2F6C83" w:rsidR="007026D3" w:rsidRDefault="007026D3">
      <w:pPr>
        <w:pStyle w:val="FootnoteText"/>
      </w:pPr>
      <w:r>
        <w:rPr>
          <w:rStyle w:val="FootnoteReference"/>
        </w:rPr>
        <w:footnoteRef/>
      </w:r>
      <w:r>
        <w:t xml:space="preserve"> T</w:t>
      </w:r>
      <w:r w:rsidRPr="007026D3">
        <w:t>he</w:t>
      </w:r>
      <w:r>
        <w:t xml:space="preserve"> lower estimate of</w:t>
      </w:r>
      <w:r w:rsidRPr="007026D3">
        <w:t xml:space="preserve"> $144,000 represent</w:t>
      </w:r>
      <w:r w:rsidR="002364E4">
        <w:t>s</w:t>
      </w:r>
      <w:r w:rsidRPr="007026D3">
        <w:t xml:space="preserve"> 3,000 working hours at </w:t>
      </w:r>
      <w:r>
        <w:t xml:space="preserve">the </w:t>
      </w:r>
      <w:r w:rsidRPr="007026D3">
        <w:t>$48</w:t>
      </w:r>
      <w:r>
        <w:t xml:space="preserve"> rate.  The higher estimate of </w:t>
      </w:r>
      <w:r w:rsidRPr="007026D3">
        <w:t>$505,000 represent</w:t>
      </w:r>
      <w:r w:rsidR="002364E4">
        <w:t>s</w:t>
      </w:r>
      <w:r w:rsidRPr="007026D3">
        <w:t xml:space="preserve"> 5,000 working hours at </w:t>
      </w:r>
      <w:r>
        <w:t xml:space="preserve">the </w:t>
      </w:r>
      <w:r w:rsidRPr="007026D3">
        <w:t>$101</w:t>
      </w:r>
      <w:r>
        <w:t xml:space="preserve"> rate.</w:t>
      </w:r>
    </w:p>
  </w:footnote>
  <w:footnote w:id="8">
    <w:p w14:paraId="08B4F991" w14:textId="3777E0BE" w:rsidR="007026D3" w:rsidRDefault="007026D3">
      <w:pPr>
        <w:pStyle w:val="FootnoteText"/>
      </w:pPr>
      <w:r>
        <w:rPr>
          <w:rStyle w:val="FootnoteReference"/>
        </w:rPr>
        <w:footnoteRef/>
      </w:r>
      <w:r>
        <w:t xml:space="preserve"> </w:t>
      </w:r>
      <w:r w:rsidR="002364E4">
        <w:t>The lower estimate of $24,000 represents 500 working hours at the $48 rate.  The higher estimate of $73,225 represents 725 working hours at the $101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EA36" w14:textId="77777777" w:rsidR="007026D3" w:rsidRDefault="0070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C351" w14:textId="77777777" w:rsidR="007026D3" w:rsidRDefault="0070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4518" w14:textId="77777777" w:rsidR="007026D3" w:rsidRDefault="0070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1D20AAE"/>
    <w:multiLevelType w:val="hybridMultilevel"/>
    <w:tmpl w:val="D46CC1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EB15FF7"/>
    <w:multiLevelType w:val="hybridMultilevel"/>
    <w:tmpl w:val="1F3EEDF2"/>
    <w:lvl w:ilvl="0" w:tplc="A03A6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F83D6D"/>
    <w:multiLevelType w:val="hybridMultilevel"/>
    <w:tmpl w:val="5CCC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CFCA18F0"/>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774E3"/>
    <w:multiLevelType w:val="hybridMultilevel"/>
    <w:tmpl w:val="050C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831ECD"/>
    <w:multiLevelType w:val="hybridMultilevel"/>
    <w:tmpl w:val="BBC2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D128A"/>
    <w:multiLevelType w:val="hybridMultilevel"/>
    <w:tmpl w:val="F39E75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1"/>
  </w:num>
  <w:num w:numId="6">
    <w:abstractNumId w:val="0"/>
  </w:num>
  <w:num w:numId="7">
    <w:abstractNumId w:val="5"/>
  </w:num>
  <w:num w:numId="8">
    <w:abstractNumId w:val="9"/>
  </w:num>
  <w:num w:numId="9">
    <w:abstractNumId w:val="6"/>
  </w:num>
  <w:num w:numId="10">
    <w:abstractNumId w:val="14"/>
  </w:num>
  <w:num w:numId="11">
    <w:abstractNumId w:val="4"/>
  </w:num>
  <w:num w:numId="12">
    <w:abstractNumId w:val="11"/>
  </w:num>
  <w:num w:numId="13">
    <w:abstractNumId w:val="13"/>
  </w:num>
  <w:num w:numId="14">
    <w:abstractNumId w:val="15"/>
  </w:num>
  <w:num w:numId="15">
    <w:abstractNumId w:val="10"/>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0591"/>
    <w:rsid w:val="00013AB1"/>
    <w:rsid w:val="00026051"/>
    <w:rsid w:val="0002705E"/>
    <w:rsid w:val="00027515"/>
    <w:rsid w:val="0003256B"/>
    <w:rsid w:val="00032BDD"/>
    <w:rsid w:val="00037E90"/>
    <w:rsid w:val="0004053D"/>
    <w:rsid w:val="00041EFF"/>
    <w:rsid w:val="000522AF"/>
    <w:rsid w:val="000565C0"/>
    <w:rsid w:val="000576BF"/>
    <w:rsid w:val="00060E24"/>
    <w:rsid w:val="00060EBC"/>
    <w:rsid w:val="000625B4"/>
    <w:rsid w:val="00063137"/>
    <w:rsid w:val="00063DC4"/>
    <w:rsid w:val="0007012C"/>
    <w:rsid w:val="00070230"/>
    <w:rsid w:val="00072761"/>
    <w:rsid w:val="00072B76"/>
    <w:rsid w:val="00072EF3"/>
    <w:rsid w:val="00075CA1"/>
    <w:rsid w:val="000803D6"/>
    <w:rsid w:val="00080649"/>
    <w:rsid w:val="00081223"/>
    <w:rsid w:val="00083331"/>
    <w:rsid w:val="000835FF"/>
    <w:rsid w:val="00083F72"/>
    <w:rsid w:val="00093A0E"/>
    <w:rsid w:val="000A1AAE"/>
    <w:rsid w:val="000A2F6B"/>
    <w:rsid w:val="000B3A3C"/>
    <w:rsid w:val="000C2D0E"/>
    <w:rsid w:val="000C3307"/>
    <w:rsid w:val="000D2D33"/>
    <w:rsid w:val="000D45E4"/>
    <w:rsid w:val="000D6716"/>
    <w:rsid w:val="000D74A3"/>
    <w:rsid w:val="000E0987"/>
    <w:rsid w:val="000E2599"/>
    <w:rsid w:val="000E43CF"/>
    <w:rsid w:val="000E7178"/>
    <w:rsid w:val="000F46C6"/>
    <w:rsid w:val="00107258"/>
    <w:rsid w:val="00107779"/>
    <w:rsid w:val="00116FC7"/>
    <w:rsid w:val="0012080B"/>
    <w:rsid w:val="00121829"/>
    <w:rsid w:val="00123DD6"/>
    <w:rsid w:val="00132A0A"/>
    <w:rsid w:val="0013534F"/>
    <w:rsid w:val="00136DB1"/>
    <w:rsid w:val="0014130B"/>
    <w:rsid w:val="00142A65"/>
    <w:rsid w:val="0014627F"/>
    <w:rsid w:val="00147764"/>
    <w:rsid w:val="00153901"/>
    <w:rsid w:val="001577B2"/>
    <w:rsid w:val="001657A4"/>
    <w:rsid w:val="001670FA"/>
    <w:rsid w:val="00175505"/>
    <w:rsid w:val="00176391"/>
    <w:rsid w:val="00180982"/>
    <w:rsid w:val="00181DCC"/>
    <w:rsid w:val="0018277C"/>
    <w:rsid w:val="00185CB7"/>
    <w:rsid w:val="001868AC"/>
    <w:rsid w:val="001939AE"/>
    <w:rsid w:val="001B0891"/>
    <w:rsid w:val="001C209D"/>
    <w:rsid w:val="001C2CB9"/>
    <w:rsid w:val="001C44A0"/>
    <w:rsid w:val="001D035B"/>
    <w:rsid w:val="001D42DC"/>
    <w:rsid w:val="001D4BB9"/>
    <w:rsid w:val="001D7B90"/>
    <w:rsid w:val="001E3090"/>
    <w:rsid w:val="001E5CCF"/>
    <w:rsid w:val="001F1D7A"/>
    <w:rsid w:val="001F75A3"/>
    <w:rsid w:val="00200207"/>
    <w:rsid w:val="00213F3E"/>
    <w:rsid w:val="002220B8"/>
    <w:rsid w:val="00224559"/>
    <w:rsid w:val="00233D65"/>
    <w:rsid w:val="002364E4"/>
    <w:rsid w:val="00237A08"/>
    <w:rsid w:val="00237E56"/>
    <w:rsid w:val="00240AD2"/>
    <w:rsid w:val="00241052"/>
    <w:rsid w:val="00241E30"/>
    <w:rsid w:val="00243435"/>
    <w:rsid w:val="00244BFB"/>
    <w:rsid w:val="00254C78"/>
    <w:rsid w:val="00256990"/>
    <w:rsid w:val="002600FA"/>
    <w:rsid w:val="00260C07"/>
    <w:rsid w:val="00261D8B"/>
    <w:rsid w:val="00262D0D"/>
    <w:rsid w:val="00267793"/>
    <w:rsid w:val="0027280A"/>
    <w:rsid w:val="00274B08"/>
    <w:rsid w:val="0027587C"/>
    <w:rsid w:val="00275F7C"/>
    <w:rsid w:val="002763D2"/>
    <w:rsid w:val="00276808"/>
    <w:rsid w:val="0027708A"/>
    <w:rsid w:val="002879E8"/>
    <w:rsid w:val="00292FCF"/>
    <w:rsid w:val="002932D1"/>
    <w:rsid w:val="002941BC"/>
    <w:rsid w:val="00296536"/>
    <w:rsid w:val="002A535F"/>
    <w:rsid w:val="002A6ACD"/>
    <w:rsid w:val="002A6B63"/>
    <w:rsid w:val="002B11FD"/>
    <w:rsid w:val="002B4A1D"/>
    <w:rsid w:val="002C0361"/>
    <w:rsid w:val="002C555A"/>
    <w:rsid w:val="002C7E70"/>
    <w:rsid w:val="002D0489"/>
    <w:rsid w:val="002D061E"/>
    <w:rsid w:val="002D0D45"/>
    <w:rsid w:val="002D3F3E"/>
    <w:rsid w:val="002D5566"/>
    <w:rsid w:val="002D6C86"/>
    <w:rsid w:val="002E05BD"/>
    <w:rsid w:val="002E0DEB"/>
    <w:rsid w:val="002E6CFD"/>
    <w:rsid w:val="002F1E80"/>
    <w:rsid w:val="002F4E6B"/>
    <w:rsid w:val="00301DE9"/>
    <w:rsid w:val="00304EBB"/>
    <w:rsid w:val="00305FA2"/>
    <w:rsid w:val="00306BE2"/>
    <w:rsid w:val="00307524"/>
    <w:rsid w:val="00307E70"/>
    <w:rsid w:val="00314103"/>
    <w:rsid w:val="00330578"/>
    <w:rsid w:val="00330DF8"/>
    <w:rsid w:val="0033491B"/>
    <w:rsid w:val="00335B1D"/>
    <w:rsid w:val="003400A0"/>
    <w:rsid w:val="003446DD"/>
    <w:rsid w:val="00347613"/>
    <w:rsid w:val="003513A3"/>
    <w:rsid w:val="00353BBB"/>
    <w:rsid w:val="0035705B"/>
    <w:rsid w:val="00357784"/>
    <w:rsid w:val="00357E35"/>
    <w:rsid w:val="0036025F"/>
    <w:rsid w:val="003607A6"/>
    <w:rsid w:val="00361683"/>
    <w:rsid w:val="00362C24"/>
    <w:rsid w:val="003671D2"/>
    <w:rsid w:val="003677B4"/>
    <w:rsid w:val="00370522"/>
    <w:rsid w:val="0037312F"/>
    <w:rsid w:val="0037421B"/>
    <w:rsid w:val="00374C10"/>
    <w:rsid w:val="003751E1"/>
    <w:rsid w:val="003755F4"/>
    <w:rsid w:val="00383FD2"/>
    <w:rsid w:val="003853E8"/>
    <w:rsid w:val="003869F1"/>
    <w:rsid w:val="003B1162"/>
    <w:rsid w:val="003B139E"/>
    <w:rsid w:val="003B6B93"/>
    <w:rsid w:val="003C1CFA"/>
    <w:rsid w:val="003C3DAA"/>
    <w:rsid w:val="003C5FAE"/>
    <w:rsid w:val="003D3960"/>
    <w:rsid w:val="003D6F96"/>
    <w:rsid w:val="003D70F9"/>
    <w:rsid w:val="003D7840"/>
    <w:rsid w:val="003E1141"/>
    <w:rsid w:val="003E3C5A"/>
    <w:rsid w:val="003F40DA"/>
    <w:rsid w:val="00404EFF"/>
    <w:rsid w:val="0040522C"/>
    <w:rsid w:val="00405AC8"/>
    <w:rsid w:val="00416A6E"/>
    <w:rsid w:val="004217D8"/>
    <w:rsid w:val="00422FB0"/>
    <w:rsid w:val="00424C70"/>
    <w:rsid w:val="00431E00"/>
    <w:rsid w:val="004321C5"/>
    <w:rsid w:val="00434EC3"/>
    <w:rsid w:val="00443D7B"/>
    <w:rsid w:val="0044799F"/>
    <w:rsid w:val="004479D7"/>
    <w:rsid w:val="004618A5"/>
    <w:rsid w:val="00464286"/>
    <w:rsid w:val="00467C28"/>
    <w:rsid w:val="0047275C"/>
    <w:rsid w:val="00474EE1"/>
    <w:rsid w:val="00476AB6"/>
    <w:rsid w:val="004847CB"/>
    <w:rsid w:val="00487E1F"/>
    <w:rsid w:val="004917AF"/>
    <w:rsid w:val="004925F6"/>
    <w:rsid w:val="00495F16"/>
    <w:rsid w:val="004A3A04"/>
    <w:rsid w:val="004A5ACB"/>
    <w:rsid w:val="004A5F11"/>
    <w:rsid w:val="004A7924"/>
    <w:rsid w:val="004B6159"/>
    <w:rsid w:val="004B7E4E"/>
    <w:rsid w:val="004B7F0D"/>
    <w:rsid w:val="004C2276"/>
    <w:rsid w:val="004C3AE0"/>
    <w:rsid w:val="004C5022"/>
    <w:rsid w:val="004D0238"/>
    <w:rsid w:val="004D4BEA"/>
    <w:rsid w:val="004E0A52"/>
    <w:rsid w:val="004E48F8"/>
    <w:rsid w:val="004E569F"/>
    <w:rsid w:val="004E722C"/>
    <w:rsid w:val="004F4090"/>
    <w:rsid w:val="004F4C42"/>
    <w:rsid w:val="004F7FE0"/>
    <w:rsid w:val="00500DBF"/>
    <w:rsid w:val="00505251"/>
    <w:rsid w:val="00506FE2"/>
    <w:rsid w:val="00517245"/>
    <w:rsid w:val="00517E9A"/>
    <w:rsid w:val="00523D02"/>
    <w:rsid w:val="005251FD"/>
    <w:rsid w:val="00525395"/>
    <w:rsid w:val="0052742B"/>
    <w:rsid w:val="00532836"/>
    <w:rsid w:val="00532C37"/>
    <w:rsid w:val="00534033"/>
    <w:rsid w:val="00534F69"/>
    <w:rsid w:val="00536419"/>
    <w:rsid w:val="00536C1A"/>
    <w:rsid w:val="00544E13"/>
    <w:rsid w:val="005503C6"/>
    <w:rsid w:val="00551E62"/>
    <w:rsid w:val="00554929"/>
    <w:rsid w:val="00557EF2"/>
    <w:rsid w:val="00560340"/>
    <w:rsid w:val="00560B0C"/>
    <w:rsid w:val="005661C0"/>
    <w:rsid w:val="0057413D"/>
    <w:rsid w:val="00577F1F"/>
    <w:rsid w:val="00583523"/>
    <w:rsid w:val="00583E3D"/>
    <w:rsid w:val="00585718"/>
    <w:rsid w:val="0058712B"/>
    <w:rsid w:val="005955CB"/>
    <w:rsid w:val="00596311"/>
    <w:rsid w:val="005976D9"/>
    <w:rsid w:val="005A0312"/>
    <w:rsid w:val="005A23D5"/>
    <w:rsid w:val="005A3CC5"/>
    <w:rsid w:val="005A6276"/>
    <w:rsid w:val="005A7208"/>
    <w:rsid w:val="005A7466"/>
    <w:rsid w:val="005B3B4C"/>
    <w:rsid w:val="005B68FF"/>
    <w:rsid w:val="005B6FA7"/>
    <w:rsid w:val="005C0ED3"/>
    <w:rsid w:val="005C47E0"/>
    <w:rsid w:val="005C512B"/>
    <w:rsid w:val="005C5BD8"/>
    <w:rsid w:val="005C6DDB"/>
    <w:rsid w:val="005D34A0"/>
    <w:rsid w:val="005E024C"/>
    <w:rsid w:val="005E085C"/>
    <w:rsid w:val="005E41B2"/>
    <w:rsid w:val="005E4E5C"/>
    <w:rsid w:val="005E5A54"/>
    <w:rsid w:val="005E6284"/>
    <w:rsid w:val="005F316D"/>
    <w:rsid w:val="00605E4A"/>
    <w:rsid w:val="00607B6C"/>
    <w:rsid w:val="00607D38"/>
    <w:rsid w:val="00607FAC"/>
    <w:rsid w:val="00613180"/>
    <w:rsid w:val="006243BC"/>
    <w:rsid w:val="00624B4F"/>
    <w:rsid w:val="00625287"/>
    <w:rsid w:val="006273E2"/>
    <w:rsid w:val="0063622E"/>
    <w:rsid w:val="00637711"/>
    <w:rsid w:val="00640784"/>
    <w:rsid w:val="0064115D"/>
    <w:rsid w:val="00642B6A"/>
    <w:rsid w:val="00643925"/>
    <w:rsid w:val="00645D6D"/>
    <w:rsid w:val="00653547"/>
    <w:rsid w:val="00661BB5"/>
    <w:rsid w:val="0066471D"/>
    <w:rsid w:val="00665272"/>
    <w:rsid w:val="00666D87"/>
    <w:rsid w:val="00666FBF"/>
    <w:rsid w:val="00667CD6"/>
    <w:rsid w:val="00672710"/>
    <w:rsid w:val="006734D8"/>
    <w:rsid w:val="00675606"/>
    <w:rsid w:val="0067629B"/>
    <w:rsid w:val="006824F8"/>
    <w:rsid w:val="0068555E"/>
    <w:rsid w:val="006913E4"/>
    <w:rsid w:val="00694CEE"/>
    <w:rsid w:val="006961A9"/>
    <w:rsid w:val="00697065"/>
    <w:rsid w:val="006A7695"/>
    <w:rsid w:val="006B2A40"/>
    <w:rsid w:val="006B5336"/>
    <w:rsid w:val="006C0817"/>
    <w:rsid w:val="006C24C9"/>
    <w:rsid w:val="006C5058"/>
    <w:rsid w:val="006D30E7"/>
    <w:rsid w:val="006D356D"/>
    <w:rsid w:val="006D5C30"/>
    <w:rsid w:val="006E787F"/>
    <w:rsid w:val="006F00A1"/>
    <w:rsid w:val="006F1AA9"/>
    <w:rsid w:val="006F3C78"/>
    <w:rsid w:val="006F7FBB"/>
    <w:rsid w:val="00700481"/>
    <w:rsid w:val="00701892"/>
    <w:rsid w:val="007026D3"/>
    <w:rsid w:val="007029A9"/>
    <w:rsid w:val="007044AD"/>
    <w:rsid w:val="00704FFF"/>
    <w:rsid w:val="00712FA4"/>
    <w:rsid w:val="00715F21"/>
    <w:rsid w:val="00717815"/>
    <w:rsid w:val="0071792D"/>
    <w:rsid w:val="00717A14"/>
    <w:rsid w:val="0072353B"/>
    <w:rsid w:val="007310E0"/>
    <w:rsid w:val="0074122B"/>
    <w:rsid w:val="007436EC"/>
    <w:rsid w:val="00744397"/>
    <w:rsid w:val="00745FCE"/>
    <w:rsid w:val="0074653A"/>
    <w:rsid w:val="00747BF5"/>
    <w:rsid w:val="00751B4D"/>
    <w:rsid w:val="00752AE8"/>
    <w:rsid w:val="007553BE"/>
    <w:rsid w:val="00755826"/>
    <w:rsid w:val="00755D76"/>
    <w:rsid w:val="00755F59"/>
    <w:rsid w:val="007573D0"/>
    <w:rsid w:val="00760311"/>
    <w:rsid w:val="00761BD2"/>
    <w:rsid w:val="00761C6E"/>
    <w:rsid w:val="00761ED1"/>
    <w:rsid w:val="0076443A"/>
    <w:rsid w:val="00764441"/>
    <w:rsid w:val="00764FB7"/>
    <w:rsid w:val="007705A1"/>
    <w:rsid w:val="00771D97"/>
    <w:rsid w:val="007724B6"/>
    <w:rsid w:val="00774C1A"/>
    <w:rsid w:val="0078471A"/>
    <w:rsid w:val="007954CC"/>
    <w:rsid w:val="00795F86"/>
    <w:rsid w:val="007A1013"/>
    <w:rsid w:val="007A6B73"/>
    <w:rsid w:val="007B1735"/>
    <w:rsid w:val="007B5DCD"/>
    <w:rsid w:val="007B5F60"/>
    <w:rsid w:val="007B7CE3"/>
    <w:rsid w:val="007C3668"/>
    <w:rsid w:val="007C5B3F"/>
    <w:rsid w:val="007C6C76"/>
    <w:rsid w:val="007C6EA5"/>
    <w:rsid w:val="007C72FB"/>
    <w:rsid w:val="007D22E3"/>
    <w:rsid w:val="007D7026"/>
    <w:rsid w:val="007D7AAD"/>
    <w:rsid w:val="007E10D4"/>
    <w:rsid w:val="007E131B"/>
    <w:rsid w:val="007E1D1B"/>
    <w:rsid w:val="007F27F5"/>
    <w:rsid w:val="007F3179"/>
    <w:rsid w:val="007F44AC"/>
    <w:rsid w:val="007F622B"/>
    <w:rsid w:val="007F75EF"/>
    <w:rsid w:val="00813386"/>
    <w:rsid w:val="00824067"/>
    <w:rsid w:val="00826F27"/>
    <w:rsid w:val="00833DC9"/>
    <w:rsid w:val="00834BFB"/>
    <w:rsid w:val="00836741"/>
    <w:rsid w:val="008435FA"/>
    <w:rsid w:val="00843603"/>
    <w:rsid w:val="00845E55"/>
    <w:rsid w:val="00852843"/>
    <w:rsid w:val="008625E2"/>
    <w:rsid w:val="008646FB"/>
    <w:rsid w:val="00866602"/>
    <w:rsid w:val="00866B8A"/>
    <w:rsid w:val="0086730E"/>
    <w:rsid w:val="00867A9C"/>
    <w:rsid w:val="00870D2C"/>
    <w:rsid w:val="008762B5"/>
    <w:rsid w:val="00882745"/>
    <w:rsid w:val="00886064"/>
    <w:rsid w:val="00891364"/>
    <w:rsid w:val="00893396"/>
    <w:rsid w:val="00897889"/>
    <w:rsid w:val="00897C9F"/>
    <w:rsid w:val="008A33C6"/>
    <w:rsid w:val="008A671E"/>
    <w:rsid w:val="008B0A78"/>
    <w:rsid w:val="008B0F30"/>
    <w:rsid w:val="008B2439"/>
    <w:rsid w:val="008B6820"/>
    <w:rsid w:val="008C0859"/>
    <w:rsid w:val="008C5206"/>
    <w:rsid w:val="008C57D8"/>
    <w:rsid w:val="008C792B"/>
    <w:rsid w:val="008C7962"/>
    <w:rsid w:val="008D135F"/>
    <w:rsid w:val="008E2C1F"/>
    <w:rsid w:val="008E4EB3"/>
    <w:rsid w:val="008E672D"/>
    <w:rsid w:val="008F2F98"/>
    <w:rsid w:val="008F41C5"/>
    <w:rsid w:val="008F4D9C"/>
    <w:rsid w:val="008F6D4A"/>
    <w:rsid w:val="0090036A"/>
    <w:rsid w:val="00902356"/>
    <w:rsid w:val="00904822"/>
    <w:rsid w:val="0090564F"/>
    <w:rsid w:val="00905A26"/>
    <w:rsid w:val="00910ADC"/>
    <w:rsid w:val="009138D7"/>
    <w:rsid w:val="00915FC6"/>
    <w:rsid w:val="00927274"/>
    <w:rsid w:val="009309EC"/>
    <w:rsid w:val="00933C63"/>
    <w:rsid w:val="009352E0"/>
    <w:rsid w:val="00936D02"/>
    <w:rsid w:val="009402E6"/>
    <w:rsid w:val="00940AFA"/>
    <w:rsid w:val="009413AE"/>
    <w:rsid w:val="009441F4"/>
    <w:rsid w:val="00951AAD"/>
    <w:rsid w:val="00953569"/>
    <w:rsid w:val="00955135"/>
    <w:rsid w:val="009569EC"/>
    <w:rsid w:val="00960424"/>
    <w:rsid w:val="0096246C"/>
    <w:rsid w:val="00963975"/>
    <w:rsid w:val="009644AD"/>
    <w:rsid w:val="0096475D"/>
    <w:rsid w:val="0096566E"/>
    <w:rsid w:val="0096587A"/>
    <w:rsid w:val="009711D6"/>
    <w:rsid w:val="009729E7"/>
    <w:rsid w:val="00975117"/>
    <w:rsid w:val="009806AE"/>
    <w:rsid w:val="00981C2F"/>
    <w:rsid w:val="009837C6"/>
    <w:rsid w:val="00984026"/>
    <w:rsid w:val="0099223E"/>
    <w:rsid w:val="009925F8"/>
    <w:rsid w:val="00995790"/>
    <w:rsid w:val="0099649F"/>
    <w:rsid w:val="0099690D"/>
    <w:rsid w:val="009A0E74"/>
    <w:rsid w:val="009A5C1A"/>
    <w:rsid w:val="009B0194"/>
    <w:rsid w:val="009B10DF"/>
    <w:rsid w:val="009B1E93"/>
    <w:rsid w:val="009B2A54"/>
    <w:rsid w:val="009B2F52"/>
    <w:rsid w:val="009C6C6C"/>
    <w:rsid w:val="009C6DB4"/>
    <w:rsid w:val="009D00FB"/>
    <w:rsid w:val="009D0B20"/>
    <w:rsid w:val="009D33F6"/>
    <w:rsid w:val="009D3F20"/>
    <w:rsid w:val="009D5972"/>
    <w:rsid w:val="009D5F7C"/>
    <w:rsid w:val="009E0831"/>
    <w:rsid w:val="009E356F"/>
    <w:rsid w:val="009E5AF5"/>
    <w:rsid w:val="009F114B"/>
    <w:rsid w:val="009F487D"/>
    <w:rsid w:val="00A014A3"/>
    <w:rsid w:val="00A027D4"/>
    <w:rsid w:val="00A02B24"/>
    <w:rsid w:val="00A02F67"/>
    <w:rsid w:val="00A111A2"/>
    <w:rsid w:val="00A13E98"/>
    <w:rsid w:val="00A143DC"/>
    <w:rsid w:val="00A151D0"/>
    <w:rsid w:val="00A22690"/>
    <w:rsid w:val="00A22993"/>
    <w:rsid w:val="00A22D0E"/>
    <w:rsid w:val="00A24057"/>
    <w:rsid w:val="00A24C92"/>
    <w:rsid w:val="00A24CC8"/>
    <w:rsid w:val="00A257A2"/>
    <w:rsid w:val="00A257E3"/>
    <w:rsid w:val="00A261BC"/>
    <w:rsid w:val="00A26927"/>
    <w:rsid w:val="00A34FBC"/>
    <w:rsid w:val="00A40534"/>
    <w:rsid w:val="00A40B87"/>
    <w:rsid w:val="00A44B75"/>
    <w:rsid w:val="00A517F6"/>
    <w:rsid w:val="00A52160"/>
    <w:rsid w:val="00A54471"/>
    <w:rsid w:val="00A56908"/>
    <w:rsid w:val="00A708B1"/>
    <w:rsid w:val="00A72429"/>
    <w:rsid w:val="00A74EAE"/>
    <w:rsid w:val="00A75F83"/>
    <w:rsid w:val="00A805F9"/>
    <w:rsid w:val="00A80B52"/>
    <w:rsid w:val="00A8372C"/>
    <w:rsid w:val="00A83F6C"/>
    <w:rsid w:val="00A86C3D"/>
    <w:rsid w:val="00A915D8"/>
    <w:rsid w:val="00AA013C"/>
    <w:rsid w:val="00AA043A"/>
    <w:rsid w:val="00AA3183"/>
    <w:rsid w:val="00AA4FED"/>
    <w:rsid w:val="00AB00BD"/>
    <w:rsid w:val="00AB576F"/>
    <w:rsid w:val="00AC068C"/>
    <w:rsid w:val="00AC2529"/>
    <w:rsid w:val="00AC321B"/>
    <w:rsid w:val="00AC3933"/>
    <w:rsid w:val="00AC59BE"/>
    <w:rsid w:val="00AD0896"/>
    <w:rsid w:val="00AD0B9F"/>
    <w:rsid w:val="00AD1E74"/>
    <w:rsid w:val="00AD5FD4"/>
    <w:rsid w:val="00AD6D2F"/>
    <w:rsid w:val="00AE74C0"/>
    <w:rsid w:val="00AF2C79"/>
    <w:rsid w:val="00AF2FB4"/>
    <w:rsid w:val="00AF47B8"/>
    <w:rsid w:val="00B0016B"/>
    <w:rsid w:val="00B013A2"/>
    <w:rsid w:val="00B0340E"/>
    <w:rsid w:val="00B03532"/>
    <w:rsid w:val="00B0498C"/>
    <w:rsid w:val="00B05EE5"/>
    <w:rsid w:val="00B1090B"/>
    <w:rsid w:val="00B10E93"/>
    <w:rsid w:val="00B14125"/>
    <w:rsid w:val="00B1597F"/>
    <w:rsid w:val="00B260DE"/>
    <w:rsid w:val="00B265B6"/>
    <w:rsid w:val="00B31A84"/>
    <w:rsid w:val="00B328FB"/>
    <w:rsid w:val="00B33652"/>
    <w:rsid w:val="00B345EA"/>
    <w:rsid w:val="00B3548E"/>
    <w:rsid w:val="00B36730"/>
    <w:rsid w:val="00B40E6D"/>
    <w:rsid w:val="00B46731"/>
    <w:rsid w:val="00B506B5"/>
    <w:rsid w:val="00B522EF"/>
    <w:rsid w:val="00B61B54"/>
    <w:rsid w:val="00B6518E"/>
    <w:rsid w:val="00B6776C"/>
    <w:rsid w:val="00B74CE1"/>
    <w:rsid w:val="00B8366B"/>
    <w:rsid w:val="00B85194"/>
    <w:rsid w:val="00B86819"/>
    <w:rsid w:val="00B91613"/>
    <w:rsid w:val="00B91704"/>
    <w:rsid w:val="00B921B8"/>
    <w:rsid w:val="00B925C2"/>
    <w:rsid w:val="00B92D66"/>
    <w:rsid w:val="00BA0A82"/>
    <w:rsid w:val="00BA10C3"/>
    <w:rsid w:val="00BA6BDD"/>
    <w:rsid w:val="00BA7712"/>
    <w:rsid w:val="00BB57CB"/>
    <w:rsid w:val="00BC4197"/>
    <w:rsid w:val="00BD4C52"/>
    <w:rsid w:val="00BE3923"/>
    <w:rsid w:val="00BE6AC8"/>
    <w:rsid w:val="00BE76BF"/>
    <w:rsid w:val="00BF2C42"/>
    <w:rsid w:val="00BF3442"/>
    <w:rsid w:val="00BF5813"/>
    <w:rsid w:val="00C005C9"/>
    <w:rsid w:val="00C00862"/>
    <w:rsid w:val="00C016DB"/>
    <w:rsid w:val="00C02B82"/>
    <w:rsid w:val="00C032F4"/>
    <w:rsid w:val="00C03FBF"/>
    <w:rsid w:val="00C05F4E"/>
    <w:rsid w:val="00C07C7D"/>
    <w:rsid w:val="00C13D51"/>
    <w:rsid w:val="00C16D35"/>
    <w:rsid w:val="00C173E1"/>
    <w:rsid w:val="00C2000F"/>
    <w:rsid w:val="00C20143"/>
    <w:rsid w:val="00C227BE"/>
    <w:rsid w:val="00C2313F"/>
    <w:rsid w:val="00C23268"/>
    <w:rsid w:val="00C23A3C"/>
    <w:rsid w:val="00C45BDA"/>
    <w:rsid w:val="00C5286A"/>
    <w:rsid w:val="00C52BF7"/>
    <w:rsid w:val="00C63941"/>
    <w:rsid w:val="00C653E9"/>
    <w:rsid w:val="00C73014"/>
    <w:rsid w:val="00C73DCF"/>
    <w:rsid w:val="00C82249"/>
    <w:rsid w:val="00C82B69"/>
    <w:rsid w:val="00C83EDF"/>
    <w:rsid w:val="00C86C80"/>
    <w:rsid w:val="00C90C42"/>
    <w:rsid w:val="00C91CB5"/>
    <w:rsid w:val="00C92487"/>
    <w:rsid w:val="00C9497A"/>
    <w:rsid w:val="00CA015D"/>
    <w:rsid w:val="00CA03C5"/>
    <w:rsid w:val="00CA0A08"/>
    <w:rsid w:val="00CB1CDA"/>
    <w:rsid w:val="00CB2417"/>
    <w:rsid w:val="00CB4D10"/>
    <w:rsid w:val="00CB5600"/>
    <w:rsid w:val="00CC000E"/>
    <w:rsid w:val="00CC7039"/>
    <w:rsid w:val="00CC74A6"/>
    <w:rsid w:val="00CD19D9"/>
    <w:rsid w:val="00CE23CF"/>
    <w:rsid w:val="00CE32A1"/>
    <w:rsid w:val="00CE561C"/>
    <w:rsid w:val="00CE7886"/>
    <w:rsid w:val="00CE795B"/>
    <w:rsid w:val="00CF1C34"/>
    <w:rsid w:val="00CF4155"/>
    <w:rsid w:val="00CF6853"/>
    <w:rsid w:val="00D0347F"/>
    <w:rsid w:val="00D04296"/>
    <w:rsid w:val="00D04832"/>
    <w:rsid w:val="00D053CE"/>
    <w:rsid w:val="00D10E42"/>
    <w:rsid w:val="00D10E69"/>
    <w:rsid w:val="00D12FEB"/>
    <w:rsid w:val="00D212A7"/>
    <w:rsid w:val="00D24C4C"/>
    <w:rsid w:val="00D25BD2"/>
    <w:rsid w:val="00D27AE8"/>
    <w:rsid w:val="00D309DE"/>
    <w:rsid w:val="00D314CB"/>
    <w:rsid w:val="00D31AC5"/>
    <w:rsid w:val="00D37F72"/>
    <w:rsid w:val="00D4262C"/>
    <w:rsid w:val="00D46559"/>
    <w:rsid w:val="00D5188B"/>
    <w:rsid w:val="00D5232E"/>
    <w:rsid w:val="00D52F91"/>
    <w:rsid w:val="00D54326"/>
    <w:rsid w:val="00D607FA"/>
    <w:rsid w:val="00D62B29"/>
    <w:rsid w:val="00D6493F"/>
    <w:rsid w:val="00D660CC"/>
    <w:rsid w:val="00D71F31"/>
    <w:rsid w:val="00D77266"/>
    <w:rsid w:val="00D77C63"/>
    <w:rsid w:val="00D82D1D"/>
    <w:rsid w:val="00D8759E"/>
    <w:rsid w:val="00D90AF8"/>
    <w:rsid w:val="00D91D60"/>
    <w:rsid w:val="00D945B5"/>
    <w:rsid w:val="00D951B8"/>
    <w:rsid w:val="00DA11F2"/>
    <w:rsid w:val="00DA3D66"/>
    <w:rsid w:val="00DA5113"/>
    <w:rsid w:val="00DA74B6"/>
    <w:rsid w:val="00DB00E1"/>
    <w:rsid w:val="00DB1AD1"/>
    <w:rsid w:val="00DB50BC"/>
    <w:rsid w:val="00DB54B3"/>
    <w:rsid w:val="00DB68D3"/>
    <w:rsid w:val="00DB7297"/>
    <w:rsid w:val="00DC0F54"/>
    <w:rsid w:val="00DC141A"/>
    <w:rsid w:val="00DC1E11"/>
    <w:rsid w:val="00DC77C0"/>
    <w:rsid w:val="00DD3152"/>
    <w:rsid w:val="00DD36CC"/>
    <w:rsid w:val="00DD3B04"/>
    <w:rsid w:val="00DD457D"/>
    <w:rsid w:val="00DD51EE"/>
    <w:rsid w:val="00DE274D"/>
    <w:rsid w:val="00DF569F"/>
    <w:rsid w:val="00DF57FE"/>
    <w:rsid w:val="00DF645E"/>
    <w:rsid w:val="00DF6F26"/>
    <w:rsid w:val="00E010A4"/>
    <w:rsid w:val="00E017AE"/>
    <w:rsid w:val="00E05261"/>
    <w:rsid w:val="00E0533A"/>
    <w:rsid w:val="00E102D1"/>
    <w:rsid w:val="00E10778"/>
    <w:rsid w:val="00E12FD5"/>
    <w:rsid w:val="00E14F35"/>
    <w:rsid w:val="00E159C5"/>
    <w:rsid w:val="00E15E4F"/>
    <w:rsid w:val="00E2149D"/>
    <w:rsid w:val="00E26589"/>
    <w:rsid w:val="00E268C0"/>
    <w:rsid w:val="00E317E0"/>
    <w:rsid w:val="00E321FA"/>
    <w:rsid w:val="00E33546"/>
    <w:rsid w:val="00E35A99"/>
    <w:rsid w:val="00E40CFF"/>
    <w:rsid w:val="00E417E9"/>
    <w:rsid w:val="00E42A80"/>
    <w:rsid w:val="00E446C6"/>
    <w:rsid w:val="00E44D3C"/>
    <w:rsid w:val="00E464BD"/>
    <w:rsid w:val="00E52124"/>
    <w:rsid w:val="00E522A6"/>
    <w:rsid w:val="00E54279"/>
    <w:rsid w:val="00E57884"/>
    <w:rsid w:val="00E60DAE"/>
    <w:rsid w:val="00E61DB0"/>
    <w:rsid w:val="00E621A0"/>
    <w:rsid w:val="00E6792F"/>
    <w:rsid w:val="00E73A61"/>
    <w:rsid w:val="00E76CA4"/>
    <w:rsid w:val="00E80A59"/>
    <w:rsid w:val="00E81E1F"/>
    <w:rsid w:val="00E87F36"/>
    <w:rsid w:val="00E87F90"/>
    <w:rsid w:val="00E91BE4"/>
    <w:rsid w:val="00E92879"/>
    <w:rsid w:val="00E97159"/>
    <w:rsid w:val="00EA2583"/>
    <w:rsid w:val="00EA750F"/>
    <w:rsid w:val="00EB0FA7"/>
    <w:rsid w:val="00EB1799"/>
    <w:rsid w:val="00EB6F2C"/>
    <w:rsid w:val="00EC127C"/>
    <w:rsid w:val="00EC238C"/>
    <w:rsid w:val="00EC3569"/>
    <w:rsid w:val="00EC507E"/>
    <w:rsid w:val="00EC5466"/>
    <w:rsid w:val="00ED0CA7"/>
    <w:rsid w:val="00ED1072"/>
    <w:rsid w:val="00ED251F"/>
    <w:rsid w:val="00EE1CBB"/>
    <w:rsid w:val="00EE2190"/>
    <w:rsid w:val="00EE56BC"/>
    <w:rsid w:val="00EE720E"/>
    <w:rsid w:val="00EF025D"/>
    <w:rsid w:val="00EF35A4"/>
    <w:rsid w:val="00EF42EB"/>
    <w:rsid w:val="00F02CC0"/>
    <w:rsid w:val="00F03B6B"/>
    <w:rsid w:val="00F05603"/>
    <w:rsid w:val="00F068C1"/>
    <w:rsid w:val="00F14334"/>
    <w:rsid w:val="00F21958"/>
    <w:rsid w:val="00F22FCB"/>
    <w:rsid w:val="00F232CA"/>
    <w:rsid w:val="00F31CDA"/>
    <w:rsid w:val="00F3300D"/>
    <w:rsid w:val="00F336E8"/>
    <w:rsid w:val="00F378A6"/>
    <w:rsid w:val="00F4394D"/>
    <w:rsid w:val="00F4707F"/>
    <w:rsid w:val="00F53973"/>
    <w:rsid w:val="00F568E5"/>
    <w:rsid w:val="00F6029E"/>
    <w:rsid w:val="00F64348"/>
    <w:rsid w:val="00F65431"/>
    <w:rsid w:val="00F6621F"/>
    <w:rsid w:val="00F66C64"/>
    <w:rsid w:val="00F714A7"/>
    <w:rsid w:val="00F80B16"/>
    <w:rsid w:val="00F825B7"/>
    <w:rsid w:val="00F860C4"/>
    <w:rsid w:val="00F9295E"/>
    <w:rsid w:val="00F95470"/>
    <w:rsid w:val="00FA0062"/>
    <w:rsid w:val="00FA03F2"/>
    <w:rsid w:val="00FA166E"/>
    <w:rsid w:val="00FA28E9"/>
    <w:rsid w:val="00FA7B73"/>
    <w:rsid w:val="00FB0145"/>
    <w:rsid w:val="00FB6F7B"/>
    <w:rsid w:val="00FC2B11"/>
    <w:rsid w:val="00FC54D4"/>
    <w:rsid w:val="00FD6D7D"/>
    <w:rsid w:val="00FD6FA0"/>
    <w:rsid w:val="00FE1133"/>
    <w:rsid w:val="00FE503D"/>
    <w:rsid w:val="00FE508E"/>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42292"/>
  <w15:docId w15:val="{285955EB-8ED5-4391-825C-761068E8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2B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B4F"/>
    <w:rPr>
      <w:color w:val="0000FF"/>
      <w:u w:val="single"/>
    </w:rPr>
  </w:style>
  <w:style w:type="character" w:styleId="FollowedHyperlink">
    <w:name w:val="FollowedHyperlink"/>
    <w:basedOn w:val="DefaultParagraphFont"/>
    <w:uiPriority w:val="99"/>
    <w:semiHidden/>
    <w:unhideWhenUsed/>
    <w:rsid w:val="00D660CC"/>
    <w:rPr>
      <w:color w:val="800080" w:themeColor="followedHyperlink"/>
      <w:u w:val="single"/>
    </w:rPr>
  </w:style>
  <w:style w:type="paragraph" w:styleId="NormalWeb">
    <w:name w:val="Normal (Web)"/>
    <w:basedOn w:val="Normal"/>
    <w:uiPriority w:val="99"/>
    <w:semiHidden/>
    <w:unhideWhenUsed/>
    <w:rsid w:val="00DE274D"/>
    <w:rPr>
      <w:rFonts w:cs="Times New Roman"/>
      <w:szCs w:val="24"/>
    </w:rPr>
  </w:style>
  <w:style w:type="paragraph" w:styleId="Revision">
    <w:name w:val="Revision"/>
    <w:hidden/>
    <w:uiPriority w:val="99"/>
    <w:semiHidden/>
    <w:rsid w:val="00E44D3C"/>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13AB1"/>
    <w:rPr>
      <w:sz w:val="20"/>
      <w:szCs w:val="20"/>
    </w:rPr>
  </w:style>
  <w:style w:type="character" w:customStyle="1" w:styleId="EndnoteTextChar">
    <w:name w:val="Endnote Text Char"/>
    <w:basedOn w:val="DefaultParagraphFont"/>
    <w:link w:val="EndnoteText"/>
    <w:uiPriority w:val="99"/>
    <w:semiHidden/>
    <w:rsid w:val="00013AB1"/>
    <w:rPr>
      <w:rFonts w:ascii="Times New Roman" w:hAnsi="Times New Roman"/>
      <w:sz w:val="20"/>
      <w:szCs w:val="20"/>
    </w:rPr>
  </w:style>
  <w:style w:type="character" w:styleId="EndnoteReference">
    <w:name w:val="endnote reference"/>
    <w:basedOn w:val="DefaultParagraphFont"/>
    <w:uiPriority w:val="99"/>
    <w:semiHidden/>
    <w:unhideWhenUsed/>
    <w:rsid w:val="00013AB1"/>
    <w:rPr>
      <w:vertAlign w:val="superscript"/>
    </w:rPr>
  </w:style>
  <w:style w:type="paragraph" w:customStyle="1" w:styleId="Body">
    <w:name w:val="Body"/>
    <w:rsid w:val="00AF2FB4"/>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val="da-D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632">
      <w:bodyDiv w:val="1"/>
      <w:marLeft w:val="0"/>
      <w:marRight w:val="0"/>
      <w:marTop w:val="0"/>
      <w:marBottom w:val="0"/>
      <w:divBdr>
        <w:top w:val="none" w:sz="0" w:space="0" w:color="auto"/>
        <w:left w:val="none" w:sz="0" w:space="0" w:color="auto"/>
        <w:bottom w:val="none" w:sz="0" w:space="0" w:color="auto"/>
        <w:right w:val="none" w:sz="0" w:space="0" w:color="auto"/>
      </w:divBdr>
    </w:div>
    <w:div w:id="129059721">
      <w:bodyDiv w:val="1"/>
      <w:marLeft w:val="0"/>
      <w:marRight w:val="0"/>
      <w:marTop w:val="0"/>
      <w:marBottom w:val="0"/>
      <w:divBdr>
        <w:top w:val="none" w:sz="0" w:space="0" w:color="auto"/>
        <w:left w:val="none" w:sz="0" w:space="0" w:color="auto"/>
        <w:bottom w:val="none" w:sz="0" w:space="0" w:color="auto"/>
        <w:right w:val="none" w:sz="0" w:space="0" w:color="auto"/>
      </w:divBdr>
    </w:div>
    <w:div w:id="377320454">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11412791">
      <w:bodyDiv w:val="1"/>
      <w:marLeft w:val="0"/>
      <w:marRight w:val="0"/>
      <w:marTop w:val="0"/>
      <w:marBottom w:val="0"/>
      <w:divBdr>
        <w:top w:val="none" w:sz="0" w:space="0" w:color="auto"/>
        <w:left w:val="none" w:sz="0" w:space="0" w:color="auto"/>
        <w:bottom w:val="none" w:sz="0" w:space="0" w:color="auto"/>
        <w:right w:val="none" w:sz="0" w:space="0" w:color="auto"/>
      </w:divBdr>
    </w:div>
    <w:div w:id="826440288">
      <w:bodyDiv w:val="1"/>
      <w:marLeft w:val="0"/>
      <w:marRight w:val="0"/>
      <w:marTop w:val="0"/>
      <w:marBottom w:val="0"/>
      <w:divBdr>
        <w:top w:val="none" w:sz="0" w:space="0" w:color="auto"/>
        <w:left w:val="none" w:sz="0" w:space="0" w:color="auto"/>
        <w:bottom w:val="none" w:sz="0" w:space="0" w:color="auto"/>
        <w:right w:val="none" w:sz="0" w:space="0" w:color="auto"/>
      </w:divBdr>
    </w:div>
    <w:div w:id="927230367">
      <w:bodyDiv w:val="1"/>
      <w:marLeft w:val="0"/>
      <w:marRight w:val="0"/>
      <w:marTop w:val="0"/>
      <w:marBottom w:val="0"/>
      <w:divBdr>
        <w:top w:val="none" w:sz="0" w:space="0" w:color="auto"/>
        <w:left w:val="none" w:sz="0" w:space="0" w:color="auto"/>
        <w:bottom w:val="none" w:sz="0" w:space="0" w:color="auto"/>
        <w:right w:val="none" w:sz="0" w:space="0" w:color="auto"/>
      </w:divBdr>
    </w:div>
    <w:div w:id="957377262">
      <w:bodyDiv w:val="1"/>
      <w:marLeft w:val="0"/>
      <w:marRight w:val="0"/>
      <w:marTop w:val="0"/>
      <w:marBottom w:val="0"/>
      <w:divBdr>
        <w:top w:val="none" w:sz="0" w:space="0" w:color="auto"/>
        <w:left w:val="none" w:sz="0" w:space="0" w:color="auto"/>
        <w:bottom w:val="none" w:sz="0" w:space="0" w:color="auto"/>
        <w:right w:val="none" w:sz="0" w:space="0" w:color="auto"/>
      </w:divBdr>
    </w:div>
    <w:div w:id="1251232927">
      <w:bodyDiv w:val="1"/>
      <w:marLeft w:val="0"/>
      <w:marRight w:val="0"/>
      <w:marTop w:val="0"/>
      <w:marBottom w:val="0"/>
      <w:divBdr>
        <w:top w:val="none" w:sz="0" w:space="0" w:color="auto"/>
        <w:left w:val="none" w:sz="0" w:space="0" w:color="auto"/>
        <w:bottom w:val="none" w:sz="0" w:space="0" w:color="auto"/>
        <w:right w:val="none" w:sz="0" w:space="0" w:color="auto"/>
      </w:divBdr>
    </w:div>
    <w:div w:id="13011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ente/AppData/Local/Microsoft/Windows/INetCache/Content.MSO/8EA6C3.tm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3.xml><?xml version="1.0" encoding="utf-8"?>
<ds:datastoreItem xmlns:ds="http://schemas.openxmlformats.org/officeDocument/2006/customXml" ds:itemID="{B411333A-8FC3-41EA-9B34-749D8587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F968FF-60CB-4271-B3CB-E3EF9C92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5714</Words>
  <Characters>32570</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Scott, Gail B.</cp:lastModifiedBy>
  <cp:revision>2</cp:revision>
  <cp:lastPrinted>2020-03-06T20:53:00Z</cp:lastPrinted>
  <dcterms:created xsi:type="dcterms:W3CDTF">2021-03-08T22:21:00Z</dcterms:created>
  <dcterms:modified xsi:type="dcterms:W3CDTF">2021-03-08T22:21:00Z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