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86EF9" w:rsidR="000576E9" w:rsidP="00E178E3" w:rsidRDefault="00B720DF" w14:paraId="7596B043" w14:textId="77777777">
      <w:r>
        <w:pict w14:anchorId="4ADBFE8C">
          <v:rect id="_x0000_i1025" style="width:730.5pt;height:1.5pt" o:hr="t" o:hrstd="t" o:hralign="center" fillcolor="gray" stroked="f"/>
        </w:pict>
      </w:r>
    </w:p>
    <w:p w:rsidRPr="00086EF9" w:rsidR="000576E9" w:rsidP="000576E9" w:rsidRDefault="000576E9" w14:paraId="30F4E184" w14:textId="77777777">
      <w:pPr>
        <w:jc w:val="center"/>
        <w:rPr>
          <w:rFonts w:ascii="Arial Narrow" w:hAnsi="Arial Narrow"/>
        </w:rPr>
      </w:pPr>
      <w:r w:rsidRPr="00086EF9">
        <w:rPr>
          <w:b/>
          <w:bCs/>
        </w:rPr>
        <w:t>SUPPORTING STATEMENT FOR PAPERWORK REDUCTION ACT SUBMISSIONS</w:t>
      </w:r>
    </w:p>
    <w:p w:rsidRPr="00086EF9" w:rsidR="000576E9" w:rsidP="000576E9" w:rsidRDefault="000576E9" w14:paraId="3D7C6370" w14:textId="77777777">
      <w:pPr>
        <w:jc w:val="center"/>
        <w:rPr>
          <w:rFonts w:ascii="Arial Narrow" w:hAnsi="Arial Narrow"/>
        </w:rPr>
      </w:pPr>
      <w:r w:rsidRPr="00086EF9">
        <w:rPr>
          <w:b/>
          <w:bCs/>
        </w:rPr>
        <w:t> </w:t>
      </w:r>
    </w:p>
    <w:p w:rsidRPr="00086EF9" w:rsidR="00945DCB" w:rsidP="000513D6" w:rsidRDefault="00945DCB" w14:paraId="67FF9B66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086EF9" w:rsidR="000576E9" w:rsidP="00945DCB" w:rsidRDefault="000513D6" w14:paraId="53F97E7B" w14:textId="77777777">
      <w:pPr>
        <w:keepNext/>
        <w:outlineLvl w:val="0"/>
        <w:rPr>
          <w:b/>
          <w:bCs/>
          <w:kern w:val="36"/>
        </w:rPr>
      </w:pPr>
      <w:r w:rsidRPr="00086EF9">
        <w:rPr>
          <w:b/>
          <w:bCs/>
          <w:kern w:val="36"/>
        </w:rPr>
        <w:t>A</w:t>
      </w:r>
      <w:r w:rsidR="00397C66">
        <w:rPr>
          <w:b/>
          <w:bCs/>
          <w:kern w:val="36"/>
        </w:rPr>
        <w:t xml:space="preserve">. </w:t>
      </w:r>
      <w:r w:rsidRPr="00086EF9" w:rsidR="000576E9">
        <w:rPr>
          <w:b/>
          <w:bCs/>
          <w:kern w:val="36"/>
        </w:rPr>
        <w:t>Justification</w:t>
      </w:r>
    </w:p>
    <w:p w:rsidRPr="00086EF9" w:rsidR="000513D6" w:rsidP="000513D6" w:rsidRDefault="000513D6" w14:paraId="25761A23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086EF9" w:rsidR="000576E9" w:rsidP="00E178E3" w:rsidRDefault="000576E9" w14:paraId="3ED5884E" w14:textId="77777777">
      <w:pPr>
        <w:keepNext/>
        <w:outlineLvl w:val="0"/>
        <w:rPr>
          <w:b/>
          <w:bCs/>
          <w:kern w:val="36"/>
        </w:rPr>
      </w:pPr>
      <w:r w:rsidRPr="00086EF9">
        <w:rPr>
          <w:b/>
          <w:bCs/>
          <w:kern w:val="36"/>
        </w:rPr>
        <w:t>A1</w:t>
      </w:r>
      <w:r w:rsidR="00397C66">
        <w:rPr>
          <w:b/>
          <w:bCs/>
          <w:kern w:val="36"/>
        </w:rPr>
        <w:t xml:space="preserve">. </w:t>
      </w:r>
      <w:r w:rsidRPr="00086EF9">
        <w:rPr>
          <w:b/>
          <w:bCs/>
          <w:kern w:val="36"/>
        </w:rPr>
        <w:t>Need for Information Collection</w:t>
      </w:r>
    </w:p>
    <w:p w:rsidR="00F22051" w:rsidP="000513D6" w:rsidRDefault="000513D6" w14:paraId="0431DF6B" w14:textId="72AAC771">
      <w:pPr>
        <w:keepNext/>
        <w:outlineLvl w:val="0"/>
        <w:rPr>
          <w:bCs/>
          <w:kern w:val="36"/>
        </w:rPr>
      </w:pPr>
      <w:r w:rsidRPr="00086EF9">
        <w:rPr>
          <w:bCs/>
          <w:kern w:val="36"/>
        </w:rPr>
        <w:t xml:space="preserve">The Corporation for National and Community </w:t>
      </w:r>
      <w:r w:rsidR="00F22051">
        <w:rPr>
          <w:bCs/>
          <w:kern w:val="36"/>
        </w:rPr>
        <w:t>Service, dba AmeriCorps, awards grants</w:t>
      </w:r>
      <w:r w:rsidRPr="00086EF9">
        <w:rPr>
          <w:bCs/>
          <w:kern w:val="36"/>
        </w:rPr>
        <w:t xml:space="preserve"> to states, institutions of higher education, non-profit organizations, Indian tribes, and U.S. Territories to operate AmeriCorps programs</w:t>
      </w:r>
      <w:r w:rsidR="00397C66">
        <w:rPr>
          <w:bCs/>
          <w:kern w:val="36"/>
        </w:rPr>
        <w:t xml:space="preserve">. </w:t>
      </w:r>
      <w:r w:rsidR="00F22051">
        <w:rPr>
          <w:bCs/>
          <w:kern w:val="36"/>
        </w:rPr>
        <w:t xml:space="preserve"> AmeriCorps Seniors engaged American 55 years and older in volunteer service.  Due to the COVID-19 pandemic, many grants have to engage in alternative service than originally defined in their grant application or had to change their service mechanism to volunteer virtually in a safe setting.  </w:t>
      </w:r>
    </w:p>
    <w:p w:rsidRPr="00086EF9" w:rsidR="000513D6" w:rsidP="000576E9" w:rsidRDefault="000513D6" w14:paraId="0C7AC3A6" w14:textId="77777777">
      <w:pPr>
        <w:rPr>
          <w:rFonts w:ascii="Arial Narrow" w:hAnsi="Arial Narrow"/>
        </w:rPr>
      </w:pPr>
    </w:p>
    <w:p w:rsidRPr="00086EF9" w:rsidR="000576E9" w:rsidP="000576E9" w:rsidRDefault="00086EF9" w14:paraId="5CB07A4A" w14:textId="77777777">
      <w:pPr>
        <w:rPr>
          <w:b/>
          <w:bCs/>
        </w:rPr>
      </w:pPr>
      <w:r>
        <w:rPr>
          <w:b/>
          <w:bCs/>
        </w:rPr>
        <w:t>A2</w:t>
      </w:r>
      <w:r w:rsidR="00397C66">
        <w:rPr>
          <w:b/>
          <w:bCs/>
        </w:rPr>
        <w:t xml:space="preserve">. </w:t>
      </w:r>
      <w:r>
        <w:rPr>
          <w:b/>
          <w:bCs/>
        </w:rPr>
        <w:t>Use of Information</w:t>
      </w:r>
    </w:p>
    <w:p w:rsidRPr="00F22051" w:rsidR="00F22051" w:rsidP="00F22051" w:rsidRDefault="000513D6" w14:paraId="152F92D2" w14:textId="5741A97A">
      <w:pPr>
        <w:keepNext/>
        <w:outlineLvl w:val="0"/>
        <w:rPr>
          <w:bCs/>
          <w:kern w:val="36"/>
        </w:rPr>
      </w:pPr>
      <w:r w:rsidRPr="00086EF9">
        <w:rPr>
          <w:bCs/>
        </w:rPr>
        <w:t xml:space="preserve">The information collected constitutes </w:t>
      </w:r>
      <w:r w:rsidRPr="00086EF9" w:rsidR="00B303C0">
        <w:rPr>
          <w:bCs/>
        </w:rPr>
        <w:t>an</w:t>
      </w:r>
      <w:r w:rsidR="00F22051">
        <w:rPr>
          <w:bCs/>
        </w:rPr>
        <w:t xml:space="preserve"> online survey.  </w:t>
      </w:r>
      <w:r w:rsidR="00F22051">
        <w:rPr>
          <w:bCs/>
          <w:kern w:val="36"/>
        </w:rPr>
        <w:t>The information collected will provide AmeriCorps with an understanding of how existing grantees have engaged in service during COVID-19.</w:t>
      </w:r>
    </w:p>
    <w:p w:rsidRPr="00086EF9" w:rsidR="000576E9" w:rsidP="000576E9" w:rsidRDefault="000576E9" w14:paraId="1955AB46" w14:textId="77777777">
      <w:pPr>
        <w:rPr>
          <w:rFonts w:ascii="Arial Narrow" w:hAnsi="Arial Narrow"/>
        </w:rPr>
      </w:pPr>
      <w:r w:rsidRPr="00086EF9">
        <w:t> </w:t>
      </w:r>
    </w:p>
    <w:p w:rsidRPr="00086EF9" w:rsidR="000576E9" w:rsidP="000576E9" w:rsidRDefault="000576E9" w14:paraId="06986B7C" w14:textId="29D1F47F">
      <w:pPr>
        <w:rPr>
          <w:rFonts w:ascii="Arial Narrow" w:hAnsi="Arial Narrow"/>
        </w:rPr>
      </w:pPr>
      <w:r w:rsidRPr="00086EF9">
        <w:rPr>
          <w:b/>
          <w:bCs/>
        </w:rPr>
        <w:t>A3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Minimize Burden: Use of Improved Technology to Reduce Burden</w:t>
      </w:r>
    </w:p>
    <w:p w:rsidRPr="00086EF9" w:rsidR="009A0CC2" w:rsidP="000576E9" w:rsidRDefault="009A0CC2" w14:paraId="2060195D" w14:textId="059F741C">
      <w:r w:rsidRPr="00086EF9">
        <w:t xml:space="preserve">Applicants </w:t>
      </w:r>
      <w:r w:rsidR="00F22051">
        <w:t>utilize an online survey.</w:t>
      </w:r>
    </w:p>
    <w:p w:rsidRPr="00086EF9" w:rsidR="0097051C" w:rsidP="000576E9" w:rsidRDefault="0097051C" w14:paraId="21B9C9CC" w14:textId="77777777"/>
    <w:p w:rsidRPr="00086EF9" w:rsidR="000576E9" w:rsidP="000576E9" w:rsidRDefault="000576E9" w14:paraId="6F7F55BF" w14:textId="77777777">
      <w:pPr>
        <w:rPr>
          <w:b/>
          <w:bCs/>
        </w:rPr>
      </w:pPr>
      <w:r w:rsidRPr="00086EF9">
        <w:rPr>
          <w:b/>
          <w:bCs/>
        </w:rPr>
        <w:t>A4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Non-Duplication</w:t>
      </w:r>
    </w:p>
    <w:p w:rsidRPr="00086EF9" w:rsidR="009A0CC2" w:rsidP="000576E9" w:rsidRDefault="009A0CC2" w14:paraId="03097AE6" w14:textId="289BDCE8">
      <w:pPr>
        <w:rPr>
          <w:rFonts w:ascii="Arial Narrow" w:hAnsi="Arial Narrow"/>
        </w:rPr>
      </w:pPr>
      <w:r w:rsidRPr="00086EF9">
        <w:rPr>
          <w:bCs/>
        </w:rPr>
        <w:t xml:space="preserve">There are no other sources of information by which </w:t>
      </w:r>
      <w:r w:rsidR="00F22051">
        <w:rPr>
          <w:bCs/>
        </w:rPr>
        <w:t>AmeriCorps</w:t>
      </w:r>
      <w:r w:rsidRPr="00086EF9">
        <w:rPr>
          <w:bCs/>
        </w:rPr>
        <w:t xml:space="preserve"> can meet the purposes described in A2 (above)</w:t>
      </w:r>
      <w:r w:rsidRPr="00086EF9" w:rsidR="00086EF9">
        <w:rPr>
          <w:bCs/>
        </w:rPr>
        <w:t>.</w:t>
      </w:r>
      <w:r w:rsidR="00F22051">
        <w:rPr>
          <w:bCs/>
        </w:rPr>
        <w:t xml:space="preserve">  AmeriCorps looked into existing reporting mechanism – grant application, progress reports, etc. – but none were able to provide the information needed.</w:t>
      </w:r>
    </w:p>
    <w:p w:rsidRPr="00086EF9" w:rsidR="000576E9" w:rsidP="000576E9" w:rsidRDefault="000576E9" w14:paraId="1DBC7C6F" w14:textId="77777777">
      <w:pPr>
        <w:rPr>
          <w:rFonts w:ascii="Arial Narrow" w:hAnsi="Arial Narrow"/>
        </w:rPr>
      </w:pPr>
      <w:r w:rsidRPr="00086EF9">
        <w:t> </w:t>
      </w:r>
    </w:p>
    <w:p w:rsidRPr="00086EF9" w:rsidR="000576E9" w:rsidP="000576E9" w:rsidRDefault="00086EF9" w14:paraId="62FE6E9D" w14:textId="77777777">
      <w:pPr>
        <w:rPr>
          <w:b/>
          <w:bCs/>
        </w:rPr>
      </w:pPr>
      <w:r>
        <w:rPr>
          <w:b/>
          <w:bCs/>
        </w:rPr>
        <w:t>A5</w:t>
      </w:r>
      <w:r w:rsidR="00397C66">
        <w:rPr>
          <w:b/>
          <w:bCs/>
        </w:rPr>
        <w:t xml:space="preserve">. </w:t>
      </w:r>
      <w:r>
        <w:rPr>
          <w:b/>
          <w:bCs/>
        </w:rPr>
        <w:t>Minimizing Economic Burden for Small B</w:t>
      </w:r>
      <w:r w:rsidRPr="00086EF9" w:rsidR="000576E9">
        <w:rPr>
          <w:b/>
          <w:bCs/>
        </w:rPr>
        <w:t>us</w:t>
      </w:r>
      <w:r>
        <w:rPr>
          <w:b/>
          <w:bCs/>
        </w:rPr>
        <w:t>inesses or Other Small Entities</w:t>
      </w:r>
    </w:p>
    <w:p w:rsidRPr="00086EF9" w:rsidR="000576E9" w:rsidP="000576E9" w:rsidRDefault="009A0CC2" w14:paraId="55E66808" w14:textId="03962DF6">
      <w:pPr>
        <w:rPr>
          <w:rFonts w:ascii="Arial Narrow" w:hAnsi="Arial Narrow"/>
        </w:rPr>
      </w:pPr>
      <w:r w:rsidRPr="00086EF9">
        <w:t>This collection of information does not impact small businesses because they are not eligible to apply for grants</w:t>
      </w:r>
      <w:r w:rsidR="00397C66">
        <w:t xml:space="preserve">. </w:t>
      </w:r>
      <w:r w:rsidRPr="00086EF9">
        <w:t>There is no economic burden to any other small entities beyond the cost of staff time</w:t>
      </w:r>
      <w:r w:rsidR="005A1D6B">
        <w:t>.</w:t>
      </w:r>
    </w:p>
    <w:p w:rsidRPr="00086EF9" w:rsidR="000576E9" w:rsidP="000576E9" w:rsidRDefault="000576E9" w14:paraId="0331E36F" w14:textId="77777777">
      <w:pPr>
        <w:rPr>
          <w:b/>
          <w:bCs/>
        </w:rPr>
      </w:pPr>
    </w:p>
    <w:p w:rsidRPr="00086EF9" w:rsidR="000576E9" w:rsidP="000576E9" w:rsidRDefault="000576E9" w14:paraId="2BEEDBB6" w14:textId="77777777">
      <w:pPr>
        <w:rPr>
          <w:rFonts w:ascii="Arial Narrow" w:hAnsi="Arial Narrow"/>
        </w:rPr>
      </w:pPr>
      <w:r w:rsidRPr="00086EF9">
        <w:rPr>
          <w:b/>
          <w:bCs/>
        </w:rPr>
        <w:t>A6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Consideration of Collection</w:t>
      </w:r>
    </w:p>
    <w:p w:rsidRPr="00086EF9" w:rsidR="009A0CC2" w:rsidP="000576E9" w:rsidRDefault="00F22051" w14:paraId="056FAC6A" w14:textId="7B11DBC9">
      <w:r>
        <w:t>AmeriCorps will</w:t>
      </w:r>
      <w:r w:rsidRPr="00086EF9" w:rsidR="009A0CC2">
        <w:t xml:space="preserve"> </w:t>
      </w:r>
      <w:r>
        <w:t>use</w:t>
      </w:r>
      <w:r w:rsidRPr="00086EF9" w:rsidR="009A0CC2">
        <w:t xml:space="preserve"> the information collected </w:t>
      </w:r>
      <w:r>
        <w:t xml:space="preserve">as part of the decision making to extend the temporary allowance (allowing certain low-income volunteers over the age of 55 unable to serve due to COVID-19 a monetary amount equivalent to their volunteer stipend).  AmeriCorps will also utilize the information </w:t>
      </w:r>
      <w:r w:rsidR="005A1D6B">
        <w:t>guide their training and technical assistance to grantees.</w:t>
      </w:r>
    </w:p>
    <w:p w:rsidRPr="00086EF9" w:rsidR="000576E9" w:rsidP="000576E9" w:rsidRDefault="000576E9" w14:paraId="28361A14" w14:textId="77777777">
      <w:pPr>
        <w:ind w:left="540" w:hanging="630"/>
        <w:rPr>
          <w:b/>
          <w:bCs/>
        </w:rPr>
      </w:pPr>
    </w:p>
    <w:p w:rsidRPr="00086EF9" w:rsidR="000576E9" w:rsidP="000576E9" w:rsidRDefault="000576E9" w14:paraId="3E933440" w14:textId="77777777">
      <w:pPr>
        <w:ind w:left="540" w:hanging="630"/>
        <w:rPr>
          <w:b/>
          <w:bCs/>
        </w:rPr>
      </w:pPr>
      <w:r w:rsidRPr="00086EF9">
        <w:rPr>
          <w:b/>
          <w:bCs/>
        </w:rPr>
        <w:t xml:space="preserve">  A7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 xml:space="preserve">Special circumstances that would cause information collection to be collected in the specified ways. </w:t>
      </w:r>
    </w:p>
    <w:p w:rsidRPr="00086EF9" w:rsidR="000576E9" w:rsidP="00086EF9" w:rsidRDefault="009A0CC2" w14:paraId="304863ED" w14:textId="77777777">
      <w:pPr>
        <w:ind w:hanging="4"/>
        <w:outlineLvl w:val="0"/>
        <w:rPr>
          <w:rFonts w:ascii="Arial Narrow" w:hAnsi="Arial Narrow"/>
        </w:rPr>
      </w:pPr>
      <w:r w:rsidRPr="00086EF9">
        <w:rPr>
          <w:bCs/>
        </w:rPr>
        <w:t>There are no special circumstances that would require the collect</w:t>
      </w:r>
      <w:r w:rsidRPr="00086EF9" w:rsidR="00E178E3">
        <w:rPr>
          <w:bCs/>
        </w:rPr>
        <w:t xml:space="preserve">ion of information in any other </w:t>
      </w:r>
      <w:r w:rsidRPr="00086EF9">
        <w:rPr>
          <w:bCs/>
        </w:rPr>
        <w:t>ways specified.</w:t>
      </w:r>
    </w:p>
    <w:p w:rsidRPr="00086EF9" w:rsidR="000576E9" w:rsidP="00E178E3" w:rsidRDefault="000576E9" w14:paraId="642E4B6B" w14:textId="77777777">
      <w:pPr>
        <w:ind w:left="360"/>
        <w:outlineLvl w:val="0"/>
        <w:rPr>
          <w:rFonts w:ascii="Arial Narrow" w:hAnsi="Arial Narrow"/>
        </w:rPr>
      </w:pPr>
    </w:p>
    <w:p w:rsidRPr="00086EF9" w:rsidR="000576E9" w:rsidP="000576E9" w:rsidRDefault="000576E9" w14:paraId="5F103D48" w14:textId="77777777">
      <w:pPr>
        <w:rPr>
          <w:rFonts w:ascii="Arial Narrow" w:hAnsi="Arial Narrow"/>
        </w:rPr>
      </w:pPr>
      <w:r w:rsidRPr="00086EF9">
        <w:t> </w:t>
      </w:r>
    </w:p>
    <w:p w:rsidRPr="00086EF9" w:rsidR="000576E9" w:rsidP="00086EF9" w:rsidRDefault="000576E9" w14:paraId="0D0BE533" w14:textId="77777777">
      <w:pPr>
        <w:tabs>
          <w:tab w:val="left" w:pos="360"/>
          <w:tab w:val="left" w:pos="540"/>
        </w:tabs>
        <w:ind w:left="540" w:hanging="540"/>
        <w:rPr>
          <w:b/>
          <w:bCs/>
        </w:rPr>
      </w:pPr>
      <w:r w:rsidRPr="00086EF9">
        <w:rPr>
          <w:b/>
          <w:bCs/>
        </w:rPr>
        <w:lastRenderedPageBreak/>
        <w:t>A8</w:t>
      </w:r>
      <w:r w:rsidR="00397C66">
        <w:rPr>
          <w:b/>
          <w:bCs/>
        </w:rPr>
        <w:t xml:space="preserve">. </w:t>
      </w:r>
      <w:r w:rsidR="00086EF9">
        <w:rPr>
          <w:b/>
          <w:bCs/>
        </w:rPr>
        <w:tab/>
      </w:r>
      <w:r w:rsidRPr="00086EF9">
        <w:rPr>
          <w:b/>
          <w:bCs/>
        </w:rPr>
        <w:t>Provide copy and identify the date and pa</w:t>
      </w:r>
      <w:r w:rsidR="00086EF9">
        <w:rPr>
          <w:b/>
          <w:bCs/>
        </w:rPr>
        <w:t xml:space="preserve">ge number of publication in the </w:t>
      </w:r>
      <w:r w:rsidRPr="00086EF9">
        <w:rPr>
          <w:b/>
          <w:bCs/>
        </w:rPr>
        <w:t>Federal Register of the Agency’s notice.</w:t>
      </w:r>
    </w:p>
    <w:p w:rsidR="005A1D6B" w:rsidP="000576E9" w:rsidRDefault="00B720DF" w14:paraId="55EDE0F4" w14:textId="73C8504C">
      <w:r>
        <w:t>The Notice was published on March 15, 2021 in FR 86:14318.</w:t>
      </w:r>
    </w:p>
    <w:p w:rsidRPr="00086EF9" w:rsidR="00B720DF" w:rsidP="000576E9" w:rsidRDefault="00B720DF" w14:paraId="66BD71C9" w14:textId="77777777">
      <w:pPr>
        <w:rPr>
          <w:rFonts w:ascii="Arial Narrow" w:hAnsi="Arial Narrow"/>
        </w:rPr>
      </w:pPr>
    </w:p>
    <w:p w:rsidRPr="00086EF9" w:rsidR="000576E9" w:rsidP="00AD792F" w:rsidRDefault="000576E9" w14:paraId="6305A613" w14:textId="77777777">
      <w:pPr>
        <w:rPr>
          <w:b/>
          <w:bCs/>
          <w:kern w:val="36"/>
        </w:rPr>
      </w:pPr>
      <w:r w:rsidRPr="00086EF9">
        <w:t> </w:t>
      </w:r>
      <w:r w:rsidRPr="00086EF9">
        <w:rPr>
          <w:b/>
          <w:bCs/>
          <w:kern w:val="36"/>
        </w:rPr>
        <w:t>A9</w:t>
      </w:r>
      <w:r w:rsidR="00397C66">
        <w:rPr>
          <w:b/>
          <w:bCs/>
          <w:kern w:val="36"/>
        </w:rPr>
        <w:t xml:space="preserve">. </w:t>
      </w:r>
      <w:r w:rsidRPr="00086EF9">
        <w:rPr>
          <w:b/>
          <w:bCs/>
          <w:kern w:val="36"/>
        </w:rPr>
        <w:t>Payment to Respondents</w:t>
      </w:r>
    </w:p>
    <w:p w:rsidRPr="00086EF9" w:rsidR="009437C4" w:rsidP="00E178E3" w:rsidRDefault="009437C4" w14:paraId="6AC10011" w14:textId="0E8D645A">
      <w:pPr>
        <w:keepNext/>
        <w:outlineLvl w:val="0"/>
        <w:rPr>
          <w:bCs/>
          <w:kern w:val="36"/>
        </w:rPr>
      </w:pPr>
      <w:r w:rsidRPr="00086EF9">
        <w:rPr>
          <w:bCs/>
          <w:kern w:val="36"/>
        </w:rPr>
        <w:t>There are no payment</w:t>
      </w:r>
      <w:r w:rsidRPr="00086EF9" w:rsidR="00E178E3">
        <w:rPr>
          <w:bCs/>
          <w:kern w:val="36"/>
        </w:rPr>
        <w:t>s</w:t>
      </w:r>
      <w:r w:rsidRPr="00086EF9">
        <w:rPr>
          <w:bCs/>
          <w:kern w:val="36"/>
        </w:rPr>
        <w:t xml:space="preserve"> or gifts to </w:t>
      </w:r>
      <w:r w:rsidR="00086EF9">
        <w:rPr>
          <w:bCs/>
          <w:kern w:val="36"/>
        </w:rPr>
        <w:t>respondent</w:t>
      </w:r>
      <w:r w:rsidR="005A1D6B">
        <w:rPr>
          <w:bCs/>
          <w:kern w:val="36"/>
        </w:rPr>
        <w:t>s.</w:t>
      </w:r>
    </w:p>
    <w:p w:rsidRPr="00086EF9" w:rsidR="000576E9" w:rsidP="000576E9" w:rsidRDefault="000576E9" w14:paraId="092C6BDD" w14:textId="77777777">
      <w:pPr>
        <w:rPr>
          <w:rFonts w:ascii="Arial Narrow" w:hAnsi="Arial Narrow"/>
        </w:rPr>
      </w:pPr>
      <w:r w:rsidRPr="00086EF9">
        <w:t>  </w:t>
      </w:r>
    </w:p>
    <w:p w:rsidRPr="00086EF9" w:rsidR="000576E9" w:rsidP="000576E9" w:rsidRDefault="000576E9" w14:paraId="0832AF0B" w14:textId="77777777">
      <w:pPr>
        <w:rPr>
          <w:rFonts w:ascii="Arial Narrow" w:hAnsi="Arial Narrow"/>
        </w:rPr>
      </w:pPr>
      <w:r w:rsidRPr="00086EF9">
        <w:rPr>
          <w:b/>
          <w:bCs/>
        </w:rPr>
        <w:t>A10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Confidentiality</w:t>
      </w:r>
    </w:p>
    <w:p w:rsidR="009437C4" w:rsidP="000576E9" w:rsidRDefault="000B5DBF" w14:paraId="7A4AC97E" w14:textId="00C300ED">
      <w:r w:rsidRPr="00574616">
        <w:t xml:space="preserve">The information requested </w:t>
      </w:r>
      <w:r w:rsidR="005A1D6B">
        <w:t xml:space="preserve">does not include any types of personally identifiable information.  </w:t>
      </w:r>
      <w:r w:rsidRPr="00574616">
        <w:t xml:space="preserve">Purposes and Uses - The information requested is collected for the purposes of </w:t>
      </w:r>
      <w:r w:rsidR="005A1D6B">
        <w:t>fully understanding how grantees engage in service at this moment in time during the COVID-19 pandemic</w:t>
      </w:r>
      <w:r w:rsidRPr="00574616">
        <w:t>. Routine Uses - Routine uses may include disclosure of the information to federal</w:t>
      </w:r>
      <w:smartTag w:uri="urn:schemas-microsoft-com:office:smarttags" w:element="PersonName">
        <w:r w:rsidRPr="00574616">
          <w:t>,</w:t>
        </w:r>
      </w:smartTag>
      <w:r w:rsidRPr="00574616">
        <w:t xml:space="preserve"> state</w:t>
      </w:r>
      <w:smartTag w:uri="urn:schemas-microsoft-com:office:smarttags" w:element="PersonName">
        <w:r w:rsidRPr="00574616">
          <w:t>,</w:t>
        </w:r>
      </w:smartTag>
      <w:r w:rsidRPr="00574616">
        <w:t xml:space="preserve"> or local agencies pursuant to lawfully authorized requests. The information will not otherwise be disclosed to entities outside of AmeriCorps. Effects of Nondisclosure - The information requested is mandatory in order to receive benefits.  </w:t>
      </w:r>
    </w:p>
    <w:p w:rsidRPr="005A1D6B" w:rsidR="005A1D6B" w:rsidP="000576E9" w:rsidRDefault="005A1D6B" w14:paraId="54074343" w14:textId="77777777"/>
    <w:p w:rsidRPr="00086EF9" w:rsidR="000576E9" w:rsidP="000576E9" w:rsidRDefault="000576E9" w14:paraId="2220D2BF" w14:textId="77777777">
      <w:pPr>
        <w:rPr>
          <w:rFonts w:ascii="Arial Narrow" w:hAnsi="Arial Narrow"/>
        </w:rPr>
      </w:pPr>
      <w:r w:rsidRPr="00086EF9">
        <w:rPr>
          <w:b/>
          <w:bCs/>
        </w:rPr>
        <w:t>A11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Sensitive Questions</w:t>
      </w:r>
    </w:p>
    <w:p w:rsidRPr="00086EF9" w:rsidR="009437C4" w:rsidP="000576E9" w:rsidRDefault="009437C4" w14:paraId="6041B97C" w14:textId="35AC3FE7">
      <w:r w:rsidRPr="00086EF9">
        <w:t>The information collection does not include questions of a sensitive nature.</w:t>
      </w:r>
    </w:p>
    <w:p w:rsidRPr="00086EF9" w:rsidR="000576E9" w:rsidP="000576E9" w:rsidRDefault="000576E9" w14:paraId="5475AA8E" w14:textId="77777777">
      <w:pPr>
        <w:rPr>
          <w:rFonts w:ascii="Arial Narrow" w:hAnsi="Arial Narrow"/>
        </w:rPr>
      </w:pPr>
      <w:r w:rsidRPr="00086EF9">
        <w:t> </w:t>
      </w:r>
    </w:p>
    <w:p w:rsidRPr="00086EF9" w:rsidR="000576E9" w:rsidP="000576E9" w:rsidRDefault="000576E9" w14:paraId="411CE1A0" w14:textId="77777777">
      <w:pPr>
        <w:rPr>
          <w:rFonts w:ascii="Arial Narrow" w:hAnsi="Arial Narrow"/>
        </w:rPr>
      </w:pPr>
      <w:r w:rsidRPr="00086EF9">
        <w:rPr>
          <w:b/>
          <w:bCs/>
        </w:rPr>
        <w:t>A12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Hour burden of the collection</w:t>
      </w:r>
    </w:p>
    <w:p w:rsidRPr="00086EF9" w:rsidR="009437C4" w:rsidP="000576E9" w:rsidRDefault="009437C4" w14:paraId="0C08A160" w14:textId="5F25E270">
      <w:r w:rsidRPr="00086EF9">
        <w:t xml:space="preserve">We expect </w:t>
      </w:r>
      <w:r w:rsidRPr="00086EF9" w:rsidR="00700BBD">
        <w:t xml:space="preserve">approximately </w:t>
      </w:r>
      <w:r w:rsidR="005A1D6B">
        <w:t>1,100</w:t>
      </w:r>
      <w:r w:rsidRPr="00086EF9">
        <w:t xml:space="preserve"> respondents</w:t>
      </w:r>
      <w:r w:rsidR="00397C66">
        <w:t xml:space="preserve">. </w:t>
      </w:r>
      <w:r w:rsidR="005A1D6B">
        <w:t>This is a one-time request and</w:t>
      </w:r>
      <w:r w:rsidRPr="00086EF9" w:rsidR="00E178E3">
        <w:t xml:space="preserve"> should not exceed </w:t>
      </w:r>
      <w:r w:rsidR="005A1D6B">
        <w:t>30 minutes</w:t>
      </w:r>
      <w:r w:rsidRPr="00086EF9">
        <w:t xml:space="preserve"> of effort per respondent</w:t>
      </w:r>
      <w:r w:rsidR="00397C66">
        <w:t xml:space="preserve">. </w:t>
      </w:r>
      <w:r w:rsidRPr="00086EF9">
        <w:t>There is no estimated annual hour burden outside of the customary and usual business practices.</w:t>
      </w:r>
      <w:r w:rsidR="005E2F35">
        <w:t xml:space="preserve">  Total burden for this collection will be </w:t>
      </w:r>
      <w:r w:rsidR="005A1D6B">
        <w:t>550</w:t>
      </w:r>
      <w:r w:rsidR="005E2F35">
        <w:t xml:space="preserve"> hours.</w:t>
      </w:r>
    </w:p>
    <w:p w:rsidRPr="00086EF9" w:rsidR="000576E9" w:rsidP="000576E9" w:rsidRDefault="000576E9" w14:paraId="4223A915" w14:textId="77777777">
      <w:pPr>
        <w:rPr>
          <w:rFonts w:ascii="Arial Narrow" w:hAnsi="Arial Narrow"/>
        </w:rPr>
      </w:pPr>
      <w:r w:rsidRPr="00086EF9">
        <w:t> </w:t>
      </w:r>
    </w:p>
    <w:p w:rsidRPr="006873FE" w:rsidR="006873FE" w:rsidP="006873FE" w:rsidRDefault="006873FE" w14:paraId="0538A7EF" w14:textId="77777777">
      <w:pPr>
        <w:tabs>
          <w:tab w:val="left" w:pos="360"/>
          <w:tab w:val="left" w:pos="720"/>
          <w:tab w:val="left" w:pos="1080"/>
        </w:tabs>
        <w:rPr>
          <w:b/>
          <w:bCs/>
        </w:rPr>
      </w:pPr>
      <w:r w:rsidRPr="006873FE">
        <w:rPr>
          <w:b/>
          <w:bCs/>
        </w:rPr>
        <w:t xml:space="preserve">A13. Respondent Burden and its Labor Costs </w:t>
      </w:r>
    </w:p>
    <w:p w:rsidRPr="006873FE" w:rsidR="006873FE" w:rsidP="006873FE" w:rsidRDefault="006873FE" w14:paraId="698F4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x-none"/>
        </w:rPr>
      </w:pPr>
    </w:p>
    <w:p w:rsidRPr="006873FE" w:rsidR="006873FE" w:rsidP="006873FE" w:rsidRDefault="006873FE" w14:paraId="37B9F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x-none"/>
        </w:rPr>
      </w:pPr>
      <w:r w:rsidRPr="006873FE">
        <w:rPr>
          <w:lang w:eastAsia="x-none"/>
        </w:rPr>
        <w:t xml:space="preserve">The estimated respondent burdens and labor costs are shown in the following table. </w:t>
      </w:r>
    </w:p>
    <w:p w:rsidRPr="006873FE" w:rsidR="006873FE" w:rsidP="006873FE" w:rsidRDefault="006873FE" w14:paraId="7342BD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x-none"/>
        </w:rPr>
      </w:pPr>
    </w:p>
    <w:tbl>
      <w:tblPr>
        <w:tblW w:w="92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Pr="006873FE" w:rsidR="006873FE" w:rsidTr="00D47946" w14:paraId="48079B5A" w14:textId="77777777">
        <w:trPr>
          <w:trHeight w:val="386"/>
        </w:trPr>
        <w:tc>
          <w:tcPr>
            <w:tcW w:w="9270" w:type="dxa"/>
            <w:gridSpan w:val="2"/>
            <w:vAlign w:val="center"/>
            <w:hideMark/>
          </w:tcPr>
          <w:p w:rsidRPr="006873FE" w:rsidR="006873FE" w:rsidP="006873FE" w:rsidRDefault="006873FE" w14:paraId="6271EFC1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</w:pPr>
            <w:r w:rsidRPr="006873FE">
              <w:t>Estimation of Respondent Burden</w:t>
            </w:r>
          </w:p>
        </w:tc>
      </w:tr>
      <w:tr w:rsidRPr="006873FE" w:rsidR="006873FE" w:rsidTr="00D47946" w14:paraId="1877DEDB" w14:textId="77777777">
        <w:trPr>
          <w:trHeight w:val="386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66DF962C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bookmarkStart w:name="cp458" w:id="0"/>
            <w:r w:rsidRPr="006873FE">
              <w:rPr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501B51" w14:paraId="2A9104F4" w14:textId="17AA483E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1100</w:t>
            </w:r>
          </w:p>
        </w:tc>
      </w:tr>
      <w:tr w:rsidRPr="006873FE" w:rsidR="006873FE" w:rsidTr="00D47946" w14:paraId="2A333D05" w14:textId="77777777">
        <w:trPr>
          <w:trHeight w:val="422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49AD45B5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 xml:space="preserve">Responses per respondent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6873FE" w14:paraId="17581BE7" w14:textId="076F70CF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</w:t>
            </w:r>
          </w:p>
        </w:tc>
      </w:tr>
      <w:tr w:rsidRPr="006873FE" w:rsidR="006873FE" w:rsidTr="00D47946" w14:paraId="759A7307" w14:textId="77777777">
        <w:trPr>
          <w:trHeight w:val="431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0AB8A2F7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501B51" w14:paraId="68508F68" w14:textId="2A77EC5E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</w:t>
            </w:r>
            <w:r w:rsidR="00A50AEE">
              <w:t>,</w:t>
            </w:r>
            <w:r>
              <w:t>100</w:t>
            </w:r>
          </w:p>
        </w:tc>
      </w:tr>
      <w:tr w:rsidRPr="006873FE" w:rsidR="006873FE" w:rsidTr="00D47946" w14:paraId="4E95DCFB" w14:textId="77777777">
        <w:trPr>
          <w:trHeight w:val="440"/>
        </w:trPr>
        <w:tc>
          <w:tcPr>
            <w:tcW w:w="7020" w:type="dxa"/>
            <w:vAlign w:val="center"/>
            <w:hideMark/>
          </w:tcPr>
          <w:p w:rsidRPr="006873FE" w:rsidR="006873FE" w:rsidP="006873FE" w:rsidRDefault="00501B51" w14:paraId="413BC31D" w14:textId="3C8C8639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Hours</w:t>
            </w:r>
            <w:r w:rsidRPr="006873FE" w:rsidR="006873FE">
              <w:rPr>
                <w:color w:val="000000"/>
              </w:rPr>
              <w:t xml:space="preserve"> per response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501B51" w14:paraId="2CB8F4D8" w14:textId="3CB4DBD9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.5</w:t>
            </w:r>
          </w:p>
        </w:tc>
      </w:tr>
      <w:tr w:rsidRPr="006873FE" w:rsidR="006873FE" w:rsidTr="00D47946" w14:paraId="5A0412F7" w14:textId="77777777">
        <w:trPr>
          <w:trHeight w:val="449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664B7335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>Estimated hours (number of responses multiplied by hours per response)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775DF2" w14:paraId="778F92EA" w14:textId="7F7F6869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550</w:t>
            </w:r>
          </w:p>
        </w:tc>
      </w:tr>
      <w:tr w:rsidRPr="006873FE" w:rsidR="006873FE" w:rsidTr="00D47946" w14:paraId="4681E73E" w14:textId="77777777">
        <w:trPr>
          <w:trHeight w:val="431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69588696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6873FE" w14:paraId="0430282D" w14:textId="6A1AE169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 w:rsidRPr="006873FE">
              <w:t>$</w:t>
            </w:r>
            <w:r w:rsidR="00001B63">
              <w:t>56.76</w:t>
            </w:r>
          </w:p>
        </w:tc>
      </w:tr>
      <w:tr w:rsidRPr="006873FE" w:rsidR="006873FE" w:rsidTr="00D47946" w14:paraId="5CDF426F" w14:textId="77777777">
        <w:trPr>
          <w:trHeight w:val="440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00910567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6873FE" w14:paraId="5688E5A8" w14:textId="2E26601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 w:rsidRPr="006873FE">
              <w:t>$</w:t>
            </w:r>
            <w:r w:rsidR="00F66085">
              <w:t>31,218</w:t>
            </w:r>
            <w:r w:rsidR="00B122AC">
              <w:t>.00</w:t>
            </w:r>
          </w:p>
        </w:tc>
      </w:tr>
      <w:bookmarkEnd w:id="0"/>
    </w:tbl>
    <w:p w:rsidRPr="006873FE" w:rsidR="006873FE" w:rsidP="006873FE" w:rsidRDefault="006873FE" w14:paraId="7C049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x-none"/>
        </w:rPr>
      </w:pPr>
    </w:p>
    <w:p w:rsidRPr="006873FE" w:rsidR="006873FE" w:rsidP="006873FE" w:rsidRDefault="006873FE" w14:paraId="56382CC2" w14:textId="77777777">
      <w:pPr>
        <w:tabs>
          <w:tab w:val="left" w:pos="360"/>
          <w:tab w:val="left" w:pos="720"/>
          <w:tab w:val="left" w:pos="1080"/>
        </w:tabs>
        <w:rPr>
          <w:color w:val="000000"/>
        </w:rPr>
      </w:pPr>
      <w:r w:rsidRPr="006873FE">
        <w:rPr>
          <w:i/>
        </w:rPr>
        <w:t>Notes:</w:t>
      </w:r>
      <w:r w:rsidRPr="006873FE">
        <w:rPr>
          <w:color w:val="000000"/>
        </w:rPr>
        <w:t xml:space="preserve">  The cost per hour is based on the Office of Personnel Management(OPM) General Schedule (GS) hourly rate of $41.66 for a GS-12, step 5, employee (for calendar </w:t>
      </w:r>
      <w:r w:rsidRPr="006873FE">
        <w:rPr>
          <w:color w:val="000000"/>
        </w:rPr>
        <w:lastRenderedPageBreak/>
        <w:t xml:space="preserve">year 2020 for the rest of the U.S.) plus the 36.25% civilian personnel full fringe benefit rate from OMB memorandum M-08-13 ($41.66 + $15.10 = $56.76, rounded to the nearest dollar). </w:t>
      </w:r>
    </w:p>
    <w:p w:rsidRPr="006873FE" w:rsidR="006873FE" w:rsidP="006873FE" w:rsidRDefault="006873FE" w14:paraId="6EA780DB" w14:textId="77777777">
      <w:pPr>
        <w:tabs>
          <w:tab w:val="left" w:pos="360"/>
          <w:tab w:val="left" w:pos="720"/>
          <w:tab w:val="left" w:pos="810"/>
          <w:tab w:val="left" w:pos="1080"/>
        </w:tabs>
      </w:pPr>
    </w:p>
    <w:p w:rsidRPr="006873FE" w:rsidR="006873FE" w:rsidP="006873FE" w:rsidRDefault="006873FE" w14:paraId="2B073D4F" w14:textId="77777777">
      <w:pPr>
        <w:tabs>
          <w:tab w:val="left" w:pos="360"/>
          <w:tab w:val="left" w:pos="720"/>
          <w:tab w:val="left" w:pos="1080"/>
        </w:tabs>
        <w:rPr>
          <w:b/>
          <w:bCs/>
        </w:rPr>
      </w:pPr>
      <w:r w:rsidRPr="006873FE">
        <w:rPr>
          <w:b/>
          <w:bCs/>
        </w:rPr>
        <w:t>A14. Cost to the Government</w:t>
      </w:r>
    </w:p>
    <w:p w:rsidRPr="006873FE" w:rsidR="006873FE" w:rsidP="006873FE" w:rsidRDefault="006873FE" w14:paraId="4FC7BAF8" w14:textId="77777777">
      <w:pPr>
        <w:tabs>
          <w:tab w:val="left" w:pos="360"/>
          <w:tab w:val="left" w:pos="720"/>
          <w:tab w:val="left" w:pos="1080"/>
        </w:tabs>
      </w:pPr>
    </w:p>
    <w:p w:rsidRPr="006873FE" w:rsidR="006873FE" w:rsidP="006873FE" w:rsidRDefault="006873FE" w14:paraId="3C5C8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x-none"/>
        </w:rPr>
      </w:pPr>
      <w:r w:rsidRPr="006873FE">
        <w:rPr>
          <w:lang w:eastAsia="x-none"/>
        </w:rPr>
        <w:t xml:space="preserve">The estimated cost to the Government is shown in the following table. It is estimated that it will take the Government x hour(s) to review and verify the information contained in each response. This estimate was developed by staff involved in the management of current activity. </w:t>
      </w:r>
    </w:p>
    <w:p w:rsidRPr="006873FE" w:rsidR="006873FE" w:rsidP="006873FE" w:rsidRDefault="006873FE" w14:paraId="451678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x-none"/>
        </w:rPr>
      </w:pPr>
    </w:p>
    <w:tbl>
      <w:tblPr>
        <w:tblW w:w="92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Pr="006873FE" w:rsidR="006873FE" w:rsidTr="00D47946" w14:paraId="00EC2FD1" w14:textId="77777777">
        <w:trPr>
          <w:trHeight w:val="386"/>
        </w:trPr>
        <w:tc>
          <w:tcPr>
            <w:tcW w:w="9270" w:type="dxa"/>
            <w:gridSpan w:val="2"/>
            <w:vAlign w:val="center"/>
            <w:hideMark/>
          </w:tcPr>
          <w:p w:rsidRPr="006873FE" w:rsidR="006873FE" w:rsidP="006873FE" w:rsidRDefault="006873FE" w14:paraId="0A267892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</w:pPr>
            <w:r w:rsidRPr="006873FE">
              <w:t>Estimation of Cost to the Government</w:t>
            </w:r>
          </w:p>
        </w:tc>
      </w:tr>
      <w:tr w:rsidRPr="006873FE" w:rsidR="006873FE" w:rsidTr="00D47946" w14:paraId="4F7B0EB7" w14:textId="77777777">
        <w:trPr>
          <w:trHeight w:val="431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7FF30FEE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B122AC" w14:paraId="2AB727B5" w14:textId="388391AA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</w:t>
            </w:r>
            <w:r w:rsidR="00A50AEE">
              <w:t>,</w:t>
            </w:r>
            <w:r>
              <w:t>100</w:t>
            </w:r>
          </w:p>
        </w:tc>
      </w:tr>
      <w:tr w:rsidRPr="006873FE" w:rsidR="006873FE" w:rsidTr="00D47946" w14:paraId="1E68375D" w14:textId="77777777">
        <w:trPr>
          <w:trHeight w:val="440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3EF052A7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 xml:space="preserve">Hours per response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B122AC" w14:paraId="249FB825" w14:textId="7E60CE0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.25</w:t>
            </w:r>
          </w:p>
        </w:tc>
      </w:tr>
      <w:tr w:rsidRPr="006873FE" w:rsidR="006873FE" w:rsidTr="00D47946" w14:paraId="3BE1EDFD" w14:textId="77777777">
        <w:trPr>
          <w:trHeight w:val="449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1F20AF0C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>Estimated hours (number of responses multiplied by hours per response)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B80E06" w14:paraId="43E8250B" w14:textId="68B98CA0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275</w:t>
            </w:r>
          </w:p>
        </w:tc>
      </w:tr>
      <w:tr w:rsidRPr="006873FE" w:rsidR="006873FE" w:rsidTr="00D47946" w14:paraId="10CC3814" w14:textId="77777777">
        <w:trPr>
          <w:trHeight w:val="431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6573D854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6873FE" w14:paraId="283EEB0E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 w:rsidRPr="006873FE">
              <w:t>$56.76</w:t>
            </w:r>
          </w:p>
        </w:tc>
      </w:tr>
      <w:tr w:rsidRPr="006873FE" w:rsidR="006873FE" w:rsidTr="00D47946" w14:paraId="7AAAE745" w14:textId="77777777">
        <w:trPr>
          <w:trHeight w:val="440"/>
        </w:trPr>
        <w:tc>
          <w:tcPr>
            <w:tcW w:w="7020" w:type="dxa"/>
            <w:vAlign w:val="center"/>
            <w:hideMark/>
          </w:tcPr>
          <w:p w:rsidRPr="006873FE" w:rsidR="006873FE" w:rsidP="006873FE" w:rsidRDefault="006873FE" w14:paraId="05900F64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 w:rsidRPr="006873FE"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vAlign w:val="center"/>
            <w:hideMark/>
          </w:tcPr>
          <w:p w:rsidRPr="006873FE" w:rsidR="006873FE" w:rsidP="006873FE" w:rsidRDefault="00A50AEE" w14:paraId="02AB24AE" w14:textId="0B618DA4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</w:t>
            </w:r>
            <w:r w:rsidR="00221997">
              <w:t>15,609.00</w:t>
            </w:r>
            <w:r w:rsidRPr="006873FE" w:rsidR="006873FE">
              <w:t xml:space="preserve"> </w:t>
            </w:r>
          </w:p>
        </w:tc>
      </w:tr>
    </w:tbl>
    <w:p w:rsidRPr="006873FE" w:rsidR="006873FE" w:rsidP="006873FE" w:rsidRDefault="006873FE" w14:paraId="09774DE3" w14:textId="77777777">
      <w:pPr>
        <w:tabs>
          <w:tab w:val="left" w:pos="360"/>
          <w:tab w:val="left" w:pos="720"/>
          <w:tab w:val="left" w:pos="1080"/>
        </w:tabs>
      </w:pPr>
    </w:p>
    <w:p w:rsidRPr="006873FE" w:rsidR="006873FE" w:rsidP="006873FE" w:rsidRDefault="006873FE" w14:paraId="40F3C5C5" w14:textId="77777777">
      <w:pPr>
        <w:tabs>
          <w:tab w:val="left" w:pos="360"/>
          <w:tab w:val="left" w:pos="720"/>
          <w:tab w:val="left" w:pos="1080"/>
        </w:tabs>
      </w:pPr>
      <w:r w:rsidRPr="006873FE">
        <w:rPr>
          <w:i/>
        </w:rPr>
        <w:t xml:space="preserve">Notes:  </w:t>
      </w:r>
      <w:r w:rsidRPr="006873FE">
        <w:t>The cost per hour is based on the OPM GS hourly rate of $41.66 for a GS-12, step 5, employee (for calendar year 2020) plus the 36.25% civilian personnel full fringe benefit rate from OMB memorandum M-08-13, rounded to the nearest dollar).</w:t>
      </w:r>
    </w:p>
    <w:p w:rsidRPr="00086EF9" w:rsidR="000576E9" w:rsidP="000576E9" w:rsidRDefault="000576E9" w14:paraId="3F95891B" w14:textId="77777777">
      <w:pPr>
        <w:rPr>
          <w:rFonts w:ascii="Arial Narrow" w:hAnsi="Arial Narrow"/>
        </w:rPr>
      </w:pPr>
    </w:p>
    <w:p w:rsidRPr="00086EF9" w:rsidR="000576E9" w:rsidP="000576E9" w:rsidRDefault="000576E9" w14:paraId="66B9A4BA" w14:textId="77777777">
      <w:pPr>
        <w:rPr>
          <w:b/>
          <w:bCs/>
        </w:rPr>
      </w:pPr>
      <w:r w:rsidRPr="00086EF9">
        <w:rPr>
          <w:b/>
          <w:bCs/>
        </w:rPr>
        <w:t>A15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Reasons for program changes</w:t>
      </w:r>
    </w:p>
    <w:p w:rsidRPr="00086EF9" w:rsidR="00B303C0" w:rsidP="000576E9" w:rsidRDefault="005A1D6B" w14:paraId="7AF15E31" w14:textId="3B07E0DF">
      <w:r>
        <w:t>Not applicable because there are no proposed program changes.</w:t>
      </w:r>
    </w:p>
    <w:p w:rsidRPr="00086EF9" w:rsidR="000576E9" w:rsidP="000576E9" w:rsidRDefault="000576E9" w14:paraId="18B769DA" w14:textId="77777777">
      <w:pPr>
        <w:rPr>
          <w:rFonts w:ascii="Arial Narrow" w:hAnsi="Arial Narrow"/>
        </w:rPr>
      </w:pPr>
      <w:r w:rsidRPr="00086EF9">
        <w:t> </w:t>
      </w:r>
    </w:p>
    <w:p w:rsidR="00086EF9" w:rsidP="000576E9" w:rsidRDefault="000576E9" w14:paraId="4F6480F9" w14:textId="77777777">
      <w:pPr>
        <w:rPr>
          <w:rFonts w:ascii="Arial Narrow" w:hAnsi="Arial Narrow"/>
        </w:rPr>
      </w:pPr>
      <w:r w:rsidRPr="00086EF9">
        <w:t> </w:t>
      </w:r>
      <w:r w:rsidRPr="00086EF9">
        <w:rPr>
          <w:b/>
          <w:bCs/>
        </w:rPr>
        <w:t>A16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Publication of results</w:t>
      </w:r>
    </w:p>
    <w:p w:rsidRPr="00086EF9" w:rsidR="000576E9" w:rsidP="000576E9" w:rsidRDefault="009437C4" w14:paraId="5DB4B3CF" w14:textId="4B6CD939">
      <w:pPr>
        <w:rPr>
          <w:rFonts w:ascii="Arial Narrow" w:hAnsi="Arial Narrow"/>
        </w:rPr>
      </w:pPr>
      <w:r w:rsidRPr="00086EF9">
        <w:t>Not applicable because the results will not be published</w:t>
      </w:r>
      <w:r w:rsidRPr="00086EF9" w:rsidR="0097051C">
        <w:t>.</w:t>
      </w:r>
      <w:r w:rsidRPr="00086EF9" w:rsidR="000576E9">
        <w:t> </w:t>
      </w:r>
    </w:p>
    <w:p w:rsidRPr="00086EF9" w:rsidR="000576E9" w:rsidP="000576E9" w:rsidRDefault="000576E9" w14:paraId="786306DB" w14:textId="77777777">
      <w:pPr>
        <w:rPr>
          <w:rFonts w:ascii="Arial Narrow" w:hAnsi="Arial Narrow"/>
        </w:rPr>
      </w:pPr>
      <w:r w:rsidRPr="00086EF9">
        <w:t> </w:t>
      </w:r>
    </w:p>
    <w:p w:rsidRPr="00086EF9" w:rsidR="000576E9" w:rsidP="000576E9" w:rsidRDefault="000576E9" w14:paraId="0A0AE6AA" w14:textId="77777777">
      <w:pPr>
        <w:ind w:left="540" w:hanging="540"/>
        <w:rPr>
          <w:b/>
          <w:bCs/>
        </w:rPr>
      </w:pPr>
      <w:r w:rsidRPr="00086EF9">
        <w:rPr>
          <w:b/>
          <w:bCs/>
        </w:rPr>
        <w:t>A17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Explain the reason for seeking approval to not display the expiration date for OMB approval of the information collection.</w:t>
      </w:r>
    </w:p>
    <w:p w:rsidRPr="00086EF9" w:rsidR="00AB33DD" w:rsidP="000576E9" w:rsidRDefault="00AB33DD" w14:paraId="5F3FB8D6" w14:textId="77777777">
      <w:pPr>
        <w:ind w:left="540" w:hanging="540"/>
        <w:rPr>
          <w:rFonts w:ascii="Arial Narrow" w:hAnsi="Arial Narrow"/>
        </w:rPr>
      </w:pPr>
      <w:r w:rsidRPr="00086EF9">
        <w:rPr>
          <w:bCs/>
        </w:rPr>
        <w:t>Not applicable</w:t>
      </w:r>
      <w:r w:rsidRPr="00086EF9" w:rsidR="0097051C">
        <w:rPr>
          <w:bCs/>
        </w:rPr>
        <w:t>.</w:t>
      </w:r>
    </w:p>
    <w:p w:rsidRPr="00086EF9" w:rsidR="000576E9" w:rsidP="000576E9" w:rsidRDefault="000576E9" w14:paraId="2AA2C29C" w14:textId="77777777">
      <w:pPr>
        <w:rPr>
          <w:rFonts w:ascii="Arial Narrow" w:hAnsi="Arial Narrow"/>
        </w:rPr>
      </w:pPr>
      <w:r w:rsidRPr="00086EF9">
        <w:t> </w:t>
      </w:r>
    </w:p>
    <w:p w:rsidRPr="00086EF9" w:rsidR="000576E9" w:rsidP="000576E9" w:rsidRDefault="000576E9" w14:paraId="41109E7B" w14:textId="77777777">
      <w:pPr>
        <w:rPr>
          <w:b/>
          <w:bCs/>
        </w:rPr>
      </w:pPr>
      <w:r w:rsidRPr="00086EF9">
        <w:t> </w:t>
      </w:r>
      <w:r w:rsidRPr="00086EF9">
        <w:rPr>
          <w:b/>
          <w:bCs/>
        </w:rPr>
        <w:t>A18</w:t>
      </w:r>
      <w:r w:rsidR="00397C66">
        <w:rPr>
          <w:b/>
          <w:bCs/>
        </w:rPr>
        <w:t xml:space="preserve">. </w:t>
      </w:r>
      <w:r w:rsidRPr="00086EF9">
        <w:rPr>
          <w:b/>
          <w:bCs/>
        </w:rPr>
        <w:t>Exceptions to the certification statement</w:t>
      </w:r>
    </w:p>
    <w:p w:rsidRPr="00086EF9" w:rsidR="00AB33DD" w:rsidP="000576E9" w:rsidRDefault="00AB33DD" w14:paraId="359CBD49" w14:textId="77777777">
      <w:pPr>
        <w:rPr>
          <w:rFonts w:ascii="Arial Narrow" w:hAnsi="Arial Narrow"/>
        </w:rPr>
      </w:pPr>
      <w:r w:rsidRPr="00086EF9">
        <w:rPr>
          <w:bCs/>
        </w:rPr>
        <w:t>There are no exceptions to the certification statement</w:t>
      </w:r>
      <w:r w:rsidRPr="00086EF9" w:rsidR="0097051C">
        <w:rPr>
          <w:bCs/>
        </w:rPr>
        <w:t>.</w:t>
      </w:r>
    </w:p>
    <w:p w:rsidRPr="00086EF9" w:rsidR="00F64EE0" w:rsidRDefault="00F64EE0" w14:paraId="591662E0" w14:textId="77777777"/>
    <w:sectPr w:rsidRPr="00086EF9" w:rsidR="00F64EE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A2025" w14:textId="77777777" w:rsidR="001263D7" w:rsidRDefault="001263D7">
      <w:r>
        <w:separator/>
      </w:r>
    </w:p>
  </w:endnote>
  <w:endnote w:type="continuationSeparator" w:id="0">
    <w:p w14:paraId="414A31BE" w14:textId="77777777" w:rsidR="001263D7" w:rsidRDefault="0012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0B52D" w14:textId="77777777" w:rsidR="00E178E3" w:rsidRDefault="00E178E3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0365C7" w14:textId="77777777" w:rsidR="00E178E3" w:rsidRDefault="00E17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38131" w14:textId="77777777" w:rsidR="00E178E3" w:rsidRPr="00E178E3" w:rsidRDefault="00E178E3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0B5DBF">
      <w:rPr>
        <w:rStyle w:val="PageNumber"/>
        <w:noProof/>
        <w:sz w:val="22"/>
        <w:szCs w:val="22"/>
      </w:rPr>
      <w:t>1</w:t>
    </w:r>
    <w:r w:rsidRPr="00E178E3">
      <w:rPr>
        <w:rStyle w:val="PageNumber"/>
        <w:sz w:val="22"/>
        <w:szCs w:val="22"/>
      </w:rPr>
      <w:fldChar w:fldCharType="end"/>
    </w:r>
  </w:p>
  <w:p w14:paraId="08901B9B" w14:textId="77777777" w:rsidR="00E178E3" w:rsidRDefault="00E1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21AFA" w14:textId="77777777" w:rsidR="001263D7" w:rsidRDefault="001263D7">
      <w:r>
        <w:separator/>
      </w:r>
    </w:p>
  </w:footnote>
  <w:footnote w:type="continuationSeparator" w:id="0">
    <w:p w14:paraId="62945130" w14:textId="77777777" w:rsidR="001263D7" w:rsidRDefault="0012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E6"/>
    <w:rsid w:val="00001B63"/>
    <w:rsid w:val="000513D6"/>
    <w:rsid w:val="000576E9"/>
    <w:rsid w:val="00086EF9"/>
    <w:rsid w:val="000B5DBF"/>
    <w:rsid w:val="000C0CC4"/>
    <w:rsid w:val="001263D7"/>
    <w:rsid w:val="00174066"/>
    <w:rsid w:val="0021772D"/>
    <w:rsid w:val="00221997"/>
    <w:rsid w:val="002B7037"/>
    <w:rsid w:val="002C0937"/>
    <w:rsid w:val="00322E24"/>
    <w:rsid w:val="00397C66"/>
    <w:rsid w:val="003D235A"/>
    <w:rsid w:val="003F7DFE"/>
    <w:rsid w:val="00501B51"/>
    <w:rsid w:val="005178D2"/>
    <w:rsid w:val="00595812"/>
    <w:rsid w:val="005A1D6B"/>
    <w:rsid w:val="005E2F35"/>
    <w:rsid w:val="006302B8"/>
    <w:rsid w:val="006873FE"/>
    <w:rsid w:val="006E3E98"/>
    <w:rsid w:val="00700BBD"/>
    <w:rsid w:val="007045A0"/>
    <w:rsid w:val="0076016A"/>
    <w:rsid w:val="00775DF2"/>
    <w:rsid w:val="007A6228"/>
    <w:rsid w:val="008204A0"/>
    <w:rsid w:val="009437C4"/>
    <w:rsid w:val="00945DCB"/>
    <w:rsid w:val="00952B0B"/>
    <w:rsid w:val="009541E3"/>
    <w:rsid w:val="0097051C"/>
    <w:rsid w:val="009A0CC2"/>
    <w:rsid w:val="009F7969"/>
    <w:rsid w:val="00A05737"/>
    <w:rsid w:val="00A50AEE"/>
    <w:rsid w:val="00A76525"/>
    <w:rsid w:val="00AB1C78"/>
    <w:rsid w:val="00AB33DD"/>
    <w:rsid w:val="00AB5E90"/>
    <w:rsid w:val="00AB6784"/>
    <w:rsid w:val="00AD27DD"/>
    <w:rsid w:val="00AD792F"/>
    <w:rsid w:val="00B077F2"/>
    <w:rsid w:val="00B122AC"/>
    <w:rsid w:val="00B303C0"/>
    <w:rsid w:val="00B720DF"/>
    <w:rsid w:val="00B80E06"/>
    <w:rsid w:val="00C67C91"/>
    <w:rsid w:val="00C740E1"/>
    <w:rsid w:val="00CA3387"/>
    <w:rsid w:val="00CB758F"/>
    <w:rsid w:val="00DE1D58"/>
    <w:rsid w:val="00E178E3"/>
    <w:rsid w:val="00E51CE6"/>
    <w:rsid w:val="00F22051"/>
    <w:rsid w:val="00F52800"/>
    <w:rsid w:val="00F64EE0"/>
    <w:rsid w:val="00F66085"/>
    <w:rsid w:val="00F87E57"/>
    <w:rsid w:val="00FA62F5"/>
    <w:rsid w:val="00FE5CD2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1505C96D"/>
  <w15:docId w15:val="{6A1367E6-E9EF-4602-B990-F44A5F45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5E2F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2F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2F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873F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8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73F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4F79B7A3B2E4D846FE48CBAE99C43" ma:contentTypeVersion="13" ma:contentTypeDescription="Create a new document." ma:contentTypeScope="" ma:versionID="345ce45c59aaed5f1c0a3a5a952a7e96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fcc7d5c2-4212-4363-9b16-fac14dfc378c" targetNamespace="http://schemas.microsoft.com/office/2006/metadata/properties" ma:root="true" ma:fieldsID="3b52da0ca504bc4ad2b318c717e5d0c6" ns1:_="" ns2:_="" ns3:_="">
    <xsd:import namespace="http://schemas.microsoft.com/sharepoint/v3"/>
    <xsd:import namespace="955b5658-c4af-4367-aaf7-f4b787d2e46e"/>
    <xsd:import namespace="fcc7d5c2-4212-4363-9b16-fac14dfc37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d5c2-4212-4363-9b16-fac14dfc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955b5658-c4af-4367-aaf7-f4b787d2e46e">VWMP5RR7HZ5Z-257178891-32379</_dlc_DocId>
    <_dlc_DocIdUrl xmlns="955b5658-c4af-4367-aaf7-f4b787d2e46e">
      <Url>https://cnsgov.sharepoint.com/sites/COO/Internal Site/_layouts/15/DocIdRedir.aspx?ID=VWMP5RR7HZ5Z-257178891-32379</Url>
      <Description>VWMP5RR7HZ5Z-257178891-32379</Description>
    </_dlc_DocIdUrl>
    <_ip_UnifiedCompliancePolicyProperties xmlns="http://schemas.microsoft.com/sharepoint/v3" xsi:nil="true"/>
    <SharedWithUsers xmlns="955b5658-c4af-4367-aaf7-f4b787d2e46e">
      <UserInfo>
        <DisplayName>White, Colin</DisplayName>
        <AccountId>438</AccountId>
        <AccountType/>
      </UserInfo>
      <UserInfo>
        <DisplayName>Corindo, Robin</DisplayName>
        <AccountId>417</AccountId>
        <AccountType/>
      </UserInfo>
    </SharedWithUsers>
    <SharedWithDetails xmlns="955b5658-c4af-4367-aaf7-f4b787d2e46e" xsi:nil="true"/>
    <_ip_UnifiedCompliancePolicyUIAction xmlns="http://schemas.microsoft.com/sharepoint/v3" xsi:nil="true"/>
    <_dlc_DocIdPersistId xmlns="955b5658-c4af-4367-aaf7-f4b787d2e46e">false</_dlc_DocIdPersist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DB7C-D2C2-4153-B4E0-559497503ED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53FFBC-4A59-422C-B624-F8D462B2E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04210-F53D-4A5D-BA33-8C90D547D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fcc7d5c2-4212-4363-9b16-fac14dfc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299181-2DF9-404B-B404-DD89B8F242E2}">
  <ds:schemaRefs>
    <ds:schemaRef ds:uri="http://schemas.microsoft.com/office/2006/metadata/properties"/>
    <ds:schemaRef ds:uri="955b5658-c4af-4367-aaf7-f4b787d2e46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83F7E2F-896C-45A9-A51F-6D077487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creator>vperry</dc:creator>
  <cp:keywords>OMB</cp:keywords>
  <cp:lastModifiedBy>Borgstrom, Amy</cp:lastModifiedBy>
  <cp:revision>2</cp:revision>
  <dcterms:created xsi:type="dcterms:W3CDTF">2021-03-15T19:20:00Z</dcterms:created>
  <dcterms:modified xsi:type="dcterms:W3CDTF">2021-03-15T19:20:00Z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0x0101000AD4F79B7A3B2E4D846FE48CBAE99C43</vt:lpwstr>
  </property>
  <property fmtid="{D5CDD505-2E9C-101B-9397-08002B2CF9AE}" pid="4" name="_dlc_DocIdItemGuid">
    <vt:lpwstr>c84bab7d-c967-4f03-9a63-72c104ff8e39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>25;#OMB</vt:lpwstr>
  </property>
  <property fmtid="{D5CDD505-2E9C-101B-9397-08002B2CF9AE}" pid="7" name="TaxKeywordTaxHTField">
    <vt:lpwstr>OMB|04ce8ce4-fc8e-4995-9967-59c5db76beaf</vt:lpwstr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FileLeafRef">
    <vt:lpwstr>Justification - Emergency Request OMB Comments.docx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ComplianceAssetId">
    <vt:lpwstr/>
  </property>
  <property fmtid="{D5CDD505-2E9C-101B-9397-08002B2CF9AE}" pid="15" name="source_item_id">
    <vt:lpwstr>6100</vt:lpwstr>
  </property>
  <property fmtid="{D5CDD505-2E9C-101B-9397-08002B2CF9AE}" pid="16" name="b209bbd5935845f3b7f3cbfb9d539802">
    <vt:lpwstr/>
  </property>
  <property fmtid="{D5CDD505-2E9C-101B-9397-08002B2CF9AE}" pid="17" name="i8e69c9481a041089769efb26b17796a">
    <vt:lpwstr/>
  </property>
  <property fmtid="{D5CDD505-2E9C-101B-9397-08002B2CF9AE}" pid="18" name="Sensitivity_Level">
    <vt:lpwstr/>
  </property>
  <property fmtid="{D5CDD505-2E9C-101B-9397-08002B2CF9AE}" pid="19" name="n0b82672b9064af4963ed3248f0c7c79">
    <vt:lpwstr/>
  </property>
</Properties>
</file>