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63C7" w:rsidR="00D416CD" w:rsidP="00A305A4" w:rsidRDefault="00D416CD" w14:paraId="6E2962B0" w14:textId="77777777">
      <w:pPr>
        <w:pStyle w:val="Header"/>
        <w:widowControl w:val="0"/>
        <w:autoSpaceDE w:val="0"/>
        <w:autoSpaceDN w:val="0"/>
        <w:adjustRightInd w:val="0"/>
        <w:jc w:val="center"/>
        <w:rPr>
          <w:b/>
          <w:sz w:val="24"/>
          <w:szCs w:val="24"/>
        </w:rPr>
      </w:pPr>
      <w:r w:rsidRPr="00B463C7">
        <w:rPr>
          <w:b/>
          <w:sz w:val="24"/>
          <w:szCs w:val="24"/>
        </w:rPr>
        <w:t>SUPPORTING STATEMENT</w:t>
      </w:r>
    </w:p>
    <w:p w:rsidR="00D416CD" w:rsidRDefault="00D416CD" w14:paraId="44BBE2C3" w14:textId="77777777">
      <w:pPr>
        <w:jc w:val="center"/>
        <w:rPr>
          <w:sz w:val="24"/>
          <w:szCs w:val="24"/>
          <w:u w:val="single"/>
        </w:rPr>
      </w:pPr>
    </w:p>
    <w:p w:rsidRPr="00ED2037" w:rsidR="00ED2037" w:rsidP="00ED2037" w:rsidRDefault="00ED2037" w14:paraId="76F7312C" w14:textId="77777777">
      <w:pPr>
        <w:widowControl w:val="0"/>
        <w:shd w:val="clear" w:color="auto" w:fill="FFFFFF"/>
        <w:autoSpaceDE w:val="0"/>
        <w:autoSpaceDN w:val="0"/>
        <w:adjustRightInd w:val="0"/>
        <w:ind w:left="10" w:right="10"/>
        <w:rPr>
          <w:sz w:val="24"/>
          <w:szCs w:val="22"/>
        </w:rPr>
      </w:pPr>
      <w:r w:rsidRPr="00ED2037">
        <w:rPr>
          <w:sz w:val="24"/>
        </w:rPr>
        <w:t xml:space="preserve">This submission is being made as an extension to an existing information collection pursuant to 44 U.S.C. § 3507.  </w:t>
      </w:r>
    </w:p>
    <w:p w:rsidR="00ED2037" w:rsidRDefault="00ED2037" w14:paraId="04265921" w14:textId="77777777">
      <w:pPr>
        <w:jc w:val="center"/>
        <w:rPr>
          <w:sz w:val="24"/>
          <w:szCs w:val="24"/>
          <w:u w:val="single"/>
        </w:rPr>
      </w:pPr>
    </w:p>
    <w:p w:rsidRPr="00F9415B" w:rsidR="00D416CD" w:rsidRDefault="00D416CD" w14:paraId="4E35E915" w14:textId="77777777">
      <w:pPr>
        <w:rPr>
          <w:b/>
          <w:sz w:val="24"/>
          <w:szCs w:val="24"/>
        </w:rPr>
      </w:pPr>
      <w:r w:rsidRPr="00F9415B">
        <w:rPr>
          <w:b/>
          <w:sz w:val="24"/>
          <w:szCs w:val="24"/>
        </w:rPr>
        <w:t xml:space="preserve">A.  </w:t>
      </w:r>
      <w:r w:rsidRPr="00F9415B">
        <w:rPr>
          <w:b/>
          <w:sz w:val="24"/>
          <w:szCs w:val="24"/>
          <w:u w:val="single"/>
        </w:rPr>
        <w:t>Justification</w:t>
      </w:r>
      <w:r w:rsidRPr="00F9415B">
        <w:rPr>
          <w:b/>
          <w:sz w:val="24"/>
          <w:szCs w:val="24"/>
        </w:rPr>
        <w:t>:</w:t>
      </w:r>
    </w:p>
    <w:p w:rsidRPr="00F9415B" w:rsidR="00D416CD" w:rsidRDefault="00D416CD" w14:paraId="053B96E9" w14:textId="77777777">
      <w:pPr>
        <w:rPr>
          <w:sz w:val="24"/>
          <w:szCs w:val="24"/>
        </w:rPr>
      </w:pPr>
    </w:p>
    <w:p w:rsidRPr="00F9415B" w:rsidR="00ED3056" w:rsidP="000E7A8A" w:rsidRDefault="00BF51FE" w14:paraId="5A1918AC" w14:textId="28F10938">
      <w:pPr>
        <w:numPr>
          <w:ilvl w:val="0"/>
          <w:numId w:val="16"/>
        </w:numPr>
        <w:ind w:left="360"/>
        <w:rPr>
          <w:sz w:val="24"/>
          <w:szCs w:val="24"/>
        </w:rPr>
      </w:pPr>
      <w:r>
        <w:rPr>
          <w:sz w:val="24"/>
          <w:szCs w:val="24"/>
        </w:rPr>
        <w:t>S</w:t>
      </w:r>
      <w:r w:rsidRPr="00F9415B">
        <w:rPr>
          <w:sz w:val="24"/>
          <w:szCs w:val="24"/>
        </w:rPr>
        <w:t xml:space="preserve">ection 276 of the Communications Act, </w:t>
      </w:r>
      <w:r>
        <w:rPr>
          <w:sz w:val="24"/>
          <w:szCs w:val="24"/>
        </w:rPr>
        <w:t>as amended (the Act),</w:t>
      </w:r>
      <w:r w:rsidRPr="00F9415B" w:rsidR="00D416CD">
        <w:rPr>
          <w:sz w:val="24"/>
          <w:szCs w:val="24"/>
        </w:rPr>
        <w:t xml:space="preserve"> </w:t>
      </w:r>
      <w:r>
        <w:rPr>
          <w:sz w:val="24"/>
          <w:szCs w:val="24"/>
        </w:rPr>
        <w:t xml:space="preserve">requires that the Federal Communications Commission (Commission or FCC) establish rules </w:t>
      </w:r>
      <w:r w:rsidRPr="00F9415B" w:rsidR="00D416CD">
        <w:rPr>
          <w:sz w:val="24"/>
          <w:szCs w:val="24"/>
        </w:rPr>
        <w:t xml:space="preserve">ensuring that </w:t>
      </w:r>
      <w:r w:rsidRPr="00F9415B" w:rsidR="00E60A4D">
        <w:rPr>
          <w:sz w:val="24"/>
          <w:szCs w:val="24"/>
        </w:rPr>
        <w:t xml:space="preserve">payphone service providers or </w:t>
      </w:r>
      <w:r w:rsidRPr="00F9415B" w:rsidR="00D416CD">
        <w:rPr>
          <w:sz w:val="24"/>
          <w:szCs w:val="24"/>
        </w:rPr>
        <w:t xml:space="preserve">PSPs are “fairly compensated” for </w:t>
      </w:r>
      <w:proofErr w:type="gramStart"/>
      <w:r w:rsidRPr="00F9415B" w:rsidR="00D416CD">
        <w:rPr>
          <w:sz w:val="24"/>
          <w:szCs w:val="24"/>
        </w:rPr>
        <w:t>each and every</w:t>
      </w:r>
      <w:proofErr w:type="gramEnd"/>
      <w:r w:rsidRPr="00F9415B" w:rsidR="00D416CD">
        <w:rPr>
          <w:sz w:val="24"/>
          <w:szCs w:val="24"/>
        </w:rPr>
        <w:t xml:space="preserve"> completed payphone-originated call</w:t>
      </w:r>
      <w:r w:rsidR="00725241">
        <w:rPr>
          <w:sz w:val="24"/>
          <w:szCs w:val="24"/>
        </w:rPr>
        <w:t xml:space="preserve">.  </w:t>
      </w:r>
      <w:r w:rsidRPr="00F9415B" w:rsidR="00725241">
        <w:rPr>
          <w:sz w:val="24"/>
          <w:szCs w:val="24"/>
        </w:rPr>
        <w:t xml:space="preserve">The </w:t>
      </w:r>
      <w:r>
        <w:rPr>
          <w:sz w:val="24"/>
          <w:szCs w:val="24"/>
        </w:rPr>
        <w:t xml:space="preserve">Commission’s </w:t>
      </w:r>
      <w:r w:rsidRPr="00F9415B" w:rsidR="00725241">
        <w:rPr>
          <w:sz w:val="24"/>
          <w:szCs w:val="24"/>
        </w:rPr>
        <w:t xml:space="preserve">Payphone Compensation Rules satisfy section 276 by identifying the party liable for compensation and establishing a mechanism for PSPs to be paid.  </w:t>
      </w:r>
      <w:r w:rsidR="00725241">
        <w:rPr>
          <w:sz w:val="24"/>
          <w:szCs w:val="24"/>
        </w:rPr>
        <w:t>The Payphone Compensation Rules</w:t>
      </w:r>
      <w:r w:rsidRPr="00F9415B" w:rsidR="00ED3056">
        <w:rPr>
          <w:sz w:val="24"/>
          <w:szCs w:val="24"/>
        </w:rPr>
        <w:t>:</w:t>
      </w:r>
      <w:r w:rsidRPr="00F9415B" w:rsidR="00D416CD">
        <w:rPr>
          <w:sz w:val="24"/>
          <w:szCs w:val="24"/>
        </w:rPr>
        <w:t xml:space="preserve">  </w:t>
      </w:r>
    </w:p>
    <w:p w:rsidRPr="00F9415B" w:rsidR="00ED3056" w:rsidP="00904E45" w:rsidRDefault="00ED3056" w14:paraId="0FD468E3" w14:textId="77777777">
      <w:pPr>
        <w:tabs>
          <w:tab w:val="num" w:pos="720"/>
        </w:tabs>
        <w:ind w:left="720" w:hanging="360"/>
        <w:rPr>
          <w:sz w:val="24"/>
          <w:szCs w:val="24"/>
        </w:rPr>
      </w:pPr>
    </w:p>
    <w:p w:rsidRPr="00F9415B" w:rsidR="00ED3056" w:rsidP="000E7A8A" w:rsidRDefault="00725241" w14:paraId="62C87D3E" w14:textId="61AD314E">
      <w:pPr>
        <w:numPr>
          <w:ilvl w:val="0"/>
          <w:numId w:val="15"/>
        </w:numPr>
        <w:rPr>
          <w:sz w:val="24"/>
          <w:szCs w:val="24"/>
        </w:rPr>
      </w:pPr>
      <w:r>
        <w:rPr>
          <w:sz w:val="24"/>
          <w:szCs w:val="24"/>
        </w:rPr>
        <w:t>P</w:t>
      </w:r>
      <w:r w:rsidRPr="00F9415B" w:rsidR="00D416CD">
        <w:rPr>
          <w:sz w:val="24"/>
          <w:szCs w:val="24"/>
        </w:rPr>
        <w:t>lace liability to compen</w:t>
      </w:r>
      <w:r w:rsidRPr="00F9415B" w:rsidR="00495E25">
        <w:rPr>
          <w:sz w:val="24"/>
          <w:szCs w:val="24"/>
        </w:rPr>
        <w:t xml:space="preserve">sate </w:t>
      </w:r>
      <w:r w:rsidRPr="00F9415B" w:rsidR="00D416CD">
        <w:rPr>
          <w:sz w:val="24"/>
          <w:szCs w:val="24"/>
        </w:rPr>
        <w:t>PSPs for payphone-originated cal</w:t>
      </w:r>
      <w:r w:rsidR="00BE00A8">
        <w:rPr>
          <w:sz w:val="24"/>
          <w:szCs w:val="24"/>
        </w:rPr>
        <w:t xml:space="preserve">ls on the facilities-based </w:t>
      </w:r>
      <w:proofErr w:type="gramStart"/>
      <w:r w:rsidR="00BE00A8">
        <w:rPr>
          <w:sz w:val="24"/>
          <w:szCs w:val="24"/>
        </w:rPr>
        <w:t xml:space="preserve">long </w:t>
      </w:r>
      <w:r w:rsidRPr="00F9415B" w:rsidR="00D416CD">
        <w:rPr>
          <w:sz w:val="24"/>
          <w:szCs w:val="24"/>
        </w:rPr>
        <w:t>distance</w:t>
      </w:r>
      <w:proofErr w:type="gramEnd"/>
      <w:r w:rsidRPr="00F9415B" w:rsidR="00D416CD">
        <w:rPr>
          <w:sz w:val="24"/>
          <w:szCs w:val="24"/>
        </w:rPr>
        <w:t xml:space="preserve"> carriers </w:t>
      </w:r>
      <w:r w:rsidRPr="000E7A8A">
        <w:rPr>
          <w:sz w:val="24"/>
          <w:szCs w:val="24"/>
        </w:rPr>
        <w:t>or a switch-based reseller</w:t>
      </w:r>
      <w:r w:rsidR="000B44D0">
        <w:rPr>
          <w:sz w:val="24"/>
          <w:szCs w:val="24"/>
        </w:rPr>
        <w:t>s</w:t>
      </w:r>
      <w:r w:rsidRPr="000E7A8A">
        <w:rPr>
          <w:sz w:val="24"/>
          <w:szCs w:val="24"/>
        </w:rPr>
        <w:t xml:space="preserve"> (SBR)</w:t>
      </w:r>
      <w:r>
        <w:rPr>
          <w:sz w:val="24"/>
          <w:szCs w:val="24"/>
        </w:rPr>
        <w:t xml:space="preserve"> </w:t>
      </w:r>
      <w:r w:rsidRPr="00F9415B" w:rsidR="00D416CD">
        <w:rPr>
          <w:sz w:val="24"/>
          <w:szCs w:val="24"/>
        </w:rPr>
        <w:t xml:space="preserve">from whose switches such calls are completed.  </w:t>
      </w:r>
    </w:p>
    <w:p w:rsidRPr="00F9415B" w:rsidR="00ED3056" w:rsidP="00904E45" w:rsidRDefault="00ED3056" w14:paraId="407996E1" w14:textId="77777777">
      <w:pPr>
        <w:tabs>
          <w:tab w:val="num" w:pos="720"/>
        </w:tabs>
        <w:ind w:left="720"/>
        <w:rPr>
          <w:sz w:val="24"/>
          <w:szCs w:val="24"/>
        </w:rPr>
      </w:pPr>
    </w:p>
    <w:p w:rsidRPr="00F9415B" w:rsidR="00ED3056" w:rsidP="000E7A8A" w:rsidRDefault="00725241" w14:paraId="139E0A09" w14:textId="2DA18230">
      <w:pPr>
        <w:numPr>
          <w:ilvl w:val="0"/>
          <w:numId w:val="15"/>
        </w:numPr>
        <w:rPr>
          <w:sz w:val="24"/>
        </w:rPr>
      </w:pPr>
      <w:r>
        <w:rPr>
          <w:sz w:val="24"/>
        </w:rPr>
        <w:t>D</w:t>
      </w:r>
      <w:r w:rsidRPr="00F9415B" w:rsidR="00D416CD">
        <w:rPr>
          <w:sz w:val="24"/>
        </w:rPr>
        <w:t xml:space="preserve">efine these </w:t>
      </w:r>
      <w:r w:rsidRPr="00962B3C" w:rsidR="00D416CD">
        <w:rPr>
          <w:sz w:val="24"/>
          <w:szCs w:val="24"/>
        </w:rPr>
        <w:t>responsible</w:t>
      </w:r>
      <w:r w:rsidRPr="00F9415B" w:rsidR="00D416CD">
        <w:rPr>
          <w:sz w:val="24"/>
        </w:rPr>
        <w:t xml:space="preserve"> carriers as “Completing Carriers” and require them to develop their own system of tracking calls to completion.  </w:t>
      </w:r>
    </w:p>
    <w:p w:rsidRPr="00F9415B" w:rsidR="00ED3056" w:rsidP="00904E45" w:rsidRDefault="00ED3056" w14:paraId="30F3BC02" w14:textId="77777777">
      <w:pPr>
        <w:tabs>
          <w:tab w:val="num" w:pos="720"/>
        </w:tabs>
        <w:ind w:left="720"/>
        <w:rPr>
          <w:sz w:val="24"/>
        </w:rPr>
      </w:pPr>
    </w:p>
    <w:p w:rsidRPr="00F9415B" w:rsidR="00ED3056" w:rsidP="000E7A8A" w:rsidRDefault="00725241" w14:paraId="1180702C" w14:textId="769A2B31">
      <w:pPr>
        <w:numPr>
          <w:ilvl w:val="0"/>
          <w:numId w:val="15"/>
        </w:numPr>
        <w:rPr>
          <w:sz w:val="24"/>
        </w:rPr>
      </w:pPr>
      <w:r>
        <w:rPr>
          <w:sz w:val="24"/>
        </w:rPr>
        <w:t xml:space="preserve">Require </w:t>
      </w:r>
      <w:r w:rsidRPr="00962B3C" w:rsidR="00D416CD">
        <w:rPr>
          <w:sz w:val="24"/>
          <w:szCs w:val="24"/>
        </w:rPr>
        <w:t>Completing</w:t>
      </w:r>
      <w:r w:rsidRPr="00F9415B" w:rsidR="00D416CD">
        <w:rPr>
          <w:sz w:val="24"/>
        </w:rPr>
        <w:t xml:space="preserve"> Carriers </w:t>
      </w:r>
      <w:r w:rsidR="003533FC">
        <w:rPr>
          <w:sz w:val="24"/>
        </w:rPr>
        <w:t>to</w:t>
      </w:r>
      <w:r w:rsidRPr="00F9415B" w:rsidR="00D416CD">
        <w:rPr>
          <w:sz w:val="24"/>
        </w:rPr>
        <w:t xml:space="preserve"> file with PSPs a quarterly report and must also submit an attestation that the payment amount for that quarter is accurate and is based on 100% of all completed calls.  </w:t>
      </w:r>
    </w:p>
    <w:p w:rsidRPr="00F9415B" w:rsidR="00ED3056" w:rsidP="00904E45" w:rsidRDefault="00ED3056" w14:paraId="075BFA7D" w14:textId="77777777">
      <w:pPr>
        <w:tabs>
          <w:tab w:val="num" w:pos="720"/>
        </w:tabs>
        <w:ind w:left="720"/>
        <w:rPr>
          <w:sz w:val="24"/>
        </w:rPr>
      </w:pPr>
    </w:p>
    <w:p w:rsidR="00ED3056" w:rsidP="000E7A8A" w:rsidRDefault="00725241" w14:paraId="6EA55138" w14:textId="77777777">
      <w:pPr>
        <w:numPr>
          <w:ilvl w:val="0"/>
          <w:numId w:val="15"/>
        </w:numPr>
        <w:rPr>
          <w:sz w:val="24"/>
          <w:szCs w:val="24"/>
        </w:rPr>
      </w:pPr>
      <w:r>
        <w:rPr>
          <w:sz w:val="24"/>
          <w:szCs w:val="24"/>
        </w:rPr>
        <w:t>R</w:t>
      </w:r>
      <w:r w:rsidRPr="00F9415B" w:rsidR="00D416CD">
        <w:rPr>
          <w:sz w:val="24"/>
          <w:szCs w:val="24"/>
        </w:rPr>
        <w:t xml:space="preserve">equire </w:t>
      </w:r>
      <w:r w:rsidR="00BD6ECB">
        <w:rPr>
          <w:sz w:val="24"/>
          <w:szCs w:val="24"/>
        </w:rPr>
        <w:t xml:space="preserve">quarterly </w:t>
      </w:r>
      <w:r w:rsidRPr="00F9415B" w:rsidR="00D416CD">
        <w:rPr>
          <w:sz w:val="24"/>
          <w:szCs w:val="24"/>
        </w:rPr>
        <w:t xml:space="preserve">reporting obligations for other facilities-based </w:t>
      </w:r>
      <w:proofErr w:type="gramStart"/>
      <w:r w:rsidRPr="00F9415B" w:rsidR="00D416CD">
        <w:rPr>
          <w:sz w:val="24"/>
          <w:szCs w:val="24"/>
        </w:rPr>
        <w:t>long distance</w:t>
      </w:r>
      <w:proofErr w:type="gramEnd"/>
      <w:r w:rsidRPr="00F9415B" w:rsidR="00D416CD">
        <w:rPr>
          <w:sz w:val="24"/>
          <w:szCs w:val="24"/>
        </w:rPr>
        <w:t xml:space="preserve"> carriers in the call path, if any</w:t>
      </w:r>
      <w:r w:rsidRPr="00F9415B" w:rsidR="003D41B4">
        <w:rPr>
          <w:sz w:val="24"/>
          <w:szCs w:val="24"/>
        </w:rPr>
        <w:t>, and define these carriers as “</w:t>
      </w:r>
      <w:r w:rsidRPr="00F9415B" w:rsidR="00D416CD">
        <w:rPr>
          <w:sz w:val="24"/>
          <w:szCs w:val="24"/>
        </w:rPr>
        <w:t>Intermediate Carrier</w:t>
      </w:r>
      <w:r w:rsidRPr="00F9415B" w:rsidR="003D41B4">
        <w:rPr>
          <w:sz w:val="24"/>
          <w:szCs w:val="24"/>
        </w:rPr>
        <w:t xml:space="preserve">s.”  </w:t>
      </w:r>
    </w:p>
    <w:p w:rsidR="00474886" w:rsidP="00A305A4" w:rsidRDefault="00474886" w14:paraId="5729B9F1" w14:textId="77777777">
      <w:pPr>
        <w:pStyle w:val="ListParagraph"/>
        <w:rPr>
          <w:sz w:val="24"/>
          <w:szCs w:val="24"/>
        </w:rPr>
      </w:pPr>
    </w:p>
    <w:p w:rsidRPr="00474886" w:rsidR="00474886" w:rsidP="000E7A8A" w:rsidRDefault="00474886" w14:paraId="76CF4244" w14:textId="77777777">
      <w:pPr>
        <w:numPr>
          <w:ilvl w:val="0"/>
          <w:numId w:val="15"/>
        </w:numPr>
        <w:rPr>
          <w:sz w:val="24"/>
          <w:szCs w:val="24"/>
        </w:rPr>
      </w:pPr>
      <w:r>
        <w:rPr>
          <w:sz w:val="24"/>
          <w:szCs w:val="24"/>
        </w:rPr>
        <w:t>Require</w:t>
      </w:r>
      <w:r w:rsidRPr="00474886">
        <w:rPr>
          <w:sz w:val="24"/>
          <w:szCs w:val="24"/>
        </w:rPr>
        <w:t xml:space="preserve"> Completing Carriers and Intermediate Carriers </w:t>
      </w:r>
      <w:r>
        <w:rPr>
          <w:sz w:val="24"/>
          <w:szCs w:val="24"/>
        </w:rPr>
        <w:t>to</w:t>
      </w:r>
      <w:r w:rsidRPr="00474886">
        <w:rPr>
          <w:sz w:val="24"/>
          <w:szCs w:val="24"/>
        </w:rPr>
        <w:t xml:space="preserve"> retain certain payphone records, for dispute resolution purposes, </w:t>
      </w:r>
      <w:r>
        <w:rPr>
          <w:sz w:val="24"/>
          <w:szCs w:val="24"/>
        </w:rPr>
        <w:t>for</w:t>
      </w:r>
      <w:r w:rsidRPr="00474886">
        <w:rPr>
          <w:sz w:val="24"/>
          <w:szCs w:val="24"/>
        </w:rPr>
        <w:t xml:space="preserve"> 27 months.</w:t>
      </w:r>
    </w:p>
    <w:p w:rsidRPr="00F9415B" w:rsidR="00ED3056" w:rsidP="00904E45" w:rsidRDefault="00ED3056" w14:paraId="082E243E" w14:textId="77777777">
      <w:pPr>
        <w:tabs>
          <w:tab w:val="num" w:pos="720"/>
        </w:tabs>
        <w:ind w:left="720"/>
        <w:rPr>
          <w:sz w:val="24"/>
          <w:szCs w:val="24"/>
        </w:rPr>
      </w:pPr>
    </w:p>
    <w:p w:rsidRPr="00F9415B" w:rsidR="00ED3056" w:rsidP="000E7A8A" w:rsidRDefault="00725241" w14:paraId="6D31039C" w14:textId="1377E3AD">
      <w:pPr>
        <w:numPr>
          <w:ilvl w:val="0"/>
          <w:numId w:val="15"/>
        </w:numPr>
      </w:pPr>
      <w:r>
        <w:rPr>
          <w:sz w:val="24"/>
        </w:rPr>
        <w:t>G</w:t>
      </w:r>
      <w:r w:rsidRPr="00F9415B" w:rsidR="00D416CD">
        <w:rPr>
          <w:sz w:val="24"/>
        </w:rPr>
        <w:t xml:space="preserve">ive parties flexibility to </w:t>
      </w:r>
      <w:r w:rsidRPr="00962B3C" w:rsidR="00D416CD">
        <w:rPr>
          <w:sz w:val="24"/>
          <w:szCs w:val="24"/>
        </w:rPr>
        <w:t>agree</w:t>
      </w:r>
      <w:r w:rsidRPr="00F9415B" w:rsidR="00D416CD">
        <w:rPr>
          <w:sz w:val="24"/>
        </w:rPr>
        <w:t xml:space="preserve"> to alternative compensation arrangements (ACA) so that small Completing Carriers may avoid the expense of instituting a tracking system.</w:t>
      </w:r>
      <w:r w:rsidRPr="00F9415B" w:rsidR="00D416CD">
        <w:t xml:space="preserve">   </w:t>
      </w:r>
    </w:p>
    <w:p w:rsidR="00ED3056" w:rsidP="00904E45" w:rsidRDefault="00ED3056" w14:paraId="0C647482" w14:textId="77777777">
      <w:pPr>
        <w:tabs>
          <w:tab w:val="num" w:pos="720"/>
        </w:tabs>
        <w:ind w:left="720" w:hanging="360"/>
      </w:pPr>
    </w:p>
    <w:p w:rsidRPr="00F9415B" w:rsidR="00D416CD" w:rsidP="00EB0ECA" w:rsidRDefault="00BF51FE" w14:paraId="7EA648E3" w14:textId="07F1EB64">
      <w:pPr>
        <w:pStyle w:val="ParaNum"/>
        <w:numPr>
          <w:ilvl w:val="0"/>
          <w:numId w:val="0"/>
        </w:numPr>
        <w:tabs>
          <w:tab w:val="left" w:pos="2610"/>
        </w:tabs>
        <w:ind w:left="720"/>
        <w:rPr>
          <w:szCs w:val="24"/>
        </w:rPr>
      </w:pPr>
      <w:r w:rsidRPr="008760FE">
        <w:rPr>
          <w:szCs w:val="24"/>
        </w:rPr>
        <w:t>On February 22, 2018, the Commission adopted a Report and Order, FCC 18-21</w:t>
      </w:r>
      <w:r w:rsidR="00F43AAA">
        <w:rPr>
          <w:szCs w:val="24"/>
        </w:rPr>
        <w:t xml:space="preserve"> (</w:t>
      </w:r>
      <w:r w:rsidRPr="00F43AAA" w:rsidR="00F43AAA">
        <w:rPr>
          <w:i/>
          <w:szCs w:val="24"/>
        </w:rPr>
        <w:t>2018 Payphone Order</w:t>
      </w:r>
      <w:r w:rsidR="00F43AAA">
        <w:rPr>
          <w:szCs w:val="24"/>
        </w:rPr>
        <w:t>)</w:t>
      </w:r>
      <w:r w:rsidRPr="008760FE">
        <w:rPr>
          <w:szCs w:val="24"/>
        </w:rPr>
        <w:t>, that</w:t>
      </w:r>
      <w:r w:rsidR="00340109">
        <w:rPr>
          <w:szCs w:val="24"/>
        </w:rPr>
        <w:t xml:space="preserve">: </w:t>
      </w:r>
      <w:r w:rsidRPr="008760FE">
        <w:rPr>
          <w:szCs w:val="24"/>
        </w:rPr>
        <w:t xml:space="preserve"> </w:t>
      </w:r>
      <w:r w:rsidRPr="008760FE" w:rsidR="008760FE">
        <w:rPr>
          <w:szCs w:val="24"/>
        </w:rPr>
        <w:t>(</w:t>
      </w:r>
      <w:r w:rsidRPr="008760FE" w:rsidR="008760FE">
        <w:rPr>
          <w:color w:val="000000"/>
          <w:szCs w:val="24"/>
        </w:rPr>
        <w:t>1) eliminate</w:t>
      </w:r>
      <w:r w:rsidR="008760FE">
        <w:rPr>
          <w:color w:val="000000"/>
          <w:szCs w:val="24"/>
        </w:rPr>
        <w:t>d</w:t>
      </w:r>
      <w:r w:rsidRPr="008760FE" w:rsidR="008760FE">
        <w:rPr>
          <w:color w:val="000000"/>
          <w:szCs w:val="24"/>
        </w:rPr>
        <w:t xml:space="preserve"> </w:t>
      </w:r>
      <w:r w:rsidRPr="008760FE" w:rsidR="008760FE">
        <w:rPr>
          <w:szCs w:val="24"/>
        </w:rPr>
        <w:t>the payphone call tracking system audit and associated reporting requirements; (2) permit</w:t>
      </w:r>
      <w:r w:rsidR="008760FE">
        <w:rPr>
          <w:szCs w:val="24"/>
        </w:rPr>
        <w:t>ted</w:t>
      </w:r>
      <w:r w:rsidRPr="008760FE" w:rsidR="008760FE">
        <w:rPr>
          <w:szCs w:val="24"/>
        </w:rPr>
        <w:t xml:space="preserve"> a company official, including but no longer limited to, the chief financial officer (CFO), to certify that a Completing Carrier’s quarterly compensation payments to PSPs are accurate and complete; and (3) eliminate</w:t>
      </w:r>
      <w:r w:rsidR="001E65DF">
        <w:rPr>
          <w:szCs w:val="24"/>
        </w:rPr>
        <w:t>d</w:t>
      </w:r>
      <w:r w:rsidRPr="008760FE" w:rsidR="008760FE">
        <w:rPr>
          <w:szCs w:val="24"/>
        </w:rPr>
        <w:t xml:space="preserve"> expired interim and intermediate per-payphone compensation rules that no longer apply to any entity.</w:t>
      </w:r>
      <w:r>
        <w:rPr>
          <w:szCs w:val="24"/>
        </w:rPr>
        <w:t xml:space="preserve"> </w:t>
      </w:r>
      <w:r w:rsidRPr="00F9415B" w:rsidR="00D416CD">
        <w:rPr>
          <w:szCs w:val="24"/>
        </w:rPr>
        <w:t xml:space="preserve"> </w:t>
      </w:r>
    </w:p>
    <w:p w:rsidRPr="000E7A8A" w:rsidR="00FC7CA5" w:rsidP="000E7A8A" w:rsidRDefault="005E2731" w14:paraId="4C471836" w14:textId="1BD84AC3">
      <w:pPr>
        <w:tabs>
          <w:tab w:val="left" w:pos="270"/>
        </w:tabs>
        <w:ind w:left="270"/>
        <w:rPr>
          <w:sz w:val="24"/>
          <w:szCs w:val="24"/>
        </w:rPr>
      </w:pPr>
      <w:r w:rsidRPr="000E7A8A">
        <w:rPr>
          <w:sz w:val="24"/>
          <w:szCs w:val="24"/>
        </w:rPr>
        <w:t>The statutory authority for this collection is contained in sections 1, 4, and 276 of the Act, 47 U.S.C. §§</w:t>
      </w:r>
      <w:r w:rsidR="00834537">
        <w:rPr>
          <w:sz w:val="24"/>
          <w:szCs w:val="24"/>
        </w:rPr>
        <w:t xml:space="preserve"> </w:t>
      </w:r>
      <w:r w:rsidRPr="000E7A8A">
        <w:rPr>
          <w:sz w:val="24"/>
          <w:szCs w:val="24"/>
        </w:rPr>
        <w:t>151, 154, and 276.</w:t>
      </w:r>
    </w:p>
    <w:p w:rsidR="00A74322" w:rsidP="000E7A8A" w:rsidRDefault="00A74322" w14:paraId="5E78B13F" w14:textId="77777777">
      <w:pPr>
        <w:tabs>
          <w:tab w:val="left" w:pos="270"/>
        </w:tabs>
        <w:ind w:left="270"/>
        <w:rPr>
          <w:sz w:val="24"/>
          <w:szCs w:val="24"/>
        </w:rPr>
      </w:pPr>
    </w:p>
    <w:p w:rsidR="00FC7CA5" w:rsidP="000E7A8A" w:rsidRDefault="00B0040A" w14:paraId="5734B1BA" w14:textId="77777777">
      <w:pPr>
        <w:tabs>
          <w:tab w:val="left" w:pos="270"/>
        </w:tabs>
        <w:ind w:left="270"/>
        <w:rPr>
          <w:sz w:val="24"/>
          <w:szCs w:val="24"/>
        </w:rPr>
      </w:pPr>
      <w:r>
        <w:rPr>
          <w:sz w:val="24"/>
          <w:szCs w:val="24"/>
        </w:rPr>
        <w:t>T</w:t>
      </w:r>
      <w:r w:rsidRPr="000E7A8A" w:rsidR="00FC7CA5">
        <w:rPr>
          <w:sz w:val="24"/>
          <w:szCs w:val="24"/>
        </w:rPr>
        <w:t>his information collection does not affect individuals or households; thus, there are no impacts under the Privacy Act.</w:t>
      </w:r>
    </w:p>
    <w:p w:rsidR="001C4D0D" w:rsidP="000E7A8A" w:rsidRDefault="001C4D0D" w14:paraId="1B92FF5E" w14:textId="77777777">
      <w:pPr>
        <w:tabs>
          <w:tab w:val="left" w:pos="270"/>
        </w:tabs>
        <w:ind w:left="270"/>
        <w:rPr>
          <w:sz w:val="24"/>
          <w:szCs w:val="24"/>
        </w:rPr>
      </w:pPr>
    </w:p>
    <w:p w:rsidRPr="00F9415B" w:rsidR="00D416CD" w:rsidP="000E7A8A" w:rsidRDefault="00D416CD" w14:paraId="715B87F8" w14:textId="6CA92FFB">
      <w:pPr>
        <w:numPr>
          <w:ilvl w:val="0"/>
          <w:numId w:val="16"/>
        </w:numPr>
        <w:ind w:left="360"/>
        <w:rPr>
          <w:sz w:val="24"/>
          <w:szCs w:val="24"/>
        </w:rPr>
      </w:pPr>
      <w:r w:rsidRPr="00F9415B">
        <w:rPr>
          <w:sz w:val="24"/>
          <w:szCs w:val="24"/>
        </w:rPr>
        <w:t xml:space="preserve">For the final rules, the information collected under </w:t>
      </w:r>
      <w:r w:rsidRPr="00F9415B" w:rsidR="003D41B4">
        <w:rPr>
          <w:sz w:val="24"/>
          <w:szCs w:val="24"/>
        </w:rPr>
        <w:t xml:space="preserve">Completing Carrier </w:t>
      </w:r>
      <w:r w:rsidRPr="00F9415B">
        <w:rPr>
          <w:sz w:val="24"/>
          <w:szCs w:val="24"/>
        </w:rPr>
        <w:t xml:space="preserve">filing of quarterly reports and Intermediate Carrier filing of quarterly reports must be provided to third parties.  The information collected under </w:t>
      </w:r>
      <w:r w:rsidRPr="00F9415B" w:rsidR="003D41B4">
        <w:rPr>
          <w:sz w:val="24"/>
          <w:szCs w:val="24"/>
        </w:rPr>
        <w:t>Completing Carrier</w:t>
      </w:r>
      <w:r w:rsidRPr="00F9415B">
        <w:rPr>
          <w:sz w:val="24"/>
          <w:szCs w:val="24"/>
        </w:rPr>
        <w:t xml:space="preserve"> establishment of call tracking system must be provided to third parties.  The information collected annually under </w:t>
      </w:r>
      <w:r w:rsidRPr="00F9415B" w:rsidR="003D41B4">
        <w:rPr>
          <w:sz w:val="24"/>
          <w:szCs w:val="24"/>
        </w:rPr>
        <w:t xml:space="preserve">Completing Carrier </w:t>
      </w:r>
      <w:r w:rsidRPr="00F9415B">
        <w:rPr>
          <w:sz w:val="24"/>
          <w:szCs w:val="24"/>
        </w:rPr>
        <w:t xml:space="preserve">establishment of call tracking system, </w:t>
      </w:r>
      <w:r w:rsidRPr="00F9415B" w:rsidR="003D41B4">
        <w:rPr>
          <w:sz w:val="24"/>
          <w:szCs w:val="24"/>
        </w:rPr>
        <w:t xml:space="preserve">Completing Carrier </w:t>
      </w:r>
      <w:r w:rsidRPr="00F9415B">
        <w:rPr>
          <w:sz w:val="24"/>
          <w:szCs w:val="24"/>
        </w:rPr>
        <w:t>filing of quarterly report</w:t>
      </w:r>
      <w:r w:rsidR="00B071CE">
        <w:rPr>
          <w:sz w:val="24"/>
          <w:szCs w:val="24"/>
        </w:rPr>
        <w:t xml:space="preserve">s, </w:t>
      </w:r>
      <w:r w:rsidRPr="00F9415B">
        <w:rPr>
          <w:sz w:val="24"/>
          <w:szCs w:val="24"/>
        </w:rPr>
        <w:t xml:space="preserve">and Intermediate Carrier filing of quarterly reports </w:t>
      </w:r>
      <w:r w:rsidR="001E65DF">
        <w:rPr>
          <w:sz w:val="24"/>
          <w:szCs w:val="24"/>
        </w:rPr>
        <w:t>is</w:t>
      </w:r>
      <w:r w:rsidRPr="00F9415B">
        <w:rPr>
          <w:sz w:val="24"/>
          <w:szCs w:val="24"/>
        </w:rPr>
        <w:t xml:space="preserve"> used to ensure that </w:t>
      </w:r>
      <w:r w:rsidRPr="00F9415B" w:rsidR="00BF31C7">
        <w:rPr>
          <w:sz w:val="24"/>
          <w:szCs w:val="24"/>
        </w:rPr>
        <w:t>Completing Carriers</w:t>
      </w:r>
      <w:r w:rsidRPr="00F9415B">
        <w:rPr>
          <w:sz w:val="24"/>
          <w:szCs w:val="24"/>
        </w:rPr>
        <w:t xml:space="preserve"> comply with their obligations under </w:t>
      </w:r>
      <w:r w:rsidR="005505D1">
        <w:rPr>
          <w:sz w:val="24"/>
          <w:szCs w:val="24"/>
        </w:rPr>
        <w:t>section 276</w:t>
      </w:r>
      <w:r w:rsidRPr="00F9415B">
        <w:rPr>
          <w:sz w:val="24"/>
          <w:szCs w:val="24"/>
        </w:rPr>
        <w:t xml:space="preserve">. </w:t>
      </w:r>
    </w:p>
    <w:p w:rsidRPr="00F9415B" w:rsidR="00D416CD" w:rsidP="00D81215" w:rsidRDefault="00D416CD" w14:paraId="5F7C3897" w14:textId="77777777">
      <w:pPr>
        <w:ind w:left="360" w:hanging="360"/>
        <w:rPr>
          <w:sz w:val="24"/>
          <w:szCs w:val="24"/>
        </w:rPr>
      </w:pPr>
    </w:p>
    <w:p w:rsidRPr="00F9415B" w:rsidR="00D416CD" w:rsidP="000E7A8A" w:rsidRDefault="004D6752" w14:paraId="3B93F0AB" w14:textId="26650598">
      <w:pPr>
        <w:numPr>
          <w:ilvl w:val="0"/>
          <w:numId w:val="16"/>
        </w:numPr>
        <w:ind w:left="360"/>
        <w:rPr>
          <w:sz w:val="24"/>
          <w:szCs w:val="24"/>
        </w:rPr>
      </w:pPr>
      <w:r>
        <w:rPr>
          <w:sz w:val="24"/>
          <w:szCs w:val="24"/>
        </w:rPr>
        <w:t>T</w:t>
      </w:r>
      <w:r w:rsidRPr="00F9415B" w:rsidR="00D416CD">
        <w:rPr>
          <w:sz w:val="24"/>
          <w:szCs w:val="24"/>
        </w:rPr>
        <w:t xml:space="preserve">he Commission in </w:t>
      </w:r>
      <w:r w:rsidR="001E65DF">
        <w:rPr>
          <w:sz w:val="24"/>
          <w:szCs w:val="24"/>
        </w:rPr>
        <w:t xml:space="preserve">an earlier </w:t>
      </w:r>
      <w:r w:rsidRPr="00A305A4" w:rsidR="00D416CD">
        <w:rPr>
          <w:sz w:val="24"/>
        </w:rPr>
        <w:t>Order on Reconsideration</w:t>
      </w:r>
      <w:r w:rsidRPr="00F9415B" w:rsidR="00D416CD">
        <w:rPr>
          <w:sz w:val="24"/>
          <w:szCs w:val="24"/>
        </w:rPr>
        <w:t xml:space="preserve"> encourage</w:t>
      </w:r>
      <w:r w:rsidR="001E65DF">
        <w:rPr>
          <w:sz w:val="24"/>
          <w:szCs w:val="24"/>
        </w:rPr>
        <w:t>d</w:t>
      </w:r>
      <w:r w:rsidRPr="00F9415B" w:rsidR="00D416CD">
        <w:rPr>
          <w:sz w:val="24"/>
          <w:szCs w:val="24"/>
        </w:rPr>
        <w:t xml:space="preserve"> the use of improved technology where appropriate.  The Commission </w:t>
      </w:r>
      <w:proofErr w:type="gramStart"/>
      <w:r w:rsidRPr="00F9415B" w:rsidR="00D416CD">
        <w:rPr>
          <w:sz w:val="24"/>
          <w:szCs w:val="24"/>
        </w:rPr>
        <w:t>took into account</w:t>
      </w:r>
      <w:proofErr w:type="gramEnd"/>
      <w:r w:rsidRPr="00F9415B" w:rsidR="00D416CD">
        <w:rPr>
          <w:sz w:val="24"/>
          <w:szCs w:val="24"/>
        </w:rPr>
        <w:t xml:space="preserve"> critical factors such as the time it will take before appropriate technological ability can be achieved, and who has the available information/data, before requiring these collections.  Accordingly, the Commission provides for transition flexibility and choice of arrangements</w:t>
      </w:r>
      <w:r w:rsidR="009C7BB4">
        <w:rPr>
          <w:sz w:val="24"/>
          <w:szCs w:val="24"/>
        </w:rPr>
        <w:t>,</w:t>
      </w:r>
      <w:r w:rsidRPr="00F9415B" w:rsidR="00D416CD">
        <w:rPr>
          <w:sz w:val="24"/>
          <w:szCs w:val="24"/>
        </w:rPr>
        <w:t xml:space="preserve"> which the Commission believes will substantially reduce the burden of this collection.</w:t>
      </w:r>
    </w:p>
    <w:p w:rsidRPr="00F9415B" w:rsidR="00D416CD" w:rsidP="00D81215" w:rsidRDefault="00D416CD" w14:paraId="3584949B" w14:textId="77777777">
      <w:pPr>
        <w:ind w:left="360" w:hanging="360"/>
        <w:rPr>
          <w:sz w:val="24"/>
          <w:szCs w:val="24"/>
        </w:rPr>
      </w:pPr>
    </w:p>
    <w:p w:rsidRPr="00F9415B" w:rsidR="00D416CD" w:rsidP="000E7A8A" w:rsidRDefault="00D416CD" w14:paraId="3A45D8E6" w14:textId="77777777">
      <w:pPr>
        <w:numPr>
          <w:ilvl w:val="0"/>
          <w:numId w:val="16"/>
        </w:numPr>
        <w:ind w:left="360"/>
        <w:rPr>
          <w:sz w:val="24"/>
          <w:szCs w:val="24"/>
        </w:rPr>
      </w:pPr>
      <w:r w:rsidRPr="00F9415B">
        <w:rPr>
          <w:sz w:val="24"/>
          <w:szCs w:val="24"/>
        </w:rPr>
        <w:t>There will be no duplication of information.  In most instances, the information sought is unique to each respondent.</w:t>
      </w:r>
    </w:p>
    <w:p w:rsidRPr="00F9415B" w:rsidR="00D416CD" w:rsidP="00D81215" w:rsidRDefault="00D416CD" w14:paraId="249EBA2F" w14:textId="77777777">
      <w:pPr>
        <w:ind w:left="360" w:hanging="360"/>
        <w:rPr>
          <w:sz w:val="24"/>
          <w:szCs w:val="24"/>
        </w:rPr>
      </w:pPr>
    </w:p>
    <w:p w:rsidRPr="00F9415B" w:rsidR="00D416CD" w:rsidP="000E7A8A" w:rsidRDefault="00D416CD" w14:paraId="7859739D" w14:textId="00DDEC87">
      <w:pPr>
        <w:numPr>
          <w:ilvl w:val="0"/>
          <w:numId w:val="16"/>
        </w:numPr>
        <w:ind w:left="360"/>
        <w:rPr>
          <w:sz w:val="24"/>
          <w:szCs w:val="24"/>
        </w:rPr>
      </w:pPr>
      <w:r w:rsidRPr="00F9415B">
        <w:rPr>
          <w:sz w:val="24"/>
          <w:szCs w:val="24"/>
        </w:rPr>
        <w:t xml:space="preserve">The collections of information may have some impact on small businesses or other small entities.  The Commission considered many alternatives before choosing the least burdensome methods to accomplish the objectives of </w:t>
      </w:r>
      <w:r w:rsidR="00124624">
        <w:rPr>
          <w:sz w:val="24"/>
          <w:szCs w:val="24"/>
        </w:rPr>
        <w:t>s</w:t>
      </w:r>
      <w:r w:rsidRPr="00F9415B">
        <w:rPr>
          <w:sz w:val="24"/>
          <w:szCs w:val="24"/>
        </w:rPr>
        <w:t xml:space="preserve">ection 276.  </w:t>
      </w:r>
      <w:bookmarkStart w:name="_Hlk508197833" w:id="0"/>
      <w:r w:rsidRPr="00F9415B">
        <w:rPr>
          <w:sz w:val="24"/>
          <w:szCs w:val="24"/>
        </w:rPr>
        <w:t>Wherever possible, the Commission has provided for flexibility, such as permitting electronic submissions where appropriate and permitting certain functions to be contracted out to third parties.</w:t>
      </w:r>
      <w:bookmarkEnd w:id="0"/>
      <w:r w:rsidRPr="00F9415B">
        <w:rPr>
          <w:sz w:val="24"/>
          <w:szCs w:val="24"/>
        </w:rPr>
        <w:t xml:space="preserve">  Although the calculations in </w:t>
      </w:r>
      <w:r w:rsidR="001532AA">
        <w:rPr>
          <w:sz w:val="24"/>
          <w:szCs w:val="24"/>
        </w:rPr>
        <w:t>q</w:t>
      </w:r>
      <w:r w:rsidR="00AA7AC2">
        <w:rPr>
          <w:sz w:val="24"/>
          <w:szCs w:val="24"/>
        </w:rPr>
        <w:t>uestion</w:t>
      </w:r>
      <w:r w:rsidRPr="00F9415B">
        <w:rPr>
          <w:sz w:val="24"/>
          <w:szCs w:val="24"/>
        </w:rPr>
        <w:t xml:space="preserve"> 12 below are based on an estimated </w:t>
      </w:r>
      <w:r w:rsidR="000D3BD4">
        <w:rPr>
          <w:sz w:val="24"/>
          <w:szCs w:val="24"/>
        </w:rPr>
        <w:t>153</w:t>
      </w:r>
      <w:r w:rsidRPr="00F9415B">
        <w:rPr>
          <w:sz w:val="24"/>
          <w:szCs w:val="24"/>
        </w:rPr>
        <w:t xml:space="preserve"> </w:t>
      </w:r>
      <w:r w:rsidRPr="00F9415B" w:rsidR="003A1294">
        <w:rPr>
          <w:sz w:val="24"/>
          <w:szCs w:val="24"/>
        </w:rPr>
        <w:t>Completing Carriers</w:t>
      </w:r>
      <w:r w:rsidRPr="00F9415B">
        <w:rPr>
          <w:sz w:val="24"/>
          <w:szCs w:val="24"/>
        </w:rPr>
        <w:t xml:space="preserve">, the final rules permit </w:t>
      </w:r>
      <w:r w:rsidRPr="00F9415B" w:rsidR="003A1294">
        <w:rPr>
          <w:sz w:val="24"/>
          <w:szCs w:val="24"/>
        </w:rPr>
        <w:t>Completing Carrier</w:t>
      </w:r>
      <w:r w:rsidRPr="00F9415B">
        <w:rPr>
          <w:sz w:val="24"/>
          <w:szCs w:val="24"/>
        </w:rPr>
        <w:t xml:space="preserve">s to contract around these paperwork requirements.  Based on the record in the proceeding, the Commission estimates that the vast majority of </w:t>
      </w:r>
      <w:r w:rsidRPr="00F9415B" w:rsidR="003A1294">
        <w:rPr>
          <w:sz w:val="24"/>
          <w:szCs w:val="24"/>
        </w:rPr>
        <w:t>Completing Carrier</w:t>
      </w:r>
      <w:r w:rsidRPr="00F9415B">
        <w:rPr>
          <w:sz w:val="24"/>
          <w:szCs w:val="24"/>
        </w:rPr>
        <w:t xml:space="preserve">s will </w:t>
      </w:r>
      <w:r w:rsidR="001E65DF">
        <w:rPr>
          <w:sz w:val="24"/>
          <w:szCs w:val="24"/>
        </w:rPr>
        <w:t xml:space="preserve">comply with </w:t>
      </w:r>
      <w:r w:rsidRPr="00F9415B">
        <w:rPr>
          <w:sz w:val="24"/>
          <w:szCs w:val="24"/>
        </w:rPr>
        <w:t xml:space="preserve">these paperwork requirements </w:t>
      </w:r>
      <w:r w:rsidR="001E65DF">
        <w:rPr>
          <w:sz w:val="24"/>
          <w:szCs w:val="24"/>
        </w:rPr>
        <w:t xml:space="preserve">through clearinghouses rather than directly with individual </w:t>
      </w:r>
      <w:r w:rsidRPr="00F9415B">
        <w:rPr>
          <w:sz w:val="24"/>
          <w:szCs w:val="24"/>
        </w:rPr>
        <w:t>PSPs.</w:t>
      </w:r>
      <w:r w:rsidR="001E65DF">
        <w:rPr>
          <w:sz w:val="24"/>
          <w:szCs w:val="24"/>
        </w:rPr>
        <w:t xml:space="preserve">  Moreover, elimination of the audit and associated reporting requirements, as well as permitting a company official other than the CFO to attest to the accuracy of the requisite quarterly reports and compensation, serve to minimize the burden on all Completing Carriers. </w:t>
      </w:r>
    </w:p>
    <w:p w:rsidRPr="00F9415B" w:rsidR="00D416CD" w:rsidP="00D81215" w:rsidRDefault="00D416CD" w14:paraId="1AB5465F" w14:textId="77777777">
      <w:pPr>
        <w:ind w:left="360" w:hanging="360"/>
        <w:rPr>
          <w:sz w:val="24"/>
          <w:szCs w:val="24"/>
        </w:rPr>
      </w:pPr>
    </w:p>
    <w:p w:rsidRPr="00F9415B" w:rsidR="00D416CD" w:rsidP="000E7A8A" w:rsidRDefault="00D416CD" w14:paraId="37597990" w14:textId="77777777">
      <w:pPr>
        <w:numPr>
          <w:ilvl w:val="0"/>
          <w:numId w:val="16"/>
        </w:numPr>
        <w:ind w:left="360"/>
        <w:rPr>
          <w:sz w:val="24"/>
          <w:szCs w:val="24"/>
        </w:rPr>
      </w:pPr>
      <w:r w:rsidRPr="00F9415B">
        <w:rPr>
          <w:sz w:val="24"/>
          <w:szCs w:val="24"/>
        </w:rPr>
        <w:t xml:space="preserve">Failing to collect the information, or collecting it less frequently, would violate the language and/or intent of </w:t>
      </w:r>
      <w:r w:rsidR="00124624">
        <w:rPr>
          <w:sz w:val="24"/>
          <w:szCs w:val="24"/>
        </w:rPr>
        <w:t>section 276</w:t>
      </w:r>
      <w:r w:rsidRPr="00F9415B">
        <w:rPr>
          <w:sz w:val="24"/>
          <w:szCs w:val="24"/>
        </w:rPr>
        <w:t xml:space="preserve"> to “establish a per call compensation plan to ensure that all payphone service providers are fairly compensated for each and every completed intrastate and interstate call,” and “promote competition among payphone service providers and promote the widespread deployment of payphone services to the benefit of the general public.”  </w:t>
      </w:r>
      <w:r w:rsidR="00124624">
        <w:rPr>
          <w:sz w:val="24"/>
          <w:szCs w:val="24"/>
        </w:rPr>
        <w:t>(</w:t>
      </w:r>
      <w:r w:rsidRPr="00F9415B">
        <w:rPr>
          <w:sz w:val="24"/>
          <w:szCs w:val="24"/>
        </w:rPr>
        <w:t>47 U.S.C. § 276(b)</w:t>
      </w:r>
      <w:r w:rsidR="00124624">
        <w:rPr>
          <w:sz w:val="24"/>
          <w:szCs w:val="24"/>
        </w:rPr>
        <w:t>)</w:t>
      </w:r>
      <w:r w:rsidRPr="00F9415B">
        <w:rPr>
          <w:sz w:val="24"/>
          <w:szCs w:val="24"/>
        </w:rPr>
        <w:t>.</w:t>
      </w:r>
    </w:p>
    <w:p w:rsidRPr="00F9415B" w:rsidR="001A4F32" w:rsidP="00D81215" w:rsidRDefault="001A4F32" w14:paraId="7E9954FD" w14:textId="77777777">
      <w:pPr>
        <w:ind w:left="360" w:hanging="360"/>
        <w:rPr>
          <w:sz w:val="24"/>
          <w:szCs w:val="24"/>
        </w:rPr>
      </w:pPr>
    </w:p>
    <w:p w:rsidRPr="00F9415B" w:rsidR="00D416CD" w:rsidP="000E7A8A" w:rsidRDefault="00D416CD" w14:paraId="5B5E5948" w14:textId="5CC7AAD1">
      <w:pPr>
        <w:numPr>
          <w:ilvl w:val="0"/>
          <w:numId w:val="16"/>
        </w:numPr>
        <w:ind w:left="360"/>
        <w:rPr>
          <w:sz w:val="24"/>
          <w:szCs w:val="24"/>
        </w:rPr>
      </w:pPr>
      <w:r w:rsidRPr="00F9415B">
        <w:rPr>
          <w:sz w:val="24"/>
          <w:szCs w:val="24"/>
        </w:rPr>
        <w:t>Commission requirements do not impose any obligations that would require parties to report information to the Commission,</w:t>
      </w:r>
      <w:r w:rsidRPr="00F9415B">
        <w:rPr>
          <w:b/>
          <w:sz w:val="24"/>
          <w:szCs w:val="24"/>
        </w:rPr>
        <w:t xml:space="preserve"> </w:t>
      </w:r>
      <w:r w:rsidRPr="00F9415B">
        <w:rPr>
          <w:sz w:val="24"/>
          <w:szCs w:val="24"/>
        </w:rPr>
        <w:t xml:space="preserve">nor will these requirements impose any other special </w:t>
      </w:r>
      <w:r w:rsidRPr="00F9415B">
        <w:rPr>
          <w:sz w:val="24"/>
          <w:szCs w:val="24"/>
        </w:rPr>
        <w:lastRenderedPageBreak/>
        <w:t xml:space="preserve">circumstances.  In some instances, a respondent might need to make a showing or filing more often than quarterly due to actions by private parties.  </w:t>
      </w:r>
    </w:p>
    <w:p w:rsidRPr="00F9415B" w:rsidR="00D416CD" w:rsidP="00D81215" w:rsidRDefault="00D416CD" w14:paraId="4D94043C" w14:textId="77777777">
      <w:pPr>
        <w:ind w:left="360" w:hanging="360"/>
        <w:rPr>
          <w:sz w:val="24"/>
          <w:szCs w:val="24"/>
        </w:rPr>
      </w:pPr>
    </w:p>
    <w:p w:rsidRPr="00705284" w:rsidR="00D416CD" w:rsidP="00EB0ECA" w:rsidRDefault="00D416CD" w14:paraId="117C4F00" w14:textId="2AC589AA">
      <w:pPr>
        <w:numPr>
          <w:ilvl w:val="0"/>
          <w:numId w:val="16"/>
        </w:numPr>
        <w:ind w:left="360"/>
        <w:rPr>
          <w:b/>
          <w:sz w:val="24"/>
          <w:szCs w:val="24"/>
        </w:rPr>
      </w:pPr>
      <w:r w:rsidRPr="00F9415B">
        <w:rPr>
          <w:sz w:val="24"/>
          <w:szCs w:val="24"/>
        </w:rPr>
        <w:t xml:space="preserve">The Commission </w:t>
      </w:r>
      <w:r w:rsidR="00D73AE8">
        <w:rPr>
          <w:sz w:val="24"/>
          <w:szCs w:val="24"/>
        </w:rPr>
        <w:t>published</w:t>
      </w:r>
      <w:r w:rsidRPr="00F9415B">
        <w:rPr>
          <w:sz w:val="24"/>
          <w:szCs w:val="24"/>
        </w:rPr>
        <w:t xml:space="preserve"> a </w:t>
      </w:r>
      <w:r w:rsidR="00425268">
        <w:rPr>
          <w:sz w:val="24"/>
          <w:szCs w:val="24"/>
        </w:rPr>
        <w:t xml:space="preserve">60-day </w:t>
      </w:r>
      <w:r w:rsidRPr="00F9415B">
        <w:rPr>
          <w:sz w:val="24"/>
          <w:szCs w:val="24"/>
        </w:rPr>
        <w:t xml:space="preserve">notice in the </w:t>
      </w:r>
      <w:r w:rsidRPr="00F9415B">
        <w:rPr>
          <w:i/>
          <w:sz w:val="24"/>
          <w:szCs w:val="24"/>
        </w:rPr>
        <w:t>Federal Register</w:t>
      </w:r>
      <w:r w:rsidRPr="00F9415B">
        <w:rPr>
          <w:sz w:val="24"/>
          <w:szCs w:val="24"/>
        </w:rPr>
        <w:t xml:space="preserve"> </w:t>
      </w:r>
      <w:r w:rsidR="00D73AE8">
        <w:rPr>
          <w:sz w:val="24"/>
          <w:szCs w:val="24"/>
        </w:rPr>
        <w:t xml:space="preserve">initiating a </w:t>
      </w:r>
      <w:r w:rsidR="00140359">
        <w:rPr>
          <w:sz w:val="24"/>
          <w:szCs w:val="24"/>
        </w:rPr>
        <w:t xml:space="preserve">public </w:t>
      </w:r>
      <w:r w:rsidR="00751EC4">
        <w:rPr>
          <w:sz w:val="24"/>
          <w:szCs w:val="24"/>
        </w:rPr>
        <w:t xml:space="preserve">comment </w:t>
      </w:r>
      <w:r w:rsidR="00D73AE8">
        <w:rPr>
          <w:sz w:val="24"/>
          <w:szCs w:val="24"/>
        </w:rPr>
        <w:t>period on t</w:t>
      </w:r>
      <w:r w:rsidR="00BE00A8">
        <w:rPr>
          <w:sz w:val="24"/>
          <w:szCs w:val="24"/>
        </w:rPr>
        <w:t xml:space="preserve">his </w:t>
      </w:r>
      <w:r w:rsidR="006D59AA">
        <w:rPr>
          <w:sz w:val="24"/>
          <w:szCs w:val="24"/>
        </w:rPr>
        <w:t xml:space="preserve">renewed </w:t>
      </w:r>
      <w:r w:rsidR="00BE00A8">
        <w:rPr>
          <w:sz w:val="24"/>
          <w:szCs w:val="24"/>
        </w:rPr>
        <w:t>collection on</w:t>
      </w:r>
      <w:r w:rsidR="006E2EBC">
        <w:rPr>
          <w:sz w:val="24"/>
          <w:szCs w:val="24"/>
        </w:rPr>
        <w:t xml:space="preserve"> </w:t>
      </w:r>
      <w:r w:rsidR="0003536A">
        <w:rPr>
          <w:sz w:val="24"/>
          <w:szCs w:val="24"/>
        </w:rPr>
        <w:t>February</w:t>
      </w:r>
      <w:r w:rsidR="006E2EBC">
        <w:rPr>
          <w:sz w:val="24"/>
          <w:szCs w:val="24"/>
        </w:rPr>
        <w:t xml:space="preserve"> 23</w:t>
      </w:r>
      <w:r w:rsidR="00821A15">
        <w:rPr>
          <w:sz w:val="24"/>
          <w:szCs w:val="24"/>
        </w:rPr>
        <w:t>, 20</w:t>
      </w:r>
      <w:r w:rsidR="00534EFE">
        <w:rPr>
          <w:sz w:val="24"/>
          <w:szCs w:val="24"/>
        </w:rPr>
        <w:t>2</w:t>
      </w:r>
      <w:r w:rsidR="00821A15">
        <w:rPr>
          <w:sz w:val="24"/>
          <w:szCs w:val="24"/>
        </w:rPr>
        <w:t>1</w:t>
      </w:r>
      <w:r w:rsidR="00BE00A8">
        <w:rPr>
          <w:sz w:val="24"/>
          <w:szCs w:val="24"/>
        </w:rPr>
        <w:t xml:space="preserve"> (</w:t>
      </w:r>
      <w:r w:rsidR="006E2EBC">
        <w:rPr>
          <w:sz w:val="24"/>
          <w:szCs w:val="24"/>
        </w:rPr>
        <w:t>86</w:t>
      </w:r>
      <w:r w:rsidRPr="00F9415B" w:rsidR="00534EFE">
        <w:rPr>
          <w:bCs/>
          <w:sz w:val="24"/>
          <w:szCs w:val="24"/>
        </w:rPr>
        <w:t xml:space="preserve"> </w:t>
      </w:r>
      <w:r w:rsidRPr="00F9415B">
        <w:rPr>
          <w:bCs/>
          <w:sz w:val="24"/>
          <w:szCs w:val="24"/>
        </w:rPr>
        <w:t>F</w:t>
      </w:r>
      <w:r w:rsidR="00A5090F">
        <w:rPr>
          <w:bCs/>
          <w:sz w:val="24"/>
          <w:szCs w:val="24"/>
        </w:rPr>
        <w:t>R</w:t>
      </w:r>
      <w:r w:rsidR="0003536A">
        <w:rPr>
          <w:bCs/>
          <w:sz w:val="24"/>
          <w:szCs w:val="24"/>
        </w:rPr>
        <w:t xml:space="preserve"> 10965</w:t>
      </w:r>
      <w:r w:rsidR="00D73AE8">
        <w:rPr>
          <w:bCs/>
          <w:sz w:val="24"/>
          <w:szCs w:val="24"/>
        </w:rPr>
        <w:t>)</w:t>
      </w:r>
      <w:r w:rsidRPr="00F9415B" w:rsidR="004F67AD">
        <w:rPr>
          <w:sz w:val="24"/>
          <w:szCs w:val="24"/>
        </w:rPr>
        <w:t>.</w:t>
      </w:r>
      <w:r w:rsidRPr="00F9415B" w:rsidR="005271DB">
        <w:rPr>
          <w:sz w:val="24"/>
          <w:szCs w:val="24"/>
        </w:rPr>
        <w:t xml:space="preserve"> </w:t>
      </w:r>
      <w:r w:rsidRPr="00F9415B" w:rsidR="004F67AD">
        <w:rPr>
          <w:sz w:val="24"/>
          <w:szCs w:val="24"/>
        </w:rPr>
        <w:t xml:space="preserve"> </w:t>
      </w:r>
      <w:r w:rsidR="00D73AE8">
        <w:rPr>
          <w:sz w:val="24"/>
          <w:szCs w:val="24"/>
        </w:rPr>
        <w:t>No comments were received.  A copy of the notice is included in the submission to OMB.</w:t>
      </w:r>
      <w:r w:rsidRPr="00705284">
        <w:rPr>
          <w:sz w:val="24"/>
          <w:szCs w:val="24"/>
        </w:rPr>
        <w:t xml:space="preserve">   </w:t>
      </w:r>
    </w:p>
    <w:p w:rsidRPr="00F9415B" w:rsidR="00D416CD" w:rsidP="00D81215" w:rsidRDefault="00D416CD" w14:paraId="68EF613B" w14:textId="77777777">
      <w:pPr>
        <w:ind w:left="360" w:hanging="360"/>
        <w:rPr>
          <w:sz w:val="24"/>
          <w:szCs w:val="24"/>
        </w:rPr>
      </w:pPr>
    </w:p>
    <w:p w:rsidRPr="000E7A8A" w:rsidR="00D416CD" w:rsidP="000E7A8A" w:rsidRDefault="000D1831" w14:paraId="4271F10C" w14:textId="77777777">
      <w:pPr>
        <w:numPr>
          <w:ilvl w:val="0"/>
          <w:numId w:val="16"/>
        </w:numPr>
        <w:ind w:left="360"/>
        <w:rPr>
          <w:sz w:val="24"/>
          <w:szCs w:val="24"/>
        </w:rPr>
      </w:pPr>
      <w:r w:rsidRPr="000E7A8A">
        <w:rPr>
          <w:sz w:val="24"/>
          <w:szCs w:val="24"/>
        </w:rPr>
        <w:t xml:space="preserve">Respondents </w:t>
      </w:r>
      <w:r w:rsidR="00B0040A">
        <w:rPr>
          <w:sz w:val="24"/>
          <w:szCs w:val="24"/>
        </w:rPr>
        <w:t xml:space="preserve">will not receive </w:t>
      </w:r>
      <w:r w:rsidRPr="000E7A8A">
        <w:rPr>
          <w:sz w:val="24"/>
          <w:szCs w:val="24"/>
        </w:rPr>
        <w:t>any payments or gifts.</w:t>
      </w:r>
    </w:p>
    <w:p w:rsidRPr="00F9415B" w:rsidR="00D416CD" w:rsidP="00D81215" w:rsidRDefault="00D416CD" w14:paraId="28392051" w14:textId="77777777">
      <w:pPr>
        <w:ind w:left="360" w:hanging="360"/>
        <w:rPr>
          <w:sz w:val="24"/>
          <w:szCs w:val="24"/>
        </w:rPr>
      </w:pPr>
    </w:p>
    <w:p w:rsidRPr="00F9415B" w:rsidR="00D416CD" w:rsidP="000E7A8A" w:rsidRDefault="0076338C" w14:paraId="32999DCA" w14:textId="77777777">
      <w:pPr>
        <w:numPr>
          <w:ilvl w:val="0"/>
          <w:numId w:val="16"/>
        </w:numPr>
        <w:ind w:left="360"/>
        <w:rPr>
          <w:sz w:val="24"/>
          <w:szCs w:val="24"/>
        </w:rPr>
      </w:pPr>
      <w:r w:rsidRPr="00F9415B">
        <w:rPr>
          <w:sz w:val="24"/>
          <w:szCs w:val="24"/>
        </w:rPr>
        <w:t xml:space="preserve">The </w:t>
      </w:r>
      <w:r w:rsidRPr="00F9415B" w:rsidR="00C94F4F">
        <w:rPr>
          <w:sz w:val="24"/>
          <w:szCs w:val="24"/>
        </w:rPr>
        <w:t>Commission</w:t>
      </w:r>
      <w:r w:rsidRPr="00F9415B">
        <w:rPr>
          <w:sz w:val="24"/>
          <w:szCs w:val="24"/>
        </w:rPr>
        <w:t xml:space="preserve"> is not requesting that the </w:t>
      </w:r>
      <w:r w:rsidRPr="00F9415B" w:rsidR="00B955F2">
        <w:rPr>
          <w:sz w:val="24"/>
          <w:szCs w:val="24"/>
        </w:rPr>
        <w:t>respondents submit confidential information.  Respondents may, however, request confidential treatment for information that they believe to be confidential under 47 C.F.</w:t>
      </w:r>
      <w:r w:rsidRPr="00E468F5" w:rsidR="00B955F2">
        <w:rPr>
          <w:sz w:val="24"/>
          <w:szCs w:val="24"/>
        </w:rPr>
        <w:t xml:space="preserve">R. </w:t>
      </w:r>
      <w:r w:rsidRPr="000E7A8A" w:rsidR="00E468F5">
        <w:rPr>
          <w:sz w:val="24"/>
          <w:szCs w:val="24"/>
        </w:rPr>
        <w:t xml:space="preserve">§ </w:t>
      </w:r>
      <w:r w:rsidRPr="00E468F5" w:rsidR="00B955F2">
        <w:rPr>
          <w:sz w:val="24"/>
          <w:szCs w:val="24"/>
        </w:rPr>
        <w:t>0.459</w:t>
      </w:r>
      <w:r w:rsidRPr="00F9415B" w:rsidR="00B955F2">
        <w:rPr>
          <w:sz w:val="24"/>
          <w:szCs w:val="24"/>
        </w:rPr>
        <w:t xml:space="preserve"> of the Commission’s rules. </w:t>
      </w:r>
    </w:p>
    <w:p w:rsidRPr="00F9415B" w:rsidR="00D416CD" w:rsidP="00D81215" w:rsidRDefault="00D416CD" w14:paraId="4A472A78" w14:textId="77777777">
      <w:pPr>
        <w:ind w:left="360" w:hanging="360"/>
        <w:rPr>
          <w:sz w:val="24"/>
          <w:szCs w:val="24"/>
        </w:rPr>
      </w:pPr>
    </w:p>
    <w:p w:rsidRPr="00F9415B" w:rsidR="00D416CD" w:rsidP="000E7A8A" w:rsidRDefault="00D416CD" w14:paraId="27352080" w14:textId="77777777">
      <w:pPr>
        <w:numPr>
          <w:ilvl w:val="0"/>
          <w:numId w:val="16"/>
        </w:numPr>
        <w:ind w:left="360"/>
        <w:rPr>
          <w:sz w:val="24"/>
          <w:szCs w:val="24"/>
        </w:rPr>
      </w:pPr>
      <w:r w:rsidRPr="00F9415B">
        <w:rPr>
          <w:sz w:val="24"/>
          <w:szCs w:val="24"/>
        </w:rPr>
        <w:t>There are no questions of a sensitive nature with respect to the information collected</w:t>
      </w:r>
      <w:r w:rsidRPr="00F9415B" w:rsidR="00090FC6">
        <w:rPr>
          <w:sz w:val="24"/>
          <w:szCs w:val="24"/>
        </w:rPr>
        <w:t xml:space="preserve">, nor are there any </w:t>
      </w:r>
      <w:r w:rsidRPr="00F9415B" w:rsidR="000F7B14">
        <w:rPr>
          <w:sz w:val="24"/>
          <w:szCs w:val="24"/>
        </w:rPr>
        <w:t>impact</w:t>
      </w:r>
      <w:r w:rsidRPr="00F9415B" w:rsidR="00543574">
        <w:rPr>
          <w:sz w:val="24"/>
          <w:szCs w:val="24"/>
        </w:rPr>
        <w:t>s</w:t>
      </w:r>
      <w:r w:rsidRPr="00F9415B" w:rsidR="000F7B14">
        <w:rPr>
          <w:sz w:val="24"/>
          <w:szCs w:val="24"/>
        </w:rPr>
        <w:t xml:space="preserve"> </w:t>
      </w:r>
      <w:r w:rsidRPr="00F9415B" w:rsidR="006E1F7D">
        <w:rPr>
          <w:sz w:val="24"/>
          <w:szCs w:val="24"/>
        </w:rPr>
        <w:t>related to the Privacy Act of 1974</w:t>
      </w:r>
      <w:r w:rsidRPr="00F9415B">
        <w:rPr>
          <w:sz w:val="24"/>
          <w:szCs w:val="24"/>
        </w:rPr>
        <w:t>.</w:t>
      </w:r>
    </w:p>
    <w:p w:rsidRPr="00F9415B" w:rsidR="00D416CD" w:rsidP="00D81215" w:rsidRDefault="00D416CD" w14:paraId="3C2C9F59" w14:textId="77777777">
      <w:pPr>
        <w:ind w:left="360" w:hanging="360"/>
        <w:rPr>
          <w:sz w:val="24"/>
          <w:szCs w:val="24"/>
        </w:rPr>
      </w:pPr>
    </w:p>
    <w:p w:rsidRPr="00F9415B" w:rsidR="00D416CD" w:rsidP="000E7A8A" w:rsidRDefault="00D416CD" w14:paraId="16E9F2CD" w14:textId="77777777">
      <w:pPr>
        <w:numPr>
          <w:ilvl w:val="0"/>
          <w:numId w:val="16"/>
        </w:numPr>
        <w:ind w:left="360"/>
        <w:rPr>
          <w:sz w:val="24"/>
          <w:szCs w:val="24"/>
        </w:rPr>
      </w:pPr>
      <w:r w:rsidRPr="00F9415B">
        <w:rPr>
          <w:sz w:val="24"/>
          <w:szCs w:val="24"/>
        </w:rPr>
        <w:t>The following represents the estimates of hour burden of the collections of information.  We note that the hour burden imposed by the following requirements is very difficult to quantify.  The following represents our best high estimate concerning the final rules.</w:t>
      </w:r>
    </w:p>
    <w:p w:rsidRPr="00F9415B" w:rsidR="00D416CD" w:rsidRDefault="00D416CD" w14:paraId="2814514E" w14:textId="77777777">
      <w:pPr>
        <w:rPr>
          <w:sz w:val="24"/>
          <w:szCs w:val="24"/>
        </w:rPr>
      </w:pPr>
    </w:p>
    <w:p w:rsidRPr="00F9415B" w:rsidR="00D416CD" w:rsidP="00A305A4" w:rsidRDefault="00D416CD" w14:paraId="64EB56D8" w14:textId="5D63B5EA">
      <w:pPr>
        <w:keepLines/>
        <w:ind w:left="720" w:hanging="360"/>
        <w:rPr>
          <w:sz w:val="24"/>
          <w:szCs w:val="24"/>
        </w:rPr>
      </w:pPr>
      <w:r w:rsidRPr="00F9415B">
        <w:rPr>
          <w:sz w:val="24"/>
          <w:szCs w:val="24"/>
        </w:rPr>
        <w:t>a.</w:t>
      </w:r>
      <w:r w:rsidR="003B7D4D">
        <w:rPr>
          <w:sz w:val="24"/>
          <w:szCs w:val="24"/>
        </w:rPr>
        <w:t xml:space="preserve">  </w:t>
      </w:r>
      <w:r w:rsidRPr="00F9415B" w:rsidR="00844243">
        <w:rPr>
          <w:sz w:val="24"/>
          <w:szCs w:val="24"/>
          <w:u w:val="single"/>
        </w:rPr>
        <w:t>Completing Carrier</w:t>
      </w:r>
      <w:r w:rsidRPr="00F9415B">
        <w:rPr>
          <w:sz w:val="24"/>
          <w:szCs w:val="24"/>
          <w:u w:val="single"/>
        </w:rPr>
        <w:t xml:space="preserve"> Filing of a Quarterly Report</w:t>
      </w:r>
      <w:r w:rsidRPr="00F9415B">
        <w:rPr>
          <w:sz w:val="24"/>
          <w:szCs w:val="24"/>
        </w:rPr>
        <w:t>.  (</w:t>
      </w:r>
      <w:r w:rsidR="006773E0">
        <w:rPr>
          <w:sz w:val="24"/>
          <w:szCs w:val="24"/>
        </w:rPr>
        <w:t xml:space="preserve">47 U.S.C. </w:t>
      </w:r>
      <w:r w:rsidRPr="00F9415B" w:rsidR="006773E0">
        <w:rPr>
          <w:sz w:val="24"/>
          <w:szCs w:val="24"/>
        </w:rPr>
        <w:t xml:space="preserve">§ </w:t>
      </w:r>
      <w:r w:rsidRPr="00F9415B">
        <w:rPr>
          <w:sz w:val="24"/>
          <w:szCs w:val="24"/>
        </w:rPr>
        <w:t>276(b)(1)(A)).</w:t>
      </w:r>
    </w:p>
    <w:p w:rsidRPr="00F9415B" w:rsidR="00D416CD" w:rsidP="00786CC0" w:rsidRDefault="00D416CD" w14:paraId="336F9A20" w14:textId="77777777">
      <w:pPr>
        <w:keepLines/>
        <w:ind w:left="720" w:hanging="360"/>
        <w:rPr>
          <w:sz w:val="24"/>
          <w:szCs w:val="24"/>
        </w:rPr>
      </w:pPr>
    </w:p>
    <w:p w:rsidRPr="00A305A4" w:rsidR="00D416CD" w:rsidP="00A305A4" w:rsidRDefault="00D416CD" w14:paraId="5B78888D" w14:textId="1D40C6A9">
      <w:pPr>
        <w:keepLines/>
        <w:ind w:left="1080" w:hanging="360"/>
        <w:rPr>
          <w:sz w:val="24"/>
        </w:rPr>
      </w:pPr>
      <w:r w:rsidRPr="00F9415B">
        <w:rPr>
          <w:sz w:val="24"/>
          <w:szCs w:val="24"/>
        </w:rPr>
        <w:t xml:space="preserve">1)  </w:t>
      </w:r>
      <w:r w:rsidRPr="00F9415B">
        <w:rPr>
          <w:sz w:val="24"/>
          <w:szCs w:val="24"/>
          <w:u w:val="single"/>
        </w:rPr>
        <w:t xml:space="preserve">Number of </w:t>
      </w:r>
      <w:r w:rsidRPr="00F9415B" w:rsidR="009449A3">
        <w:rPr>
          <w:sz w:val="24"/>
          <w:szCs w:val="24"/>
          <w:u w:val="single"/>
        </w:rPr>
        <w:t>Respondents</w:t>
      </w:r>
      <w:r w:rsidRPr="00A305A4" w:rsidR="00E35A87">
        <w:rPr>
          <w:sz w:val="24"/>
          <w:u w:val="single"/>
        </w:rPr>
        <w:t>:</w:t>
      </w:r>
      <w:r w:rsidRPr="00F9415B">
        <w:rPr>
          <w:sz w:val="24"/>
          <w:szCs w:val="24"/>
        </w:rPr>
        <w:t xml:space="preserve">  </w:t>
      </w:r>
      <w:r w:rsidR="00522ABB">
        <w:rPr>
          <w:sz w:val="24"/>
          <w:szCs w:val="24"/>
        </w:rPr>
        <w:t>11</w:t>
      </w:r>
      <w:r w:rsidR="007824D1">
        <w:rPr>
          <w:sz w:val="24"/>
          <w:szCs w:val="24"/>
        </w:rPr>
        <w:t>2</w:t>
      </w:r>
      <w:r w:rsidRPr="00F9415B" w:rsidR="00522ABB">
        <w:rPr>
          <w:sz w:val="24"/>
          <w:szCs w:val="24"/>
        </w:rPr>
        <w:t xml:space="preserve"> </w:t>
      </w:r>
    </w:p>
    <w:p w:rsidR="00CF4E86" w:rsidP="00A305A4" w:rsidRDefault="00CF4E86" w14:paraId="3A1B7BA4" w14:textId="77777777">
      <w:pPr>
        <w:ind w:left="1080"/>
        <w:rPr>
          <w:sz w:val="24"/>
          <w:szCs w:val="24"/>
        </w:rPr>
      </w:pPr>
    </w:p>
    <w:p w:rsidRPr="00F9415B" w:rsidR="00CF4E86" w:rsidP="00A305A4" w:rsidRDefault="00CF4E86" w14:paraId="4B630411" w14:textId="2138E560">
      <w:pPr>
        <w:ind w:left="1080"/>
        <w:rPr>
          <w:sz w:val="24"/>
          <w:szCs w:val="24"/>
        </w:rPr>
      </w:pPr>
      <w:r>
        <w:rPr>
          <w:sz w:val="24"/>
          <w:szCs w:val="24"/>
        </w:rPr>
        <w:t xml:space="preserve">As of </w:t>
      </w:r>
      <w:r w:rsidR="00BF2A51">
        <w:rPr>
          <w:sz w:val="24"/>
          <w:szCs w:val="24"/>
        </w:rPr>
        <w:t xml:space="preserve">January </w:t>
      </w:r>
      <w:r w:rsidR="007824D1">
        <w:rPr>
          <w:sz w:val="24"/>
          <w:szCs w:val="24"/>
        </w:rPr>
        <w:t>22</w:t>
      </w:r>
      <w:r>
        <w:rPr>
          <w:sz w:val="24"/>
          <w:szCs w:val="24"/>
        </w:rPr>
        <w:t>, 20</w:t>
      </w:r>
      <w:r w:rsidR="00BF2A51">
        <w:rPr>
          <w:sz w:val="24"/>
          <w:szCs w:val="24"/>
        </w:rPr>
        <w:t>2</w:t>
      </w:r>
      <w:r>
        <w:rPr>
          <w:sz w:val="24"/>
          <w:szCs w:val="24"/>
        </w:rPr>
        <w:t xml:space="preserve">1, the number of Completing Carriers is estimated to be </w:t>
      </w:r>
      <w:r w:rsidR="00BF2A51">
        <w:rPr>
          <w:sz w:val="24"/>
          <w:szCs w:val="24"/>
        </w:rPr>
        <w:t>11</w:t>
      </w:r>
      <w:r w:rsidR="00CF7C23">
        <w:rPr>
          <w:sz w:val="24"/>
          <w:szCs w:val="24"/>
        </w:rPr>
        <w:t>2</w:t>
      </w:r>
      <w:r>
        <w:rPr>
          <w:sz w:val="24"/>
          <w:szCs w:val="24"/>
        </w:rPr>
        <w:t xml:space="preserve">, which </w:t>
      </w:r>
      <w:r w:rsidRPr="00F9415B">
        <w:rPr>
          <w:sz w:val="24"/>
          <w:szCs w:val="24"/>
        </w:rPr>
        <w:t xml:space="preserve">was obtained </w:t>
      </w:r>
      <w:r>
        <w:rPr>
          <w:sz w:val="24"/>
          <w:szCs w:val="24"/>
        </w:rPr>
        <w:t xml:space="preserve">from </w:t>
      </w:r>
      <w:r w:rsidRPr="00F9415B">
        <w:rPr>
          <w:sz w:val="24"/>
          <w:szCs w:val="24"/>
        </w:rPr>
        <w:t xml:space="preserve">the </w:t>
      </w:r>
      <w:r>
        <w:rPr>
          <w:sz w:val="24"/>
          <w:szCs w:val="24"/>
        </w:rPr>
        <w:t xml:space="preserve">FCC Form 499 Filer Database, </w:t>
      </w:r>
      <w:r w:rsidRPr="00835907">
        <w:rPr>
          <w:sz w:val="24"/>
          <w:szCs w:val="24"/>
        </w:rPr>
        <w:t xml:space="preserve">available at </w:t>
      </w:r>
      <w:r w:rsidRPr="002860C4">
        <w:rPr>
          <w:sz w:val="24"/>
          <w:szCs w:val="24"/>
        </w:rPr>
        <w:t>http://apps.fcc.gov/cgb/form499/499a.cfm.</w:t>
      </w:r>
      <w:r>
        <w:rPr>
          <w:szCs w:val="24"/>
        </w:rPr>
        <w:t xml:space="preserve">  </w:t>
      </w:r>
      <w:r w:rsidRPr="000E7A8A">
        <w:rPr>
          <w:sz w:val="24"/>
          <w:szCs w:val="24"/>
        </w:rPr>
        <w:t>T</w:t>
      </w:r>
      <w:r>
        <w:rPr>
          <w:sz w:val="24"/>
          <w:szCs w:val="24"/>
        </w:rPr>
        <w:t xml:space="preserve">he number of </w:t>
      </w:r>
      <w:r w:rsidRPr="002860C4">
        <w:rPr>
          <w:sz w:val="24"/>
          <w:szCs w:val="24"/>
        </w:rPr>
        <w:t>Operator Service Providers (</w:t>
      </w:r>
      <w:r w:rsidR="00522ABB">
        <w:rPr>
          <w:sz w:val="24"/>
          <w:szCs w:val="24"/>
        </w:rPr>
        <w:t>2</w:t>
      </w:r>
      <w:r w:rsidR="00CF7C23">
        <w:rPr>
          <w:sz w:val="24"/>
          <w:szCs w:val="24"/>
        </w:rPr>
        <w:t>7</w:t>
      </w:r>
      <w:r w:rsidRPr="002860C4">
        <w:rPr>
          <w:sz w:val="24"/>
          <w:szCs w:val="24"/>
        </w:rPr>
        <w:t xml:space="preserve">) </w:t>
      </w:r>
      <w:r>
        <w:rPr>
          <w:sz w:val="24"/>
          <w:szCs w:val="24"/>
        </w:rPr>
        <w:t xml:space="preserve">plus </w:t>
      </w:r>
      <w:r w:rsidRPr="002860C4">
        <w:rPr>
          <w:sz w:val="24"/>
          <w:szCs w:val="24"/>
        </w:rPr>
        <w:t>active Prepaid Calling Card providers (</w:t>
      </w:r>
      <w:r w:rsidR="00522ABB">
        <w:rPr>
          <w:sz w:val="24"/>
          <w:szCs w:val="24"/>
        </w:rPr>
        <w:t>85</w:t>
      </w:r>
      <w:r w:rsidRPr="002860C4">
        <w:rPr>
          <w:sz w:val="24"/>
          <w:szCs w:val="24"/>
        </w:rPr>
        <w:t xml:space="preserve">) </w:t>
      </w:r>
      <w:r>
        <w:rPr>
          <w:sz w:val="24"/>
          <w:szCs w:val="24"/>
        </w:rPr>
        <w:t xml:space="preserve">is </w:t>
      </w:r>
      <w:r w:rsidR="00522ABB">
        <w:rPr>
          <w:sz w:val="24"/>
          <w:szCs w:val="24"/>
        </w:rPr>
        <w:t>11</w:t>
      </w:r>
      <w:r w:rsidR="00CF7C23">
        <w:rPr>
          <w:sz w:val="24"/>
          <w:szCs w:val="24"/>
        </w:rPr>
        <w:t>2</w:t>
      </w:r>
      <w:r>
        <w:rPr>
          <w:sz w:val="24"/>
          <w:szCs w:val="24"/>
        </w:rPr>
        <w:t xml:space="preserve"> (</w:t>
      </w:r>
      <w:r w:rsidR="00522ABB">
        <w:rPr>
          <w:sz w:val="24"/>
          <w:szCs w:val="24"/>
        </w:rPr>
        <w:t>2</w:t>
      </w:r>
      <w:r w:rsidR="00CF7C23">
        <w:rPr>
          <w:sz w:val="24"/>
          <w:szCs w:val="24"/>
        </w:rPr>
        <w:t>7</w:t>
      </w:r>
      <w:r w:rsidR="00522ABB">
        <w:rPr>
          <w:sz w:val="24"/>
          <w:szCs w:val="24"/>
        </w:rPr>
        <w:t xml:space="preserve"> </w:t>
      </w:r>
      <w:r>
        <w:rPr>
          <w:sz w:val="24"/>
          <w:szCs w:val="24"/>
        </w:rPr>
        <w:t xml:space="preserve">+ </w:t>
      </w:r>
      <w:r w:rsidR="00522ABB">
        <w:rPr>
          <w:sz w:val="24"/>
          <w:szCs w:val="24"/>
        </w:rPr>
        <w:t xml:space="preserve">85 </w:t>
      </w:r>
      <w:r>
        <w:rPr>
          <w:sz w:val="24"/>
          <w:szCs w:val="24"/>
        </w:rPr>
        <w:t xml:space="preserve">= </w:t>
      </w:r>
      <w:r w:rsidR="00522ABB">
        <w:rPr>
          <w:sz w:val="24"/>
          <w:szCs w:val="24"/>
        </w:rPr>
        <w:t>11</w:t>
      </w:r>
      <w:r w:rsidR="00CF7C23">
        <w:rPr>
          <w:sz w:val="24"/>
          <w:szCs w:val="24"/>
        </w:rPr>
        <w:t>2</w:t>
      </w:r>
      <w:r>
        <w:rPr>
          <w:sz w:val="24"/>
          <w:szCs w:val="24"/>
        </w:rPr>
        <w:t>)</w:t>
      </w:r>
      <w:r w:rsidRPr="002860C4">
        <w:rPr>
          <w:sz w:val="24"/>
          <w:szCs w:val="24"/>
        </w:rPr>
        <w:t>.</w:t>
      </w:r>
    </w:p>
    <w:p w:rsidRPr="00F9415B" w:rsidR="00883D29" w:rsidP="00883D29" w:rsidRDefault="00883D29" w14:paraId="309FD093" w14:textId="75C53F83">
      <w:pPr>
        <w:ind w:left="1080" w:hanging="360"/>
        <w:rPr>
          <w:sz w:val="24"/>
          <w:szCs w:val="24"/>
        </w:rPr>
      </w:pPr>
    </w:p>
    <w:p w:rsidRPr="00F9415B" w:rsidR="00D416CD" w:rsidP="00883D29" w:rsidRDefault="00D416CD" w14:paraId="7E116D6B" w14:textId="77777777">
      <w:pPr>
        <w:ind w:left="1080" w:hanging="360"/>
        <w:rPr>
          <w:sz w:val="24"/>
          <w:szCs w:val="24"/>
        </w:rPr>
      </w:pPr>
      <w:r w:rsidRPr="00F9415B">
        <w:rPr>
          <w:sz w:val="24"/>
          <w:szCs w:val="24"/>
        </w:rPr>
        <w:t xml:space="preserve">2)  </w:t>
      </w:r>
      <w:r w:rsidRPr="00F9415B">
        <w:rPr>
          <w:sz w:val="24"/>
          <w:szCs w:val="24"/>
          <w:u w:val="single"/>
        </w:rPr>
        <w:t xml:space="preserve">Frequency of </w:t>
      </w:r>
      <w:r w:rsidRPr="00F9415B" w:rsidR="009449A3">
        <w:rPr>
          <w:sz w:val="24"/>
          <w:szCs w:val="24"/>
          <w:u w:val="single"/>
        </w:rPr>
        <w:t>Response</w:t>
      </w:r>
      <w:r w:rsidRPr="00F9415B" w:rsidR="00E35A87">
        <w:rPr>
          <w:sz w:val="24"/>
          <w:szCs w:val="24"/>
        </w:rPr>
        <w:t>:</w:t>
      </w:r>
      <w:r w:rsidRPr="00F9415B">
        <w:rPr>
          <w:sz w:val="24"/>
          <w:szCs w:val="24"/>
        </w:rPr>
        <w:t xml:space="preserve">  Quarterly</w:t>
      </w:r>
      <w:r w:rsidRPr="00F9415B" w:rsidR="006A36D1">
        <w:rPr>
          <w:sz w:val="24"/>
          <w:szCs w:val="24"/>
        </w:rPr>
        <w:t xml:space="preserve"> reporting requirements</w:t>
      </w:r>
      <w:r w:rsidRPr="00F9415B">
        <w:rPr>
          <w:sz w:val="24"/>
          <w:szCs w:val="24"/>
        </w:rPr>
        <w:t xml:space="preserve"> and third</w:t>
      </w:r>
      <w:r w:rsidRPr="00F9415B" w:rsidR="00F04E25">
        <w:rPr>
          <w:sz w:val="24"/>
          <w:szCs w:val="24"/>
        </w:rPr>
        <w:t>-</w:t>
      </w:r>
      <w:r w:rsidRPr="00F9415B">
        <w:rPr>
          <w:sz w:val="24"/>
          <w:szCs w:val="24"/>
        </w:rPr>
        <w:t>party disclosure</w:t>
      </w:r>
      <w:r w:rsidRPr="00F9415B" w:rsidR="006A36D1">
        <w:rPr>
          <w:sz w:val="24"/>
          <w:szCs w:val="24"/>
        </w:rPr>
        <w:t>.</w:t>
      </w:r>
      <w:r w:rsidRPr="00F9415B">
        <w:rPr>
          <w:sz w:val="24"/>
          <w:szCs w:val="24"/>
        </w:rPr>
        <w:t xml:space="preserve"> </w:t>
      </w:r>
    </w:p>
    <w:p w:rsidRPr="00F9415B" w:rsidR="00B52CBF" w:rsidP="00883D29" w:rsidRDefault="00B52CBF" w14:paraId="7D9F8FCA" w14:textId="77777777">
      <w:pPr>
        <w:ind w:left="1080" w:hanging="360"/>
        <w:rPr>
          <w:sz w:val="24"/>
          <w:szCs w:val="24"/>
        </w:rPr>
      </w:pPr>
    </w:p>
    <w:p w:rsidRPr="00F9415B" w:rsidR="00881291" w:rsidP="00883D29" w:rsidRDefault="00B52CBF" w14:paraId="6D5C2434" w14:textId="24304529">
      <w:pPr>
        <w:ind w:left="1080" w:hanging="360"/>
        <w:rPr>
          <w:sz w:val="24"/>
          <w:szCs w:val="24"/>
        </w:rPr>
      </w:pPr>
      <w:r w:rsidRPr="00F9415B">
        <w:rPr>
          <w:sz w:val="24"/>
          <w:szCs w:val="24"/>
        </w:rPr>
        <w:t>3)</w:t>
      </w:r>
      <w:r w:rsidRPr="00F9415B">
        <w:rPr>
          <w:sz w:val="24"/>
          <w:szCs w:val="24"/>
        </w:rPr>
        <w:tab/>
      </w:r>
      <w:r w:rsidRPr="00F9415B">
        <w:rPr>
          <w:sz w:val="24"/>
          <w:szCs w:val="24"/>
          <w:u w:val="single"/>
        </w:rPr>
        <w:t>Total Number of Responses Annually</w:t>
      </w:r>
      <w:r w:rsidRPr="00F9415B">
        <w:rPr>
          <w:sz w:val="24"/>
          <w:szCs w:val="24"/>
        </w:rPr>
        <w:t xml:space="preserve">: </w:t>
      </w:r>
      <w:r w:rsidR="00BF2A51">
        <w:rPr>
          <w:sz w:val="24"/>
          <w:szCs w:val="24"/>
        </w:rPr>
        <w:t>8</w:t>
      </w:r>
      <w:r w:rsidR="00434EF4">
        <w:rPr>
          <w:sz w:val="24"/>
          <w:szCs w:val="24"/>
        </w:rPr>
        <w:t>96</w:t>
      </w:r>
      <w:r w:rsidRPr="00F9415B" w:rsidR="00881291">
        <w:rPr>
          <w:sz w:val="24"/>
          <w:szCs w:val="24"/>
        </w:rPr>
        <w:t xml:space="preserve"> responses</w:t>
      </w:r>
    </w:p>
    <w:p w:rsidRPr="00F9415B" w:rsidR="00B52CBF" w:rsidP="00883D29" w:rsidRDefault="00881291" w14:paraId="02E5C76B" w14:textId="5E061A9D">
      <w:pPr>
        <w:ind w:left="1080" w:hanging="360"/>
        <w:rPr>
          <w:sz w:val="24"/>
          <w:szCs w:val="24"/>
        </w:rPr>
      </w:pPr>
      <w:r w:rsidRPr="00F9415B">
        <w:rPr>
          <w:sz w:val="24"/>
          <w:szCs w:val="24"/>
        </w:rPr>
        <w:tab/>
      </w:r>
      <w:r w:rsidRPr="00F9415B" w:rsidR="003530E7">
        <w:rPr>
          <w:sz w:val="24"/>
          <w:szCs w:val="24"/>
        </w:rPr>
        <w:t>T</w:t>
      </w:r>
      <w:r w:rsidRPr="00F9415B" w:rsidR="00825E12">
        <w:rPr>
          <w:sz w:val="24"/>
          <w:szCs w:val="24"/>
        </w:rPr>
        <w:t>wo</w:t>
      </w:r>
      <w:r w:rsidRPr="00F9415B" w:rsidR="00EA17F0">
        <w:rPr>
          <w:sz w:val="24"/>
          <w:szCs w:val="24"/>
        </w:rPr>
        <w:t xml:space="preserve"> response</w:t>
      </w:r>
      <w:r w:rsidRPr="00F9415B" w:rsidR="00825E12">
        <w:rPr>
          <w:sz w:val="24"/>
          <w:szCs w:val="24"/>
        </w:rPr>
        <w:t>s</w:t>
      </w:r>
      <w:r w:rsidRPr="00F9415B" w:rsidR="00EA17F0">
        <w:rPr>
          <w:sz w:val="24"/>
          <w:szCs w:val="24"/>
        </w:rPr>
        <w:t xml:space="preserve"> per respondent</w:t>
      </w:r>
      <w:r w:rsidRPr="00F9415B" w:rsidR="00526A56">
        <w:rPr>
          <w:sz w:val="24"/>
          <w:szCs w:val="24"/>
        </w:rPr>
        <w:t>—</w:t>
      </w:r>
      <w:r w:rsidRPr="00F9415B" w:rsidR="00823FDC">
        <w:rPr>
          <w:sz w:val="24"/>
          <w:szCs w:val="24"/>
        </w:rPr>
        <w:t xml:space="preserve">one for the </w:t>
      </w:r>
      <w:r w:rsidRPr="00F9415B" w:rsidR="00526A56">
        <w:rPr>
          <w:sz w:val="24"/>
          <w:szCs w:val="24"/>
        </w:rPr>
        <w:t xml:space="preserve">quarterly </w:t>
      </w:r>
      <w:r w:rsidRPr="00F9415B" w:rsidR="00823FDC">
        <w:rPr>
          <w:sz w:val="24"/>
          <w:szCs w:val="24"/>
        </w:rPr>
        <w:t xml:space="preserve">report </w:t>
      </w:r>
      <w:r w:rsidRPr="00F9415B" w:rsidR="00526A56">
        <w:rPr>
          <w:sz w:val="24"/>
          <w:szCs w:val="24"/>
        </w:rPr>
        <w:t xml:space="preserve">and </w:t>
      </w:r>
      <w:r w:rsidRPr="00F9415B" w:rsidR="00823FDC">
        <w:rPr>
          <w:sz w:val="24"/>
          <w:szCs w:val="24"/>
        </w:rPr>
        <w:t xml:space="preserve">the second for the </w:t>
      </w:r>
      <w:r w:rsidR="001532AA">
        <w:rPr>
          <w:sz w:val="24"/>
          <w:szCs w:val="24"/>
        </w:rPr>
        <w:t>third</w:t>
      </w:r>
      <w:r w:rsidR="003B7D4D">
        <w:rPr>
          <w:sz w:val="24"/>
          <w:szCs w:val="24"/>
        </w:rPr>
        <w:t>-</w:t>
      </w:r>
      <w:r w:rsidRPr="00F9415B" w:rsidR="00526A56">
        <w:rPr>
          <w:sz w:val="24"/>
          <w:szCs w:val="24"/>
        </w:rPr>
        <w:t>party disclosure</w:t>
      </w:r>
    </w:p>
    <w:p w:rsidRPr="00F9415B" w:rsidR="00526A56" w:rsidP="00883D29" w:rsidRDefault="00526A56" w14:paraId="44201655" w14:textId="77777777">
      <w:pPr>
        <w:ind w:left="1080" w:hanging="360"/>
        <w:rPr>
          <w:sz w:val="24"/>
          <w:szCs w:val="24"/>
        </w:rPr>
      </w:pPr>
    </w:p>
    <w:p w:rsidRPr="00F9415B" w:rsidR="00526A56" w:rsidP="00883D29" w:rsidRDefault="00E868E1" w14:paraId="1E059925" w14:textId="058BE9B9">
      <w:pPr>
        <w:ind w:left="1080" w:hanging="360"/>
        <w:rPr>
          <w:sz w:val="24"/>
          <w:szCs w:val="24"/>
        </w:rPr>
      </w:pPr>
      <w:r>
        <w:rPr>
          <w:sz w:val="24"/>
          <w:szCs w:val="24"/>
        </w:rPr>
        <w:tab/>
      </w:r>
      <w:r w:rsidR="00BF2A51">
        <w:rPr>
          <w:sz w:val="24"/>
          <w:szCs w:val="24"/>
        </w:rPr>
        <w:t>11</w:t>
      </w:r>
      <w:r w:rsidR="00CF7C23">
        <w:rPr>
          <w:sz w:val="24"/>
          <w:szCs w:val="24"/>
        </w:rPr>
        <w:t>2</w:t>
      </w:r>
      <w:r w:rsidRPr="00F9415B" w:rsidR="00BF2A51">
        <w:rPr>
          <w:sz w:val="24"/>
          <w:szCs w:val="24"/>
        </w:rPr>
        <w:t xml:space="preserve"> </w:t>
      </w:r>
      <w:r w:rsidRPr="00F9415B" w:rsidR="00B4493E">
        <w:rPr>
          <w:sz w:val="24"/>
          <w:szCs w:val="24"/>
        </w:rPr>
        <w:t>respondents</w:t>
      </w:r>
      <w:r w:rsidRPr="00F9415B" w:rsidR="00526A56">
        <w:rPr>
          <w:sz w:val="24"/>
          <w:szCs w:val="24"/>
        </w:rPr>
        <w:t xml:space="preserve"> x </w:t>
      </w:r>
      <w:r w:rsidRPr="00F9415B" w:rsidR="00823FDC">
        <w:rPr>
          <w:sz w:val="24"/>
          <w:szCs w:val="24"/>
        </w:rPr>
        <w:t>1</w:t>
      </w:r>
      <w:r w:rsidRPr="00F9415B" w:rsidR="005635A8">
        <w:rPr>
          <w:sz w:val="24"/>
          <w:szCs w:val="24"/>
        </w:rPr>
        <w:t xml:space="preserve"> </w:t>
      </w:r>
      <w:r w:rsidRPr="00F9415B" w:rsidR="00526A56">
        <w:rPr>
          <w:sz w:val="24"/>
          <w:szCs w:val="24"/>
        </w:rPr>
        <w:t>responses x 4 times/annum</w:t>
      </w:r>
      <w:r w:rsidRPr="00F9415B" w:rsidR="00823FDC">
        <w:rPr>
          <w:sz w:val="24"/>
          <w:szCs w:val="24"/>
        </w:rPr>
        <w:t xml:space="preserve"> </w:t>
      </w:r>
      <w:r w:rsidRPr="00F9415B" w:rsidR="00526A56">
        <w:rPr>
          <w:sz w:val="24"/>
          <w:szCs w:val="24"/>
        </w:rPr>
        <w:t xml:space="preserve">= </w:t>
      </w:r>
      <w:r w:rsidR="00BF2A51">
        <w:rPr>
          <w:sz w:val="24"/>
          <w:szCs w:val="24"/>
        </w:rPr>
        <w:t>44</w:t>
      </w:r>
      <w:r w:rsidR="001A6AA7">
        <w:rPr>
          <w:sz w:val="24"/>
          <w:szCs w:val="24"/>
        </w:rPr>
        <w:t>8</w:t>
      </w:r>
      <w:r w:rsidRPr="00F9415B" w:rsidR="00BF2A51">
        <w:rPr>
          <w:sz w:val="24"/>
          <w:szCs w:val="24"/>
        </w:rPr>
        <w:t xml:space="preserve"> </w:t>
      </w:r>
      <w:r w:rsidRPr="00F9415B" w:rsidR="00823FDC">
        <w:rPr>
          <w:sz w:val="24"/>
          <w:szCs w:val="24"/>
        </w:rPr>
        <w:t>(quarterly report</w:t>
      </w:r>
      <w:r w:rsidRPr="00F9415B" w:rsidR="00953D8E">
        <w:rPr>
          <w:sz w:val="24"/>
          <w:szCs w:val="24"/>
        </w:rPr>
        <w:t>s</w:t>
      </w:r>
      <w:r w:rsidRPr="00F9415B" w:rsidR="00823FDC">
        <w:rPr>
          <w:sz w:val="24"/>
          <w:szCs w:val="24"/>
        </w:rPr>
        <w:t xml:space="preserve">) </w:t>
      </w:r>
    </w:p>
    <w:p w:rsidRPr="00F9415B" w:rsidR="007848B2" w:rsidP="00883D29" w:rsidRDefault="007848B2" w14:paraId="57D0D7E3" w14:textId="77777777">
      <w:pPr>
        <w:ind w:left="1080" w:hanging="360"/>
        <w:rPr>
          <w:sz w:val="24"/>
          <w:szCs w:val="24"/>
        </w:rPr>
      </w:pPr>
    </w:p>
    <w:p w:rsidRPr="00F9415B" w:rsidR="00B4493E" w:rsidP="00B4493E" w:rsidRDefault="00BF2A51" w14:paraId="01F70931" w14:textId="6B1F0809">
      <w:pPr>
        <w:ind w:left="1080"/>
        <w:rPr>
          <w:sz w:val="24"/>
          <w:szCs w:val="24"/>
        </w:rPr>
      </w:pPr>
      <w:r>
        <w:rPr>
          <w:sz w:val="24"/>
          <w:szCs w:val="24"/>
        </w:rPr>
        <w:t>11</w:t>
      </w:r>
      <w:r w:rsidR="001A6AA7">
        <w:rPr>
          <w:sz w:val="24"/>
          <w:szCs w:val="24"/>
        </w:rPr>
        <w:t>2</w:t>
      </w:r>
      <w:r w:rsidRPr="00F9415B">
        <w:rPr>
          <w:sz w:val="24"/>
          <w:szCs w:val="24"/>
        </w:rPr>
        <w:t xml:space="preserve"> </w:t>
      </w:r>
      <w:r w:rsidRPr="00F9415B" w:rsidR="00B4493E">
        <w:rPr>
          <w:sz w:val="24"/>
          <w:szCs w:val="24"/>
        </w:rPr>
        <w:t xml:space="preserve">respondents x </w:t>
      </w:r>
      <w:r w:rsidRPr="00F9415B" w:rsidR="00823FDC">
        <w:rPr>
          <w:sz w:val="24"/>
          <w:szCs w:val="24"/>
        </w:rPr>
        <w:t>1</w:t>
      </w:r>
      <w:r w:rsidRPr="00F9415B" w:rsidR="00B4493E">
        <w:rPr>
          <w:sz w:val="24"/>
          <w:szCs w:val="24"/>
        </w:rPr>
        <w:t xml:space="preserve"> responses</w:t>
      </w:r>
      <w:r w:rsidRPr="00F9415B" w:rsidR="00823FDC">
        <w:rPr>
          <w:sz w:val="24"/>
          <w:szCs w:val="24"/>
        </w:rPr>
        <w:t xml:space="preserve"> x 4 times</w:t>
      </w:r>
      <w:r w:rsidRPr="00F9415B" w:rsidR="00B4493E">
        <w:rPr>
          <w:sz w:val="24"/>
          <w:szCs w:val="24"/>
        </w:rPr>
        <w:t xml:space="preserve">/annum = </w:t>
      </w:r>
      <w:r>
        <w:rPr>
          <w:sz w:val="24"/>
          <w:szCs w:val="24"/>
        </w:rPr>
        <w:t>44</w:t>
      </w:r>
      <w:r w:rsidR="001A6AA7">
        <w:rPr>
          <w:sz w:val="24"/>
          <w:szCs w:val="24"/>
        </w:rPr>
        <w:t>8</w:t>
      </w:r>
      <w:r w:rsidRPr="00F9415B">
        <w:rPr>
          <w:sz w:val="24"/>
          <w:szCs w:val="24"/>
        </w:rPr>
        <w:t xml:space="preserve"> </w:t>
      </w:r>
      <w:r w:rsidRPr="00F9415B" w:rsidR="00823FDC">
        <w:rPr>
          <w:sz w:val="24"/>
          <w:szCs w:val="24"/>
        </w:rPr>
        <w:t>(</w:t>
      </w:r>
      <w:r w:rsidR="001532AA">
        <w:rPr>
          <w:sz w:val="24"/>
          <w:szCs w:val="24"/>
        </w:rPr>
        <w:t>third</w:t>
      </w:r>
      <w:r w:rsidRPr="00F9415B" w:rsidR="00823FDC">
        <w:rPr>
          <w:sz w:val="24"/>
          <w:szCs w:val="24"/>
        </w:rPr>
        <w:t xml:space="preserve"> party disclosure)</w:t>
      </w:r>
    </w:p>
    <w:p w:rsidRPr="00F9415B" w:rsidR="00A64038" w:rsidP="00B4493E" w:rsidRDefault="00A64038" w14:paraId="7D285B96" w14:textId="77777777">
      <w:pPr>
        <w:ind w:left="1080"/>
        <w:rPr>
          <w:sz w:val="24"/>
          <w:szCs w:val="24"/>
        </w:rPr>
      </w:pPr>
    </w:p>
    <w:p w:rsidRPr="00F9415B" w:rsidR="00A64038" w:rsidP="00B4493E" w:rsidRDefault="00A64038" w14:paraId="104E91F1" w14:textId="2E4A616A">
      <w:pPr>
        <w:ind w:left="1080"/>
        <w:rPr>
          <w:sz w:val="24"/>
          <w:szCs w:val="24"/>
        </w:rPr>
      </w:pPr>
      <w:r w:rsidRPr="00F9415B">
        <w:rPr>
          <w:sz w:val="24"/>
          <w:szCs w:val="24"/>
        </w:rPr>
        <w:t xml:space="preserve">Total: </w:t>
      </w:r>
      <w:r w:rsidR="00BF2A51">
        <w:rPr>
          <w:sz w:val="24"/>
          <w:szCs w:val="24"/>
        </w:rPr>
        <w:t>44</w:t>
      </w:r>
      <w:r w:rsidR="001A6AA7">
        <w:rPr>
          <w:sz w:val="24"/>
          <w:szCs w:val="24"/>
        </w:rPr>
        <w:t>8</w:t>
      </w:r>
      <w:r w:rsidRPr="00A665F1" w:rsidR="00BF2A51">
        <w:rPr>
          <w:sz w:val="24"/>
          <w:szCs w:val="24"/>
        </w:rPr>
        <w:t xml:space="preserve"> </w:t>
      </w:r>
      <w:r w:rsidRPr="00A665F1">
        <w:rPr>
          <w:sz w:val="24"/>
          <w:szCs w:val="24"/>
        </w:rPr>
        <w:t xml:space="preserve">+ </w:t>
      </w:r>
      <w:r w:rsidR="00BF2A51">
        <w:rPr>
          <w:sz w:val="24"/>
          <w:szCs w:val="24"/>
        </w:rPr>
        <w:t>44</w:t>
      </w:r>
      <w:r w:rsidR="001A6AA7">
        <w:rPr>
          <w:sz w:val="24"/>
          <w:szCs w:val="24"/>
        </w:rPr>
        <w:t>8</w:t>
      </w:r>
      <w:r w:rsidRPr="00A665F1" w:rsidR="00BF2A51">
        <w:rPr>
          <w:sz w:val="24"/>
          <w:szCs w:val="24"/>
        </w:rPr>
        <w:t xml:space="preserve"> </w:t>
      </w:r>
      <w:r w:rsidRPr="00A665F1">
        <w:rPr>
          <w:sz w:val="24"/>
          <w:szCs w:val="24"/>
        </w:rPr>
        <w:t xml:space="preserve">= </w:t>
      </w:r>
      <w:r w:rsidR="00BF2A51">
        <w:rPr>
          <w:sz w:val="24"/>
          <w:szCs w:val="24"/>
        </w:rPr>
        <w:t>8</w:t>
      </w:r>
      <w:r w:rsidR="001A6AA7">
        <w:rPr>
          <w:sz w:val="24"/>
          <w:szCs w:val="24"/>
        </w:rPr>
        <w:t>96</w:t>
      </w:r>
      <w:r w:rsidRPr="00A665F1">
        <w:rPr>
          <w:sz w:val="24"/>
          <w:szCs w:val="24"/>
        </w:rPr>
        <w:t xml:space="preserve"> responses</w:t>
      </w:r>
    </w:p>
    <w:p w:rsidRPr="00F9415B" w:rsidR="00883D29" w:rsidP="00883D29" w:rsidRDefault="00883D29" w14:paraId="31418C1D" w14:textId="77777777">
      <w:pPr>
        <w:ind w:left="1080" w:hanging="360"/>
        <w:rPr>
          <w:sz w:val="24"/>
          <w:szCs w:val="24"/>
        </w:rPr>
      </w:pPr>
    </w:p>
    <w:p w:rsidRPr="00F9415B" w:rsidR="00BF4E4C" w:rsidP="00883D29" w:rsidRDefault="00B52CBF" w14:paraId="3AA90BE7" w14:textId="4F3254E4">
      <w:pPr>
        <w:ind w:left="1080" w:hanging="360"/>
        <w:rPr>
          <w:sz w:val="24"/>
          <w:szCs w:val="24"/>
        </w:rPr>
      </w:pPr>
      <w:r w:rsidRPr="00F9415B">
        <w:rPr>
          <w:sz w:val="24"/>
          <w:szCs w:val="24"/>
        </w:rPr>
        <w:t>4</w:t>
      </w:r>
      <w:r w:rsidRPr="00F9415B" w:rsidR="00D416CD">
        <w:rPr>
          <w:sz w:val="24"/>
          <w:szCs w:val="24"/>
        </w:rPr>
        <w:t xml:space="preserve">)  </w:t>
      </w:r>
      <w:r w:rsidRPr="00F9415B" w:rsidR="00D416CD">
        <w:rPr>
          <w:sz w:val="24"/>
          <w:szCs w:val="24"/>
          <w:u w:val="single"/>
        </w:rPr>
        <w:t xml:space="preserve">Annual burden per </w:t>
      </w:r>
      <w:r w:rsidRPr="00F9415B" w:rsidR="009449A3">
        <w:rPr>
          <w:sz w:val="24"/>
          <w:szCs w:val="24"/>
          <w:u w:val="single"/>
        </w:rPr>
        <w:t>respondent</w:t>
      </w:r>
      <w:r w:rsidRPr="00F9415B" w:rsidR="009449A3">
        <w:rPr>
          <w:sz w:val="24"/>
          <w:szCs w:val="24"/>
        </w:rPr>
        <w:t xml:space="preserve">: </w:t>
      </w:r>
      <w:r w:rsidR="00E17DEA">
        <w:rPr>
          <w:sz w:val="24"/>
          <w:szCs w:val="24"/>
        </w:rPr>
        <w:t>122</w:t>
      </w:r>
      <w:r w:rsidRPr="00F9415B" w:rsidR="004D5B6C">
        <w:rPr>
          <w:sz w:val="24"/>
          <w:szCs w:val="24"/>
        </w:rPr>
        <w:t xml:space="preserve"> </w:t>
      </w:r>
      <w:r w:rsidRPr="00F9415B" w:rsidR="00D416CD">
        <w:rPr>
          <w:sz w:val="24"/>
          <w:szCs w:val="24"/>
        </w:rPr>
        <w:t>hours</w:t>
      </w:r>
      <w:r w:rsidRPr="00F9415B" w:rsidR="004D5B6C">
        <w:rPr>
          <w:sz w:val="24"/>
          <w:szCs w:val="24"/>
        </w:rPr>
        <w:t xml:space="preserve"> (average)</w:t>
      </w:r>
      <w:r w:rsidRPr="00F9415B" w:rsidR="00D416CD">
        <w:rPr>
          <w:sz w:val="24"/>
          <w:szCs w:val="24"/>
        </w:rPr>
        <w:t xml:space="preserve">.  </w:t>
      </w:r>
    </w:p>
    <w:p w:rsidRPr="00F9415B" w:rsidR="00BF4E4C" w:rsidP="00883D29" w:rsidRDefault="00BF4E4C" w14:paraId="023A6ED2" w14:textId="77777777">
      <w:pPr>
        <w:ind w:left="1080" w:hanging="360"/>
        <w:rPr>
          <w:sz w:val="24"/>
          <w:szCs w:val="24"/>
        </w:rPr>
      </w:pPr>
    </w:p>
    <w:p w:rsidRPr="00F9415B" w:rsidR="00D416CD" w:rsidP="00883D29" w:rsidRDefault="00BF4E4C" w14:paraId="16BA0FDC" w14:textId="7687FA18">
      <w:pPr>
        <w:ind w:left="1080" w:hanging="360"/>
        <w:rPr>
          <w:sz w:val="24"/>
          <w:szCs w:val="24"/>
        </w:rPr>
      </w:pPr>
      <w:r w:rsidRPr="00F9415B">
        <w:rPr>
          <w:sz w:val="24"/>
          <w:szCs w:val="24"/>
        </w:rPr>
        <w:t>5)</w:t>
      </w:r>
      <w:r w:rsidRPr="00F9415B">
        <w:rPr>
          <w:sz w:val="24"/>
          <w:szCs w:val="24"/>
        </w:rPr>
        <w:tab/>
      </w:r>
      <w:r w:rsidRPr="00F9415B" w:rsidR="00D416CD">
        <w:rPr>
          <w:sz w:val="24"/>
          <w:szCs w:val="24"/>
          <w:u w:val="single"/>
        </w:rPr>
        <w:t xml:space="preserve">Total </w:t>
      </w:r>
      <w:r w:rsidRPr="00F9415B">
        <w:rPr>
          <w:sz w:val="24"/>
          <w:szCs w:val="24"/>
          <w:u w:val="single"/>
        </w:rPr>
        <w:t>Annual H</w:t>
      </w:r>
      <w:r w:rsidRPr="00F9415B" w:rsidR="00D416CD">
        <w:rPr>
          <w:sz w:val="24"/>
          <w:szCs w:val="24"/>
          <w:u w:val="single"/>
        </w:rPr>
        <w:t xml:space="preserve">our </w:t>
      </w:r>
      <w:r w:rsidRPr="00F9415B">
        <w:rPr>
          <w:sz w:val="24"/>
          <w:szCs w:val="24"/>
          <w:u w:val="single"/>
        </w:rPr>
        <w:t>B</w:t>
      </w:r>
      <w:r w:rsidRPr="00F9415B" w:rsidR="00D416CD">
        <w:rPr>
          <w:sz w:val="24"/>
          <w:szCs w:val="24"/>
          <w:u w:val="single"/>
        </w:rPr>
        <w:t>urden</w:t>
      </w:r>
      <w:r w:rsidRPr="00F9415B">
        <w:rPr>
          <w:sz w:val="24"/>
          <w:szCs w:val="24"/>
        </w:rPr>
        <w:t xml:space="preserve">: </w:t>
      </w:r>
      <w:r w:rsidR="00BF2A51">
        <w:rPr>
          <w:sz w:val="24"/>
          <w:szCs w:val="24"/>
        </w:rPr>
        <w:t>13,542</w:t>
      </w:r>
      <w:r w:rsidRPr="00F9415B" w:rsidR="00C056AB">
        <w:rPr>
          <w:sz w:val="24"/>
          <w:szCs w:val="24"/>
        </w:rPr>
        <w:t xml:space="preserve"> </w:t>
      </w:r>
      <w:r w:rsidRPr="00F9415B" w:rsidR="00D416CD">
        <w:rPr>
          <w:sz w:val="24"/>
          <w:szCs w:val="24"/>
        </w:rPr>
        <w:t>hours.</w:t>
      </w:r>
    </w:p>
    <w:p w:rsidRPr="00F9415B" w:rsidR="00B52CBF" w:rsidP="00883D29" w:rsidRDefault="00B52CBF" w14:paraId="7AFF2CC8" w14:textId="77777777">
      <w:pPr>
        <w:ind w:left="1080" w:hanging="360"/>
        <w:rPr>
          <w:b/>
          <w:sz w:val="24"/>
          <w:szCs w:val="24"/>
        </w:rPr>
      </w:pPr>
    </w:p>
    <w:p w:rsidRPr="00F9415B" w:rsidR="00F76CAB" w:rsidP="00F76CAB" w:rsidRDefault="00F76CAB" w14:paraId="2A65FEE7" w14:textId="370C3BD7">
      <w:pPr>
        <w:ind w:left="1080"/>
        <w:rPr>
          <w:b/>
          <w:sz w:val="24"/>
          <w:szCs w:val="24"/>
        </w:rPr>
      </w:pPr>
      <w:r w:rsidRPr="00F9415B">
        <w:rPr>
          <w:sz w:val="24"/>
          <w:szCs w:val="24"/>
        </w:rPr>
        <w:lastRenderedPageBreak/>
        <w:t xml:space="preserve">The Commission estimates that respondents require approximately </w:t>
      </w:r>
      <w:r w:rsidR="00CF4E86">
        <w:rPr>
          <w:sz w:val="24"/>
          <w:szCs w:val="24"/>
        </w:rPr>
        <w:t>30</w:t>
      </w:r>
      <w:r w:rsidRPr="00F9415B">
        <w:rPr>
          <w:sz w:val="24"/>
          <w:szCs w:val="24"/>
        </w:rPr>
        <w:t xml:space="preserve"> hours to file the quarterly report:</w:t>
      </w:r>
    </w:p>
    <w:p w:rsidRPr="00F9415B" w:rsidR="00F76CAB" w:rsidP="00883D29" w:rsidRDefault="00F76CAB" w14:paraId="25F09C57" w14:textId="77777777">
      <w:pPr>
        <w:ind w:left="1080" w:hanging="360"/>
        <w:rPr>
          <w:b/>
          <w:sz w:val="24"/>
          <w:szCs w:val="24"/>
        </w:rPr>
      </w:pPr>
    </w:p>
    <w:p w:rsidRPr="00F9415B" w:rsidR="00DA1D50" w:rsidP="00DA1D50" w:rsidRDefault="00DA1D50" w14:paraId="1AAA86D5" w14:textId="2EC82BA2">
      <w:pPr>
        <w:ind w:left="1080" w:hanging="360"/>
        <w:rPr>
          <w:sz w:val="24"/>
          <w:szCs w:val="24"/>
        </w:rPr>
      </w:pPr>
      <w:r w:rsidRPr="00F9415B">
        <w:rPr>
          <w:sz w:val="24"/>
          <w:szCs w:val="24"/>
        </w:rPr>
        <w:tab/>
      </w:r>
      <w:r w:rsidR="00BF2A51">
        <w:rPr>
          <w:sz w:val="24"/>
          <w:szCs w:val="24"/>
        </w:rPr>
        <w:t>11</w:t>
      </w:r>
      <w:r w:rsidR="006B7F79">
        <w:rPr>
          <w:sz w:val="24"/>
          <w:szCs w:val="24"/>
        </w:rPr>
        <w:t>2</w:t>
      </w:r>
      <w:r w:rsidRPr="00F9415B" w:rsidR="00BF2A51">
        <w:rPr>
          <w:sz w:val="24"/>
          <w:szCs w:val="24"/>
        </w:rPr>
        <w:t xml:space="preserve"> </w:t>
      </w:r>
      <w:r w:rsidRPr="00F9415B">
        <w:rPr>
          <w:sz w:val="24"/>
          <w:szCs w:val="24"/>
        </w:rPr>
        <w:t xml:space="preserve">respondents x </w:t>
      </w:r>
      <w:r w:rsidRPr="00F9415B" w:rsidR="00E57CD3">
        <w:rPr>
          <w:sz w:val="24"/>
          <w:szCs w:val="24"/>
        </w:rPr>
        <w:t>4</w:t>
      </w:r>
      <w:r w:rsidRPr="00F9415B">
        <w:rPr>
          <w:sz w:val="24"/>
          <w:szCs w:val="24"/>
        </w:rPr>
        <w:t xml:space="preserve"> response</w:t>
      </w:r>
      <w:r w:rsidRPr="00F9415B" w:rsidR="00E57CD3">
        <w:rPr>
          <w:sz w:val="24"/>
          <w:szCs w:val="24"/>
        </w:rPr>
        <w:t>s</w:t>
      </w:r>
      <w:r w:rsidRPr="00F9415B">
        <w:rPr>
          <w:sz w:val="24"/>
          <w:szCs w:val="24"/>
        </w:rPr>
        <w:t xml:space="preserve">/annum x </w:t>
      </w:r>
      <w:r w:rsidR="00CF4E86">
        <w:rPr>
          <w:sz w:val="24"/>
          <w:szCs w:val="24"/>
        </w:rPr>
        <w:t>30</w:t>
      </w:r>
      <w:r w:rsidRPr="00F9415B">
        <w:rPr>
          <w:sz w:val="24"/>
          <w:szCs w:val="24"/>
        </w:rPr>
        <w:t xml:space="preserve"> hours/response = </w:t>
      </w:r>
      <w:r w:rsidR="00BF2A51">
        <w:rPr>
          <w:sz w:val="24"/>
          <w:szCs w:val="24"/>
        </w:rPr>
        <w:t>13,</w:t>
      </w:r>
      <w:r w:rsidR="005A2CAA">
        <w:rPr>
          <w:sz w:val="24"/>
          <w:szCs w:val="24"/>
        </w:rPr>
        <w:t>44</w:t>
      </w:r>
      <w:r w:rsidR="00BF2A51">
        <w:rPr>
          <w:sz w:val="24"/>
          <w:szCs w:val="24"/>
        </w:rPr>
        <w:t>0</w:t>
      </w:r>
      <w:r w:rsidRPr="00F9415B">
        <w:rPr>
          <w:sz w:val="24"/>
          <w:szCs w:val="24"/>
        </w:rPr>
        <w:t xml:space="preserve"> hours</w:t>
      </w:r>
    </w:p>
    <w:p w:rsidRPr="00F9415B" w:rsidR="008517CB" w:rsidP="00DA1D50" w:rsidRDefault="008517CB" w14:paraId="1B0348F6" w14:textId="77777777">
      <w:pPr>
        <w:ind w:left="1080" w:hanging="360"/>
        <w:rPr>
          <w:sz w:val="24"/>
          <w:szCs w:val="24"/>
        </w:rPr>
      </w:pPr>
    </w:p>
    <w:p w:rsidRPr="00F9415B" w:rsidR="002C5D1A" w:rsidP="002C5D1A" w:rsidRDefault="002C5D1A" w14:paraId="6812C5F4" w14:textId="6D93E2BE">
      <w:pPr>
        <w:ind w:left="1080"/>
        <w:rPr>
          <w:sz w:val="24"/>
          <w:szCs w:val="24"/>
        </w:rPr>
      </w:pPr>
      <w:r w:rsidRPr="00F9415B">
        <w:rPr>
          <w:sz w:val="24"/>
          <w:szCs w:val="24"/>
        </w:rPr>
        <w:t xml:space="preserve">The Commission estimates that respondents require approximately 0.5 hours (30 minutes) to comply with the </w:t>
      </w:r>
      <w:r w:rsidR="001532AA">
        <w:rPr>
          <w:sz w:val="24"/>
          <w:szCs w:val="24"/>
        </w:rPr>
        <w:t>third</w:t>
      </w:r>
      <w:r w:rsidR="003B7D4D">
        <w:rPr>
          <w:sz w:val="24"/>
          <w:szCs w:val="24"/>
        </w:rPr>
        <w:t>-</w:t>
      </w:r>
      <w:r w:rsidRPr="00F9415B">
        <w:rPr>
          <w:sz w:val="24"/>
          <w:szCs w:val="24"/>
        </w:rPr>
        <w:t>party disclosure requirement:</w:t>
      </w:r>
    </w:p>
    <w:p w:rsidRPr="00F9415B" w:rsidR="002C5D1A" w:rsidP="002C5D1A" w:rsidRDefault="002C5D1A" w14:paraId="33411182" w14:textId="77777777">
      <w:pPr>
        <w:ind w:left="1080" w:hanging="360"/>
        <w:rPr>
          <w:sz w:val="24"/>
          <w:szCs w:val="24"/>
        </w:rPr>
      </w:pPr>
    </w:p>
    <w:p w:rsidRPr="00F9415B" w:rsidR="008517CB" w:rsidP="008517CB" w:rsidRDefault="00BF2A51" w14:paraId="62498955" w14:textId="2719B1CD">
      <w:pPr>
        <w:ind w:left="1080"/>
        <w:rPr>
          <w:sz w:val="24"/>
          <w:szCs w:val="24"/>
        </w:rPr>
      </w:pPr>
      <w:r>
        <w:rPr>
          <w:sz w:val="24"/>
          <w:szCs w:val="24"/>
        </w:rPr>
        <w:t>11</w:t>
      </w:r>
      <w:r w:rsidR="006B7F79">
        <w:rPr>
          <w:sz w:val="24"/>
          <w:szCs w:val="24"/>
        </w:rPr>
        <w:t>2</w:t>
      </w:r>
      <w:r w:rsidRPr="00F9415B">
        <w:rPr>
          <w:sz w:val="24"/>
          <w:szCs w:val="24"/>
        </w:rPr>
        <w:t xml:space="preserve"> </w:t>
      </w:r>
      <w:r w:rsidRPr="00F9415B" w:rsidR="008517CB">
        <w:rPr>
          <w:sz w:val="24"/>
          <w:szCs w:val="24"/>
        </w:rPr>
        <w:t xml:space="preserve">respondents x </w:t>
      </w:r>
      <w:r w:rsidRPr="00F9415B" w:rsidR="00E57CD3">
        <w:rPr>
          <w:sz w:val="24"/>
          <w:szCs w:val="24"/>
        </w:rPr>
        <w:t>4</w:t>
      </w:r>
      <w:r w:rsidRPr="00F9415B" w:rsidR="008517CB">
        <w:rPr>
          <w:sz w:val="24"/>
          <w:szCs w:val="24"/>
        </w:rPr>
        <w:t xml:space="preserve"> </w:t>
      </w:r>
      <w:r w:rsidRPr="00F9415B" w:rsidR="00B72CB3">
        <w:rPr>
          <w:sz w:val="24"/>
          <w:szCs w:val="24"/>
        </w:rPr>
        <w:t xml:space="preserve">responses/annum </w:t>
      </w:r>
      <w:r w:rsidRPr="00F9415B" w:rsidR="008517CB">
        <w:rPr>
          <w:sz w:val="24"/>
          <w:szCs w:val="24"/>
        </w:rPr>
        <w:t xml:space="preserve">x </w:t>
      </w:r>
      <w:r w:rsidRPr="00F9415B" w:rsidR="00315D56">
        <w:rPr>
          <w:sz w:val="24"/>
          <w:szCs w:val="24"/>
        </w:rPr>
        <w:t>0.5</w:t>
      </w:r>
      <w:r w:rsidRPr="00F9415B" w:rsidR="008517CB">
        <w:rPr>
          <w:sz w:val="24"/>
          <w:szCs w:val="24"/>
        </w:rPr>
        <w:t xml:space="preserve"> hours/</w:t>
      </w:r>
      <w:r w:rsidR="001532AA">
        <w:rPr>
          <w:sz w:val="24"/>
          <w:szCs w:val="24"/>
        </w:rPr>
        <w:t>third</w:t>
      </w:r>
      <w:r w:rsidRPr="00F9415B" w:rsidR="00B72CB3">
        <w:rPr>
          <w:sz w:val="24"/>
          <w:szCs w:val="24"/>
        </w:rPr>
        <w:t xml:space="preserve"> party response</w:t>
      </w:r>
      <w:r w:rsidRPr="00F9415B" w:rsidR="008517CB">
        <w:rPr>
          <w:sz w:val="24"/>
          <w:szCs w:val="24"/>
        </w:rPr>
        <w:t xml:space="preserve"> = </w:t>
      </w:r>
      <w:r>
        <w:rPr>
          <w:sz w:val="24"/>
          <w:szCs w:val="24"/>
        </w:rPr>
        <w:t>22</w:t>
      </w:r>
      <w:r w:rsidR="005A2CAA">
        <w:rPr>
          <w:sz w:val="24"/>
          <w:szCs w:val="24"/>
        </w:rPr>
        <w:t>4</w:t>
      </w:r>
      <w:r w:rsidRPr="00F9415B">
        <w:rPr>
          <w:sz w:val="24"/>
          <w:szCs w:val="24"/>
        </w:rPr>
        <w:t xml:space="preserve"> </w:t>
      </w:r>
      <w:r w:rsidRPr="00F9415B" w:rsidR="008517CB">
        <w:rPr>
          <w:sz w:val="24"/>
          <w:szCs w:val="24"/>
        </w:rPr>
        <w:t>hours</w:t>
      </w:r>
    </w:p>
    <w:p w:rsidRPr="00F9415B" w:rsidR="00E822BE" w:rsidP="008517CB" w:rsidRDefault="00E822BE" w14:paraId="3A266B4E" w14:textId="77777777">
      <w:pPr>
        <w:ind w:left="1080"/>
        <w:rPr>
          <w:sz w:val="24"/>
          <w:szCs w:val="24"/>
        </w:rPr>
      </w:pPr>
    </w:p>
    <w:p w:rsidRPr="00F9415B" w:rsidR="00E822BE" w:rsidP="008517CB" w:rsidRDefault="00964C1E" w14:paraId="6EEF589D" w14:textId="335DEBC5">
      <w:pPr>
        <w:ind w:left="1080"/>
        <w:rPr>
          <w:sz w:val="24"/>
          <w:szCs w:val="24"/>
        </w:rPr>
      </w:pPr>
      <w:r w:rsidRPr="00F9415B">
        <w:rPr>
          <w:sz w:val="24"/>
          <w:szCs w:val="24"/>
        </w:rPr>
        <w:t xml:space="preserve">Total Hours: </w:t>
      </w:r>
      <w:r w:rsidR="00BF2A51">
        <w:rPr>
          <w:sz w:val="24"/>
          <w:szCs w:val="24"/>
        </w:rPr>
        <w:t>13,</w:t>
      </w:r>
      <w:r w:rsidR="005A2CAA">
        <w:rPr>
          <w:sz w:val="24"/>
          <w:szCs w:val="24"/>
        </w:rPr>
        <w:t>44</w:t>
      </w:r>
      <w:r w:rsidR="00BF2A51">
        <w:rPr>
          <w:sz w:val="24"/>
          <w:szCs w:val="24"/>
        </w:rPr>
        <w:t>0</w:t>
      </w:r>
      <w:r w:rsidRPr="00F9415B" w:rsidR="00E822BE">
        <w:rPr>
          <w:sz w:val="24"/>
          <w:szCs w:val="24"/>
        </w:rPr>
        <w:t xml:space="preserve"> + </w:t>
      </w:r>
      <w:r w:rsidR="00BF2A51">
        <w:rPr>
          <w:sz w:val="24"/>
          <w:szCs w:val="24"/>
        </w:rPr>
        <w:t>22</w:t>
      </w:r>
      <w:r w:rsidR="005A2CAA">
        <w:rPr>
          <w:sz w:val="24"/>
          <w:szCs w:val="24"/>
        </w:rPr>
        <w:t>4</w:t>
      </w:r>
      <w:r w:rsidRPr="00F9415B" w:rsidR="00CF4E86">
        <w:rPr>
          <w:sz w:val="24"/>
          <w:szCs w:val="24"/>
        </w:rPr>
        <w:t xml:space="preserve"> </w:t>
      </w:r>
      <w:r w:rsidRPr="00F9415B" w:rsidR="00E822BE">
        <w:rPr>
          <w:sz w:val="24"/>
          <w:szCs w:val="24"/>
        </w:rPr>
        <w:t xml:space="preserve">= </w:t>
      </w:r>
      <w:r w:rsidR="00BF2A51">
        <w:rPr>
          <w:sz w:val="24"/>
          <w:szCs w:val="24"/>
        </w:rPr>
        <w:t>13,</w:t>
      </w:r>
      <w:r w:rsidR="008C099E">
        <w:rPr>
          <w:sz w:val="24"/>
          <w:szCs w:val="24"/>
        </w:rPr>
        <w:t>664</w:t>
      </w:r>
      <w:r w:rsidRPr="00F9415B" w:rsidR="00E822BE">
        <w:rPr>
          <w:sz w:val="24"/>
          <w:szCs w:val="24"/>
        </w:rPr>
        <w:t xml:space="preserve"> hours</w:t>
      </w:r>
    </w:p>
    <w:p w:rsidRPr="00F9415B" w:rsidR="0076048D" w:rsidP="00883D29" w:rsidRDefault="0076048D" w14:paraId="6F277199" w14:textId="77777777">
      <w:pPr>
        <w:ind w:left="1080" w:hanging="360"/>
        <w:rPr>
          <w:sz w:val="24"/>
          <w:szCs w:val="24"/>
        </w:rPr>
      </w:pPr>
    </w:p>
    <w:p w:rsidRPr="00F9415B" w:rsidR="00D416CD" w:rsidP="00580043" w:rsidRDefault="003B7D4D" w14:paraId="573DF071" w14:textId="5D10AC35">
      <w:pPr>
        <w:ind w:left="1080" w:hanging="720"/>
        <w:rPr>
          <w:sz w:val="24"/>
          <w:szCs w:val="24"/>
        </w:rPr>
      </w:pPr>
      <w:r>
        <w:rPr>
          <w:sz w:val="24"/>
          <w:szCs w:val="24"/>
        </w:rPr>
        <w:t>b</w:t>
      </w:r>
      <w:r w:rsidRPr="00F9415B" w:rsidR="00D416CD">
        <w:rPr>
          <w:sz w:val="24"/>
          <w:szCs w:val="24"/>
        </w:rPr>
        <w:t xml:space="preserve">.  </w:t>
      </w:r>
      <w:r w:rsidRPr="00F9415B" w:rsidR="00D416CD">
        <w:rPr>
          <w:sz w:val="24"/>
          <w:szCs w:val="24"/>
          <w:u w:val="single"/>
        </w:rPr>
        <w:t>Intermediate Carrier Filing of a Quarterly Report</w:t>
      </w:r>
      <w:r w:rsidRPr="00F9415B" w:rsidR="00D416CD">
        <w:rPr>
          <w:sz w:val="24"/>
          <w:szCs w:val="24"/>
        </w:rPr>
        <w:t>.  (</w:t>
      </w:r>
      <w:r w:rsidR="006773E0">
        <w:rPr>
          <w:sz w:val="24"/>
          <w:szCs w:val="24"/>
        </w:rPr>
        <w:t xml:space="preserve">47 U.S.C. </w:t>
      </w:r>
      <w:r w:rsidRPr="00F9415B" w:rsidR="006773E0">
        <w:rPr>
          <w:sz w:val="24"/>
          <w:szCs w:val="24"/>
        </w:rPr>
        <w:t xml:space="preserve">§ </w:t>
      </w:r>
      <w:r w:rsidRPr="00F9415B" w:rsidR="00D416CD">
        <w:rPr>
          <w:sz w:val="24"/>
          <w:szCs w:val="24"/>
        </w:rPr>
        <w:t>276(b)(1)(A)).</w:t>
      </w:r>
    </w:p>
    <w:p w:rsidRPr="00F9415B" w:rsidR="00580043" w:rsidP="00580043" w:rsidRDefault="00580043" w14:paraId="7E3E149C" w14:textId="77777777">
      <w:pPr>
        <w:ind w:left="1080" w:hanging="360"/>
        <w:rPr>
          <w:sz w:val="24"/>
          <w:szCs w:val="24"/>
        </w:rPr>
      </w:pPr>
    </w:p>
    <w:p w:rsidR="00722692" w:rsidP="00580043" w:rsidRDefault="00D416CD" w14:paraId="2EA9A4A7" w14:textId="446A06DC">
      <w:pPr>
        <w:ind w:left="1080" w:hanging="360"/>
        <w:rPr>
          <w:sz w:val="24"/>
          <w:szCs w:val="24"/>
        </w:rPr>
      </w:pPr>
      <w:r w:rsidRPr="00F9415B">
        <w:rPr>
          <w:sz w:val="24"/>
          <w:szCs w:val="24"/>
        </w:rPr>
        <w:t xml:space="preserve">1)  </w:t>
      </w:r>
      <w:r w:rsidRPr="00F9415B">
        <w:rPr>
          <w:sz w:val="24"/>
          <w:szCs w:val="24"/>
          <w:u w:val="single"/>
        </w:rPr>
        <w:t xml:space="preserve">Number of </w:t>
      </w:r>
      <w:r w:rsidRPr="00F9415B" w:rsidR="00BF4E4C">
        <w:rPr>
          <w:sz w:val="24"/>
          <w:szCs w:val="24"/>
          <w:u w:val="single"/>
        </w:rPr>
        <w:t>R</w:t>
      </w:r>
      <w:r w:rsidRPr="00F9415B" w:rsidR="00E35A87">
        <w:rPr>
          <w:sz w:val="24"/>
          <w:szCs w:val="24"/>
          <w:u w:val="single"/>
        </w:rPr>
        <w:t>espondents</w:t>
      </w:r>
      <w:r w:rsidRPr="00F9415B" w:rsidR="00E35A87">
        <w:rPr>
          <w:sz w:val="24"/>
          <w:szCs w:val="24"/>
        </w:rPr>
        <w:t xml:space="preserve">: </w:t>
      </w:r>
      <w:r w:rsidR="00E50BBB">
        <w:rPr>
          <w:sz w:val="24"/>
          <w:szCs w:val="24"/>
        </w:rPr>
        <w:t xml:space="preserve"> </w:t>
      </w:r>
      <w:r w:rsidR="00864657">
        <w:rPr>
          <w:sz w:val="24"/>
          <w:szCs w:val="24"/>
        </w:rPr>
        <w:t>1</w:t>
      </w:r>
      <w:r w:rsidR="00F17967">
        <w:rPr>
          <w:sz w:val="24"/>
          <w:szCs w:val="24"/>
        </w:rPr>
        <w:t>48</w:t>
      </w:r>
      <w:r w:rsidRPr="00F9415B" w:rsidR="00864657">
        <w:rPr>
          <w:sz w:val="24"/>
          <w:szCs w:val="24"/>
        </w:rPr>
        <w:t xml:space="preserve">  </w:t>
      </w:r>
    </w:p>
    <w:p w:rsidR="00722692" w:rsidP="00580043" w:rsidRDefault="00722692" w14:paraId="3D1E576F" w14:textId="77777777">
      <w:pPr>
        <w:ind w:left="1080" w:hanging="360"/>
        <w:rPr>
          <w:sz w:val="24"/>
          <w:szCs w:val="24"/>
        </w:rPr>
      </w:pPr>
    </w:p>
    <w:p w:rsidR="006773E0" w:rsidP="000E7A8A" w:rsidRDefault="00FB44E0" w14:paraId="500D2314" w14:textId="1AB36979">
      <w:pPr>
        <w:ind w:left="1080"/>
        <w:rPr>
          <w:sz w:val="24"/>
          <w:szCs w:val="24"/>
        </w:rPr>
      </w:pPr>
      <w:r w:rsidRPr="00186284">
        <w:rPr>
          <w:sz w:val="24"/>
          <w:szCs w:val="24"/>
        </w:rPr>
        <w:t xml:space="preserve">As of </w:t>
      </w:r>
      <w:r w:rsidR="00864657">
        <w:rPr>
          <w:sz w:val="24"/>
          <w:szCs w:val="24"/>
        </w:rPr>
        <w:t>January</w:t>
      </w:r>
      <w:r w:rsidR="00F17967">
        <w:rPr>
          <w:sz w:val="24"/>
          <w:szCs w:val="24"/>
        </w:rPr>
        <w:t xml:space="preserve"> 22</w:t>
      </w:r>
      <w:r w:rsidRPr="00186284">
        <w:rPr>
          <w:sz w:val="24"/>
          <w:szCs w:val="24"/>
        </w:rPr>
        <w:t>, 20</w:t>
      </w:r>
      <w:r w:rsidR="00864657">
        <w:rPr>
          <w:sz w:val="24"/>
          <w:szCs w:val="24"/>
        </w:rPr>
        <w:t>2</w:t>
      </w:r>
      <w:r w:rsidRPr="00186284">
        <w:rPr>
          <w:sz w:val="24"/>
          <w:szCs w:val="24"/>
        </w:rPr>
        <w:t xml:space="preserve">1, </w:t>
      </w:r>
      <w:r w:rsidR="008860B6">
        <w:rPr>
          <w:sz w:val="24"/>
          <w:szCs w:val="24"/>
        </w:rPr>
        <w:t>t</w:t>
      </w:r>
      <w:r w:rsidRPr="00D557EE" w:rsidR="008860B6">
        <w:rPr>
          <w:sz w:val="24"/>
          <w:szCs w:val="24"/>
        </w:rPr>
        <w:t>he</w:t>
      </w:r>
      <w:r w:rsidRPr="00D557EE" w:rsidR="006773E0">
        <w:rPr>
          <w:sz w:val="24"/>
          <w:szCs w:val="24"/>
        </w:rPr>
        <w:t xml:space="preserve"> </w:t>
      </w:r>
      <w:r w:rsidR="006773E0">
        <w:rPr>
          <w:sz w:val="24"/>
          <w:szCs w:val="24"/>
        </w:rPr>
        <w:t xml:space="preserve">number of Intermediate Carriers is estimated to be </w:t>
      </w:r>
      <w:r w:rsidR="001F5CE8">
        <w:rPr>
          <w:sz w:val="24"/>
          <w:szCs w:val="24"/>
        </w:rPr>
        <w:t>176</w:t>
      </w:r>
      <w:r w:rsidR="006773E0">
        <w:rPr>
          <w:sz w:val="24"/>
          <w:szCs w:val="24"/>
        </w:rPr>
        <w:t xml:space="preserve">, which </w:t>
      </w:r>
      <w:r w:rsidRPr="00D557EE" w:rsidR="006773E0">
        <w:rPr>
          <w:sz w:val="24"/>
          <w:szCs w:val="24"/>
        </w:rPr>
        <w:t xml:space="preserve">was obtained by reference to the FCC Form 499 Filer Database, </w:t>
      </w:r>
      <w:r w:rsidRPr="00186284" w:rsidR="006773E0">
        <w:rPr>
          <w:sz w:val="24"/>
          <w:szCs w:val="24"/>
        </w:rPr>
        <w:t xml:space="preserve">available at </w:t>
      </w:r>
      <w:hyperlink w:history="1" r:id="rId11">
        <w:r w:rsidRPr="002761B3" w:rsidR="00F17967">
          <w:rPr>
            <w:rStyle w:val="Hyperlink"/>
            <w:sz w:val="24"/>
            <w:szCs w:val="24"/>
          </w:rPr>
          <w:t>http://apps.fcc.gov/cgb/form499/499a.cfm</w:t>
        </w:r>
      </w:hyperlink>
      <w:r w:rsidRPr="00186284" w:rsidR="006773E0">
        <w:rPr>
          <w:sz w:val="24"/>
          <w:szCs w:val="24"/>
        </w:rPr>
        <w:t xml:space="preserve">. </w:t>
      </w:r>
      <w:r w:rsidRPr="00D557EE" w:rsidR="006773E0">
        <w:rPr>
          <w:sz w:val="24"/>
          <w:szCs w:val="24"/>
        </w:rPr>
        <w:t> </w:t>
      </w:r>
    </w:p>
    <w:p w:rsidR="006773E0" w:rsidP="00580043" w:rsidRDefault="006773E0" w14:paraId="2307835E" w14:textId="77777777">
      <w:pPr>
        <w:ind w:left="1080" w:hanging="360"/>
        <w:rPr>
          <w:sz w:val="24"/>
          <w:szCs w:val="24"/>
        </w:rPr>
      </w:pPr>
    </w:p>
    <w:p w:rsidRPr="00F9415B" w:rsidR="00D416CD" w:rsidP="00722692" w:rsidRDefault="002B314D" w14:paraId="72478377" w14:textId="77777777">
      <w:pPr>
        <w:ind w:left="1080"/>
        <w:rPr>
          <w:sz w:val="24"/>
          <w:szCs w:val="24"/>
        </w:rPr>
      </w:pPr>
      <w:r>
        <w:rPr>
          <w:sz w:val="24"/>
          <w:szCs w:val="24"/>
        </w:rPr>
        <w:t>This</w:t>
      </w:r>
      <w:r w:rsidRPr="00F9415B" w:rsidR="000F1C4E">
        <w:rPr>
          <w:sz w:val="24"/>
          <w:szCs w:val="24"/>
        </w:rPr>
        <w:t xml:space="preserve"> requirement only applies to the Intermediate Carrier</w:t>
      </w:r>
      <w:r w:rsidRPr="00F9415B" w:rsidR="00165B2C">
        <w:rPr>
          <w:sz w:val="24"/>
          <w:szCs w:val="24"/>
        </w:rPr>
        <w:t>s</w:t>
      </w:r>
      <w:r w:rsidR="0020648F">
        <w:rPr>
          <w:sz w:val="24"/>
          <w:szCs w:val="24"/>
        </w:rPr>
        <w:t xml:space="preserve"> and </w:t>
      </w:r>
      <w:r w:rsidR="00E07222">
        <w:rPr>
          <w:sz w:val="24"/>
          <w:szCs w:val="24"/>
        </w:rPr>
        <w:t>reflect</w:t>
      </w:r>
      <w:r w:rsidR="0020648F">
        <w:rPr>
          <w:sz w:val="24"/>
          <w:szCs w:val="24"/>
        </w:rPr>
        <w:t>s</w:t>
      </w:r>
      <w:r w:rsidR="00E07222">
        <w:rPr>
          <w:sz w:val="24"/>
          <w:szCs w:val="24"/>
        </w:rPr>
        <w:t xml:space="preserve"> quarterly reporting by </w:t>
      </w:r>
      <w:r w:rsidR="0020648F">
        <w:rPr>
          <w:sz w:val="24"/>
          <w:szCs w:val="24"/>
        </w:rPr>
        <w:t>those c</w:t>
      </w:r>
      <w:r w:rsidR="00E07222">
        <w:rPr>
          <w:sz w:val="24"/>
          <w:szCs w:val="24"/>
        </w:rPr>
        <w:t xml:space="preserve">arriers.  </w:t>
      </w:r>
    </w:p>
    <w:p w:rsidRPr="00F9415B" w:rsidR="00580043" w:rsidP="00580043" w:rsidRDefault="00D416CD" w14:paraId="3C8B4FA9" w14:textId="77777777">
      <w:pPr>
        <w:ind w:left="1080" w:hanging="360"/>
        <w:rPr>
          <w:sz w:val="24"/>
          <w:szCs w:val="24"/>
        </w:rPr>
      </w:pPr>
      <w:r w:rsidRPr="00F9415B">
        <w:rPr>
          <w:sz w:val="24"/>
          <w:szCs w:val="24"/>
        </w:rPr>
        <w:tab/>
      </w:r>
    </w:p>
    <w:p w:rsidRPr="00F9415B" w:rsidR="00D416CD" w:rsidP="00E25BC0" w:rsidRDefault="00D416CD" w14:paraId="477BE1BB" w14:textId="77777777">
      <w:pPr>
        <w:numPr>
          <w:ilvl w:val="0"/>
          <w:numId w:val="7"/>
        </w:numPr>
        <w:rPr>
          <w:sz w:val="24"/>
          <w:szCs w:val="24"/>
        </w:rPr>
      </w:pPr>
      <w:r w:rsidRPr="00F9415B">
        <w:rPr>
          <w:sz w:val="24"/>
          <w:szCs w:val="24"/>
          <w:u w:val="single"/>
        </w:rPr>
        <w:t xml:space="preserve">Frequency of </w:t>
      </w:r>
      <w:r w:rsidRPr="00F9415B" w:rsidR="00BF4E4C">
        <w:rPr>
          <w:sz w:val="24"/>
          <w:szCs w:val="24"/>
          <w:u w:val="single"/>
        </w:rPr>
        <w:t>R</w:t>
      </w:r>
      <w:r w:rsidRPr="00F9415B">
        <w:rPr>
          <w:sz w:val="24"/>
          <w:szCs w:val="24"/>
          <w:u w:val="single"/>
        </w:rPr>
        <w:t>esponse</w:t>
      </w:r>
      <w:r w:rsidRPr="00F9415B" w:rsidR="00E35A87">
        <w:rPr>
          <w:sz w:val="24"/>
          <w:szCs w:val="24"/>
        </w:rPr>
        <w:t>:</w:t>
      </w:r>
      <w:r w:rsidRPr="00F9415B">
        <w:rPr>
          <w:sz w:val="24"/>
          <w:szCs w:val="24"/>
        </w:rPr>
        <w:t xml:space="preserve"> </w:t>
      </w:r>
      <w:r w:rsidR="00A60336">
        <w:rPr>
          <w:sz w:val="24"/>
          <w:szCs w:val="24"/>
        </w:rPr>
        <w:t xml:space="preserve"> </w:t>
      </w:r>
      <w:r w:rsidR="006773E0">
        <w:rPr>
          <w:sz w:val="24"/>
          <w:szCs w:val="24"/>
        </w:rPr>
        <w:t>Quarterly reporting</w:t>
      </w:r>
      <w:r w:rsidRPr="00F9415B" w:rsidR="006773E0">
        <w:rPr>
          <w:sz w:val="24"/>
          <w:szCs w:val="24"/>
        </w:rPr>
        <w:t xml:space="preserve"> </w:t>
      </w:r>
      <w:r w:rsidRPr="00F9415B" w:rsidR="00922126">
        <w:rPr>
          <w:sz w:val="24"/>
          <w:szCs w:val="24"/>
        </w:rPr>
        <w:t>requirements</w:t>
      </w:r>
      <w:r w:rsidRPr="00F9415B">
        <w:rPr>
          <w:sz w:val="24"/>
          <w:szCs w:val="24"/>
        </w:rPr>
        <w:t>.</w:t>
      </w:r>
    </w:p>
    <w:p w:rsidRPr="00F9415B" w:rsidR="00E25BC0" w:rsidP="00E25BC0" w:rsidRDefault="00E25BC0" w14:paraId="768FACE1" w14:textId="77777777">
      <w:pPr>
        <w:rPr>
          <w:sz w:val="24"/>
          <w:szCs w:val="24"/>
        </w:rPr>
      </w:pPr>
    </w:p>
    <w:p w:rsidRPr="00F9415B" w:rsidR="00DA1D50" w:rsidP="00DA1D50" w:rsidRDefault="00E25BC0" w14:paraId="00E82DCD" w14:textId="38D1EF84">
      <w:pPr>
        <w:numPr>
          <w:ilvl w:val="0"/>
          <w:numId w:val="7"/>
        </w:numPr>
        <w:rPr>
          <w:sz w:val="24"/>
          <w:szCs w:val="24"/>
        </w:rPr>
      </w:pPr>
      <w:r w:rsidRPr="00F9415B">
        <w:rPr>
          <w:sz w:val="24"/>
          <w:szCs w:val="24"/>
          <w:u w:val="single"/>
        </w:rPr>
        <w:t>Total Number of Responses Annually</w:t>
      </w:r>
      <w:r w:rsidRPr="00F9415B">
        <w:rPr>
          <w:sz w:val="24"/>
          <w:szCs w:val="24"/>
        </w:rPr>
        <w:t xml:space="preserve">: </w:t>
      </w:r>
      <w:r w:rsidR="00E50BBB">
        <w:rPr>
          <w:sz w:val="24"/>
          <w:szCs w:val="24"/>
        </w:rPr>
        <w:t xml:space="preserve"> </w:t>
      </w:r>
      <w:r w:rsidR="00B97096">
        <w:rPr>
          <w:sz w:val="24"/>
          <w:szCs w:val="24"/>
        </w:rPr>
        <w:t>592</w:t>
      </w:r>
      <w:r w:rsidRPr="00F9415B" w:rsidR="00241224">
        <w:rPr>
          <w:sz w:val="24"/>
          <w:szCs w:val="24"/>
        </w:rPr>
        <w:t>.</w:t>
      </w:r>
      <w:r w:rsidRPr="00F9415B" w:rsidR="00C56A9F">
        <w:rPr>
          <w:sz w:val="24"/>
          <w:szCs w:val="24"/>
        </w:rPr>
        <w:t xml:space="preserve"> </w:t>
      </w:r>
    </w:p>
    <w:p w:rsidRPr="00F9415B" w:rsidR="005A2244" w:rsidP="005A2244" w:rsidRDefault="005A2244" w14:paraId="6631C0E6" w14:textId="77777777">
      <w:pPr>
        <w:rPr>
          <w:sz w:val="24"/>
          <w:szCs w:val="24"/>
        </w:rPr>
      </w:pPr>
    </w:p>
    <w:p w:rsidRPr="00F9415B" w:rsidR="005A2244" w:rsidP="006B75AC" w:rsidRDefault="006B75AC" w14:paraId="1DC236F0" w14:textId="4E4CC9B4">
      <w:pPr>
        <w:ind w:left="1080" w:hanging="360"/>
        <w:rPr>
          <w:sz w:val="24"/>
          <w:szCs w:val="24"/>
        </w:rPr>
      </w:pPr>
      <w:r w:rsidRPr="00F9415B">
        <w:rPr>
          <w:sz w:val="24"/>
          <w:szCs w:val="24"/>
        </w:rPr>
        <w:tab/>
      </w:r>
      <w:r w:rsidR="00864657">
        <w:rPr>
          <w:sz w:val="24"/>
          <w:szCs w:val="24"/>
        </w:rPr>
        <w:t>1</w:t>
      </w:r>
      <w:r w:rsidR="00F17967">
        <w:rPr>
          <w:sz w:val="24"/>
          <w:szCs w:val="24"/>
        </w:rPr>
        <w:t>48</w:t>
      </w:r>
      <w:r w:rsidRPr="00F9415B" w:rsidR="00864657">
        <w:rPr>
          <w:sz w:val="24"/>
          <w:szCs w:val="24"/>
        </w:rPr>
        <w:t xml:space="preserve"> </w:t>
      </w:r>
      <w:r w:rsidRPr="00F9415B" w:rsidR="00DA1D50">
        <w:rPr>
          <w:sz w:val="24"/>
          <w:szCs w:val="24"/>
        </w:rPr>
        <w:t xml:space="preserve">respondents x </w:t>
      </w:r>
      <w:r w:rsidR="00D819C5">
        <w:rPr>
          <w:sz w:val="24"/>
          <w:szCs w:val="24"/>
        </w:rPr>
        <w:t>4 responses</w:t>
      </w:r>
      <w:r w:rsidRPr="00F9415B" w:rsidDel="00D819C5" w:rsidR="00D819C5">
        <w:rPr>
          <w:sz w:val="24"/>
          <w:szCs w:val="24"/>
        </w:rPr>
        <w:t xml:space="preserve"> </w:t>
      </w:r>
      <w:r w:rsidRPr="00F9415B" w:rsidR="00DA1D50">
        <w:rPr>
          <w:sz w:val="24"/>
          <w:szCs w:val="24"/>
        </w:rPr>
        <w:t xml:space="preserve">/annum = </w:t>
      </w:r>
      <w:r w:rsidR="00B97096">
        <w:rPr>
          <w:sz w:val="24"/>
          <w:szCs w:val="24"/>
        </w:rPr>
        <w:t>592</w:t>
      </w:r>
      <w:r w:rsidRPr="00F9415B" w:rsidR="00864657">
        <w:rPr>
          <w:sz w:val="24"/>
          <w:szCs w:val="24"/>
        </w:rPr>
        <w:t xml:space="preserve"> </w:t>
      </w:r>
    </w:p>
    <w:p w:rsidRPr="00F9415B" w:rsidR="005E21BB" w:rsidP="006B75AC" w:rsidRDefault="005E21BB" w14:paraId="3EC24C09" w14:textId="77777777">
      <w:pPr>
        <w:ind w:left="1080" w:hanging="360"/>
        <w:rPr>
          <w:sz w:val="24"/>
          <w:szCs w:val="24"/>
        </w:rPr>
      </w:pPr>
    </w:p>
    <w:p w:rsidRPr="00F9415B" w:rsidR="00A62534" w:rsidP="00580043" w:rsidRDefault="00E25BC0" w14:paraId="3EEBCD9C" w14:textId="77777777">
      <w:pPr>
        <w:ind w:left="1080" w:hanging="360"/>
        <w:rPr>
          <w:sz w:val="24"/>
          <w:szCs w:val="24"/>
        </w:rPr>
      </w:pPr>
      <w:r w:rsidRPr="00F9415B">
        <w:rPr>
          <w:sz w:val="24"/>
          <w:szCs w:val="24"/>
        </w:rPr>
        <w:t>4</w:t>
      </w:r>
      <w:r w:rsidRPr="00F9415B" w:rsidR="000B2709">
        <w:rPr>
          <w:sz w:val="24"/>
          <w:szCs w:val="24"/>
        </w:rPr>
        <w:t xml:space="preserve">)  </w:t>
      </w:r>
      <w:r w:rsidRPr="00F9415B" w:rsidR="00D416CD">
        <w:rPr>
          <w:sz w:val="24"/>
          <w:szCs w:val="24"/>
          <w:u w:val="single"/>
        </w:rPr>
        <w:t xml:space="preserve">Annual </w:t>
      </w:r>
      <w:r w:rsidRPr="00F9415B" w:rsidR="00BF4E4C">
        <w:rPr>
          <w:sz w:val="24"/>
          <w:szCs w:val="24"/>
          <w:u w:val="single"/>
        </w:rPr>
        <w:t xml:space="preserve">Burden </w:t>
      </w:r>
      <w:r w:rsidRPr="00F9415B" w:rsidR="00D416CD">
        <w:rPr>
          <w:sz w:val="24"/>
          <w:szCs w:val="24"/>
          <w:u w:val="single"/>
        </w:rPr>
        <w:t xml:space="preserve">per </w:t>
      </w:r>
      <w:r w:rsidRPr="00F9415B" w:rsidR="00BF4E4C">
        <w:rPr>
          <w:sz w:val="24"/>
          <w:szCs w:val="24"/>
          <w:u w:val="single"/>
        </w:rPr>
        <w:t>R</w:t>
      </w:r>
      <w:r w:rsidRPr="00F9415B" w:rsidR="00D416CD">
        <w:rPr>
          <w:sz w:val="24"/>
          <w:szCs w:val="24"/>
          <w:u w:val="single"/>
        </w:rPr>
        <w:t>espondent</w:t>
      </w:r>
      <w:r w:rsidRPr="00F9415B" w:rsidR="00E35A87">
        <w:rPr>
          <w:sz w:val="24"/>
          <w:szCs w:val="24"/>
        </w:rPr>
        <w:t>:</w:t>
      </w:r>
      <w:r w:rsidRPr="00F9415B" w:rsidR="00D416CD">
        <w:rPr>
          <w:sz w:val="24"/>
          <w:szCs w:val="24"/>
        </w:rPr>
        <w:t xml:space="preserve">  </w:t>
      </w:r>
      <w:r w:rsidR="00D819C5">
        <w:rPr>
          <w:sz w:val="24"/>
          <w:szCs w:val="24"/>
        </w:rPr>
        <w:t>80</w:t>
      </w:r>
      <w:r w:rsidRPr="00F9415B" w:rsidR="00D416CD">
        <w:rPr>
          <w:sz w:val="24"/>
          <w:szCs w:val="24"/>
        </w:rPr>
        <w:t xml:space="preserve"> hours</w:t>
      </w:r>
      <w:r w:rsidR="00D819C5">
        <w:rPr>
          <w:sz w:val="24"/>
          <w:szCs w:val="24"/>
        </w:rPr>
        <w:t xml:space="preserve"> (average)</w:t>
      </w:r>
      <w:r w:rsidRPr="00F9415B" w:rsidR="00A944AD">
        <w:rPr>
          <w:sz w:val="24"/>
          <w:szCs w:val="24"/>
        </w:rPr>
        <w:t>.</w:t>
      </w:r>
      <w:r w:rsidRPr="00F9415B" w:rsidR="004D5B6C">
        <w:rPr>
          <w:sz w:val="24"/>
          <w:szCs w:val="24"/>
        </w:rPr>
        <w:t xml:space="preserve"> </w:t>
      </w:r>
    </w:p>
    <w:p w:rsidRPr="00F9415B" w:rsidR="00A62534" w:rsidP="00580043" w:rsidRDefault="00A62534" w14:paraId="773BB96D" w14:textId="77777777">
      <w:pPr>
        <w:ind w:left="1080" w:hanging="360"/>
        <w:rPr>
          <w:sz w:val="24"/>
          <w:szCs w:val="24"/>
        </w:rPr>
      </w:pPr>
    </w:p>
    <w:p w:rsidRPr="00F9415B" w:rsidR="00D416CD" w:rsidP="00580043" w:rsidRDefault="00241224" w14:paraId="4945900B" w14:textId="4F5F065A">
      <w:pPr>
        <w:ind w:left="1080" w:hanging="360"/>
        <w:rPr>
          <w:sz w:val="24"/>
          <w:szCs w:val="24"/>
        </w:rPr>
      </w:pPr>
      <w:r w:rsidRPr="00F9415B">
        <w:rPr>
          <w:sz w:val="24"/>
          <w:szCs w:val="24"/>
        </w:rPr>
        <w:t>5</w:t>
      </w:r>
      <w:r w:rsidRPr="00F9415B" w:rsidR="000B2709">
        <w:rPr>
          <w:sz w:val="24"/>
          <w:szCs w:val="24"/>
        </w:rPr>
        <w:t>)</w:t>
      </w:r>
      <w:r w:rsidRPr="00F9415B">
        <w:rPr>
          <w:sz w:val="24"/>
          <w:szCs w:val="24"/>
        </w:rPr>
        <w:tab/>
      </w:r>
      <w:r w:rsidRPr="00F9415B" w:rsidR="00D416CD">
        <w:rPr>
          <w:sz w:val="24"/>
          <w:szCs w:val="24"/>
          <w:u w:val="single"/>
        </w:rPr>
        <w:t xml:space="preserve">Total </w:t>
      </w:r>
      <w:r w:rsidRPr="00F9415B">
        <w:rPr>
          <w:sz w:val="24"/>
          <w:szCs w:val="24"/>
          <w:u w:val="single"/>
        </w:rPr>
        <w:t>A</w:t>
      </w:r>
      <w:r w:rsidRPr="00F9415B" w:rsidR="00D416CD">
        <w:rPr>
          <w:sz w:val="24"/>
          <w:szCs w:val="24"/>
          <w:u w:val="single"/>
        </w:rPr>
        <w:t xml:space="preserve">nnual </w:t>
      </w:r>
      <w:r w:rsidRPr="00F9415B">
        <w:rPr>
          <w:sz w:val="24"/>
          <w:szCs w:val="24"/>
          <w:u w:val="single"/>
        </w:rPr>
        <w:t>H</w:t>
      </w:r>
      <w:r w:rsidRPr="00F9415B" w:rsidR="00D416CD">
        <w:rPr>
          <w:sz w:val="24"/>
          <w:szCs w:val="24"/>
          <w:u w:val="single"/>
        </w:rPr>
        <w:t xml:space="preserve">our </w:t>
      </w:r>
      <w:r w:rsidRPr="00F9415B">
        <w:rPr>
          <w:sz w:val="24"/>
          <w:szCs w:val="24"/>
          <w:u w:val="single"/>
        </w:rPr>
        <w:t>B</w:t>
      </w:r>
      <w:r w:rsidRPr="00F9415B" w:rsidR="00D416CD">
        <w:rPr>
          <w:sz w:val="24"/>
          <w:szCs w:val="24"/>
          <w:u w:val="single"/>
        </w:rPr>
        <w:t>urden</w:t>
      </w:r>
      <w:r w:rsidRPr="00F9415B">
        <w:rPr>
          <w:sz w:val="24"/>
          <w:szCs w:val="24"/>
        </w:rPr>
        <w:t xml:space="preserve">: </w:t>
      </w:r>
      <w:r w:rsidR="00A15A2E">
        <w:rPr>
          <w:sz w:val="24"/>
          <w:szCs w:val="24"/>
        </w:rPr>
        <w:t xml:space="preserve"> 11,840</w:t>
      </w:r>
      <w:r w:rsidRPr="00F9415B" w:rsidR="00D416CD">
        <w:rPr>
          <w:sz w:val="24"/>
          <w:szCs w:val="24"/>
        </w:rPr>
        <w:t xml:space="preserve"> hours.</w:t>
      </w:r>
    </w:p>
    <w:p w:rsidRPr="00F9415B" w:rsidR="00241224" w:rsidP="00580043" w:rsidRDefault="00241224" w14:paraId="0CB3E32C" w14:textId="77777777">
      <w:pPr>
        <w:ind w:left="1080" w:hanging="360"/>
        <w:rPr>
          <w:sz w:val="24"/>
          <w:szCs w:val="24"/>
        </w:rPr>
      </w:pPr>
    </w:p>
    <w:p w:rsidR="00D819C5" w:rsidP="00580043" w:rsidRDefault="00D819C5" w14:paraId="6C1EB50C" w14:textId="77777777">
      <w:pPr>
        <w:ind w:left="1080" w:hanging="360"/>
        <w:rPr>
          <w:sz w:val="24"/>
          <w:szCs w:val="24"/>
        </w:rPr>
      </w:pPr>
      <w:r>
        <w:rPr>
          <w:sz w:val="24"/>
          <w:szCs w:val="24"/>
        </w:rPr>
        <w:tab/>
        <w:t>The Commission estimates that respondents require approximately 20 hours to file the quarterly report:</w:t>
      </w:r>
    </w:p>
    <w:p w:rsidR="00D819C5" w:rsidP="00580043" w:rsidRDefault="00D819C5" w14:paraId="711471B0" w14:textId="77777777">
      <w:pPr>
        <w:ind w:left="1080" w:hanging="360"/>
        <w:rPr>
          <w:sz w:val="24"/>
          <w:szCs w:val="24"/>
        </w:rPr>
      </w:pPr>
    </w:p>
    <w:p w:rsidRPr="00F9415B" w:rsidR="00241224" w:rsidP="00580043" w:rsidRDefault="00897397" w14:paraId="385A4F2B" w14:textId="12D93BAE">
      <w:pPr>
        <w:ind w:left="1080" w:hanging="360"/>
        <w:rPr>
          <w:sz w:val="24"/>
          <w:szCs w:val="24"/>
        </w:rPr>
      </w:pPr>
      <w:r w:rsidRPr="00F9415B">
        <w:rPr>
          <w:sz w:val="24"/>
          <w:szCs w:val="24"/>
        </w:rPr>
        <w:tab/>
      </w:r>
      <w:r w:rsidR="00C225BD">
        <w:rPr>
          <w:sz w:val="24"/>
          <w:szCs w:val="24"/>
        </w:rPr>
        <w:t>1</w:t>
      </w:r>
      <w:r w:rsidR="00A15A2E">
        <w:rPr>
          <w:sz w:val="24"/>
          <w:szCs w:val="24"/>
        </w:rPr>
        <w:t>48</w:t>
      </w:r>
      <w:r w:rsidRPr="00F9415B" w:rsidR="00C225BD">
        <w:rPr>
          <w:sz w:val="24"/>
          <w:szCs w:val="24"/>
        </w:rPr>
        <w:t xml:space="preserve"> </w:t>
      </w:r>
      <w:r w:rsidRPr="00F9415B">
        <w:rPr>
          <w:sz w:val="24"/>
          <w:szCs w:val="24"/>
        </w:rPr>
        <w:t xml:space="preserve">respondents x </w:t>
      </w:r>
      <w:r w:rsidR="00D819C5">
        <w:rPr>
          <w:sz w:val="24"/>
          <w:szCs w:val="24"/>
        </w:rPr>
        <w:t>4 responses/annum x 20</w:t>
      </w:r>
      <w:r w:rsidRPr="00F9415B" w:rsidR="00241224">
        <w:rPr>
          <w:sz w:val="24"/>
          <w:szCs w:val="24"/>
        </w:rPr>
        <w:t xml:space="preserve"> h</w:t>
      </w:r>
      <w:r w:rsidRPr="00F9415B">
        <w:rPr>
          <w:sz w:val="24"/>
          <w:szCs w:val="24"/>
        </w:rPr>
        <w:t>ours/</w:t>
      </w:r>
      <w:r w:rsidR="00D819C5">
        <w:rPr>
          <w:sz w:val="24"/>
          <w:szCs w:val="24"/>
        </w:rPr>
        <w:t>response</w:t>
      </w:r>
      <w:r w:rsidRPr="00F9415B" w:rsidR="00241224">
        <w:rPr>
          <w:sz w:val="24"/>
          <w:szCs w:val="24"/>
        </w:rPr>
        <w:t xml:space="preserve"> = </w:t>
      </w:r>
      <w:r w:rsidR="00A15A2E">
        <w:rPr>
          <w:sz w:val="24"/>
          <w:szCs w:val="24"/>
        </w:rPr>
        <w:t>11,840</w:t>
      </w:r>
      <w:r w:rsidRPr="00F9415B" w:rsidR="00A15A2E">
        <w:rPr>
          <w:sz w:val="24"/>
          <w:szCs w:val="24"/>
        </w:rPr>
        <w:t xml:space="preserve"> </w:t>
      </w:r>
      <w:r w:rsidRPr="00F9415B" w:rsidR="00241224">
        <w:rPr>
          <w:sz w:val="24"/>
          <w:szCs w:val="24"/>
        </w:rPr>
        <w:t>hours</w:t>
      </w:r>
    </w:p>
    <w:p w:rsidRPr="00F9415B" w:rsidR="005604F4" w:rsidP="00580043" w:rsidRDefault="005604F4" w14:paraId="7B9C038D" w14:textId="77777777">
      <w:pPr>
        <w:ind w:left="1080" w:hanging="360"/>
        <w:rPr>
          <w:sz w:val="24"/>
          <w:szCs w:val="24"/>
        </w:rPr>
      </w:pPr>
    </w:p>
    <w:p w:rsidRPr="00F9415B" w:rsidR="00366FF2" w:rsidP="00366FF2" w:rsidRDefault="009530E3" w14:paraId="2B413DBF" w14:textId="0CF6553F">
      <w:pPr>
        <w:ind w:left="1080" w:hanging="720"/>
        <w:rPr>
          <w:sz w:val="24"/>
          <w:szCs w:val="24"/>
        </w:rPr>
      </w:pPr>
      <w:r>
        <w:rPr>
          <w:sz w:val="24"/>
          <w:szCs w:val="24"/>
        </w:rPr>
        <w:t>c</w:t>
      </w:r>
      <w:r w:rsidRPr="00F9415B" w:rsidR="00366FF2">
        <w:rPr>
          <w:sz w:val="24"/>
          <w:szCs w:val="24"/>
        </w:rPr>
        <w:t xml:space="preserve">.  Retention of </w:t>
      </w:r>
      <w:r w:rsidR="006773E0">
        <w:rPr>
          <w:sz w:val="24"/>
          <w:szCs w:val="24"/>
        </w:rPr>
        <w:t>D</w:t>
      </w:r>
      <w:r w:rsidRPr="00F9415B" w:rsidR="00366FF2">
        <w:rPr>
          <w:sz w:val="24"/>
          <w:szCs w:val="24"/>
        </w:rPr>
        <w:t xml:space="preserve">ata </w:t>
      </w:r>
      <w:r w:rsidR="00FA7D12">
        <w:rPr>
          <w:sz w:val="24"/>
          <w:szCs w:val="24"/>
        </w:rPr>
        <w:t>for</w:t>
      </w:r>
      <w:r w:rsidR="006773E0">
        <w:rPr>
          <w:sz w:val="24"/>
          <w:szCs w:val="24"/>
        </w:rPr>
        <w:t xml:space="preserve"> 27 Months</w:t>
      </w:r>
      <w:r w:rsidRPr="00F9415B" w:rsidR="00366FF2">
        <w:rPr>
          <w:sz w:val="24"/>
          <w:szCs w:val="24"/>
        </w:rPr>
        <w:t>.  (</w:t>
      </w:r>
      <w:r w:rsidRPr="00F9415B" w:rsidR="009D4E2F">
        <w:rPr>
          <w:sz w:val="24"/>
          <w:szCs w:val="24"/>
        </w:rPr>
        <w:t xml:space="preserve">47 U.S.C. </w:t>
      </w:r>
      <w:r w:rsidRPr="00F9415B" w:rsidR="006773E0">
        <w:rPr>
          <w:sz w:val="24"/>
          <w:szCs w:val="24"/>
        </w:rPr>
        <w:t>§</w:t>
      </w:r>
      <w:r w:rsidR="006773E0">
        <w:rPr>
          <w:sz w:val="24"/>
          <w:szCs w:val="24"/>
        </w:rPr>
        <w:t xml:space="preserve"> </w:t>
      </w:r>
      <w:r w:rsidRPr="00F9415B" w:rsidR="00366FF2">
        <w:rPr>
          <w:sz w:val="24"/>
          <w:szCs w:val="24"/>
        </w:rPr>
        <w:t>276(b)(1)(A)).</w:t>
      </w:r>
    </w:p>
    <w:p w:rsidRPr="00F9415B" w:rsidR="00366FF2" w:rsidP="00366FF2" w:rsidRDefault="00366FF2" w14:paraId="00EA963E" w14:textId="77777777">
      <w:pPr>
        <w:ind w:left="1080" w:hanging="360"/>
        <w:rPr>
          <w:sz w:val="24"/>
          <w:szCs w:val="24"/>
        </w:rPr>
      </w:pPr>
    </w:p>
    <w:p w:rsidR="00366FF2" w:rsidP="00366FF2" w:rsidRDefault="00366FF2" w14:paraId="4292716F" w14:textId="3ECCD4E3">
      <w:pPr>
        <w:ind w:left="1080" w:hanging="360"/>
        <w:rPr>
          <w:sz w:val="24"/>
          <w:szCs w:val="24"/>
        </w:rPr>
      </w:pPr>
      <w:r w:rsidRPr="00F9415B">
        <w:rPr>
          <w:sz w:val="24"/>
          <w:szCs w:val="24"/>
        </w:rPr>
        <w:t xml:space="preserve">1)  </w:t>
      </w:r>
      <w:r w:rsidRPr="00F9415B">
        <w:rPr>
          <w:sz w:val="24"/>
          <w:szCs w:val="24"/>
          <w:u w:val="single"/>
        </w:rPr>
        <w:t>Number of Respondents</w:t>
      </w:r>
      <w:r w:rsidRPr="00F9415B">
        <w:rPr>
          <w:sz w:val="24"/>
          <w:szCs w:val="24"/>
        </w:rPr>
        <w:t xml:space="preserve">: </w:t>
      </w:r>
      <w:r w:rsidR="00A15A2E">
        <w:rPr>
          <w:sz w:val="24"/>
          <w:szCs w:val="24"/>
        </w:rPr>
        <w:t xml:space="preserve"> </w:t>
      </w:r>
      <w:r w:rsidR="00C53B01">
        <w:rPr>
          <w:sz w:val="24"/>
          <w:szCs w:val="24"/>
        </w:rPr>
        <w:t>260</w:t>
      </w:r>
      <w:r w:rsidRPr="00F9415B">
        <w:rPr>
          <w:sz w:val="24"/>
          <w:szCs w:val="24"/>
        </w:rPr>
        <w:t>.</w:t>
      </w:r>
    </w:p>
    <w:p w:rsidR="006773E0" w:rsidP="00366FF2" w:rsidRDefault="006773E0" w14:paraId="07168FE9" w14:textId="77777777">
      <w:pPr>
        <w:ind w:left="1080" w:hanging="360"/>
        <w:rPr>
          <w:sz w:val="24"/>
          <w:szCs w:val="24"/>
        </w:rPr>
      </w:pPr>
    </w:p>
    <w:p w:rsidR="006773E0" w:rsidP="006773E0" w:rsidRDefault="006773E0" w14:paraId="079BA1C2" w14:textId="7393F7A5">
      <w:pPr>
        <w:ind w:left="1080"/>
        <w:rPr>
          <w:sz w:val="24"/>
          <w:szCs w:val="24"/>
        </w:rPr>
      </w:pPr>
      <w:r>
        <w:rPr>
          <w:sz w:val="24"/>
          <w:szCs w:val="24"/>
        </w:rPr>
        <w:t>Total Number of Respondents:  Completing Carriers (</w:t>
      </w:r>
      <w:r w:rsidR="00C225BD">
        <w:rPr>
          <w:sz w:val="24"/>
          <w:szCs w:val="24"/>
        </w:rPr>
        <w:t>11</w:t>
      </w:r>
      <w:r w:rsidR="009A67FC">
        <w:rPr>
          <w:sz w:val="24"/>
          <w:szCs w:val="24"/>
        </w:rPr>
        <w:t>2</w:t>
      </w:r>
      <w:r>
        <w:rPr>
          <w:sz w:val="24"/>
          <w:szCs w:val="24"/>
        </w:rPr>
        <w:t>) plus Intermediate Carriers (</w:t>
      </w:r>
      <w:r w:rsidR="00C225BD">
        <w:rPr>
          <w:sz w:val="24"/>
          <w:szCs w:val="24"/>
        </w:rPr>
        <w:t>1</w:t>
      </w:r>
      <w:r w:rsidR="009A6452">
        <w:rPr>
          <w:sz w:val="24"/>
          <w:szCs w:val="24"/>
        </w:rPr>
        <w:t>48</w:t>
      </w:r>
      <w:r>
        <w:rPr>
          <w:sz w:val="24"/>
          <w:szCs w:val="24"/>
        </w:rPr>
        <w:t xml:space="preserve">) = </w:t>
      </w:r>
      <w:r w:rsidR="00C225BD">
        <w:rPr>
          <w:sz w:val="24"/>
          <w:szCs w:val="24"/>
        </w:rPr>
        <w:t>26</w:t>
      </w:r>
      <w:r w:rsidR="009A6452">
        <w:rPr>
          <w:sz w:val="24"/>
          <w:szCs w:val="24"/>
        </w:rPr>
        <w:t>0</w:t>
      </w:r>
      <w:r>
        <w:rPr>
          <w:sz w:val="24"/>
          <w:szCs w:val="24"/>
        </w:rPr>
        <w:t xml:space="preserve"> (</w:t>
      </w:r>
      <w:r w:rsidR="00C225BD">
        <w:rPr>
          <w:sz w:val="24"/>
          <w:szCs w:val="24"/>
        </w:rPr>
        <w:t>11</w:t>
      </w:r>
      <w:r w:rsidR="009A6452">
        <w:rPr>
          <w:sz w:val="24"/>
          <w:szCs w:val="24"/>
        </w:rPr>
        <w:t>2</w:t>
      </w:r>
      <w:r>
        <w:rPr>
          <w:sz w:val="24"/>
          <w:szCs w:val="24"/>
        </w:rPr>
        <w:t xml:space="preserve"> + </w:t>
      </w:r>
      <w:r w:rsidR="00C225BD">
        <w:rPr>
          <w:sz w:val="24"/>
          <w:szCs w:val="24"/>
        </w:rPr>
        <w:t>1</w:t>
      </w:r>
      <w:r w:rsidR="009A6452">
        <w:rPr>
          <w:sz w:val="24"/>
          <w:szCs w:val="24"/>
        </w:rPr>
        <w:t>48</w:t>
      </w:r>
      <w:r>
        <w:rPr>
          <w:sz w:val="24"/>
          <w:szCs w:val="24"/>
        </w:rPr>
        <w:t xml:space="preserve"> = </w:t>
      </w:r>
      <w:r w:rsidR="00C225BD">
        <w:rPr>
          <w:sz w:val="24"/>
          <w:szCs w:val="24"/>
        </w:rPr>
        <w:t>26</w:t>
      </w:r>
      <w:r w:rsidR="009A6452">
        <w:rPr>
          <w:sz w:val="24"/>
          <w:szCs w:val="24"/>
        </w:rPr>
        <w:t>0</w:t>
      </w:r>
      <w:r>
        <w:rPr>
          <w:sz w:val="24"/>
          <w:szCs w:val="24"/>
        </w:rPr>
        <w:t>).</w:t>
      </w:r>
    </w:p>
    <w:p w:rsidRPr="00F9415B" w:rsidR="006773E0" w:rsidP="006773E0" w:rsidRDefault="006773E0" w14:paraId="78994738" w14:textId="77777777">
      <w:pPr>
        <w:ind w:left="1080"/>
        <w:rPr>
          <w:sz w:val="24"/>
          <w:szCs w:val="24"/>
        </w:rPr>
      </w:pPr>
    </w:p>
    <w:p w:rsidRPr="00F9415B" w:rsidR="006773E0" w:rsidP="006773E0" w:rsidRDefault="006773E0" w14:paraId="2B4E34F1" w14:textId="77777777">
      <w:pPr>
        <w:ind w:left="1080"/>
        <w:rPr>
          <w:sz w:val="24"/>
          <w:szCs w:val="24"/>
        </w:rPr>
      </w:pPr>
      <w:r>
        <w:rPr>
          <w:sz w:val="24"/>
          <w:szCs w:val="24"/>
        </w:rPr>
        <w:lastRenderedPageBreak/>
        <w:t>This</w:t>
      </w:r>
      <w:r w:rsidRPr="00F9415B">
        <w:rPr>
          <w:sz w:val="24"/>
          <w:szCs w:val="24"/>
        </w:rPr>
        <w:t xml:space="preserve"> requirement applies to </w:t>
      </w:r>
      <w:r>
        <w:rPr>
          <w:sz w:val="24"/>
          <w:szCs w:val="24"/>
        </w:rPr>
        <w:t xml:space="preserve">Completing Carriers and </w:t>
      </w:r>
      <w:r w:rsidRPr="00F9415B">
        <w:rPr>
          <w:sz w:val="24"/>
          <w:szCs w:val="24"/>
        </w:rPr>
        <w:t>Intermediate Carriers.</w:t>
      </w:r>
    </w:p>
    <w:p w:rsidRPr="00F9415B" w:rsidR="006773E0" w:rsidP="00366FF2" w:rsidRDefault="006773E0" w14:paraId="7251D64B" w14:textId="77777777">
      <w:pPr>
        <w:ind w:left="1080" w:hanging="360"/>
        <w:rPr>
          <w:sz w:val="24"/>
          <w:szCs w:val="24"/>
        </w:rPr>
      </w:pPr>
    </w:p>
    <w:p w:rsidRPr="00F9415B" w:rsidR="00366FF2" w:rsidP="00DD5C56" w:rsidRDefault="00366FF2" w14:paraId="4896E5CB" w14:textId="77777777">
      <w:pPr>
        <w:numPr>
          <w:ilvl w:val="0"/>
          <w:numId w:val="9"/>
        </w:numPr>
        <w:rPr>
          <w:sz w:val="24"/>
          <w:szCs w:val="24"/>
        </w:rPr>
      </w:pPr>
      <w:r w:rsidRPr="00F9415B">
        <w:rPr>
          <w:sz w:val="24"/>
          <w:szCs w:val="24"/>
          <w:u w:val="single"/>
        </w:rPr>
        <w:t>Frequency of Response</w:t>
      </w:r>
      <w:r w:rsidRPr="00F9415B">
        <w:rPr>
          <w:sz w:val="24"/>
          <w:szCs w:val="24"/>
        </w:rPr>
        <w:t xml:space="preserve">:  </w:t>
      </w:r>
      <w:r w:rsidRPr="00F9415B" w:rsidR="00F1701D">
        <w:rPr>
          <w:sz w:val="24"/>
          <w:szCs w:val="24"/>
        </w:rPr>
        <w:t>Recordkeeping</w:t>
      </w:r>
      <w:r w:rsidRPr="00F9415B">
        <w:rPr>
          <w:sz w:val="24"/>
          <w:szCs w:val="24"/>
        </w:rPr>
        <w:t xml:space="preserve"> requirement.</w:t>
      </w:r>
    </w:p>
    <w:p w:rsidRPr="00F9415B" w:rsidR="00366FF2" w:rsidP="00366FF2" w:rsidRDefault="00366FF2" w14:paraId="5FFA81F9" w14:textId="77777777">
      <w:pPr>
        <w:rPr>
          <w:sz w:val="24"/>
          <w:szCs w:val="24"/>
        </w:rPr>
      </w:pPr>
    </w:p>
    <w:p w:rsidRPr="00F9415B" w:rsidR="00366FF2" w:rsidP="00366FF2" w:rsidRDefault="00366FF2" w14:paraId="28591682" w14:textId="0E907D04">
      <w:pPr>
        <w:numPr>
          <w:ilvl w:val="0"/>
          <w:numId w:val="9"/>
        </w:numPr>
        <w:rPr>
          <w:sz w:val="24"/>
          <w:szCs w:val="24"/>
        </w:rPr>
      </w:pPr>
      <w:r w:rsidRPr="00F9415B">
        <w:rPr>
          <w:sz w:val="24"/>
          <w:szCs w:val="24"/>
          <w:u w:val="single"/>
        </w:rPr>
        <w:t>Total Number of Responses Annually</w:t>
      </w:r>
      <w:r w:rsidRPr="00F9415B">
        <w:rPr>
          <w:sz w:val="24"/>
          <w:szCs w:val="24"/>
        </w:rPr>
        <w:t xml:space="preserve">: </w:t>
      </w:r>
      <w:r w:rsidR="00261830">
        <w:rPr>
          <w:sz w:val="24"/>
          <w:szCs w:val="24"/>
        </w:rPr>
        <w:t xml:space="preserve"> </w:t>
      </w:r>
      <w:r w:rsidR="00C225BD">
        <w:rPr>
          <w:sz w:val="24"/>
          <w:szCs w:val="24"/>
        </w:rPr>
        <w:t>26</w:t>
      </w:r>
      <w:r w:rsidR="009A6452">
        <w:rPr>
          <w:sz w:val="24"/>
          <w:szCs w:val="24"/>
        </w:rPr>
        <w:t>0</w:t>
      </w:r>
      <w:r w:rsidRPr="00F9415B">
        <w:rPr>
          <w:sz w:val="24"/>
          <w:szCs w:val="24"/>
        </w:rPr>
        <w:t xml:space="preserve">. </w:t>
      </w:r>
    </w:p>
    <w:p w:rsidR="00366FF2" w:rsidP="00366FF2" w:rsidRDefault="00366FF2" w14:paraId="7CC14606" w14:textId="77777777">
      <w:pPr>
        <w:rPr>
          <w:sz w:val="24"/>
          <w:szCs w:val="24"/>
        </w:rPr>
      </w:pPr>
    </w:p>
    <w:p w:rsidRPr="00F9415B" w:rsidR="00A60336" w:rsidP="000E7A8A" w:rsidRDefault="00C225BD" w14:paraId="1DA85B5A" w14:textId="46394672">
      <w:pPr>
        <w:ind w:left="1080"/>
        <w:rPr>
          <w:sz w:val="24"/>
          <w:szCs w:val="24"/>
        </w:rPr>
      </w:pPr>
      <w:r>
        <w:rPr>
          <w:sz w:val="24"/>
          <w:szCs w:val="24"/>
        </w:rPr>
        <w:t>11</w:t>
      </w:r>
      <w:r w:rsidR="001656AD">
        <w:rPr>
          <w:sz w:val="24"/>
          <w:szCs w:val="24"/>
        </w:rPr>
        <w:t>2</w:t>
      </w:r>
      <w:r w:rsidRPr="00F9415B" w:rsidR="00A60336">
        <w:rPr>
          <w:sz w:val="24"/>
          <w:szCs w:val="24"/>
        </w:rPr>
        <w:t xml:space="preserve"> respondents x 1 recordkeeping requirement/annum = </w:t>
      </w:r>
      <w:r>
        <w:rPr>
          <w:sz w:val="24"/>
          <w:szCs w:val="24"/>
        </w:rPr>
        <w:t>11</w:t>
      </w:r>
      <w:r w:rsidR="001656AD">
        <w:rPr>
          <w:sz w:val="24"/>
          <w:szCs w:val="24"/>
        </w:rPr>
        <w:t>2</w:t>
      </w:r>
      <w:r w:rsidRPr="00F9415B" w:rsidR="00A60336">
        <w:rPr>
          <w:sz w:val="24"/>
          <w:szCs w:val="24"/>
        </w:rPr>
        <w:t xml:space="preserve"> responses</w:t>
      </w:r>
    </w:p>
    <w:p w:rsidRPr="00F9415B" w:rsidR="00A60336" w:rsidP="00366FF2" w:rsidRDefault="00A60336" w14:paraId="5EC5593F" w14:textId="77777777">
      <w:pPr>
        <w:rPr>
          <w:sz w:val="24"/>
          <w:szCs w:val="24"/>
        </w:rPr>
      </w:pPr>
    </w:p>
    <w:p w:rsidRPr="00F9415B" w:rsidR="00063C1A" w:rsidP="00063C1A" w:rsidRDefault="00C225BD" w14:paraId="53FD9FA6" w14:textId="0A7E2AA7">
      <w:pPr>
        <w:tabs>
          <w:tab w:val="left" w:pos="1080"/>
        </w:tabs>
        <w:ind w:left="1080"/>
        <w:rPr>
          <w:sz w:val="24"/>
          <w:szCs w:val="24"/>
        </w:rPr>
      </w:pPr>
      <w:r>
        <w:rPr>
          <w:sz w:val="24"/>
          <w:szCs w:val="24"/>
        </w:rPr>
        <w:t>1</w:t>
      </w:r>
      <w:r w:rsidR="001656AD">
        <w:rPr>
          <w:sz w:val="24"/>
          <w:szCs w:val="24"/>
        </w:rPr>
        <w:t>48</w:t>
      </w:r>
      <w:r w:rsidRPr="00F9415B" w:rsidR="00063C1A">
        <w:rPr>
          <w:sz w:val="24"/>
          <w:szCs w:val="24"/>
        </w:rPr>
        <w:t xml:space="preserve"> respondents x 1 recordkeeping requirement/annum = </w:t>
      </w:r>
      <w:r>
        <w:rPr>
          <w:sz w:val="24"/>
          <w:szCs w:val="24"/>
        </w:rPr>
        <w:t>1</w:t>
      </w:r>
      <w:r w:rsidR="001656AD">
        <w:rPr>
          <w:sz w:val="24"/>
          <w:szCs w:val="24"/>
        </w:rPr>
        <w:t>48</w:t>
      </w:r>
      <w:r w:rsidRPr="00F9415B" w:rsidR="00063C1A">
        <w:rPr>
          <w:sz w:val="24"/>
          <w:szCs w:val="24"/>
        </w:rPr>
        <w:t xml:space="preserve"> responses</w:t>
      </w:r>
    </w:p>
    <w:p w:rsidRPr="00F9415B" w:rsidR="00063C1A" w:rsidP="00366FF2" w:rsidRDefault="00366FF2" w14:paraId="43E2945F" w14:textId="77777777">
      <w:pPr>
        <w:ind w:left="1080" w:hanging="360"/>
        <w:rPr>
          <w:sz w:val="24"/>
          <w:szCs w:val="24"/>
        </w:rPr>
      </w:pPr>
      <w:r w:rsidRPr="00F9415B">
        <w:rPr>
          <w:sz w:val="24"/>
          <w:szCs w:val="24"/>
        </w:rPr>
        <w:tab/>
      </w:r>
    </w:p>
    <w:p w:rsidRPr="00F9415B" w:rsidR="00063C1A" w:rsidP="00366FF2" w:rsidRDefault="00063C1A" w14:paraId="6662DE05" w14:textId="68DE215D">
      <w:pPr>
        <w:ind w:left="1080" w:hanging="360"/>
        <w:rPr>
          <w:sz w:val="24"/>
          <w:szCs w:val="24"/>
        </w:rPr>
      </w:pPr>
      <w:r w:rsidRPr="00F9415B">
        <w:rPr>
          <w:sz w:val="24"/>
          <w:szCs w:val="24"/>
        </w:rPr>
        <w:tab/>
        <w:t xml:space="preserve">Total: </w:t>
      </w:r>
      <w:r w:rsidR="00C225BD">
        <w:rPr>
          <w:sz w:val="24"/>
          <w:szCs w:val="24"/>
        </w:rPr>
        <w:t>11</w:t>
      </w:r>
      <w:r w:rsidR="001656AD">
        <w:rPr>
          <w:sz w:val="24"/>
          <w:szCs w:val="24"/>
        </w:rPr>
        <w:t>2</w:t>
      </w:r>
      <w:r w:rsidRPr="00F9415B" w:rsidR="00A665F1">
        <w:rPr>
          <w:sz w:val="24"/>
          <w:szCs w:val="24"/>
        </w:rPr>
        <w:t xml:space="preserve"> </w:t>
      </w:r>
      <w:r w:rsidRPr="00F9415B">
        <w:rPr>
          <w:sz w:val="24"/>
          <w:szCs w:val="24"/>
        </w:rPr>
        <w:t xml:space="preserve">+ </w:t>
      </w:r>
      <w:r w:rsidR="00C225BD">
        <w:rPr>
          <w:sz w:val="24"/>
          <w:szCs w:val="24"/>
        </w:rPr>
        <w:t>1</w:t>
      </w:r>
      <w:r w:rsidR="001656AD">
        <w:rPr>
          <w:sz w:val="24"/>
          <w:szCs w:val="24"/>
        </w:rPr>
        <w:t>48</w:t>
      </w:r>
      <w:r w:rsidRPr="00F9415B" w:rsidR="00A665F1">
        <w:rPr>
          <w:sz w:val="24"/>
          <w:szCs w:val="24"/>
        </w:rPr>
        <w:t xml:space="preserve"> </w:t>
      </w:r>
      <w:r w:rsidRPr="00F9415B">
        <w:rPr>
          <w:sz w:val="24"/>
          <w:szCs w:val="24"/>
        </w:rPr>
        <w:t xml:space="preserve">= </w:t>
      </w:r>
      <w:r w:rsidR="00C225BD">
        <w:rPr>
          <w:sz w:val="24"/>
          <w:szCs w:val="24"/>
        </w:rPr>
        <w:t>26</w:t>
      </w:r>
      <w:r w:rsidR="00061DEC">
        <w:rPr>
          <w:sz w:val="24"/>
          <w:szCs w:val="24"/>
        </w:rPr>
        <w:t>0</w:t>
      </w:r>
      <w:r w:rsidRPr="00F9415B" w:rsidR="00A665F1">
        <w:rPr>
          <w:sz w:val="24"/>
          <w:szCs w:val="24"/>
        </w:rPr>
        <w:t xml:space="preserve"> </w:t>
      </w:r>
      <w:r w:rsidRPr="00F9415B">
        <w:rPr>
          <w:sz w:val="24"/>
          <w:szCs w:val="24"/>
        </w:rPr>
        <w:t>responses</w:t>
      </w:r>
    </w:p>
    <w:p w:rsidRPr="00F9415B" w:rsidR="00366FF2" w:rsidP="00366FF2" w:rsidRDefault="00366FF2" w14:paraId="79EC5A07" w14:textId="77777777">
      <w:pPr>
        <w:ind w:left="1080" w:hanging="360"/>
        <w:rPr>
          <w:sz w:val="24"/>
          <w:szCs w:val="24"/>
        </w:rPr>
      </w:pPr>
    </w:p>
    <w:p w:rsidRPr="00AB3006" w:rsidR="00366FF2" w:rsidP="00C53B01" w:rsidRDefault="00366FF2" w14:paraId="7B46B42D" w14:textId="66B35DA9">
      <w:pPr>
        <w:pStyle w:val="ListParagraph"/>
        <w:numPr>
          <w:ilvl w:val="0"/>
          <w:numId w:val="9"/>
        </w:numPr>
        <w:rPr>
          <w:sz w:val="24"/>
          <w:szCs w:val="24"/>
        </w:rPr>
      </w:pPr>
      <w:r w:rsidRPr="00AB3006">
        <w:rPr>
          <w:sz w:val="24"/>
          <w:szCs w:val="24"/>
          <w:u w:val="single"/>
        </w:rPr>
        <w:t>Annual Burden per Respondent</w:t>
      </w:r>
      <w:r w:rsidRPr="00AB3006">
        <w:rPr>
          <w:sz w:val="24"/>
          <w:szCs w:val="24"/>
        </w:rPr>
        <w:t xml:space="preserve">:  </w:t>
      </w:r>
      <w:r w:rsidRPr="00AB3006" w:rsidR="00F1701D">
        <w:rPr>
          <w:sz w:val="24"/>
          <w:szCs w:val="24"/>
        </w:rPr>
        <w:t>6</w:t>
      </w:r>
      <w:r w:rsidRPr="00AB3006">
        <w:rPr>
          <w:sz w:val="24"/>
          <w:szCs w:val="24"/>
        </w:rPr>
        <w:t xml:space="preserve"> hours.  </w:t>
      </w:r>
    </w:p>
    <w:p w:rsidRPr="00F9415B" w:rsidR="00366FF2" w:rsidP="00366FF2" w:rsidRDefault="00366FF2" w14:paraId="627B2971" w14:textId="77777777">
      <w:pPr>
        <w:ind w:left="1080" w:hanging="360"/>
        <w:rPr>
          <w:sz w:val="24"/>
          <w:szCs w:val="24"/>
        </w:rPr>
      </w:pPr>
    </w:p>
    <w:p w:rsidRPr="00F9415B" w:rsidR="00366FF2" w:rsidP="00366FF2" w:rsidRDefault="00C47ABE" w14:paraId="29F1C113" w14:textId="0A1CF7A9">
      <w:pPr>
        <w:ind w:left="1080" w:hanging="360"/>
        <w:rPr>
          <w:sz w:val="24"/>
          <w:szCs w:val="24"/>
        </w:rPr>
      </w:pPr>
      <w:r>
        <w:rPr>
          <w:sz w:val="24"/>
          <w:szCs w:val="24"/>
        </w:rPr>
        <w:t>5)</w:t>
      </w:r>
      <w:r w:rsidRPr="00F9415B" w:rsidR="00366FF2">
        <w:rPr>
          <w:sz w:val="24"/>
          <w:szCs w:val="24"/>
        </w:rPr>
        <w:tab/>
      </w:r>
      <w:r w:rsidRPr="00F9415B" w:rsidR="00366FF2">
        <w:rPr>
          <w:sz w:val="24"/>
          <w:szCs w:val="24"/>
          <w:u w:val="single"/>
        </w:rPr>
        <w:t>Total Annual Hour Burden</w:t>
      </w:r>
      <w:r w:rsidRPr="00F9415B" w:rsidR="007520EA">
        <w:rPr>
          <w:sz w:val="24"/>
          <w:szCs w:val="24"/>
        </w:rPr>
        <w:t xml:space="preserve">: </w:t>
      </w:r>
      <w:r w:rsidR="00C225BD">
        <w:rPr>
          <w:sz w:val="24"/>
          <w:szCs w:val="24"/>
        </w:rPr>
        <w:t>1,5</w:t>
      </w:r>
      <w:r w:rsidR="001F5100">
        <w:rPr>
          <w:sz w:val="24"/>
          <w:szCs w:val="24"/>
        </w:rPr>
        <w:t>60</w:t>
      </w:r>
      <w:r w:rsidRPr="00F9415B" w:rsidR="00366FF2">
        <w:rPr>
          <w:sz w:val="24"/>
          <w:szCs w:val="24"/>
        </w:rPr>
        <w:t xml:space="preserve"> hours.</w:t>
      </w:r>
    </w:p>
    <w:p w:rsidR="00A751E5" w:rsidP="00A751E5" w:rsidRDefault="00A751E5" w14:paraId="3A88B465" w14:textId="77777777">
      <w:pPr>
        <w:ind w:left="1080"/>
        <w:rPr>
          <w:sz w:val="24"/>
          <w:szCs w:val="24"/>
        </w:rPr>
      </w:pPr>
    </w:p>
    <w:p w:rsidRPr="00F9415B" w:rsidR="00750ED0" w:rsidP="00750ED0" w:rsidRDefault="00C225BD" w14:paraId="297D4CE7" w14:textId="3A5A09E8">
      <w:pPr>
        <w:ind w:left="1080"/>
        <w:rPr>
          <w:sz w:val="24"/>
          <w:szCs w:val="24"/>
        </w:rPr>
      </w:pPr>
      <w:r>
        <w:rPr>
          <w:sz w:val="24"/>
          <w:szCs w:val="24"/>
        </w:rPr>
        <w:t>11</w:t>
      </w:r>
      <w:r w:rsidR="00E648B8">
        <w:rPr>
          <w:sz w:val="24"/>
          <w:szCs w:val="24"/>
        </w:rPr>
        <w:t>2</w:t>
      </w:r>
      <w:r w:rsidRPr="00F9415B" w:rsidR="00750ED0">
        <w:rPr>
          <w:sz w:val="24"/>
          <w:szCs w:val="24"/>
        </w:rPr>
        <w:t xml:space="preserve"> respondents x 1 recordkeeping requirement/annum x 6 hours = </w:t>
      </w:r>
      <w:r>
        <w:rPr>
          <w:sz w:val="24"/>
          <w:szCs w:val="24"/>
        </w:rPr>
        <w:t>6</w:t>
      </w:r>
      <w:r w:rsidR="00785FC8">
        <w:rPr>
          <w:sz w:val="24"/>
          <w:szCs w:val="24"/>
        </w:rPr>
        <w:t>72</w:t>
      </w:r>
      <w:r w:rsidRPr="00F9415B" w:rsidR="00750ED0">
        <w:rPr>
          <w:sz w:val="24"/>
          <w:szCs w:val="24"/>
        </w:rPr>
        <w:t xml:space="preserve"> hours</w:t>
      </w:r>
    </w:p>
    <w:p w:rsidRPr="00F9415B" w:rsidR="00750ED0" w:rsidP="00A751E5" w:rsidRDefault="00750ED0" w14:paraId="46FBF4F6" w14:textId="77777777">
      <w:pPr>
        <w:ind w:left="1080"/>
        <w:rPr>
          <w:sz w:val="24"/>
          <w:szCs w:val="24"/>
        </w:rPr>
      </w:pPr>
    </w:p>
    <w:p w:rsidRPr="00F9415B" w:rsidR="00366FF2" w:rsidP="00A751E5" w:rsidRDefault="00C225BD" w14:paraId="4AF1604D" w14:textId="0C7B75B2">
      <w:pPr>
        <w:ind w:left="1080"/>
        <w:rPr>
          <w:sz w:val="24"/>
          <w:szCs w:val="24"/>
        </w:rPr>
      </w:pPr>
      <w:r>
        <w:rPr>
          <w:sz w:val="24"/>
          <w:szCs w:val="24"/>
        </w:rPr>
        <w:t>1</w:t>
      </w:r>
      <w:r w:rsidR="00785FC8">
        <w:rPr>
          <w:sz w:val="24"/>
          <w:szCs w:val="24"/>
        </w:rPr>
        <w:t>48</w:t>
      </w:r>
      <w:r w:rsidRPr="00F9415B" w:rsidR="00A751E5">
        <w:rPr>
          <w:sz w:val="24"/>
          <w:szCs w:val="24"/>
        </w:rPr>
        <w:t xml:space="preserve"> respondents x 1 recordkeeping requirement/annum x 6 hours = </w:t>
      </w:r>
      <w:r w:rsidR="00785FC8">
        <w:rPr>
          <w:sz w:val="24"/>
          <w:szCs w:val="24"/>
        </w:rPr>
        <w:t>888</w:t>
      </w:r>
      <w:r w:rsidRPr="00F9415B" w:rsidR="00A751E5">
        <w:rPr>
          <w:sz w:val="24"/>
          <w:szCs w:val="24"/>
        </w:rPr>
        <w:t xml:space="preserve"> hours</w:t>
      </w:r>
    </w:p>
    <w:p w:rsidRPr="00F9415B" w:rsidR="00A751E5" w:rsidP="00366FF2" w:rsidRDefault="00366FF2" w14:paraId="29084922" w14:textId="77777777">
      <w:pPr>
        <w:ind w:left="1080" w:hanging="360"/>
        <w:rPr>
          <w:sz w:val="24"/>
          <w:szCs w:val="24"/>
        </w:rPr>
      </w:pPr>
      <w:r w:rsidRPr="00F9415B">
        <w:rPr>
          <w:sz w:val="24"/>
          <w:szCs w:val="24"/>
        </w:rPr>
        <w:tab/>
      </w:r>
    </w:p>
    <w:p w:rsidRPr="00F9415B" w:rsidR="00A751E5" w:rsidP="00A751E5" w:rsidRDefault="00A751E5" w14:paraId="3DEA6B0D" w14:textId="6A76B9DD">
      <w:pPr>
        <w:ind w:left="1080"/>
        <w:rPr>
          <w:sz w:val="24"/>
          <w:szCs w:val="24"/>
        </w:rPr>
      </w:pPr>
      <w:r w:rsidRPr="00F9415B">
        <w:rPr>
          <w:sz w:val="24"/>
          <w:szCs w:val="24"/>
        </w:rPr>
        <w:t xml:space="preserve">Total: </w:t>
      </w:r>
      <w:r w:rsidR="00C225BD">
        <w:rPr>
          <w:sz w:val="24"/>
          <w:szCs w:val="24"/>
        </w:rPr>
        <w:t>6</w:t>
      </w:r>
      <w:r w:rsidR="00785FC8">
        <w:rPr>
          <w:sz w:val="24"/>
          <w:szCs w:val="24"/>
        </w:rPr>
        <w:t>72</w:t>
      </w:r>
      <w:r w:rsidR="00750ED0">
        <w:rPr>
          <w:sz w:val="24"/>
          <w:szCs w:val="24"/>
        </w:rPr>
        <w:t xml:space="preserve"> + </w:t>
      </w:r>
      <w:r w:rsidR="00785FC8">
        <w:rPr>
          <w:sz w:val="24"/>
          <w:szCs w:val="24"/>
        </w:rPr>
        <w:t>888</w:t>
      </w:r>
      <w:r w:rsidRPr="00F9415B">
        <w:rPr>
          <w:sz w:val="24"/>
          <w:szCs w:val="24"/>
        </w:rPr>
        <w:t xml:space="preserve"> = </w:t>
      </w:r>
      <w:r w:rsidR="00C225BD">
        <w:rPr>
          <w:sz w:val="24"/>
          <w:szCs w:val="24"/>
        </w:rPr>
        <w:t>1,5</w:t>
      </w:r>
      <w:r w:rsidR="009A67FC">
        <w:rPr>
          <w:sz w:val="24"/>
          <w:szCs w:val="24"/>
        </w:rPr>
        <w:t>60</w:t>
      </w:r>
      <w:r w:rsidRPr="00F9415B">
        <w:rPr>
          <w:sz w:val="24"/>
          <w:szCs w:val="24"/>
        </w:rPr>
        <w:t xml:space="preserve"> hours</w:t>
      </w:r>
    </w:p>
    <w:p w:rsidRPr="00F9415B" w:rsidR="00580043" w:rsidP="00A751E5" w:rsidRDefault="00580043" w14:paraId="6519B96C" w14:textId="77777777">
      <w:pPr>
        <w:ind w:left="1080"/>
        <w:rPr>
          <w:sz w:val="24"/>
          <w:szCs w:val="24"/>
        </w:rPr>
      </w:pPr>
    </w:p>
    <w:p w:rsidRPr="00F9415B" w:rsidR="00D416CD" w:rsidP="00F80E86" w:rsidRDefault="00D416CD" w14:paraId="26EB4D10" w14:textId="77777777">
      <w:pPr>
        <w:tabs>
          <w:tab w:val="left" w:pos="360"/>
        </w:tabs>
        <w:ind w:left="360"/>
        <w:rPr>
          <w:sz w:val="24"/>
          <w:szCs w:val="24"/>
        </w:rPr>
      </w:pPr>
      <w:r w:rsidRPr="00F9415B">
        <w:rPr>
          <w:b/>
          <w:sz w:val="24"/>
          <w:szCs w:val="24"/>
        </w:rPr>
        <w:t xml:space="preserve">Summary of </w:t>
      </w:r>
      <w:r w:rsidRPr="00F9415B" w:rsidR="000C184E">
        <w:rPr>
          <w:b/>
          <w:sz w:val="24"/>
          <w:szCs w:val="24"/>
        </w:rPr>
        <w:t>Burden C</w:t>
      </w:r>
      <w:r w:rsidRPr="00F9415B">
        <w:rPr>
          <w:b/>
          <w:sz w:val="24"/>
          <w:szCs w:val="24"/>
        </w:rPr>
        <w:t>alculations:</w:t>
      </w:r>
      <w:r w:rsidRPr="00F9415B">
        <w:rPr>
          <w:sz w:val="24"/>
          <w:szCs w:val="24"/>
        </w:rPr>
        <w:t xml:space="preserve">  </w:t>
      </w:r>
    </w:p>
    <w:p w:rsidRPr="00F9415B" w:rsidR="0065602A" w:rsidP="00F80E86" w:rsidRDefault="0065602A" w14:paraId="2BF816B6" w14:textId="77777777">
      <w:pPr>
        <w:tabs>
          <w:tab w:val="left" w:pos="360"/>
        </w:tabs>
        <w:ind w:left="360"/>
        <w:rPr>
          <w:sz w:val="24"/>
          <w:szCs w:val="24"/>
        </w:rPr>
      </w:pPr>
    </w:p>
    <w:p w:rsidRPr="00F9415B" w:rsidR="00D416CD" w:rsidP="00F80E86" w:rsidRDefault="0065602A" w14:paraId="678C0AEC" w14:textId="00AED891">
      <w:pPr>
        <w:tabs>
          <w:tab w:val="left" w:pos="360"/>
        </w:tabs>
        <w:ind w:left="360"/>
        <w:rPr>
          <w:b/>
          <w:sz w:val="24"/>
          <w:szCs w:val="24"/>
        </w:rPr>
      </w:pPr>
      <w:r w:rsidRPr="00F9415B">
        <w:rPr>
          <w:b/>
          <w:sz w:val="24"/>
          <w:szCs w:val="24"/>
        </w:rPr>
        <w:t xml:space="preserve">Total Number of </w:t>
      </w:r>
      <w:r w:rsidRPr="00F9415B" w:rsidR="00D416CD">
        <w:rPr>
          <w:b/>
          <w:sz w:val="24"/>
          <w:szCs w:val="24"/>
        </w:rPr>
        <w:t>Respondents:</w:t>
      </w:r>
      <w:r w:rsidRPr="00F9415B" w:rsidR="00D416CD">
        <w:rPr>
          <w:sz w:val="24"/>
          <w:szCs w:val="24"/>
        </w:rPr>
        <w:t xml:space="preserve">  </w:t>
      </w:r>
      <w:r w:rsidR="00C225BD">
        <w:rPr>
          <w:b/>
          <w:sz w:val="24"/>
          <w:szCs w:val="24"/>
        </w:rPr>
        <w:t>11</w:t>
      </w:r>
      <w:r w:rsidR="00434EF4">
        <w:rPr>
          <w:b/>
          <w:sz w:val="24"/>
          <w:szCs w:val="24"/>
        </w:rPr>
        <w:t>2</w:t>
      </w:r>
      <w:r w:rsidRPr="00E1780F" w:rsidR="00D416CD">
        <w:rPr>
          <w:b/>
          <w:sz w:val="24"/>
          <w:szCs w:val="24"/>
        </w:rPr>
        <w:t xml:space="preserve"> + </w:t>
      </w:r>
      <w:r w:rsidR="00C225BD">
        <w:rPr>
          <w:b/>
          <w:sz w:val="24"/>
          <w:szCs w:val="24"/>
        </w:rPr>
        <w:t>1</w:t>
      </w:r>
      <w:r w:rsidR="00B97096">
        <w:rPr>
          <w:b/>
          <w:sz w:val="24"/>
          <w:szCs w:val="24"/>
        </w:rPr>
        <w:t>48</w:t>
      </w:r>
      <w:r w:rsidRPr="00E1780F" w:rsidR="00D416CD">
        <w:rPr>
          <w:b/>
          <w:sz w:val="24"/>
          <w:szCs w:val="24"/>
        </w:rPr>
        <w:t xml:space="preserve"> </w:t>
      </w:r>
      <w:r w:rsidRPr="008A6F81" w:rsidR="00D416CD">
        <w:rPr>
          <w:b/>
          <w:sz w:val="24"/>
          <w:szCs w:val="24"/>
        </w:rPr>
        <w:t xml:space="preserve">= </w:t>
      </w:r>
      <w:r w:rsidR="00C225BD">
        <w:rPr>
          <w:b/>
          <w:sz w:val="24"/>
          <w:szCs w:val="24"/>
        </w:rPr>
        <w:t>26</w:t>
      </w:r>
      <w:r w:rsidR="00E648B8">
        <w:rPr>
          <w:b/>
          <w:sz w:val="24"/>
          <w:szCs w:val="24"/>
        </w:rPr>
        <w:t>0</w:t>
      </w:r>
      <w:r w:rsidRPr="00F9415B" w:rsidR="00D416CD">
        <w:rPr>
          <w:b/>
          <w:sz w:val="24"/>
          <w:szCs w:val="24"/>
        </w:rPr>
        <w:t xml:space="preserve"> respondents</w:t>
      </w:r>
      <w:r w:rsidRPr="00F9415B" w:rsidR="00A33C42">
        <w:rPr>
          <w:b/>
          <w:sz w:val="24"/>
          <w:szCs w:val="24"/>
        </w:rPr>
        <w:t>.</w:t>
      </w:r>
    </w:p>
    <w:p w:rsidRPr="00F9415B" w:rsidR="0065602A" w:rsidP="00E1780F" w:rsidRDefault="00E1780F" w14:paraId="028BF287" w14:textId="72FEC101">
      <w:pPr>
        <w:tabs>
          <w:tab w:val="left" w:pos="360"/>
        </w:tabs>
        <w:rPr>
          <w:sz w:val="24"/>
          <w:szCs w:val="24"/>
        </w:rPr>
      </w:pPr>
      <w:r>
        <w:rPr>
          <w:b/>
          <w:sz w:val="24"/>
          <w:szCs w:val="24"/>
        </w:rPr>
        <w:tab/>
      </w:r>
      <w:r w:rsidRPr="00F9415B" w:rsidR="0065602A">
        <w:rPr>
          <w:b/>
          <w:sz w:val="24"/>
          <w:szCs w:val="24"/>
        </w:rPr>
        <w:t>Total Number of Responses Annually:</w:t>
      </w:r>
      <w:r w:rsidRPr="00F9415B" w:rsidR="00A33C42">
        <w:rPr>
          <w:b/>
          <w:sz w:val="24"/>
          <w:szCs w:val="24"/>
        </w:rPr>
        <w:t xml:space="preserve"> </w:t>
      </w:r>
      <w:r w:rsidR="00C225BD">
        <w:rPr>
          <w:b/>
          <w:sz w:val="24"/>
          <w:szCs w:val="24"/>
        </w:rPr>
        <w:t>8</w:t>
      </w:r>
      <w:r w:rsidR="000E19FE">
        <w:rPr>
          <w:b/>
          <w:sz w:val="24"/>
          <w:szCs w:val="24"/>
        </w:rPr>
        <w:t>96</w:t>
      </w:r>
      <w:r w:rsidRPr="00E1780F" w:rsidR="00A33C42">
        <w:rPr>
          <w:b/>
          <w:sz w:val="24"/>
          <w:szCs w:val="24"/>
        </w:rPr>
        <w:t xml:space="preserve"> + </w:t>
      </w:r>
      <w:r w:rsidR="00B97096">
        <w:rPr>
          <w:b/>
          <w:sz w:val="24"/>
          <w:szCs w:val="24"/>
        </w:rPr>
        <w:t>592</w:t>
      </w:r>
      <w:r w:rsidRPr="00E1780F" w:rsidR="00A33C42">
        <w:rPr>
          <w:b/>
          <w:sz w:val="24"/>
          <w:szCs w:val="24"/>
        </w:rPr>
        <w:t xml:space="preserve"> </w:t>
      </w:r>
      <w:r w:rsidRPr="00E1780F" w:rsidR="00FE418B">
        <w:rPr>
          <w:b/>
          <w:sz w:val="24"/>
          <w:szCs w:val="24"/>
        </w:rPr>
        <w:t xml:space="preserve">+ </w:t>
      </w:r>
      <w:r w:rsidR="00C225BD">
        <w:rPr>
          <w:b/>
          <w:sz w:val="24"/>
          <w:szCs w:val="24"/>
        </w:rPr>
        <w:t>26</w:t>
      </w:r>
      <w:r w:rsidR="00AC7138">
        <w:rPr>
          <w:b/>
          <w:sz w:val="24"/>
          <w:szCs w:val="24"/>
        </w:rPr>
        <w:t>0</w:t>
      </w:r>
      <w:r w:rsidRPr="00E1780F" w:rsidR="00FE418B">
        <w:rPr>
          <w:b/>
          <w:sz w:val="24"/>
          <w:szCs w:val="24"/>
        </w:rPr>
        <w:t xml:space="preserve"> </w:t>
      </w:r>
      <w:r w:rsidRPr="00E1780F" w:rsidR="00A33C42">
        <w:rPr>
          <w:b/>
          <w:sz w:val="24"/>
          <w:szCs w:val="24"/>
        </w:rPr>
        <w:t xml:space="preserve">= </w:t>
      </w:r>
      <w:r w:rsidR="00C225BD">
        <w:rPr>
          <w:b/>
          <w:sz w:val="24"/>
          <w:szCs w:val="24"/>
        </w:rPr>
        <w:t>1,7</w:t>
      </w:r>
      <w:r w:rsidR="001D495C">
        <w:rPr>
          <w:b/>
          <w:sz w:val="24"/>
          <w:szCs w:val="24"/>
        </w:rPr>
        <w:t>48</w:t>
      </w:r>
      <w:r w:rsidRPr="00F9415B" w:rsidR="007A4B4D">
        <w:rPr>
          <w:b/>
          <w:sz w:val="24"/>
          <w:szCs w:val="24"/>
        </w:rPr>
        <w:t xml:space="preserve"> </w:t>
      </w:r>
      <w:r w:rsidRPr="00F9415B" w:rsidR="00A33C42">
        <w:rPr>
          <w:b/>
          <w:sz w:val="24"/>
          <w:szCs w:val="24"/>
        </w:rPr>
        <w:t>responses.</w:t>
      </w:r>
    </w:p>
    <w:p w:rsidR="00D416CD" w:rsidP="00F80E86" w:rsidRDefault="0065602A" w14:paraId="4DE3E302" w14:textId="70ACCCA8">
      <w:pPr>
        <w:tabs>
          <w:tab w:val="left" w:pos="360"/>
        </w:tabs>
        <w:ind w:left="360"/>
        <w:rPr>
          <w:b/>
          <w:sz w:val="24"/>
          <w:szCs w:val="24"/>
        </w:rPr>
      </w:pPr>
      <w:r w:rsidRPr="00F9415B">
        <w:rPr>
          <w:b/>
          <w:sz w:val="24"/>
          <w:szCs w:val="24"/>
        </w:rPr>
        <w:t xml:space="preserve">Total Annual </w:t>
      </w:r>
      <w:r w:rsidRPr="00F9415B" w:rsidR="00D416CD">
        <w:rPr>
          <w:b/>
          <w:sz w:val="24"/>
          <w:szCs w:val="24"/>
        </w:rPr>
        <w:t>Burden Hours:</w:t>
      </w:r>
      <w:r w:rsidRPr="00F9415B" w:rsidR="00D416CD">
        <w:rPr>
          <w:sz w:val="24"/>
          <w:szCs w:val="24"/>
        </w:rPr>
        <w:t xml:space="preserve">  </w:t>
      </w:r>
      <w:r w:rsidRPr="00C225BD" w:rsidR="00C225BD">
        <w:rPr>
          <w:b/>
          <w:bCs/>
          <w:sz w:val="24"/>
          <w:szCs w:val="24"/>
        </w:rPr>
        <w:t>13,</w:t>
      </w:r>
      <w:r w:rsidR="008C099E">
        <w:rPr>
          <w:b/>
          <w:bCs/>
          <w:sz w:val="24"/>
          <w:szCs w:val="24"/>
        </w:rPr>
        <w:t>664</w:t>
      </w:r>
      <w:r w:rsidRPr="00E1780F" w:rsidR="00EA3A36">
        <w:rPr>
          <w:b/>
          <w:sz w:val="24"/>
          <w:szCs w:val="24"/>
        </w:rPr>
        <w:t xml:space="preserve"> </w:t>
      </w:r>
      <w:r w:rsidRPr="00E1780F" w:rsidR="00D416CD">
        <w:rPr>
          <w:b/>
          <w:sz w:val="24"/>
          <w:szCs w:val="24"/>
        </w:rPr>
        <w:t xml:space="preserve">+ </w:t>
      </w:r>
      <w:r w:rsidR="00B83946">
        <w:rPr>
          <w:b/>
          <w:sz w:val="24"/>
          <w:szCs w:val="24"/>
        </w:rPr>
        <w:t>11,840</w:t>
      </w:r>
      <w:r w:rsidRPr="00E1780F" w:rsidR="00EA3A36">
        <w:rPr>
          <w:b/>
          <w:sz w:val="24"/>
          <w:szCs w:val="24"/>
        </w:rPr>
        <w:t xml:space="preserve"> </w:t>
      </w:r>
      <w:r w:rsidRPr="00E1780F" w:rsidR="0057599F">
        <w:rPr>
          <w:b/>
          <w:sz w:val="24"/>
          <w:szCs w:val="24"/>
        </w:rPr>
        <w:t xml:space="preserve">+ </w:t>
      </w:r>
      <w:r w:rsidR="00C225BD">
        <w:rPr>
          <w:b/>
          <w:sz w:val="24"/>
          <w:szCs w:val="24"/>
        </w:rPr>
        <w:t>1,5</w:t>
      </w:r>
      <w:r w:rsidR="009A67FC">
        <w:rPr>
          <w:b/>
          <w:sz w:val="24"/>
          <w:szCs w:val="24"/>
        </w:rPr>
        <w:t>60</w:t>
      </w:r>
      <w:r w:rsidRPr="00E1780F" w:rsidR="00EA3A36">
        <w:rPr>
          <w:b/>
          <w:sz w:val="24"/>
          <w:szCs w:val="24"/>
        </w:rPr>
        <w:t xml:space="preserve"> </w:t>
      </w:r>
      <w:r w:rsidRPr="00E1780F" w:rsidR="00D416CD">
        <w:rPr>
          <w:b/>
          <w:sz w:val="24"/>
          <w:szCs w:val="24"/>
        </w:rPr>
        <w:t xml:space="preserve">= </w:t>
      </w:r>
      <w:r w:rsidR="00C225BD">
        <w:rPr>
          <w:b/>
          <w:sz w:val="24"/>
          <w:szCs w:val="24"/>
        </w:rPr>
        <w:t>27,</w:t>
      </w:r>
      <w:r w:rsidR="00251C22">
        <w:rPr>
          <w:b/>
          <w:sz w:val="24"/>
          <w:szCs w:val="24"/>
        </w:rPr>
        <w:t>06</w:t>
      </w:r>
      <w:r w:rsidR="00C225BD">
        <w:rPr>
          <w:b/>
          <w:sz w:val="24"/>
          <w:szCs w:val="24"/>
        </w:rPr>
        <w:t>4</w:t>
      </w:r>
      <w:r w:rsidRPr="00F9415B" w:rsidR="00D416CD">
        <w:rPr>
          <w:sz w:val="24"/>
          <w:szCs w:val="24"/>
        </w:rPr>
        <w:t xml:space="preserve"> </w:t>
      </w:r>
      <w:r w:rsidRPr="00F9415B" w:rsidR="00D416CD">
        <w:rPr>
          <w:b/>
          <w:sz w:val="24"/>
          <w:szCs w:val="24"/>
        </w:rPr>
        <w:t xml:space="preserve">hours.   </w:t>
      </w:r>
    </w:p>
    <w:p w:rsidRPr="00E1780F" w:rsidR="000019F7" w:rsidP="00E1780F" w:rsidRDefault="009A3EEB" w14:paraId="3A88A5E3" w14:textId="77777777">
      <w:pPr>
        <w:tabs>
          <w:tab w:val="left" w:pos="360"/>
        </w:tabs>
        <w:ind w:left="360"/>
        <w:rPr>
          <w:b/>
          <w:sz w:val="24"/>
          <w:szCs w:val="24"/>
        </w:rPr>
      </w:pPr>
      <w:r w:rsidRPr="009A3EEB">
        <w:rPr>
          <w:b/>
          <w:bCs/>
          <w:sz w:val="24"/>
          <w:szCs w:val="24"/>
        </w:rPr>
        <w:t>Total In-House Costs:  None.</w:t>
      </w:r>
      <w:r w:rsidR="003234B3">
        <w:rPr>
          <w:b/>
          <w:sz w:val="24"/>
          <w:szCs w:val="24"/>
        </w:rPr>
        <w:tab/>
      </w:r>
    </w:p>
    <w:p w:rsidRPr="00E1780F" w:rsidR="00E1780F" w:rsidP="00E1780F" w:rsidRDefault="00E1780F" w14:paraId="2750BDFF" w14:textId="77777777">
      <w:pPr>
        <w:tabs>
          <w:tab w:val="left" w:pos="360"/>
        </w:tabs>
        <w:rPr>
          <w:b/>
          <w:sz w:val="24"/>
          <w:szCs w:val="24"/>
          <w:highlight w:val="yellow"/>
        </w:rPr>
      </w:pPr>
    </w:p>
    <w:p w:rsidRPr="00F9415B" w:rsidR="00E962FE" w:rsidP="000E7A8A" w:rsidRDefault="00D416CD" w14:paraId="5F95B2E1" w14:textId="77777777">
      <w:pPr>
        <w:numPr>
          <w:ilvl w:val="0"/>
          <w:numId w:val="16"/>
        </w:numPr>
        <w:ind w:left="360"/>
        <w:rPr>
          <w:sz w:val="24"/>
          <w:szCs w:val="24"/>
        </w:rPr>
      </w:pPr>
      <w:r w:rsidRPr="00F9415B">
        <w:rPr>
          <w:sz w:val="24"/>
          <w:szCs w:val="24"/>
        </w:rPr>
        <w:t xml:space="preserve">The following represents the Commission’s estimate of the annual cost burden to respondents or record keepers resulting from the collection of information:  </w:t>
      </w:r>
    </w:p>
    <w:p w:rsidRPr="00F9415B" w:rsidR="00E962FE" w:rsidP="00F80E86" w:rsidRDefault="00E962FE" w14:paraId="0CFC5A60" w14:textId="77777777">
      <w:pPr>
        <w:ind w:left="360" w:hanging="360"/>
        <w:rPr>
          <w:sz w:val="24"/>
          <w:szCs w:val="24"/>
        </w:rPr>
      </w:pPr>
    </w:p>
    <w:p w:rsidRPr="00F9415B" w:rsidR="00E962FE" w:rsidP="00F80E86" w:rsidRDefault="00E962FE" w14:paraId="4823D949" w14:textId="77777777">
      <w:pPr>
        <w:ind w:left="360" w:hanging="360"/>
        <w:rPr>
          <w:sz w:val="24"/>
          <w:szCs w:val="24"/>
        </w:rPr>
      </w:pPr>
      <w:r w:rsidRPr="00F9415B">
        <w:rPr>
          <w:sz w:val="24"/>
          <w:szCs w:val="24"/>
        </w:rPr>
        <w:tab/>
      </w:r>
      <w:r w:rsidRPr="00F9415B" w:rsidR="00D416CD">
        <w:rPr>
          <w:sz w:val="24"/>
          <w:szCs w:val="24"/>
        </w:rPr>
        <w:t>(</w:t>
      </w:r>
      <w:r w:rsidRPr="00F9415B" w:rsidR="00602CA8">
        <w:rPr>
          <w:sz w:val="24"/>
          <w:szCs w:val="24"/>
        </w:rPr>
        <w:t>a</w:t>
      </w:r>
      <w:r w:rsidRPr="00F9415B" w:rsidR="00D416CD">
        <w:rPr>
          <w:sz w:val="24"/>
          <w:szCs w:val="24"/>
        </w:rPr>
        <w:t xml:space="preserve">) </w:t>
      </w:r>
      <w:r w:rsidR="00E1780F">
        <w:rPr>
          <w:sz w:val="24"/>
          <w:szCs w:val="24"/>
        </w:rPr>
        <w:t>T</w:t>
      </w:r>
      <w:r w:rsidRPr="00F9415B" w:rsidR="00D416CD">
        <w:rPr>
          <w:sz w:val="24"/>
          <w:szCs w:val="24"/>
        </w:rPr>
        <w:t>otal capital and start</w:t>
      </w:r>
      <w:r w:rsidR="00E1780F">
        <w:rPr>
          <w:sz w:val="24"/>
          <w:szCs w:val="24"/>
        </w:rPr>
        <w:t>-</w:t>
      </w:r>
      <w:r w:rsidRPr="00F9415B" w:rsidR="00D416CD">
        <w:rPr>
          <w:sz w:val="24"/>
          <w:szCs w:val="24"/>
        </w:rPr>
        <w:t xml:space="preserve">up cost component: </w:t>
      </w:r>
      <w:proofErr w:type="gramStart"/>
      <w:r w:rsidRPr="00F9415B" w:rsidR="00D416CD">
        <w:rPr>
          <w:sz w:val="24"/>
          <w:szCs w:val="24"/>
        </w:rPr>
        <w:t>$0.00;</w:t>
      </w:r>
      <w:proofErr w:type="gramEnd"/>
      <w:r w:rsidRPr="00F9415B" w:rsidR="00D416CD">
        <w:rPr>
          <w:sz w:val="24"/>
          <w:szCs w:val="24"/>
        </w:rPr>
        <w:t xml:space="preserve"> </w:t>
      </w:r>
    </w:p>
    <w:p w:rsidRPr="00F9415B" w:rsidR="00E962FE" w:rsidP="00F80E86" w:rsidRDefault="00E962FE" w14:paraId="22539924" w14:textId="77777777">
      <w:pPr>
        <w:ind w:left="360" w:hanging="360"/>
        <w:rPr>
          <w:sz w:val="24"/>
          <w:szCs w:val="24"/>
        </w:rPr>
      </w:pPr>
    </w:p>
    <w:p w:rsidRPr="00F9415B" w:rsidR="00D416CD" w:rsidP="00F80E86" w:rsidRDefault="00E962FE" w14:paraId="7C26C8D3" w14:textId="77777777">
      <w:pPr>
        <w:ind w:left="360" w:hanging="360"/>
        <w:rPr>
          <w:sz w:val="24"/>
          <w:szCs w:val="24"/>
        </w:rPr>
      </w:pPr>
      <w:r w:rsidRPr="00F9415B">
        <w:rPr>
          <w:sz w:val="24"/>
          <w:szCs w:val="24"/>
        </w:rPr>
        <w:tab/>
      </w:r>
      <w:r w:rsidRPr="00F9415B" w:rsidR="00D416CD">
        <w:rPr>
          <w:sz w:val="24"/>
          <w:szCs w:val="24"/>
        </w:rPr>
        <w:t xml:space="preserve">(b) </w:t>
      </w:r>
      <w:r w:rsidR="00E1780F">
        <w:rPr>
          <w:sz w:val="24"/>
          <w:szCs w:val="24"/>
        </w:rPr>
        <w:t>T</w:t>
      </w:r>
      <w:r w:rsidRPr="00F9415B" w:rsidR="00D416CD">
        <w:rPr>
          <w:sz w:val="24"/>
          <w:szCs w:val="24"/>
        </w:rPr>
        <w:t xml:space="preserve">otal operation and maintenance and purchase of services: $0.00.   </w:t>
      </w:r>
    </w:p>
    <w:p w:rsidRPr="00F9415B" w:rsidR="00E962FE" w:rsidP="00F80E86" w:rsidRDefault="00E962FE" w14:paraId="76F3432E" w14:textId="77777777">
      <w:pPr>
        <w:ind w:left="360" w:hanging="360"/>
        <w:rPr>
          <w:sz w:val="24"/>
          <w:szCs w:val="24"/>
        </w:rPr>
      </w:pPr>
    </w:p>
    <w:p w:rsidRPr="00F9415B" w:rsidR="00E962FE" w:rsidP="00F80E86" w:rsidRDefault="00E962FE" w14:paraId="6D6537B7" w14:textId="77777777">
      <w:pPr>
        <w:ind w:left="360" w:hanging="360"/>
        <w:rPr>
          <w:sz w:val="24"/>
          <w:szCs w:val="24"/>
        </w:rPr>
      </w:pPr>
      <w:r w:rsidRPr="00F9415B">
        <w:rPr>
          <w:sz w:val="24"/>
          <w:szCs w:val="24"/>
        </w:rPr>
        <w:tab/>
        <w:t>(c)</w:t>
      </w:r>
      <w:r w:rsidRPr="00F9415B">
        <w:rPr>
          <w:sz w:val="24"/>
          <w:szCs w:val="24"/>
        </w:rPr>
        <w:tab/>
      </w:r>
      <w:r w:rsidR="00E1780F">
        <w:rPr>
          <w:sz w:val="24"/>
          <w:szCs w:val="24"/>
        </w:rPr>
        <w:t>T</w:t>
      </w:r>
      <w:r w:rsidRPr="00F9415B">
        <w:rPr>
          <w:sz w:val="24"/>
          <w:szCs w:val="24"/>
        </w:rPr>
        <w:t>otal annualized cost requested: $0.00.</w:t>
      </w:r>
    </w:p>
    <w:p w:rsidRPr="00F9415B" w:rsidR="00D416CD" w:rsidP="00F80E86" w:rsidRDefault="00D416CD" w14:paraId="5F1758FF" w14:textId="77777777">
      <w:pPr>
        <w:ind w:left="360" w:hanging="360"/>
        <w:rPr>
          <w:sz w:val="24"/>
          <w:szCs w:val="24"/>
        </w:rPr>
      </w:pPr>
    </w:p>
    <w:p w:rsidR="00A5090F" w:rsidP="00A5090F" w:rsidRDefault="00D416CD" w14:paraId="1314902C" w14:textId="77777777">
      <w:pPr>
        <w:numPr>
          <w:ilvl w:val="0"/>
          <w:numId w:val="16"/>
        </w:numPr>
        <w:ind w:left="360"/>
        <w:rPr>
          <w:b/>
          <w:sz w:val="24"/>
          <w:szCs w:val="24"/>
        </w:rPr>
      </w:pPr>
      <w:r w:rsidRPr="00F9415B">
        <w:rPr>
          <w:sz w:val="24"/>
          <w:szCs w:val="24"/>
        </w:rPr>
        <w:t xml:space="preserve">There </w:t>
      </w:r>
      <w:r w:rsidRPr="00F9415B" w:rsidR="00A605C6">
        <w:rPr>
          <w:sz w:val="24"/>
          <w:szCs w:val="24"/>
        </w:rPr>
        <w:t>is</w:t>
      </w:r>
      <w:r w:rsidRPr="00F9415B">
        <w:rPr>
          <w:sz w:val="24"/>
          <w:szCs w:val="24"/>
        </w:rPr>
        <w:t xml:space="preserve"> </w:t>
      </w:r>
      <w:r w:rsidR="00C55ADF">
        <w:rPr>
          <w:sz w:val="24"/>
          <w:szCs w:val="24"/>
        </w:rPr>
        <w:t xml:space="preserve">no </w:t>
      </w:r>
      <w:r w:rsidRPr="00F9415B">
        <w:rPr>
          <w:sz w:val="24"/>
          <w:szCs w:val="24"/>
        </w:rPr>
        <w:t>annual cost to the Federal government</w:t>
      </w:r>
      <w:r w:rsidR="00C55ADF">
        <w:rPr>
          <w:sz w:val="24"/>
          <w:szCs w:val="24"/>
        </w:rPr>
        <w:t xml:space="preserve"> because the </w:t>
      </w:r>
      <w:r w:rsidRPr="00865DA7" w:rsidR="00C55ADF">
        <w:rPr>
          <w:i/>
          <w:sz w:val="24"/>
          <w:szCs w:val="24"/>
        </w:rPr>
        <w:t>2018 Payphone Order</w:t>
      </w:r>
      <w:r w:rsidR="00C55ADF">
        <w:rPr>
          <w:sz w:val="24"/>
          <w:szCs w:val="24"/>
        </w:rPr>
        <w:t xml:space="preserve"> eliminated the audit and associated reporting requirements</w:t>
      </w:r>
      <w:r w:rsidRPr="00F9415B">
        <w:rPr>
          <w:sz w:val="24"/>
          <w:szCs w:val="24"/>
        </w:rPr>
        <w:t>.</w:t>
      </w:r>
      <w:r w:rsidR="00C55ADF">
        <w:rPr>
          <w:sz w:val="24"/>
          <w:szCs w:val="24"/>
        </w:rPr>
        <w:t xml:space="preserve">  All other reporting requirements involve reports to PSP</w:t>
      </w:r>
      <w:r w:rsidR="00865DA7">
        <w:rPr>
          <w:sz w:val="24"/>
          <w:szCs w:val="24"/>
        </w:rPr>
        <w:t>s</w:t>
      </w:r>
      <w:r w:rsidR="00C55ADF">
        <w:rPr>
          <w:sz w:val="24"/>
          <w:szCs w:val="24"/>
        </w:rPr>
        <w:t xml:space="preserve"> but not</w:t>
      </w:r>
      <w:r w:rsidRPr="00EB0ECA" w:rsidR="00C55ADF">
        <w:rPr>
          <w:sz w:val="24"/>
        </w:rPr>
        <w:t xml:space="preserve"> to the </w:t>
      </w:r>
      <w:r w:rsidR="00C55ADF">
        <w:rPr>
          <w:sz w:val="24"/>
          <w:szCs w:val="24"/>
        </w:rPr>
        <w:t>Commission.</w:t>
      </w:r>
      <w:r w:rsidRPr="00F9415B">
        <w:rPr>
          <w:sz w:val="24"/>
          <w:szCs w:val="24"/>
        </w:rPr>
        <w:t xml:space="preserve"> </w:t>
      </w:r>
    </w:p>
    <w:p w:rsidR="00A5090F" w:rsidP="00A5090F" w:rsidRDefault="00A5090F" w14:paraId="68052BBA" w14:textId="77777777">
      <w:pPr>
        <w:ind w:left="360"/>
        <w:rPr>
          <w:b/>
          <w:sz w:val="24"/>
          <w:szCs w:val="24"/>
        </w:rPr>
      </w:pPr>
    </w:p>
    <w:p w:rsidR="00A5090F" w:rsidP="00A5090F" w:rsidRDefault="00A5090F" w14:paraId="28C60A96" w14:textId="77777777">
      <w:pPr>
        <w:ind w:left="360"/>
        <w:rPr>
          <w:b/>
          <w:sz w:val="24"/>
          <w:szCs w:val="24"/>
        </w:rPr>
      </w:pPr>
    </w:p>
    <w:p w:rsidRPr="00A5090F" w:rsidR="00E17DEA" w:rsidP="00A5090F" w:rsidRDefault="00E17DEA" w14:paraId="54F535BE" w14:textId="13907ADC">
      <w:pPr>
        <w:numPr>
          <w:ilvl w:val="0"/>
          <w:numId w:val="16"/>
        </w:numPr>
        <w:ind w:left="360"/>
        <w:rPr>
          <w:b/>
          <w:sz w:val="24"/>
          <w:szCs w:val="24"/>
        </w:rPr>
      </w:pPr>
      <w:r w:rsidRPr="00A5090F">
        <w:rPr>
          <w:color w:val="000000"/>
          <w:spacing w:val="1"/>
          <w:sz w:val="24"/>
          <w:szCs w:val="24"/>
        </w:rPr>
        <w:t xml:space="preserve">The Commission notes the following changes: </w:t>
      </w:r>
    </w:p>
    <w:p w:rsidRPr="00A5090F" w:rsidR="00E17DEA" w:rsidP="00E17DEA" w:rsidRDefault="00E17DEA" w14:paraId="5E1B95E2" w14:textId="77777777">
      <w:pPr>
        <w:shd w:val="clear" w:color="auto" w:fill="FFFFFF"/>
        <w:tabs>
          <w:tab w:val="left" w:pos="360"/>
        </w:tabs>
        <w:ind w:left="5"/>
        <w:rPr>
          <w:color w:val="000000"/>
          <w:spacing w:val="1"/>
          <w:sz w:val="24"/>
          <w:szCs w:val="24"/>
        </w:rPr>
      </w:pPr>
    </w:p>
    <w:p w:rsidRPr="00A5090F" w:rsidR="00A5090F" w:rsidP="00A5090F" w:rsidRDefault="00A5090F" w14:paraId="703CD5AF" w14:textId="0261B8CE">
      <w:pPr>
        <w:ind w:left="720"/>
        <w:rPr>
          <w:sz w:val="24"/>
          <w:szCs w:val="24"/>
        </w:rPr>
      </w:pPr>
      <w:r w:rsidRPr="00A5090F">
        <w:rPr>
          <w:sz w:val="24"/>
          <w:szCs w:val="24"/>
        </w:rPr>
        <w:lastRenderedPageBreak/>
        <w:t>The Commission is reporting decrease</w:t>
      </w:r>
      <w:r w:rsidR="00C53B01">
        <w:rPr>
          <w:sz w:val="24"/>
          <w:szCs w:val="24"/>
        </w:rPr>
        <w:t>s</w:t>
      </w:r>
      <w:r w:rsidRPr="00A5090F">
        <w:rPr>
          <w:sz w:val="24"/>
          <w:szCs w:val="24"/>
        </w:rPr>
        <w:t>/</w:t>
      </w:r>
      <w:bookmarkStart w:name="_Hlk62733847" w:id="1"/>
      <w:r w:rsidR="00C53B01">
        <w:rPr>
          <w:sz w:val="24"/>
          <w:szCs w:val="24"/>
        </w:rPr>
        <w:t xml:space="preserve">adjustments </w:t>
      </w:r>
      <w:bookmarkEnd w:id="1"/>
      <w:r w:rsidR="00C53B01">
        <w:rPr>
          <w:sz w:val="24"/>
          <w:szCs w:val="24"/>
        </w:rPr>
        <w:t xml:space="preserve">to this information collection. </w:t>
      </w:r>
      <w:r w:rsidRPr="00A5090F">
        <w:rPr>
          <w:sz w:val="24"/>
          <w:szCs w:val="24"/>
        </w:rPr>
        <w:t>Th</w:t>
      </w:r>
      <w:r w:rsidR="00256651">
        <w:rPr>
          <w:sz w:val="24"/>
          <w:szCs w:val="24"/>
        </w:rPr>
        <w:t>e</w:t>
      </w:r>
      <w:r w:rsidRPr="00A5090F">
        <w:rPr>
          <w:sz w:val="24"/>
          <w:szCs w:val="24"/>
        </w:rPr>
        <w:t xml:space="preserve"> decrease </w:t>
      </w:r>
      <w:r w:rsidR="00C53B01">
        <w:rPr>
          <w:sz w:val="24"/>
          <w:szCs w:val="24"/>
        </w:rPr>
        <w:t xml:space="preserve">in the total number of respondents from 329 to 260 </w:t>
      </w:r>
      <w:r w:rsidR="00A42FF3">
        <w:rPr>
          <w:sz w:val="24"/>
          <w:szCs w:val="24"/>
        </w:rPr>
        <w:t>(-6</w:t>
      </w:r>
      <w:r w:rsidR="00256651">
        <w:rPr>
          <w:sz w:val="24"/>
          <w:szCs w:val="24"/>
        </w:rPr>
        <w:t>9</w:t>
      </w:r>
      <w:r w:rsidR="00A42FF3">
        <w:rPr>
          <w:sz w:val="24"/>
          <w:szCs w:val="24"/>
        </w:rPr>
        <w:t xml:space="preserve">) </w:t>
      </w:r>
      <w:r w:rsidRPr="00A5090F">
        <w:rPr>
          <w:sz w:val="24"/>
          <w:szCs w:val="24"/>
        </w:rPr>
        <w:t xml:space="preserve">is due to a decrease in the number of Completing Carriers (OSPs and prepaid calling card providers) and Intermediate Carriers (interexchange carriers) reflected in the FCC Form 499 Filer Database, available at </w:t>
      </w:r>
      <w:hyperlink w:history="1" r:id="rId12">
        <w:r w:rsidRPr="00A5090F">
          <w:rPr>
            <w:rStyle w:val="Hyperlink"/>
            <w:sz w:val="24"/>
            <w:szCs w:val="24"/>
          </w:rPr>
          <w:t>http://apps.fcc.gov/cgb/form499/499a.cfm</w:t>
        </w:r>
      </w:hyperlink>
      <w:r w:rsidRPr="00A5090F">
        <w:rPr>
          <w:color w:val="FF0000"/>
          <w:sz w:val="24"/>
          <w:szCs w:val="24"/>
        </w:rPr>
        <w:t xml:space="preserve">, </w:t>
      </w:r>
      <w:r w:rsidRPr="00A5090F">
        <w:rPr>
          <w:sz w:val="24"/>
          <w:szCs w:val="24"/>
        </w:rPr>
        <w:t xml:space="preserve">which accounts for a reduction in total annual responses </w:t>
      </w:r>
      <w:r w:rsidR="00A42FF3">
        <w:rPr>
          <w:sz w:val="24"/>
          <w:szCs w:val="24"/>
        </w:rPr>
        <w:t>from 2,257 to 1,748 (-</w:t>
      </w:r>
      <w:r w:rsidR="00D338B7">
        <w:rPr>
          <w:sz w:val="24"/>
          <w:szCs w:val="24"/>
        </w:rPr>
        <w:t>509</w:t>
      </w:r>
      <w:r w:rsidR="00A42FF3">
        <w:rPr>
          <w:sz w:val="24"/>
          <w:szCs w:val="24"/>
        </w:rPr>
        <w:t>) and a decrease in</w:t>
      </w:r>
      <w:r w:rsidRPr="00A5090F" w:rsidR="00A42FF3">
        <w:rPr>
          <w:sz w:val="24"/>
          <w:szCs w:val="24"/>
        </w:rPr>
        <w:t xml:space="preserve"> the total annual burden hours from </w:t>
      </w:r>
      <w:r w:rsidR="00A42FF3">
        <w:rPr>
          <w:sz w:val="24"/>
          <w:szCs w:val="24"/>
        </w:rPr>
        <w:t>34,720</w:t>
      </w:r>
      <w:r w:rsidRPr="00A5090F" w:rsidR="00A42FF3">
        <w:rPr>
          <w:sz w:val="24"/>
          <w:szCs w:val="24"/>
        </w:rPr>
        <w:t xml:space="preserve"> hours to </w:t>
      </w:r>
      <w:r w:rsidR="00A42FF3">
        <w:rPr>
          <w:sz w:val="24"/>
          <w:szCs w:val="24"/>
        </w:rPr>
        <w:t>27,064 (-7,656)</w:t>
      </w:r>
      <w:r w:rsidR="00496511">
        <w:rPr>
          <w:sz w:val="24"/>
          <w:szCs w:val="24"/>
        </w:rPr>
        <w:t>.</w:t>
      </w:r>
    </w:p>
    <w:p w:rsidRPr="00A5090F" w:rsidR="00012737" w:rsidP="00A5090F" w:rsidRDefault="00012737" w14:paraId="43BB140A" w14:textId="3BFF33D4">
      <w:pPr>
        <w:tabs>
          <w:tab w:val="left" w:pos="7500"/>
        </w:tabs>
        <w:rPr>
          <w:color w:val="000000"/>
          <w:sz w:val="24"/>
          <w:szCs w:val="24"/>
        </w:rPr>
      </w:pPr>
    </w:p>
    <w:p w:rsidRPr="00F9415B" w:rsidR="00012737" w:rsidP="00EB0ECA" w:rsidRDefault="00012737" w14:paraId="21F404B4" w14:textId="6EBA4A5A">
      <w:pPr>
        <w:ind w:left="720"/>
        <w:rPr>
          <w:sz w:val="24"/>
          <w:szCs w:val="24"/>
        </w:rPr>
      </w:pPr>
      <w:r w:rsidRPr="00A5090F">
        <w:rPr>
          <w:sz w:val="24"/>
          <w:szCs w:val="24"/>
        </w:rPr>
        <w:t xml:space="preserve">There are no </w:t>
      </w:r>
      <w:r w:rsidRPr="00A5090F" w:rsidR="00C53B01">
        <w:rPr>
          <w:sz w:val="24"/>
          <w:szCs w:val="24"/>
        </w:rPr>
        <w:t>program change</w:t>
      </w:r>
      <w:r w:rsidR="00C53B01">
        <w:rPr>
          <w:sz w:val="24"/>
          <w:szCs w:val="24"/>
        </w:rPr>
        <w:t>s</w:t>
      </w:r>
      <w:r w:rsidRPr="00A5090F" w:rsidR="00C53B01">
        <w:rPr>
          <w:sz w:val="24"/>
          <w:szCs w:val="24"/>
        </w:rPr>
        <w:t xml:space="preserve"> </w:t>
      </w:r>
      <w:r w:rsidRPr="00A5090F">
        <w:rPr>
          <w:sz w:val="24"/>
          <w:szCs w:val="24"/>
        </w:rPr>
        <w:t>to this information collection.</w:t>
      </w:r>
    </w:p>
    <w:p w:rsidRPr="00F9415B" w:rsidR="00A310EB" w:rsidP="00F80E86" w:rsidRDefault="00A310EB" w14:paraId="59F5F971" w14:textId="77777777">
      <w:pPr>
        <w:ind w:left="360" w:hanging="360"/>
        <w:rPr>
          <w:sz w:val="24"/>
          <w:szCs w:val="24"/>
        </w:rPr>
      </w:pPr>
    </w:p>
    <w:p w:rsidRPr="00F9415B" w:rsidR="00D416CD" w:rsidP="000E7A8A" w:rsidRDefault="00D416CD" w14:paraId="4C6F3C64" w14:textId="77777777">
      <w:pPr>
        <w:numPr>
          <w:ilvl w:val="0"/>
          <w:numId w:val="16"/>
        </w:numPr>
        <w:ind w:left="360"/>
        <w:rPr>
          <w:sz w:val="24"/>
          <w:szCs w:val="24"/>
        </w:rPr>
      </w:pPr>
      <w:r w:rsidRPr="00F9415B">
        <w:rPr>
          <w:sz w:val="24"/>
          <w:szCs w:val="24"/>
        </w:rPr>
        <w:t>The Commission does not anticipate that it will publish the results of these collections of information.</w:t>
      </w:r>
    </w:p>
    <w:p w:rsidRPr="00F9415B" w:rsidR="00D416CD" w:rsidP="00F80E86" w:rsidRDefault="00D416CD" w14:paraId="626CA816" w14:textId="77777777">
      <w:pPr>
        <w:ind w:left="360" w:hanging="360"/>
        <w:rPr>
          <w:sz w:val="24"/>
          <w:szCs w:val="24"/>
        </w:rPr>
      </w:pPr>
    </w:p>
    <w:p w:rsidR="00D416CD" w:rsidP="000E7A8A" w:rsidRDefault="00D416CD" w14:paraId="7D793313" w14:textId="77777777">
      <w:pPr>
        <w:numPr>
          <w:ilvl w:val="0"/>
          <w:numId w:val="16"/>
        </w:numPr>
        <w:ind w:left="360"/>
        <w:rPr>
          <w:sz w:val="24"/>
          <w:szCs w:val="24"/>
        </w:rPr>
      </w:pPr>
      <w:r w:rsidRPr="00F9415B">
        <w:rPr>
          <w:sz w:val="24"/>
          <w:szCs w:val="24"/>
        </w:rPr>
        <w:t>The Commission does not intend to seek approval not to display the expiration date for OMB approval of the information collections</w:t>
      </w:r>
      <w:r w:rsidRPr="00F9415B" w:rsidR="00A64ABD">
        <w:rPr>
          <w:sz w:val="24"/>
          <w:szCs w:val="24"/>
        </w:rPr>
        <w:t xml:space="preserve"> since the information collection requirements do not include any forms, etc.</w:t>
      </w:r>
    </w:p>
    <w:p w:rsidR="00DC79ED" w:rsidP="00DC79ED" w:rsidRDefault="00DC79ED" w14:paraId="2DA94D00" w14:textId="77777777">
      <w:pPr>
        <w:pStyle w:val="ColorfulList-Accent11"/>
        <w:rPr>
          <w:sz w:val="24"/>
          <w:szCs w:val="24"/>
        </w:rPr>
      </w:pPr>
    </w:p>
    <w:p w:rsidRPr="00F9415B" w:rsidR="00BF1E8D" w:rsidP="00E1780F" w:rsidRDefault="00DC79ED" w14:paraId="52FBBE75" w14:textId="77777777">
      <w:pPr>
        <w:ind w:left="360" w:hanging="360"/>
        <w:rPr>
          <w:sz w:val="24"/>
          <w:szCs w:val="24"/>
        </w:rPr>
      </w:pPr>
      <w:r w:rsidRPr="00091A33">
        <w:rPr>
          <w:sz w:val="24"/>
          <w:szCs w:val="24"/>
        </w:rPr>
        <w:t xml:space="preserve">18. </w:t>
      </w:r>
      <w:r w:rsidRPr="00F9415B" w:rsidR="00F02A1B">
        <w:rPr>
          <w:sz w:val="24"/>
          <w:szCs w:val="24"/>
        </w:rPr>
        <w:t>T</w:t>
      </w:r>
      <w:r w:rsidRPr="00F9415B" w:rsidR="008E2FBC">
        <w:rPr>
          <w:sz w:val="24"/>
          <w:szCs w:val="24"/>
        </w:rPr>
        <w:t>he</w:t>
      </w:r>
      <w:r w:rsidRPr="00F9415B" w:rsidR="00BF1E8D">
        <w:rPr>
          <w:sz w:val="24"/>
          <w:szCs w:val="24"/>
        </w:rPr>
        <w:t xml:space="preserve">re are no exceptions to the </w:t>
      </w:r>
      <w:r w:rsidR="003234B3">
        <w:rPr>
          <w:sz w:val="24"/>
          <w:szCs w:val="24"/>
        </w:rPr>
        <w:t>C</w:t>
      </w:r>
      <w:r w:rsidRPr="00F9415B" w:rsidR="00BF1E8D">
        <w:rPr>
          <w:sz w:val="24"/>
          <w:szCs w:val="24"/>
        </w:rPr>
        <w:t xml:space="preserve">ertification </w:t>
      </w:r>
      <w:r w:rsidR="003234B3">
        <w:rPr>
          <w:sz w:val="24"/>
          <w:szCs w:val="24"/>
        </w:rPr>
        <w:t>S</w:t>
      </w:r>
      <w:r w:rsidRPr="00F9415B" w:rsidR="00BF1E8D">
        <w:rPr>
          <w:sz w:val="24"/>
          <w:szCs w:val="24"/>
        </w:rPr>
        <w:t>tatement</w:t>
      </w:r>
      <w:r w:rsidR="003234B3">
        <w:rPr>
          <w:sz w:val="24"/>
          <w:szCs w:val="24"/>
        </w:rPr>
        <w:t xml:space="preserve">. </w:t>
      </w:r>
    </w:p>
    <w:p w:rsidRPr="00F9415B" w:rsidR="00BF1E8D" w:rsidP="00F80E86" w:rsidRDefault="00BF1E8D" w14:paraId="1EC676F5" w14:textId="77777777">
      <w:pPr>
        <w:ind w:left="360" w:hanging="360"/>
        <w:rPr>
          <w:sz w:val="24"/>
          <w:szCs w:val="24"/>
        </w:rPr>
      </w:pPr>
    </w:p>
    <w:p w:rsidRPr="00F9415B" w:rsidR="00BF1E8D" w:rsidP="00F80E86" w:rsidRDefault="00BF1E8D" w14:paraId="3ECE506C" w14:textId="77777777">
      <w:pPr>
        <w:ind w:left="360" w:hanging="360"/>
        <w:rPr>
          <w:b/>
          <w:sz w:val="24"/>
          <w:szCs w:val="24"/>
          <w:u w:val="single"/>
        </w:rPr>
      </w:pPr>
      <w:r w:rsidRPr="00F9415B">
        <w:rPr>
          <w:b/>
          <w:sz w:val="24"/>
          <w:szCs w:val="24"/>
        </w:rPr>
        <w:t xml:space="preserve">B.  </w:t>
      </w:r>
      <w:r w:rsidRPr="00F9415B">
        <w:rPr>
          <w:b/>
          <w:sz w:val="24"/>
          <w:szCs w:val="24"/>
          <w:u w:val="single"/>
        </w:rPr>
        <w:t>Collections of Informatio</w:t>
      </w:r>
      <w:r w:rsidR="00C436DB">
        <w:rPr>
          <w:b/>
          <w:sz w:val="24"/>
          <w:szCs w:val="24"/>
          <w:u w:val="single"/>
        </w:rPr>
        <w:t>n Employing Statistical Methods</w:t>
      </w:r>
      <w:r w:rsidRPr="00F9415B" w:rsidR="00AA25AA">
        <w:rPr>
          <w:b/>
          <w:sz w:val="24"/>
          <w:szCs w:val="24"/>
        </w:rPr>
        <w:t>.</w:t>
      </w:r>
    </w:p>
    <w:p w:rsidRPr="00F9415B" w:rsidR="00BF1E8D" w:rsidP="00F80E86" w:rsidRDefault="00BF1E8D" w14:paraId="0BF01AA7" w14:textId="77777777">
      <w:pPr>
        <w:ind w:left="360" w:hanging="360"/>
        <w:rPr>
          <w:sz w:val="24"/>
          <w:szCs w:val="24"/>
          <w:u w:val="single"/>
        </w:rPr>
      </w:pPr>
    </w:p>
    <w:p w:rsidR="00D416CD" w:rsidP="0092517B" w:rsidRDefault="00F80E86" w14:paraId="153B1CDC" w14:textId="77777777">
      <w:pPr>
        <w:ind w:left="360"/>
        <w:rPr>
          <w:sz w:val="24"/>
          <w:szCs w:val="24"/>
        </w:rPr>
      </w:pPr>
      <w:r>
        <w:rPr>
          <w:sz w:val="24"/>
          <w:szCs w:val="24"/>
        </w:rPr>
        <w:t>This information collection does not employ any statistical methods</w:t>
      </w:r>
      <w:r w:rsidRPr="00BF1E8D" w:rsidR="00BF1E8D">
        <w:rPr>
          <w:sz w:val="24"/>
          <w:szCs w:val="24"/>
        </w:rPr>
        <w:t>.</w:t>
      </w:r>
      <w:r w:rsidR="00BF1E8D">
        <w:rPr>
          <w:b/>
          <w:sz w:val="24"/>
          <w:szCs w:val="24"/>
        </w:rPr>
        <w:t xml:space="preserve"> </w:t>
      </w:r>
      <w:r w:rsidR="00D416CD">
        <w:rPr>
          <w:sz w:val="24"/>
          <w:szCs w:val="24"/>
        </w:rPr>
        <w:t xml:space="preserve"> </w:t>
      </w:r>
    </w:p>
    <w:sectPr w:rsidR="00D416CD" w:rsidSect="005F3C70">
      <w:headerReference w:type="default" r:id="rId1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DC9AB" w14:textId="77777777" w:rsidR="003C38EA" w:rsidRDefault="003C38EA">
      <w:r>
        <w:separator/>
      </w:r>
    </w:p>
  </w:endnote>
  <w:endnote w:type="continuationSeparator" w:id="0">
    <w:p w14:paraId="73530F9B" w14:textId="77777777" w:rsidR="003C38EA" w:rsidRDefault="003C38EA">
      <w:r>
        <w:continuationSeparator/>
      </w:r>
    </w:p>
  </w:endnote>
  <w:endnote w:type="continuationNotice" w:id="1">
    <w:p w14:paraId="63247AE4" w14:textId="77777777" w:rsidR="003C38EA" w:rsidRDefault="003C3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24EEB" w14:textId="77777777" w:rsidR="004253A6" w:rsidRDefault="004253A6" w:rsidP="00244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A547A" w14:textId="77777777" w:rsidR="004253A6" w:rsidRDefault="00425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90B9B" w14:textId="0D778C19" w:rsidR="004253A6" w:rsidRDefault="004253A6" w:rsidP="00244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090F">
      <w:rPr>
        <w:rStyle w:val="PageNumber"/>
        <w:noProof/>
      </w:rPr>
      <w:t>6</w:t>
    </w:r>
    <w:r>
      <w:rPr>
        <w:rStyle w:val="PageNumber"/>
      </w:rPr>
      <w:fldChar w:fldCharType="end"/>
    </w:r>
  </w:p>
  <w:p w14:paraId="0FCF1CF7" w14:textId="77777777" w:rsidR="004253A6" w:rsidRDefault="00425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FA74" w14:textId="77777777" w:rsidR="003C38EA" w:rsidRDefault="003C38EA">
      <w:r>
        <w:separator/>
      </w:r>
    </w:p>
  </w:footnote>
  <w:footnote w:type="continuationSeparator" w:id="0">
    <w:p w14:paraId="09B36C33" w14:textId="77777777" w:rsidR="003C38EA" w:rsidRDefault="003C38EA">
      <w:r>
        <w:continuationSeparator/>
      </w:r>
    </w:p>
  </w:footnote>
  <w:footnote w:type="continuationNotice" w:id="1">
    <w:p w14:paraId="201C9087" w14:textId="77777777" w:rsidR="003C38EA" w:rsidRDefault="003C3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3C20C" w14:textId="463A7707" w:rsidR="005D68B1" w:rsidRPr="00EB0ECA" w:rsidRDefault="005D68B1" w:rsidP="005D68B1">
    <w:pPr>
      <w:shd w:val="clear" w:color="auto" w:fill="FFFFFF"/>
      <w:ind w:right="90"/>
      <w:rPr>
        <w:rStyle w:val="StyleTimesNewRoman11pt"/>
        <w:sz w:val="22"/>
      </w:rPr>
    </w:pPr>
    <w:r w:rsidRPr="00345F34">
      <w:rPr>
        <w:b/>
        <w:sz w:val="22"/>
        <w:szCs w:val="22"/>
      </w:rPr>
      <w:t xml:space="preserve">Part 64, </w:t>
    </w:r>
    <w:r w:rsidRPr="00345F34">
      <w:rPr>
        <w:b/>
        <w:spacing w:val="-2"/>
        <w:sz w:val="22"/>
        <w:szCs w:val="22"/>
      </w:rPr>
      <w:t>Modernization of Payphone</w:t>
    </w:r>
    <w:r w:rsidRPr="00EB0ECA">
      <w:rPr>
        <w:b/>
        <w:spacing w:val="-2"/>
        <w:sz w:val="22"/>
      </w:rPr>
      <w:t xml:space="preserve"> Compensation</w:t>
    </w:r>
    <w:r w:rsidRPr="00345F34">
      <w:rPr>
        <w:b/>
        <w:spacing w:val="-2"/>
        <w:sz w:val="22"/>
        <w:szCs w:val="22"/>
      </w:rPr>
      <w:t xml:space="preserve"> Rules</w:t>
    </w:r>
    <w:r w:rsidRPr="00345F34">
      <w:rPr>
        <w:rStyle w:val="StyleTimesNewRoman11pt"/>
        <w:b/>
        <w:sz w:val="22"/>
        <w:szCs w:val="22"/>
      </w:rPr>
      <w:t xml:space="preserve">, </w:t>
    </w:r>
    <w:r>
      <w:rPr>
        <w:rStyle w:val="StyleTimesNewRoman11pt"/>
        <w:b/>
        <w:sz w:val="22"/>
        <w:szCs w:val="22"/>
      </w:rPr>
      <w:t>et al.,</w:t>
    </w:r>
    <w:r>
      <w:rPr>
        <w:rStyle w:val="StyleTimesNewRoman11pt"/>
        <w:b/>
        <w:sz w:val="22"/>
        <w:szCs w:val="22"/>
      </w:rPr>
      <w:tab/>
    </w:r>
    <w:r>
      <w:rPr>
        <w:rStyle w:val="StyleTimesNewRoman11pt"/>
        <w:b/>
        <w:sz w:val="22"/>
        <w:szCs w:val="22"/>
      </w:rPr>
      <w:tab/>
    </w:r>
    <w:r>
      <w:rPr>
        <w:rStyle w:val="StyleTimesNewRoman11pt"/>
        <w:b/>
        <w:sz w:val="22"/>
        <w:szCs w:val="22"/>
      </w:rPr>
      <w:tab/>
    </w:r>
    <w:r>
      <w:rPr>
        <w:b/>
        <w:sz w:val="22"/>
        <w:szCs w:val="22"/>
      </w:rPr>
      <w:t>3060-1046</w:t>
    </w:r>
  </w:p>
  <w:p w14:paraId="165A20C1" w14:textId="3B34E531" w:rsidR="005D68B1" w:rsidRPr="00345F34" w:rsidRDefault="005D68B1" w:rsidP="005D68B1">
    <w:pPr>
      <w:shd w:val="clear" w:color="auto" w:fill="FFFFFF"/>
      <w:ind w:right="90"/>
      <w:rPr>
        <w:b/>
        <w:sz w:val="22"/>
        <w:szCs w:val="22"/>
      </w:rPr>
    </w:pPr>
    <w:r w:rsidRPr="00345F34">
      <w:rPr>
        <w:rStyle w:val="StyleTimesNewRoman11pt"/>
        <w:b/>
        <w:sz w:val="22"/>
        <w:szCs w:val="22"/>
      </w:rPr>
      <w:t>WC Docket No. 17-141, et al.</w:t>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t xml:space="preserve"> </w:t>
    </w:r>
    <w:r>
      <w:rPr>
        <w:rStyle w:val="StyleTimesNewRoman11pt"/>
        <w:b/>
        <w:sz w:val="22"/>
        <w:szCs w:val="22"/>
      </w:rPr>
      <w:tab/>
    </w:r>
    <w:r w:rsidR="006E2EBC">
      <w:rPr>
        <w:rStyle w:val="StyleTimesNewRoman11pt"/>
        <w:b/>
        <w:sz w:val="22"/>
        <w:szCs w:val="22"/>
      </w:rPr>
      <w:t xml:space="preserve">May </w:t>
    </w:r>
    <w:r w:rsidRPr="00345F34">
      <w:rPr>
        <w:rStyle w:val="StyleTimesNewRoman11pt"/>
        <w:b/>
        <w:sz w:val="22"/>
        <w:szCs w:val="22"/>
      </w:rPr>
      <w:t>20</w:t>
    </w:r>
    <w:r w:rsidR="00522ABB">
      <w:rPr>
        <w:rStyle w:val="StyleTimesNewRoman11pt"/>
        <w:b/>
        <w:sz w:val="22"/>
        <w:szCs w:val="22"/>
      </w:rPr>
      <w:t>21</w:t>
    </w:r>
  </w:p>
  <w:p w14:paraId="1AA73CE5" w14:textId="77777777" w:rsidR="005D68B1" w:rsidRPr="00EB0ECA" w:rsidRDefault="005D68B1" w:rsidP="005D68B1">
    <w:pPr>
      <w:tabs>
        <w:tab w:val="center" w:pos="4680"/>
      </w:tabs>
      <w:suppressAutoHyphens/>
      <w:rPr>
        <w:spacing w:val="-2"/>
      </w:rPr>
    </w:pPr>
  </w:p>
  <w:p w14:paraId="7E21DDEC" w14:textId="69E20DF8" w:rsidR="004253A6" w:rsidRPr="005D68B1" w:rsidRDefault="004253A6" w:rsidP="005D68B1">
    <w:pPr>
      <w:pStyle w:val="Header"/>
      <w:jc w:val="right"/>
      <w:rPr>
        <w:b/>
        <w:sz w:val="22"/>
        <w:szCs w:val="22"/>
      </w:rPr>
    </w:pPr>
    <w:r>
      <w:rPr>
        <w:b/>
      </w:rPr>
      <w:tab/>
    </w:r>
    <w:r>
      <w:rPr>
        <w:b/>
      </w:rPr>
      <w:tab/>
      <w:t xml:space="preserve">        </w:t>
    </w:r>
    <w:r w:rsidRPr="00345F34">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CC65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2130B"/>
    <w:multiLevelType w:val="hybridMultilevel"/>
    <w:tmpl w:val="682CC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B5236"/>
    <w:multiLevelType w:val="singleLevel"/>
    <w:tmpl w:val="5B2AC2A6"/>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08694E95"/>
    <w:multiLevelType w:val="hybridMultilevel"/>
    <w:tmpl w:val="1D86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E51C4"/>
    <w:multiLevelType w:val="hybridMultilevel"/>
    <w:tmpl w:val="3CB436F8"/>
    <w:lvl w:ilvl="0" w:tplc="91B410B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90729E"/>
    <w:multiLevelType w:val="hybridMultilevel"/>
    <w:tmpl w:val="109C7EF4"/>
    <w:lvl w:ilvl="0" w:tplc="24E6D09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33856"/>
    <w:multiLevelType w:val="hybridMultilevel"/>
    <w:tmpl w:val="0146440E"/>
    <w:lvl w:ilvl="0" w:tplc="2C2C16F0">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D63C1E"/>
    <w:multiLevelType w:val="hybridMultilevel"/>
    <w:tmpl w:val="2D6A86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D46F26"/>
    <w:multiLevelType w:val="hybridMultilevel"/>
    <w:tmpl w:val="6F4AF9FC"/>
    <w:lvl w:ilvl="0" w:tplc="E522044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7EB3"/>
    <w:multiLevelType w:val="hybridMultilevel"/>
    <w:tmpl w:val="9A3C9B98"/>
    <w:lvl w:ilvl="0" w:tplc="2D9C29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482162"/>
    <w:multiLevelType w:val="singleLevel"/>
    <w:tmpl w:val="B338E604"/>
    <w:lvl w:ilvl="0">
      <w:start w:val="15"/>
      <w:numFmt w:val="decimal"/>
      <w:lvlText w:val="%1."/>
      <w:legacy w:legacy="1" w:legacySpace="0" w:legacyIndent="283"/>
      <w:lvlJc w:val="left"/>
      <w:rPr>
        <w:rFonts w:ascii="Times New Roman" w:hAnsi="Times New Roman" w:cs="Times New Roman" w:hint="default"/>
      </w:rPr>
    </w:lvl>
  </w:abstractNum>
  <w:abstractNum w:abstractNumId="11" w15:restartNumberingAfterBreak="0">
    <w:nsid w:val="49C714F3"/>
    <w:multiLevelType w:val="hybridMultilevel"/>
    <w:tmpl w:val="204A0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E5167F"/>
    <w:multiLevelType w:val="hybridMultilevel"/>
    <w:tmpl w:val="7250E062"/>
    <w:lvl w:ilvl="0" w:tplc="985ED582">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7"/>
  </w:num>
  <w:num w:numId="3">
    <w:abstractNumId w:val="5"/>
  </w:num>
  <w:num w:numId="4">
    <w:abstractNumId w:val="2"/>
  </w:num>
  <w:num w:numId="5">
    <w:abstractNumId w:val="2"/>
  </w:num>
  <w:num w:numId="6">
    <w:abstractNumId w:val="11"/>
  </w:num>
  <w:num w:numId="7">
    <w:abstractNumId w:val="4"/>
  </w:num>
  <w:num w:numId="8">
    <w:abstractNumId w:val="9"/>
  </w:num>
  <w:num w:numId="9">
    <w:abstractNumId w:val="6"/>
  </w:num>
  <w:num w:numId="10">
    <w:abstractNumId w:val="12"/>
  </w:num>
  <w:num w:numId="11">
    <w:abstractNumId w:val="2"/>
  </w:num>
  <w:num w:numId="12">
    <w:abstractNumId w:val="2"/>
  </w:num>
  <w:num w:numId="13">
    <w:abstractNumId w:val="2"/>
  </w:num>
  <w:num w:numId="14">
    <w:abstractNumId w:val="0"/>
  </w:num>
  <w:num w:numId="15">
    <w:abstractNumId w:val="1"/>
  </w:num>
  <w:num w:numId="16">
    <w:abstractNumId w:val="8"/>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BD"/>
    <w:rsid w:val="0000050F"/>
    <w:rsid w:val="000019F7"/>
    <w:rsid w:val="00003615"/>
    <w:rsid w:val="00007A40"/>
    <w:rsid w:val="00012737"/>
    <w:rsid w:val="000175B5"/>
    <w:rsid w:val="00020529"/>
    <w:rsid w:val="00021882"/>
    <w:rsid w:val="000241F8"/>
    <w:rsid w:val="000250AF"/>
    <w:rsid w:val="00026E35"/>
    <w:rsid w:val="000303CF"/>
    <w:rsid w:val="0003329D"/>
    <w:rsid w:val="0003536A"/>
    <w:rsid w:val="00036EBB"/>
    <w:rsid w:val="000460D3"/>
    <w:rsid w:val="00055104"/>
    <w:rsid w:val="00055F93"/>
    <w:rsid w:val="000564A4"/>
    <w:rsid w:val="00060747"/>
    <w:rsid w:val="00061012"/>
    <w:rsid w:val="00061DEC"/>
    <w:rsid w:val="00063C1A"/>
    <w:rsid w:val="00065CA0"/>
    <w:rsid w:val="00065EC9"/>
    <w:rsid w:val="0006631C"/>
    <w:rsid w:val="0007034E"/>
    <w:rsid w:val="00071396"/>
    <w:rsid w:val="000717D5"/>
    <w:rsid w:val="00073052"/>
    <w:rsid w:val="00076DBB"/>
    <w:rsid w:val="00081F5E"/>
    <w:rsid w:val="000869BF"/>
    <w:rsid w:val="00090FC6"/>
    <w:rsid w:val="00091A33"/>
    <w:rsid w:val="00091A4E"/>
    <w:rsid w:val="000A1152"/>
    <w:rsid w:val="000A1FDF"/>
    <w:rsid w:val="000A2E4C"/>
    <w:rsid w:val="000A2F4F"/>
    <w:rsid w:val="000A4387"/>
    <w:rsid w:val="000A4485"/>
    <w:rsid w:val="000A52A4"/>
    <w:rsid w:val="000B1502"/>
    <w:rsid w:val="000B2709"/>
    <w:rsid w:val="000B2F0C"/>
    <w:rsid w:val="000B44D0"/>
    <w:rsid w:val="000C0EA1"/>
    <w:rsid w:val="000C184E"/>
    <w:rsid w:val="000D130F"/>
    <w:rsid w:val="000D1831"/>
    <w:rsid w:val="000D3BD4"/>
    <w:rsid w:val="000E19FE"/>
    <w:rsid w:val="000E4CDE"/>
    <w:rsid w:val="000E66E9"/>
    <w:rsid w:val="000E7A8A"/>
    <w:rsid w:val="000F1C4E"/>
    <w:rsid w:val="000F4E0D"/>
    <w:rsid w:val="000F5F32"/>
    <w:rsid w:val="000F66AA"/>
    <w:rsid w:val="000F7991"/>
    <w:rsid w:val="000F7B14"/>
    <w:rsid w:val="00104BF0"/>
    <w:rsid w:val="0010579C"/>
    <w:rsid w:val="00116C6C"/>
    <w:rsid w:val="00121EA4"/>
    <w:rsid w:val="001234DD"/>
    <w:rsid w:val="00124624"/>
    <w:rsid w:val="001267A3"/>
    <w:rsid w:val="001353B1"/>
    <w:rsid w:val="00140359"/>
    <w:rsid w:val="00142076"/>
    <w:rsid w:val="00145CA3"/>
    <w:rsid w:val="001532AA"/>
    <w:rsid w:val="0015421A"/>
    <w:rsid w:val="00154DE9"/>
    <w:rsid w:val="00155D97"/>
    <w:rsid w:val="00155E6D"/>
    <w:rsid w:val="00156354"/>
    <w:rsid w:val="00161B0E"/>
    <w:rsid w:val="001656A9"/>
    <w:rsid w:val="001656AD"/>
    <w:rsid w:val="00165B2C"/>
    <w:rsid w:val="00175FD7"/>
    <w:rsid w:val="001836B0"/>
    <w:rsid w:val="00195009"/>
    <w:rsid w:val="001A2386"/>
    <w:rsid w:val="001A33E5"/>
    <w:rsid w:val="001A4F32"/>
    <w:rsid w:val="001A6AA7"/>
    <w:rsid w:val="001A6C36"/>
    <w:rsid w:val="001A7548"/>
    <w:rsid w:val="001A7DD3"/>
    <w:rsid w:val="001C0E1C"/>
    <w:rsid w:val="001C24A9"/>
    <w:rsid w:val="001C4D0D"/>
    <w:rsid w:val="001C52A0"/>
    <w:rsid w:val="001C77D9"/>
    <w:rsid w:val="001D0E03"/>
    <w:rsid w:val="001D495C"/>
    <w:rsid w:val="001D5642"/>
    <w:rsid w:val="001D5B0E"/>
    <w:rsid w:val="001E00EC"/>
    <w:rsid w:val="001E2D4E"/>
    <w:rsid w:val="001E4663"/>
    <w:rsid w:val="001E48D8"/>
    <w:rsid w:val="001E65DF"/>
    <w:rsid w:val="001E733F"/>
    <w:rsid w:val="001F134F"/>
    <w:rsid w:val="001F5100"/>
    <w:rsid w:val="001F5CE8"/>
    <w:rsid w:val="00200535"/>
    <w:rsid w:val="00201C40"/>
    <w:rsid w:val="00204041"/>
    <w:rsid w:val="0020643A"/>
    <w:rsid w:val="0020648F"/>
    <w:rsid w:val="00207002"/>
    <w:rsid w:val="0020709A"/>
    <w:rsid w:val="00215AEE"/>
    <w:rsid w:val="002177ED"/>
    <w:rsid w:val="002206E1"/>
    <w:rsid w:val="00222036"/>
    <w:rsid w:val="002379B3"/>
    <w:rsid w:val="00240DCD"/>
    <w:rsid w:val="00241224"/>
    <w:rsid w:val="00244772"/>
    <w:rsid w:val="00247C46"/>
    <w:rsid w:val="00250928"/>
    <w:rsid w:val="00251C22"/>
    <w:rsid w:val="00254E40"/>
    <w:rsid w:val="00256651"/>
    <w:rsid w:val="002573E8"/>
    <w:rsid w:val="00261830"/>
    <w:rsid w:val="0026252E"/>
    <w:rsid w:val="002769FA"/>
    <w:rsid w:val="00276B70"/>
    <w:rsid w:val="002819F8"/>
    <w:rsid w:val="00281FCB"/>
    <w:rsid w:val="002828E3"/>
    <w:rsid w:val="00283A21"/>
    <w:rsid w:val="0028639B"/>
    <w:rsid w:val="00287A6C"/>
    <w:rsid w:val="002935C5"/>
    <w:rsid w:val="00293737"/>
    <w:rsid w:val="002969D4"/>
    <w:rsid w:val="002A145A"/>
    <w:rsid w:val="002B1344"/>
    <w:rsid w:val="002B314D"/>
    <w:rsid w:val="002B67A0"/>
    <w:rsid w:val="002C3123"/>
    <w:rsid w:val="002C5997"/>
    <w:rsid w:val="002C5D1A"/>
    <w:rsid w:val="002C75E0"/>
    <w:rsid w:val="002D4116"/>
    <w:rsid w:val="002E3630"/>
    <w:rsid w:val="002E38E7"/>
    <w:rsid w:val="002E74AF"/>
    <w:rsid w:val="002F571B"/>
    <w:rsid w:val="002F65E2"/>
    <w:rsid w:val="00301156"/>
    <w:rsid w:val="00302E21"/>
    <w:rsid w:val="00305365"/>
    <w:rsid w:val="00314E20"/>
    <w:rsid w:val="0031563C"/>
    <w:rsid w:val="00315D56"/>
    <w:rsid w:val="003234B3"/>
    <w:rsid w:val="00323DDA"/>
    <w:rsid w:val="00326554"/>
    <w:rsid w:val="00340109"/>
    <w:rsid w:val="00345F34"/>
    <w:rsid w:val="003530E7"/>
    <w:rsid w:val="003533FC"/>
    <w:rsid w:val="0035359A"/>
    <w:rsid w:val="00353FF6"/>
    <w:rsid w:val="00355DB9"/>
    <w:rsid w:val="00366FF2"/>
    <w:rsid w:val="0036723C"/>
    <w:rsid w:val="0038180A"/>
    <w:rsid w:val="00385646"/>
    <w:rsid w:val="00386A7F"/>
    <w:rsid w:val="00391ABD"/>
    <w:rsid w:val="0039364B"/>
    <w:rsid w:val="003939C9"/>
    <w:rsid w:val="00396E2B"/>
    <w:rsid w:val="003A1294"/>
    <w:rsid w:val="003A3B4C"/>
    <w:rsid w:val="003A3D42"/>
    <w:rsid w:val="003B17D4"/>
    <w:rsid w:val="003B686A"/>
    <w:rsid w:val="003B7780"/>
    <w:rsid w:val="003B7D4D"/>
    <w:rsid w:val="003C38EA"/>
    <w:rsid w:val="003C5D05"/>
    <w:rsid w:val="003C5FAF"/>
    <w:rsid w:val="003C71D0"/>
    <w:rsid w:val="003D41B4"/>
    <w:rsid w:val="003D77BF"/>
    <w:rsid w:val="003D7F68"/>
    <w:rsid w:val="003E318B"/>
    <w:rsid w:val="003E6742"/>
    <w:rsid w:val="003F03FB"/>
    <w:rsid w:val="003F20EF"/>
    <w:rsid w:val="003F2B6C"/>
    <w:rsid w:val="003F7F49"/>
    <w:rsid w:val="0040180D"/>
    <w:rsid w:val="004053D2"/>
    <w:rsid w:val="0040675B"/>
    <w:rsid w:val="00407496"/>
    <w:rsid w:val="00412E18"/>
    <w:rsid w:val="004130B2"/>
    <w:rsid w:val="004149E5"/>
    <w:rsid w:val="004154E7"/>
    <w:rsid w:val="004170BF"/>
    <w:rsid w:val="00421318"/>
    <w:rsid w:val="0042183F"/>
    <w:rsid w:val="00425268"/>
    <w:rsid w:val="004253A6"/>
    <w:rsid w:val="00427C78"/>
    <w:rsid w:val="004308EB"/>
    <w:rsid w:val="00431CD5"/>
    <w:rsid w:val="00431E5E"/>
    <w:rsid w:val="00433D14"/>
    <w:rsid w:val="00434EF4"/>
    <w:rsid w:val="0043567C"/>
    <w:rsid w:val="00435A57"/>
    <w:rsid w:val="00437D32"/>
    <w:rsid w:val="0044331A"/>
    <w:rsid w:val="00445FBE"/>
    <w:rsid w:val="00450E1E"/>
    <w:rsid w:val="0045138B"/>
    <w:rsid w:val="00451C8B"/>
    <w:rsid w:val="00452868"/>
    <w:rsid w:val="0045294D"/>
    <w:rsid w:val="004530A5"/>
    <w:rsid w:val="00453909"/>
    <w:rsid w:val="00454D37"/>
    <w:rsid w:val="00455BD5"/>
    <w:rsid w:val="00460715"/>
    <w:rsid w:val="00474886"/>
    <w:rsid w:val="00477846"/>
    <w:rsid w:val="00480420"/>
    <w:rsid w:val="00480A3A"/>
    <w:rsid w:val="00482620"/>
    <w:rsid w:val="00484C0E"/>
    <w:rsid w:val="00491FDF"/>
    <w:rsid w:val="00495E25"/>
    <w:rsid w:val="00496511"/>
    <w:rsid w:val="004974AB"/>
    <w:rsid w:val="004A24DD"/>
    <w:rsid w:val="004A2CCC"/>
    <w:rsid w:val="004A64ED"/>
    <w:rsid w:val="004B2BA9"/>
    <w:rsid w:val="004C586B"/>
    <w:rsid w:val="004D0A07"/>
    <w:rsid w:val="004D5B6C"/>
    <w:rsid w:val="004D6752"/>
    <w:rsid w:val="004E0940"/>
    <w:rsid w:val="004E0F38"/>
    <w:rsid w:val="004E3AB5"/>
    <w:rsid w:val="004E3D07"/>
    <w:rsid w:val="004E3E53"/>
    <w:rsid w:val="004E6230"/>
    <w:rsid w:val="004E6A55"/>
    <w:rsid w:val="004F024E"/>
    <w:rsid w:val="004F331F"/>
    <w:rsid w:val="004F5555"/>
    <w:rsid w:val="004F6376"/>
    <w:rsid w:val="004F67AD"/>
    <w:rsid w:val="00502D89"/>
    <w:rsid w:val="00506141"/>
    <w:rsid w:val="00507266"/>
    <w:rsid w:val="005126CD"/>
    <w:rsid w:val="00512F30"/>
    <w:rsid w:val="0051357A"/>
    <w:rsid w:val="005161F1"/>
    <w:rsid w:val="0052238B"/>
    <w:rsid w:val="00522ABB"/>
    <w:rsid w:val="00525769"/>
    <w:rsid w:val="00526291"/>
    <w:rsid w:val="00526A56"/>
    <w:rsid w:val="00526C44"/>
    <w:rsid w:val="00526D51"/>
    <w:rsid w:val="005271DB"/>
    <w:rsid w:val="00534EFE"/>
    <w:rsid w:val="00543574"/>
    <w:rsid w:val="00543A9A"/>
    <w:rsid w:val="0054518B"/>
    <w:rsid w:val="005505D1"/>
    <w:rsid w:val="005517D4"/>
    <w:rsid w:val="005604F4"/>
    <w:rsid w:val="005635A8"/>
    <w:rsid w:val="00565675"/>
    <w:rsid w:val="005722A5"/>
    <w:rsid w:val="0057599F"/>
    <w:rsid w:val="00580043"/>
    <w:rsid w:val="00580244"/>
    <w:rsid w:val="00581A53"/>
    <w:rsid w:val="00581F70"/>
    <w:rsid w:val="005845F8"/>
    <w:rsid w:val="00597B9D"/>
    <w:rsid w:val="005A1CA6"/>
    <w:rsid w:val="005A2244"/>
    <w:rsid w:val="005A2CAA"/>
    <w:rsid w:val="005B0D4C"/>
    <w:rsid w:val="005B20D8"/>
    <w:rsid w:val="005B22F7"/>
    <w:rsid w:val="005B580E"/>
    <w:rsid w:val="005C3476"/>
    <w:rsid w:val="005C7EE1"/>
    <w:rsid w:val="005D35B9"/>
    <w:rsid w:val="005D68B1"/>
    <w:rsid w:val="005D723B"/>
    <w:rsid w:val="005E21BB"/>
    <w:rsid w:val="005E2731"/>
    <w:rsid w:val="005E5FA3"/>
    <w:rsid w:val="005F3C70"/>
    <w:rsid w:val="005F4EFE"/>
    <w:rsid w:val="00602CA8"/>
    <w:rsid w:val="006069F4"/>
    <w:rsid w:val="00610407"/>
    <w:rsid w:val="00613572"/>
    <w:rsid w:val="006142AA"/>
    <w:rsid w:val="0062420C"/>
    <w:rsid w:val="00624463"/>
    <w:rsid w:val="00625337"/>
    <w:rsid w:val="00625527"/>
    <w:rsid w:val="00630DFB"/>
    <w:rsid w:val="00633A5E"/>
    <w:rsid w:val="0063763D"/>
    <w:rsid w:val="00642949"/>
    <w:rsid w:val="0064515A"/>
    <w:rsid w:val="0065320E"/>
    <w:rsid w:val="00653CAF"/>
    <w:rsid w:val="0065602A"/>
    <w:rsid w:val="00662262"/>
    <w:rsid w:val="00664254"/>
    <w:rsid w:val="0066501D"/>
    <w:rsid w:val="00665647"/>
    <w:rsid w:val="0066578E"/>
    <w:rsid w:val="00665DF1"/>
    <w:rsid w:val="006717F4"/>
    <w:rsid w:val="00675F28"/>
    <w:rsid w:val="006773E0"/>
    <w:rsid w:val="006775FE"/>
    <w:rsid w:val="006777F9"/>
    <w:rsid w:val="0068042D"/>
    <w:rsid w:val="00681241"/>
    <w:rsid w:val="00687C9C"/>
    <w:rsid w:val="00691E10"/>
    <w:rsid w:val="00692AA0"/>
    <w:rsid w:val="00693C25"/>
    <w:rsid w:val="006957C0"/>
    <w:rsid w:val="006A36D1"/>
    <w:rsid w:val="006A6AD7"/>
    <w:rsid w:val="006B5F99"/>
    <w:rsid w:val="006B6896"/>
    <w:rsid w:val="006B6BAB"/>
    <w:rsid w:val="006B75AC"/>
    <w:rsid w:val="006B7F79"/>
    <w:rsid w:val="006C0045"/>
    <w:rsid w:val="006C0CE4"/>
    <w:rsid w:val="006C2DC6"/>
    <w:rsid w:val="006C335D"/>
    <w:rsid w:val="006C6F88"/>
    <w:rsid w:val="006C721F"/>
    <w:rsid w:val="006D3413"/>
    <w:rsid w:val="006D59AA"/>
    <w:rsid w:val="006E1922"/>
    <w:rsid w:val="006E1F7D"/>
    <w:rsid w:val="006E2944"/>
    <w:rsid w:val="006E2CEC"/>
    <w:rsid w:val="006E2E2D"/>
    <w:rsid w:val="006E2EBC"/>
    <w:rsid w:val="006E34F5"/>
    <w:rsid w:val="006E478F"/>
    <w:rsid w:val="006F0217"/>
    <w:rsid w:val="006F5FB7"/>
    <w:rsid w:val="0070089C"/>
    <w:rsid w:val="00703239"/>
    <w:rsid w:val="007037AB"/>
    <w:rsid w:val="007049B0"/>
    <w:rsid w:val="00705284"/>
    <w:rsid w:val="00706F91"/>
    <w:rsid w:val="00711CA3"/>
    <w:rsid w:val="0071209E"/>
    <w:rsid w:val="00722692"/>
    <w:rsid w:val="00724038"/>
    <w:rsid w:val="00725241"/>
    <w:rsid w:val="007271DD"/>
    <w:rsid w:val="0073584C"/>
    <w:rsid w:val="00737B28"/>
    <w:rsid w:val="00740C0D"/>
    <w:rsid w:val="007429D6"/>
    <w:rsid w:val="00745227"/>
    <w:rsid w:val="00747901"/>
    <w:rsid w:val="0074791A"/>
    <w:rsid w:val="00750CBD"/>
    <w:rsid w:val="00750ED0"/>
    <w:rsid w:val="00751EC4"/>
    <w:rsid w:val="007520EA"/>
    <w:rsid w:val="00752950"/>
    <w:rsid w:val="007533C4"/>
    <w:rsid w:val="0076048D"/>
    <w:rsid w:val="0076338C"/>
    <w:rsid w:val="0076504C"/>
    <w:rsid w:val="00766647"/>
    <w:rsid w:val="00767917"/>
    <w:rsid w:val="00770816"/>
    <w:rsid w:val="007718E0"/>
    <w:rsid w:val="00774EFE"/>
    <w:rsid w:val="00776007"/>
    <w:rsid w:val="007824D1"/>
    <w:rsid w:val="007848B2"/>
    <w:rsid w:val="00785FC8"/>
    <w:rsid w:val="00786031"/>
    <w:rsid w:val="00786CC0"/>
    <w:rsid w:val="007876B7"/>
    <w:rsid w:val="00795CEE"/>
    <w:rsid w:val="0079647C"/>
    <w:rsid w:val="00797205"/>
    <w:rsid w:val="007A0617"/>
    <w:rsid w:val="007A276A"/>
    <w:rsid w:val="007A4B4D"/>
    <w:rsid w:val="007A7965"/>
    <w:rsid w:val="007B3507"/>
    <w:rsid w:val="007B4DF5"/>
    <w:rsid w:val="007C2D15"/>
    <w:rsid w:val="007C309D"/>
    <w:rsid w:val="007C3527"/>
    <w:rsid w:val="007C367F"/>
    <w:rsid w:val="007C5586"/>
    <w:rsid w:val="007D3B1D"/>
    <w:rsid w:val="007E3957"/>
    <w:rsid w:val="007F0560"/>
    <w:rsid w:val="007F06E8"/>
    <w:rsid w:val="007F5BE6"/>
    <w:rsid w:val="0080034F"/>
    <w:rsid w:val="00800557"/>
    <w:rsid w:val="00800641"/>
    <w:rsid w:val="008007DF"/>
    <w:rsid w:val="008014E1"/>
    <w:rsid w:val="00801527"/>
    <w:rsid w:val="00801C5E"/>
    <w:rsid w:val="00801E16"/>
    <w:rsid w:val="008111FF"/>
    <w:rsid w:val="00812C65"/>
    <w:rsid w:val="00816945"/>
    <w:rsid w:val="00820180"/>
    <w:rsid w:val="008210C1"/>
    <w:rsid w:val="00821A15"/>
    <w:rsid w:val="00823FDC"/>
    <w:rsid w:val="00825E12"/>
    <w:rsid w:val="0082628B"/>
    <w:rsid w:val="00831461"/>
    <w:rsid w:val="00834537"/>
    <w:rsid w:val="00835126"/>
    <w:rsid w:val="00835907"/>
    <w:rsid w:val="00840375"/>
    <w:rsid w:val="008409CA"/>
    <w:rsid w:val="00843AFA"/>
    <w:rsid w:val="00844243"/>
    <w:rsid w:val="00847448"/>
    <w:rsid w:val="00850B36"/>
    <w:rsid w:val="00851376"/>
    <w:rsid w:val="008517CB"/>
    <w:rsid w:val="00857EE0"/>
    <w:rsid w:val="00863452"/>
    <w:rsid w:val="00864657"/>
    <w:rsid w:val="008656F0"/>
    <w:rsid w:val="00865DA7"/>
    <w:rsid w:val="0086793F"/>
    <w:rsid w:val="008718BE"/>
    <w:rsid w:val="008756C7"/>
    <w:rsid w:val="008760FE"/>
    <w:rsid w:val="00881291"/>
    <w:rsid w:val="00883D29"/>
    <w:rsid w:val="008860B6"/>
    <w:rsid w:val="00886E6E"/>
    <w:rsid w:val="00891B1E"/>
    <w:rsid w:val="00892A33"/>
    <w:rsid w:val="00892D00"/>
    <w:rsid w:val="008942CB"/>
    <w:rsid w:val="008965FD"/>
    <w:rsid w:val="00896B0F"/>
    <w:rsid w:val="00897397"/>
    <w:rsid w:val="00897D15"/>
    <w:rsid w:val="008A0D7E"/>
    <w:rsid w:val="008A4059"/>
    <w:rsid w:val="008A441B"/>
    <w:rsid w:val="008A46D4"/>
    <w:rsid w:val="008A6F81"/>
    <w:rsid w:val="008A7002"/>
    <w:rsid w:val="008A7426"/>
    <w:rsid w:val="008A7A65"/>
    <w:rsid w:val="008B1B9F"/>
    <w:rsid w:val="008B7428"/>
    <w:rsid w:val="008C099E"/>
    <w:rsid w:val="008C4963"/>
    <w:rsid w:val="008C5970"/>
    <w:rsid w:val="008C646E"/>
    <w:rsid w:val="008C7F0C"/>
    <w:rsid w:val="008D2C3E"/>
    <w:rsid w:val="008D4C95"/>
    <w:rsid w:val="008D50AD"/>
    <w:rsid w:val="008D5EB2"/>
    <w:rsid w:val="008D6870"/>
    <w:rsid w:val="008D7E11"/>
    <w:rsid w:val="008E03B0"/>
    <w:rsid w:val="008E2FBC"/>
    <w:rsid w:val="008F58CF"/>
    <w:rsid w:val="008F60C7"/>
    <w:rsid w:val="008F6E24"/>
    <w:rsid w:val="008F7341"/>
    <w:rsid w:val="008F7CED"/>
    <w:rsid w:val="00900A19"/>
    <w:rsid w:val="00904E45"/>
    <w:rsid w:val="00905A03"/>
    <w:rsid w:val="00910F6A"/>
    <w:rsid w:val="0091391D"/>
    <w:rsid w:val="00922126"/>
    <w:rsid w:val="0092517B"/>
    <w:rsid w:val="00926066"/>
    <w:rsid w:val="00927BE8"/>
    <w:rsid w:val="009324CD"/>
    <w:rsid w:val="00932C8F"/>
    <w:rsid w:val="009419F7"/>
    <w:rsid w:val="009426FC"/>
    <w:rsid w:val="009449A3"/>
    <w:rsid w:val="00945776"/>
    <w:rsid w:val="00945B6F"/>
    <w:rsid w:val="009530E3"/>
    <w:rsid w:val="00953D8E"/>
    <w:rsid w:val="00956A8D"/>
    <w:rsid w:val="0096104F"/>
    <w:rsid w:val="009622DE"/>
    <w:rsid w:val="00962B3C"/>
    <w:rsid w:val="0096341F"/>
    <w:rsid w:val="00964A39"/>
    <w:rsid w:val="00964C1E"/>
    <w:rsid w:val="00973B9D"/>
    <w:rsid w:val="00973E6B"/>
    <w:rsid w:val="00975962"/>
    <w:rsid w:val="009766CF"/>
    <w:rsid w:val="00982C11"/>
    <w:rsid w:val="00987C1A"/>
    <w:rsid w:val="00992A13"/>
    <w:rsid w:val="009A15DD"/>
    <w:rsid w:val="009A3EEB"/>
    <w:rsid w:val="009A6452"/>
    <w:rsid w:val="009A67FC"/>
    <w:rsid w:val="009A7976"/>
    <w:rsid w:val="009B0164"/>
    <w:rsid w:val="009B3537"/>
    <w:rsid w:val="009B7046"/>
    <w:rsid w:val="009B789E"/>
    <w:rsid w:val="009C6E59"/>
    <w:rsid w:val="009C7BB4"/>
    <w:rsid w:val="009D4E2F"/>
    <w:rsid w:val="009D5D32"/>
    <w:rsid w:val="009D760F"/>
    <w:rsid w:val="009E5366"/>
    <w:rsid w:val="009F10A9"/>
    <w:rsid w:val="009F630E"/>
    <w:rsid w:val="009F6F35"/>
    <w:rsid w:val="00A00F84"/>
    <w:rsid w:val="00A03007"/>
    <w:rsid w:val="00A030B7"/>
    <w:rsid w:val="00A071DD"/>
    <w:rsid w:val="00A13865"/>
    <w:rsid w:val="00A15A2E"/>
    <w:rsid w:val="00A17285"/>
    <w:rsid w:val="00A2646E"/>
    <w:rsid w:val="00A305A4"/>
    <w:rsid w:val="00A310EB"/>
    <w:rsid w:val="00A33C42"/>
    <w:rsid w:val="00A34197"/>
    <w:rsid w:val="00A358E9"/>
    <w:rsid w:val="00A42A9C"/>
    <w:rsid w:val="00A42FF3"/>
    <w:rsid w:val="00A5090F"/>
    <w:rsid w:val="00A53EC9"/>
    <w:rsid w:val="00A555D5"/>
    <w:rsid w:val="00A56056"/>
    <w:rsid w:val="00A60336"/>
    <w:rsid w:val="00A605C6"/>
    <w:rsid w:val="00A62534"/>
    <w:rsid w:val="00A64038"/>
    <w:rsid w:val="00A64ABD"/>
    <w:rsid w:val="00A665F1"/>
    <w:rsid w:val="00A705F2"/>
    <w:rsid w:val="00A72881"/>
    <w:rsid w:val="00A730E5"/>
    <w:rsid w:val="00A73D50"/>
    <w:rsid w:val="00A74322"/>
    <w:rsid w:val="00A751E5"/>
    <w:rsid w:val="00A75A66"/>
    <w:rsid w:val="00A77E0F"/>
    <w:rsid w:val="00A807ED"/>
    <w:rsid w:val="00A8188D"/>
    <w:rsid w:val="00A82357"/>
    <w:rsid w:val="00A92868"/>
    <w:rsid w:val="00A944AD"/>
    <w:rsid w:val="00A94AD5"/>
    <w:rsid w:val="00AA25AA"/>
    <w:rsid w:val="00AA7AC2"/>
    <w:rsid w:val="00AB1AF9"/>
    <w:rsid w:val="00AB25F8"/>
    <w:rsid w:val="00AB3006"/>
    <w:rsid w:val="00AB3500"/>
    <w:rsid w:val="00AB714F"/>
    <w:rsid w:val="00AB7E69"/>
    <w:rsid w:val="00AC496D"/>
    <w:rsid w:val="00AC7138"/>
    <w:rsid w:val="00AD095E"/>
    <w:rsid w:val="00AD6EC6"/>
    <w:rsid w:val="00AD7EC2"/>
    <w:rsid w:val="00AE1FBD"/>
    <w:rsid w:val="00AE215C"/>
    <w:rsid w:val="00AE4402"/>
    <w:rsid w:val="00AE440E"/>
    <w:rsid w:val="00B0040A"/>
    <w:rsid w:val="00B0380E"/>
    <w:rsid w:val="00B05D41"/>
    <w:rsid w:val="00B071CE"/>
    <w:rsid w:val="00B13128"/>
    <w:rsid w:val="00B156F0"/>
    <w:rsid w:val="00B203E3"/>
    <w:rsid w:val="00B235FB"/>
    <w:rsid w:val="00B23DC3"/>
    <w:rsid w:val="00B26141"/>
    <w:rsid w:val="00B2646F"/>
    <w:rsid w:val="00B330F0"/>
    <w:rsid w:val="00B343F3"/>
    <w:rsid w:val="00B36064"/>
    <w:rsid w:val="00B41078"/>
    <w:rsid w:val="00B43538"/>
    <w:rsid w:val="00B4493E"/>
    <w:rsid w:val="00B463C7"/>
    <w:rsid w:val="00B52B09"/>
    <w:rsid w:val="00B52CBF"/>
    <w:rsid w:val="00B53FB7"/>
    <w:rsid w:val="00B54B5B"/>
    <w:rsid w:val="00B550C6"/>
    <w:rsid w:val="00B60156"/>
    <w:rsid w:val="00B64867"/>
    <w:rsid w:val="00B65275"/>
    <w:rsid w:val="00B66024"/>
    <w:rsid w:val="00B70905"/>
    <w:rsid w:val="00B72CB3"/>
    <w:rsid w:val="00B732A2"/>
    <w:rsid w:val="00B73F2D"/>
    <w:rsid w:val="00B75F23"/>
    <w:rsid w:val="00B82572"/>
    <w:rsid w:val="00B837C6"/>
    <w:rsid w:val="00B83946"/>
    <w:rsid w:val="00B94439"/>
    <w:rsid w:val="00B955F2"/>
    <w:rsid w:val="00B9703F"/>
    <w:rsid w:val="00B97096"/>
    <w:rsid w:val="00BA0639"/>
    <w:rsid w:val="00BA1D3E"/>
    <w:rsid w:val="00BA50D0"/>
    <w:rsid w:val="00BB1D68"/>
    <w:rsid w:val="00BB2F90"/>
    <w:rsid w:val="00BB5335"/>
    <w:rsid w:val="00BB7F84"/>
    <w:rsid w:val="00BC34EE"/>
    <w:rsid w:val="00BC7BA2"/>
    <w:rsid w:val="00BC7EB3"/>
    <w:rsid w:val="00BD20E7"/>
    <w:rsid w:val="00BD5051"/>
    <w:rsid w:val="00BD5232"/>
    <w:rsid w:val="00BD61B6"/>
    <w:rsid w:val="00BD6ECB"/>
    <w:rsid w:val="00BD7E2C"/>
    <w:rsid w:val="00BE00A8"/>
    <w:rsid w:val="00BE12B6"/>
    <w:rsid w:val="00BE1346"/>
    <w:rsid w:val="00BE3E7B"/>
    <w:rsid w:val="00BE5961"/>
    <w:rsid w:val="00BE5B75"/>
    <w:rsid w:val="00BE7365"/>
    <w:rsid w:val="00BF1E8D"/>
    <w:rsid w:val="00BF27F9"/>
    <w:rsid w:val="00BF2A51"/>
    <w:rsid w:val="00BF31C7"/>
    <w:rsid w:val="00BF4E4C"/>
    <w:rsid w:val="00BF51FE"/>
    <w:rsid w:val="00BF52BC"/>
    <w:rsid w:val="00C006E1"/>
    <w:rsid w:val="00C014D1"/>
    <w:rsid w:val="00C02C6D"/>
    <w:rsid w:val="00C041DC"/>
    <w:rsid w:val="00C056AB"/>
    <w:rsid w:val="00C0747F"/>
    <w:rsid w:val="00C10D6A"/>
    <w:rsid w:val="00C10DCF"/>
    <w:rsid w:val="00C225BD"/>
    <w:rsid w:val="00C247B4"/>
    <w:rsid w:val="00C32855"/>
    <w:rsid w:val="00C412D4"/>
    <w:rsid w:val="00C436DB"/>
    <w:rsid w:val="00C439A9"/>
    <w:rsid w:val="00C43D31"/>
    <w:rsid w:val="00C47ABE"/>
    <w:rsid w:val="00C53B01"/>
    <w:rsid w:val="00C55ADF"/>
    <w:rsid w:val="00C56A9F"/>
    <w:rsid w:val="00C575A6"/>
    <w:rsid w:val="00C61143"/>
    <w:rsid w:val="00C74E75"/>
    <w:rsid w:val="00C75388"/>
    <w:rsid w:val="00C77435"/>
    <w:rsid w:val="00C865F3"/>
    <w:rsid w:val="00C9288A"/>
    <w:rsid w:val="00C94F4F"/>
    <w:rsid w:val="00C96567"/>
    <w:rsid w:val="00C96B10"/>
    <w:rsid w:val="00CA1A45"/>
    <w:rsid w:val="00CA4C91"/>
    <w:rsid w:val="00CB2B1C"/>
    <w:rsid w:val="00CB2BF3"/>
    <w:rsid w:val="00CB6208"/>
    <w:rsid w:val="00CC0706"/>
    <w:rsid w:val="00CC4120"/>
    <w:rsid w:val="00CC5063"/>
    <w:rsid w:val="00CD23DB"/>
    <w:rsid w:val="00CD2D88"/>
    <w:rsid w:val="00CD3C3E"/>
    <w:rsid w:val="00CF1191"/>
    <w:rsid w:val="00CF1A5D"/>
    <w:rsid w:val="00CF4DEB"/>
    <w:rsid w:val="00CF4E86"/>
    <w:rsid w:val="00CF7C23"/>
    <w:rsid w:val="00D00133"/>
    <w:rsid w:val="00D162CC"/>
    <w:rsid w:val="00D16C1B"/>
    <w:rsid w:val="00D229E5"/>
    <w:rsid w:val="00D23BAB"/>
    <w:rsid w:val="00D240F3"/>
    <w:rsid w:val="00D323DA"/>
    <w:rsid w:val="00D338B7"/>
    <w:rsid w:val="00D35C92"/>
    <w:rsid w:val="00D3681D"/>
    <w:rsid w:val="00D416CD"/>
    <w:rsid w:val="00D642F9"/>
    <w:rsid w:val="00D6499C"/>
    <w:rsid w:val="00D73AE8"/>
    <w:rsid w:val="00D81215"/>
    <w:rsid w:val="00D819C5"/>
    <w:rsid w:val="00D828C6"/>
    <w:rsid w:val="00D84353"/>
    <w:rsid w:val="00D84CC5"/>
    <w:rsid w:val="00DA1066"/>
    <w:rsid w:val="00DA1D50"/>
    <w:rsid w:val="00DA3189"/>
    <w:rsid w:val="00DA3E47"/>
    <w:rsid w:val="00DB0976"/>
    <w:rsid w:val="00DB288A"/>
    <w:rsid w:val="00DB51F2"/>
    <w:rsid w:val="00DC1DF4"/>
    <w:rsid w:val="00DC1E7F"/>
    <w:rsid w:val="00DC3A8E"/>
    <w:rsid w:val="00DC6E10"/>
    <w:rsid w:val="00DC79ED"/>
    <w:rsid w:val="00DD120D"/>
    <w:rsid w:val="00DD1D6F"/>
    <w:rsid w:val="00DD5C56"/>
    <w:rsid w:val="00DE57F0"/>
    <w:rsid w:val="00DE5E79"/>
    <w:rsid w:val="00DF208A"/>
    <w:rsid w:val="00DF6906"/>
    <w:rsid w:val="00DF6CB5"/>
    <w:rsid w:val="00DF7463"/>
    <w:rsid w:val="00DF7B1C"/>
    <w:rsid w:val="00E00135"/>
    <w:rsid w:val="00E0330B"/>
    <w:rsid w:val="00E06854"/>
    <w:rsid w:val="00E07222"/>
    <w:rsid w:val="00E1311F"/>
    <w:rsid w:val="00E16F16"/>
    <w:rsid w:val="00E1780F"/>
    <w:rsid w:val="00E17DEA"/>
    <w:rsid w:val="00E17F89"/>
    <w:rsid w:val="00E2157C"/>
    <w:rsid w:val="00E2170C"/>
    <w:rsid w:val="00E25747"/>
    <w:rsid w:val="00E25BC0"/>
    <w:rsid w:val="00E25EEE"/>
    <w:rsid w:val="00E35A87"/>
    <w:rsid w:val="00E407AA"/>
    <w:rsid w:val="00E468F5"/>
    <w:rsid w:val="00E50BBB"/>
    <w:rsid w:val="00E50C5A"/>
    <w:rsid w:val="00E50E58"/>
    <w:rsid w:val="00E54454"/>
    <w:rsid w:val="00E56516"/>
    <w:rsid w:val="00E57CD3"/>
    <w:rsid w:val="00E60A4D"/>
    <w:rsid w:val="00E648B8"/>
    <w:rsid w:val="00E65E9C"/>
    <w:rsid w:val="00E66049"/>
    <w:rsid w:val="00E70702"/>
    <w:rsid w:val="00E7243B"/>
    <w:rsid w:val="00E725F5"/>
    <w:rsid w:val="00E81BD8"/>
    <w:rsid w:val="00E822BE"/>
    <w:rsid w:val="00E83C42"/>
    <w:rsid w:val="00E85D01"/>
    <w:rsid w:val="00E868E1"/>
    <w:rsid w:val="00E909A9"/>
    <w:rsid w:val="00E90AC9"/>
    <w:rsid w:val="00E929E7"/>
    <w:rsid w:val="00E9549A"/>
    <w:rsid w:val="00E962FE"/>
    <w:rsid w:val="00EA07C6"/>
    <w:rsid w:val="00EA17F0"/>
    <w:rsid w:val="00EA3A36"/>
    <w:rsid w:val="00EB0668"/>
    <w:rsid w:val="00EB0ECA"/>
    <w:rsid w:val="00EB2865"/>
    <w:rsid w:val="00EB3447"/>
    <w:rsid w:val="00EB4230"/>
    <w:rsid w:val="00EB627E"/>
    <w:rsid w:val="00EC2983"/>
    <w:rsid w:val="00EC44BA"/>
    <w:rsid w:val="00EC77E3"/>
    <w:rsid w:val="00ED065D"/>
    <w:rsid w:val="00ED2037"/>
    <w:rsid w:val="00ED3056"/>
    <w:rsid w:val="00EE02D8"/>
    <w:rsid w:val="00EE6643"/>
    <w:rsid w:val="00F00BB6"/>
    <w:rsid w:val="00F02A1B"/>
    <w:rsid w:val="00F04E25"/>
    <w:rsid w:val="00F0572C"/>
    <w:rsid w:val="00F1701D"/>
    <w:rsid w:val="00F17967"/>
    <w:rsid w:val="00F271C7"/>
    <w:rsid w:val="00F30654"/>
    <w:rsid w:val="00F36AFC"/>
    <w:rsid w:val="00F37C42"/>
    <w:rsid w:val="00F43AAA"/>
    <w:rsid w:val="00F44A12"/>
    <w:rsid w:val="00F44A9F"/>
    <w:rsid w:val="00F4500F"/>
    <w:rsid w:val="00F45222"/>
    <w:rsid w:val="00F5079F"/>
    <w:rsid w:val="00F51801"/>
    <w:rsid w:val="00F702DA"/>
    <w:rsid w:val="00F70CD0"/>
    <w:rsid w:val="00F721DF"/>
    <w:rsid w:val="00F76CAB"/>
    <w:rsid w:val="00F80052"/>
    <w:rsid w:val="00F80695"/>
    <w:rsid w:val="00F80E86"/>
    <w:rsid w:val="00F831BF"/>
    <w:rsid w:val="00F92632"/>
    <w:rsid w:val="00F9368C"/>
    <w:rsid w:val="00F9415B"/>
    <w:rsid w:val="00F960AC"/>
    <w:rsid w:val="00FA10EF"/>
    <w:rsid w:val="00FA3805"/>
    <w:rsid w:val="00FA4EC8"/>
    <w:rsid w:val="00FA7758"/>
    <w:rsid w:val="00FA7D12"/>
    <w:rsid w:val="00FB01DB"/>
    <w:rsid w:val="00FB19A5"/>
    <w:rsid w:val="00FB1BA5"/>
    <w:rsid w:val="00FB220E"/>
    <w:rsid w:val="00FB44E0"/>
    <w:rsid w:val="00FB4B5B"/>
    <w:rsid w:val="00FB6816"/>
    <w:rsid w:val="00FC005B"/>
    <w:rsid w:val="00FC1854"/>
    <w:rsid w:val="00FC3568"/>
    <w:rsid w:val="00FC7CA5"/>
    <w:rsid w:val="00FD24E4"/>
    <w:rsid w:val="00FD4C6C"/>
    <w:rsid w:val="00FD765A"/>
    <w:rsid w:val="00FD7B0E"/>
    <w:rsid w:val="00FE017D"/>
    <w:rsid w:val="00FE418B"/>
    <w:rsid w:val="00FE60CA"/>
    <w:rsid w:val="00FE692C"/>
    <w:rsid w:val="00FF1A62"/>
    <w:rsid w:val="00FF21FB"/>
    <w:rsid w:val="00FF2A0A"/>
    <w:rsid w:val="00FF3AAC"/>
    <w:rsid w:val="00FF4536"/>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D76D6"/>
  <w15:chartTrackingRefBased/>
  <w15:docId w15:val="{CE863D93-6743-4CD9-9D5A-D00AB229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2520"/>
      </w:tabs>
      <w:spacing w:before="240" w:after="60"/>
      <w:ind w:left="2160"/>
      <w:outlineLvl w:val="3"/>
    </w:pPr>
    <w:rPr>
      <w:rFonts w:ascii="Arial" w:hAnsi="Arial"/>
      <w:b/>
      <w:sz w:val="24"/>
    </w:rPr>
  </w:style>
  <w:style w:type="paragraph" w:styleId="Heading5">
    <w:name w:val="heading 5"/>
    <w:basedOn w:val="Normal"/>
    <w:next w:val="Normal"/>
    <w:qFormat/>
    <w:pPr>
      <w:tabs>
        <w:tab w:val="num" w:pos="3240"/>
      </w:tabs>
      <w:spacing w:before="240" w:after="60"/>
      <w:ind w:left="2880"/>
      <w:outlineLvl w:val="4"/>
    </w:pPr>
    <w:rPr>
      <w:sz w:val="22"/>
    </w:rPr>
  </w:style>
  <w:style w:type="paragraph" w:styleId="Heading6">
    <w:name w:val="heading 6"/>
    <w:basedOn w:val="Normal"/>
    <w:next w:val="Normal"/>
    <w:qFormat/>
    <w:pPr>
      <w:tabs>
        <w:tab w:val="num" w:pos="3960"/>
      </w:tabs>
      <w:spacing w:before="240" w:after="60"/>
      <w:ind w:left="3600"/>
      <w:outlineLvl w:val="5"/>
    </w:pPr>
    <w:rPr>
      <w:i/>
      <w:sz w:val="22"/>
    </w:rPr>
  </w:style>
  <w:style w:type="paragraph" w:styleId="Heading7">
    <w:name w:val="heading 7"/>
    <w:basedOn w:val="Normal"/>
    <w:next w:val="Normal"/>
    <w:qFormat/>
    <w:pPr>
      <w:tabs>
        <w:tab w:val="num" w:pos="4680"/>
      </w:tabs>
      <w:spacing w:before="240" w:after="60"/>
      <w:ind w:left="4320"/>
      <w:outlineLvl w:val="6"/>
    </w:pPr>
    <w:rPr>
      <w:rFonts w:ascii="Arial" w:hAnsi="Arial"/>
      <w:sz w:val="24"/>
    </w:rPr>
  </w:style>
  <w:style w:type="paragraph" w:styleId="Heading8">
    <w:name w:val="heading 8"/>
    <w:basedOn w:val="Normal"/>
    <w:next w:val="Normal"/>
    <w:qFormat/>
    <w:pPr>
      <w:tabs>
        <w:tab w:val="num" w:pos="5400"/>
      </w:tabs>
      <w:spacing w:before="240" w:after="60"/>
      <w:ind w:left="5040"/>
      <w:outlineLvl w:val="7"/>
    </w:pPr>
    <w:rPr>
      <w:rFonts w:ascii="Arial" w:hAnsi="Arial"/>
      <w:i/>
      <w:sz w:val="24"/>
    </w:rPr>
  </w:style>
  <w:style w:type="paragraph" w:styleId="Heading9">
    <w:name w:val="heading 9"/>
    <w:basedOn w:val="Normal"/>
    <w:next w:val="Normal"/>
    <w:qFormat/>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40"/>
    </w:pPr>
    <w:rPr>
      <w:snapToGrid w:val="0"/>
      <w:kern w:val="28"/>
      <w:sz w:val="24"/>
    </w:rPr>
  </w:style>
  <w:style w:type="paragraph" w:styleId="FootnoteText">
    <w:name w:val="footnote text"/>
    <w:aliases w:val="Footnote Text Char1,Footnote Text Char Char,Footnote Text Char1 Char Char,ALTS FOOTNOTE Char Char Char,fn Char Char Char,Footnote Text Char Char Char Char,Footnote Text Char2 Char1 Char Char Char,Footnote Text Char2"/>
    <w:semiHidden/>
    <w:pPr>
      <w:tabs>
        <w:tab w:val="left" w:pos="360"/>
      </w:tabs>
      <w:spacing w:after="200"/>
    </w:pPr>
  </w:style>
  <w:style w:type="character" w:styleId="FootnoteReference">
    <w:name w:val="footnote reference"/>
    <w:semiHidden/>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ALTS FOOTNOTE Char Char Char Char,fn Char Char Char Char,Footnote Text Char Char Char Char Char,Footnote Text Char2 Char1 Char Char Char Char"/>
    <w:rPr>
      <w:lang w:val="en-US" w:eastAsia="en-US" w:bidi="ar-SA"/>
    </w:rPr>
  </w:style>
  <w:style w:type="character" w:customStyle="1" w:styleId="FootnoteTextChar2Char">
    <w:name w:val="Footnote Text Char2 Char"/>
    <w:aliases w:val="Footnote Text Char1 Char Char2,Footnote Text Char Char Char Char1,Footnote Text Char1 Char Char Char Char1,Footnote Text Char Char Char Char Char Char,Footnote Text Char1 Char Char Char Char Char Char"/>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Numberedparagraphs">
    <w:name w:val="Numbered paragraphs"/>
    <w:basedOn w:val="Normal"/>
    <w:pPr>
      <w:tabs>
        <w:tab w:val="num" w:pos="1080"/>
        <w:tab w:val="left" w:pos="1440"/>
      </w:tabs>
      <w:spacing w:after="220"/>
      <w:ind w:firstLine="720"/>
    </w:pPr>
    <w:rPr>
      <w:sz w:val="24"/>
    </w:rPr>
  </w:style>
  <w:style w:type="paragraph" w:styleId="BodyText">
    <w:name w:val="Body Text"/>
    <w:basedOn w:val="Normal"/>
    <w:rPr>
      <w:sz w:val="24"/>
      <w:szCs w:val="24"/>
    </w:rPr>
  </w:style>
  <w:style w:type="paragraph" w:styleId="Footer">
    <w:name w:val="footer"/>
    <w:basedOn w:val="Normal"/>
    <w:rsid w:val="00244772"/>
    <w:pPr>
      <w:tabs>
        <w:tab w:val="center" w:pos="4320"/>
        <w:tab w:val="right" w:pos="8640"/>
      </w:tabs>
    </w:pPr>
  </w:style>
  <w:style w:type="character" w:styleId="PageNumber">
    <w:name w:val="page number"/>
    <w:basedOn w:val="DefaultParagraphFont"/>
    <w:rsid w:val="00244772"/>
  </w:style>
  <w:style w:type="paragraph" w:styleId="Header">
    <w:name w:val="header"/>
    <w:basedOn w:val="Normal"/>
    <w:link w:val="HeaderChar"/>
    <w:rsid w:val="00EB2865"/>
    <w:pPr>
      <w:tabs>
        <w:tab w:val="center" w:pos="4320"/>
        <w:tab w:val="right" w:pos="8640"/>
      </w:tabs>
    </w:pPr>
  </w:style>
  <w:style w:type="character" w:styleId="Hyperlink">
    <w:name w:val="Hyperlink"/>
    <w:uiPriority w:val="99"/>
    <w:unhideWhenUsed/>
    <w:rsid w:val="00835907"/>
    <w:rPr>
      <w:color w:val="0000FF"/>
      <w:u w:val="single"/>
    </w:rPr>
  </w:style>
  <w:style w:type="character" w:styleId="CommentReference">
    <w:name w:val="annotation reference"/>
    <w:rsid w:val="0043567C"/>
    <w:rPr>
      <w:sz w:val="16"/>
      <w:szCs w:val="16"/>
    </w:rPr>
  </w:style>
  <w:style w:type="paragraph" w:styleId="CommentText">
    <w:name w:val="annotation text"/>
    <w:basedOn w:val="Normal"/>
    <w:link w:val="CommentTextChar"/>
    <w:rsid w:val="0043567C"/>
  </w:style>
  <w:style w:type="character" w:customStyle="1" w:styleId="CommentTextChar">
    <w:name w:val="Comment Text Char"/>
    <w:basedOn w:val="DefaultParagraphFont"/>
    <w:link w:val="CommentText"/>
    <w:rsid w:val="0043567C"/>
  </w:style>
  <w:style w:type="paragraph" w:styleId="CommentSubject">
    <w:name w:val="annotation subject"/>
    <w:basedOn w:val="CommentText"/>
    <w:next w:val="CommentText"/>
    <w:link w:val="CommentSubjectChar"/>
    <w:rsid w:val="0043567C"/>
    <w:rPr>
      <w:b/>
      <w:bCs/>
    </w:rPr>
  </w:style>
  <w:style w:type="character" w:customStyle="1" w:styleId="CommentSubjectChar">
    <w:name w:val="Comment Subject Char"/>
    <w:link w:val="CommentSubject"/>
    <w:rsid w:val="0043567C"/>
    <w:rPr>
      <w:b/>
      <w:bCs/>
    </w:rPr>
  </w:style>
  <w:style w:type="paragraph" w:customStyle="1" w:styleId="ColorfulList-Accent11">
    <w:name w:val="Colorful List - Accent 11"/>
    <w:basedOn w:val="Normal"/>
    <w:uiPriority w:val="34"/>
    <w:qFormat/>
    <w:rsid w:val="00DC79ED"/>
    <w:pPr>
      <w:ind w:left="720"/>
    </w:pPr>
  </w:style>
  <w:style w:type="paragraph" w:customStyle="1" w:styleId="ColorfulShading-Accent11">
    <w:name w:val="Colorful Shading - Accent 11"/>
    <w:hidden/>
    <w:uiPriority w:val="71"/>
    <w:rsid w:val="008014E1"/>
  </w:style>
  <w:style w:type="paragraph" w:styleId="ListParagraph">
    <w:name w:val="List Paragraph"/>
    <w:basedOn w:val="Normal"/>
    <w:uiPriority w:val="34"/>
    <w:qFormat/>
    <w:rsid w:val="00F9368C"/>
    <w:pPr>
      <w:ind w:left="720"/>
    </w:pPr>
  </w:style>
  <w:style w:type="character" w:styleId="UnresolvedMention">
    <w:name w:val="Unresolved Mention"/>
    <w:basedOn w:val="DefaultParagraphFont"/>
    <w:uiPriority w:val="99"/>
    <w:semiHidden/>
    <w:unhideWhenUsed/>
    <w:rsid w:val="0042183F"/>
    <w:rPr>
      <w:color w:val="808080"/>
      <w:shd w:val="clear" w:color="auto" w:fill="E6E6E6"/>
    </w:rPr>
  </w:style>
  <w:style w:type="character" w:customStyle="1" w:styleId="HeaderChar">
    <w:name w:val="Header Char"/>
    <w:basedOn w:val="DefaultParagraphFont"/>
    <w:link w:val="Header"/>
    <w:uiPriority w:val="99"/>
    <w:rsid w:val="00345F34"/>
  </w:style>
  <w:style w:type="character" w:customStyle="1" w:styleId="StyleTimesNewRoman11pt">
    <w:name w:val="Style Times New Roman 11 pt"/>
    <w:rsid w:val="00345F3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908171">
      <w:bodyDiv w:val="1"/>
      <w:marLeft w:val="0"/>
      <w:marRight w:val="0"/>
      <w:marTop w:val="0"/>
      <w:marBottom w:val="0"/>
      <w:divBdr>
        <w:top w:val="none" w:sz="0" w:space="0" w:color="auto"/>
        <w:left w:val="none" w:sz="0" w:space="0" w:color="auto"/>
        <w:bottom w:val="none" w:sz="0" w:space="0" w:color="auto"/>
        <w:right w:val="none" w:sz="0" w:space="0" w:color="auto"/>
      </w:divBdr>
    </w:div>
    <w:div w:id="20568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pps.fcc.gov/cgb/form499/499a.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s.fcc.gov/cgb/form499/499a.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2" ma:contentTypeDescription="Create a new document." ma:contentTypeScope="" ma:versionID="63e946e636a0d4cfa9d079721f1f1594">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d80c76e069d41f88aa3900e70a4e083d"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7BCDB-FEB1-4BEB-92DB-63754C385150}">
  <ds:schemaRefs>
    <ds:schemaRef ds:uri="http://schemas.microsoft.com/sharepoint/v3/contenttype/forms"/>
  </ds:schemaRefs>
</ds:datastoreItem>
</file>

<file path=customXml/itemProps2.xml><?xml version="1.0" encoding="utf-8"?>
<ds:datastoreItem xmlns:ds="http://schemas.openxmlformats.org/officeDocument/2006/customXml" ds:itemID="{4BE9DB63-C74B-40F8-92DC-4B25E40A28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2D2F8-A303-45E8-876E-B08772AE23FB}">
  <ds:schemaRefs>
    <ds:schemaRef ds:uri="http://schemas.openxmlformats.org/officeDocument/2006/bibliography"/>
  </ds:schemaRefs>
</ds:datastoreItem>
</file>

<file path=customXml/itemProps4.xml><?xml version="1.0" encoding="utf-8"?>
<ds:datastoreItem xmlns:ds="http://schemas.openxmlformats.org/officeDocument/2006/customXml" ds:itemID="{E9C5416A-37ED-46BA-8C51-3B33F450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Mr</vt:lpstr>
    </vt:vector>
  </TitlesOfParts>
  <Company>FCC</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SHAIR</dc:creator>
  <cp:keywords/>
  <cp:lastModifiedBy>Nicole Ongele</cp:lastModifiedBy>
  <cp:revision>2</cp:revision>
  <cp:lastPrinted>2018-03-01T19:59:00Z</cp:lastPrinted>
  <dcterms:created xsi:type="dcterms:W3CDTF">2021-05-03T14:39:00Z</dcterms:created>
  <dcterms:modified xsi:type="dcterms:W3CDTF">2021-05-03T14:39:00Z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sAAAXRTqSjcrLAqbk99usnMcVKWlMfwNSv85iLN6WH59kp4=</vt:lpwstr>
  </property>
  <property fmtid="{D5CDD505-2E9C-101B-9397-08002B2CF9AE}" pid="3" name="MAIL_MSG_ID1">
    <vt:lpwstr>oFAAohepTGvwTLijE2BrrQ4apexq9QXAaBrlzKlVN4D8N5pzHwAPS3uTwI0HSpbb/d65a8mLqtQHEcs3_x000d_
IscGeaogYfxRko/TmShF6g+F8asCFCxsK0ZeWBTFzhh3Bt05BhHyIquWTu12OhlM754F4xB7eQeh_x000d_
46uOkSrtNSwQfQYRB2a1m8+RVEMgwg+x8djTdXAJrigNcWKtP4tuK4o9EYp2+jzeegZRB+R1GzZn_x000d_
jO9bv7qraK0n4rBn1</vt:lpwstr>
  </property>
  <property fmtid="{D5CDD505-2E9C-101B-9397-08002B2CF9AE}" pid="4" name="MAIL_MSG_ID2">
    <vt:lpwstr>DyFKOm+qfB4C6oXzdjuA0kaiJyiKCcTuma0fvRGD1dXL6U0JdEnpk3Ckix1_x000d_
dtysokPMTo1twNCkYMjBBHIu4dDt3WK+3TMrlu+VAArVDeOg</vt:lpwstr>
  </property>
  <property fmtid="{D5CDD505-2E9C-101B-9397-08002B2CF9AE}" pid="5" name="EMAIL_OWNER_ADDRESS">
    <vt:lpwstr>4AAAyjQjm0EOGgKHoL5/3JglPhRJEYyUnlD4znVO9tk6jEn1po0sBEWV/g==</vt:lpwstr>
  </property>
  <property fmtid="{D5CDD505-2E9C-101B-9397-08002B2CF9AE}" pid="6" name="ContentTypeId">
    <vt:lpwstr>0x010100116C15E9C3DC5B44BF2F529F5EE57B4B</vt:lpwstr>
  </property>
</Properties>
</file>